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FCE3" w14:textId="77777777" w:rsidR="00000000" w:rsidRDefault="0068293C">
      <w:pPr>
        <w:divId w:val="952635066"/>
        <w:rPr>
          <w:rFonts w:eastAsia="Times New Roman"/>
          <w:vanish/>
        </w:rPr>
      </w:pPr>
      <w:r>
        <w:rPr>
          <w:rFonts w:eastAsia="Times New Roman"/>
          <w:vanish/>
        </w:rPr>
        <w:t>000007086612/312022Q1FALSE00000708662022-01-012022-03-3100000708662022-03-31xbrli:shares0000070866us-gaap:ProductMember2022-01-012022-03-31iso4217:USD0000070866us-gaap:ProductMember2021-01-012021-03-310000070866us-gaap:ServiceMember2022-01-01</w:t>
      </w:r>
      <w:r>
        <w:rPr>
          <w:rFonts w:eastAsia="Times New Roman"/>
          <w:vanish/>
        </w:rPr>
        <w:t>2022-03-310000070866us-gaap:ServiceMember2021-01-012021-03-3100000708662021-01-012021-03-31iso4217:USDxbrli:shares00000708662021-12-3100000708662020-12-3100000708662021-03-310000070866ncr:LibertyXMember2022-01-012022-03-310000070866us-gaap:CommonStockMembe</w:t>
      </w:r>
      <w:r>
        <w:rPr>
          <w:rFonts w:eastAsia="Times New Roman"/>
          <w:vanish/>
        </w:rPr>
        <w:t>r2021-12-310000070866us-gaap:AdditionalPaidInCapitalMember2021-12-310000070866us-gaap:RetainedEarningsMember2021-12-310000070866us-gaap:AccumulatedOtherComprehensiveIncomeMember2021-12-310000070866us-gaap:NoncontrollingInterestMember2021-12-310000070866ncr</w:t>
      </w:r>
      <w:r>
        <w:rPr>
          <w:rFonts w:eastAsia="Times New Roman"/>
          <w:vanish/>
        </w:rPr>
        <w:t>:TotalStockholdersEquityMember2021-12-310000070866us-gaap:RetainedEarningsMember2022-01-012022-03-310000070866us-gaap:NoncontrollingInterestMember2022-01-012022-03-310000070866ncr:TotalStockholdersEquityMember2022-01-012022-03-310000070866us-gaap:Accumulat</w:t>
      </w:r>
      <w:r>
        <w:rPr>
          <w:rFonts w:eastAsia="Times New Roman"/>
          <w:vanish/>
        </w:rPr>
        <w:t>edOtherComprehensiveIncomeMember2022-01-012022-03-310000070866us-gaap:CommonStockMember2022-01-012022-03-310000070866us-gaap:AdditionalPaidInCapitalMember2022-01-012022-03-310000070866us-gaap:CommonStockMember2022-03-310000070866us-gaap:AdditionalPaidInCap</w:t>
      </w:r>
      <w:r>
        <w:rPr>
          <w:rFonts w:eastAsia="Times New Roman"/>
          <w:vanish/>
        </w:rPr>
        <w:t>italMember2022-03-310000070866ncr:TotalStockholdersEquityMember2022-03-310000070866us-gaap:RetainedEarningsMember2022-03-310000070866us-gaap:AccumulatedOtherComprehensiveIncomeMember2022-03-310000070866us-gaap:NoncontrollingInterestMember2022-03-3100000708</w:t>
      </w:r>
      <w:r>
        <w:rPr>
          <w:rFonts w:eastAsia="Times New Roman"/>
          <w:vanish/>
        </w:rPr>
        <w:t>66us-gaap:CommonStockMember2020-12-310000070866us-gaap:AdditionalPaidInCapitalMember2020-12-310000070866us-gaap:RetainedEarningsMember2020-12-310000070866us-gaap:AccumulatedOtherComprehensiveIncomeMember2020-12-310000070866us-gaap:NoncontrollingInterestMem</w:t>
      </w:r>
      <w:r>
        <w:rPr>
          <w:rFonts w:eastAsia="Times New Roman"/>
          <w:vanish/>
        </w:rPr>
        <w:t>ber2020-12-310000070866ncr:TotalStockholdersEquityMember2020-12-310000070866us-gaap:RetainedEarningsMember2021-01-012021-03-310000070866us-gaap:NoncontrollingInterestMember2021-01-012021-03-310000070866ncr:TotalStockholdersEquityMember2021-01-012021-03-310</w:t>
      </w:r>
      <w:r>
        <w:rPr>
          <w:rFonts w:eastAsia="Times New Roman"/>
          <w:vanish/>
        </w:rPr>
        <w:t>000070866us-gaap:AccumulatedOtherComprehensiveIncomeMember2021-01-012021-03-310000070866us-gaap:CommonStockMember2021-01-012021-03-310000070866us-gaap:AdditionalPaidInCapitalMember2021-01-012021-03-310000070866us-gaap:CommonStockMember2021-03-310000070866u</w:t>
      </w:r>
      <w:r>
        <w:rPr>
          <w:rFonts w:eastAsia="Times New Roman"/>
          <w:vanish/>
        </w:rPr>
        <w:t>s-gaap:AdditionalPaidInCapitalMember2021-03-310000070866us-gaap:RetainedEarningsMember2021-03-310000070866us-gaap:AccumulatedOtherComprehensiveIncomeMember2021-03-310000070866us-gaap:NoncontrollingInterestMember2021-03-310000070866ncr:TotalStockholdersEqui</w:t>
      </w:r>
      <w:r>
        <w:rPr>
          <w:rFonts w:eastAsia="Times New Roman"/>
          <w:vanish/>
        </w:rPr>
        <w:t>tyMember2021-03-310000070866ncr:LibertyXMember2022-01-050000070866ncr:LibertyXMember2022-01-052022-01-050000070866ncr:LibertyXMember2022-03-310000070866us-gaap:CustomerRelationshipsMemberncr:LibertyXMember2022-03-310000070866us-gaap:CustomerRelationshipsMe</w:t>
      </w:r>
      <w:r>
        <w:rPr>
          <w:rFonts w:eastAsia="Times New Roman"/>
          <w:vanish/>
        </w:rPr>
        <w:t>mberncr:LibertyXMember2022-01-012022-03-310000070866us-gaap:PatentedTechnologyMemberncr:LibertyXMember2022-03-310000070866us-gaap:PatentedTechnologyMemberncr:LibertyXMember2022-01-012022-03-310000070866ncr:LibertyXMemberus-gaap:NoncompeteAgreementsMember20</w:t>
      </w:r>
      <w:r>
        <w:rPr>
          <w:rFonts w:eastAsia="Times New Roman"/>
          <w:vanish/>
        </w:rPr>
        <w:t>22-03-310000070866ncr:LibertyXMemberus-gaap:NoncompeteAgreementsMember2022-01-012022-03-310000070866us-gaap:TradeNamesMemberncr:LibertyXMember2022-03-310000070866us-gaap:TradeNamesMemberncr:LibertyXMember2022-01-012022-03-310000070866ncr:CardtronicsMember2</w:t>
      </w:r>
      <w:r>
        <w:rPr>
          <w:rFonts w:eastAsia="Times New Roman"/>
          <w:vanish/>
        </w:rPr>
        <w:t>021-01-250000070866ncr:PaymentsNetworkSegmentMember2021-12-310000070866ncr:PaymentsNetworkSegmentMember2022-01-012022-03-310000070866ncr:PaymentsNetworkSegmentMember2022-03-310000070866ncr:DigitalBankingMember2021-12-310000070866ncr:DigitalBankingMember202</w:t>
      </w:r>
      <w:r>
        <w:rPr>
          <w:rFonts w:eastAsia="Times New Roman"/>
          <w:vanish/>
        </w:rPr>
        <w:t>2-01-012022-03-310000070866ncr:DigitalBankingMember2022-03-310000070866ncr:SelfServiceBankingSegmentsMember2021-12-310000070866ncr:SelfServiceBankingSegmentsMember2022-01-012022-03-310000070866ncr:SelfServiceBankingSegmentsMember2022-03-310000070866ncr:Ret</w:t>
      </w:r>
      <w:r>
        <w:rPr>
          <w:rFonts w:eastAsia="Times New Roman"/>
          <w:vanish/>
        </w:rPr>
        <w:t>ailSegmentMember2021-12-310000070866ncr:RetailSegmentMember2022-01-012022-03-310000070866ncr:RetailSegmentMember2022-03-310000070866ncr:HospitalitySegmentMember2021-12-310000070866ncr:HospitalitySegmentMember2022-01-012022-03-310000070866ncr:HospitalitySeg</w:t>
      </w:r>
      <w:r>
        <w:rPr>
          <w:rFonts w:eastAsia="Times New Roman"/>
          <w:vanish/>
        </w:rPr>
        <w:t>mentMember2022-03-310000070866us-gaap:AllOtherSegmentsMember2021-12-310000070866us-gaap:AllOtherSegmentsMember2022-01-012022-03-310000070866us-gaap:AllOtherSegmentsMember2022-03-310000070866srt:MinimumMemberus-gaap:CustomerRelationshipsMember2022-01-012022</w:t>
      </w:r>
      <w:r>
        <w:rPr>
          <w:rFonts w:eastAsia="Times New Roman"/>
          <w:vanish/>
        </w:rPr>
        <w:t>-03-310000070866us-gaap:CustomerRelationshipsMembersrt:MaximumMember2022-01-012022-03-310000070866us-gaap:CustomerRelationshipsMember2022-03-310000070866us-gaap:CustomerRelationshipsMember2021-12-310000070866srt:MinimumMemberus-gaap:IntellectualPropertyMem</w:t>
      </w:r>
      <w:r>
        <w:rPr>
          <w:rFonts w:eastAsia="Times New Roman"/>
          <w:vanish/>
        </w:rPr>
        <w:t>ber2022-01-012022-03-310000070866srt:MaximumMemberus-gaap:IntellectualPropertyMember2022-01-012022-03-310000070866us-gaap:IntellectualPropertyMember2022-03-310000070866us-gaap:IntellectualPropertyMember2021-12-310000070866us-gaap:CustomerContractsMember202</w:t>
      </w:r>
      <w:r>
        <w:rPr>
          <w:rFonts w:eastAsia="Times New Roman"/>
          <w:vanish/>
        </w:rPr>
        <w:t>2-01-012022-03-310000070866us-gaap:CustomerContractsMember2022-03-310000070866us-gaap:CustomerContractsMember2021-12-310000070866us-gaap:TradeNamesMembersrt:MinimumMember2022-01-012022-03-310000070866us-gaap:TradeNamesMembersrt:MaximumMember2022-01-012022-</w:t>
      </w:r>
      <w:r>
        <w:rPr>
          <w:rFonts w:eastAsia="Times New Roman"/>
          <w:vanish/>
        </w:rPr>
        <w:t>03-310000070866us-gaap:TradeNamesMember2022-03-310000070866us-gaap:TradeNamesMember2021-12-310000070866ncr:PaymentsNetworkSegmentMemberus-gaap:OperatingSegmentsMember2022-01-012022-03-310000070866ncr:PaymentsNetworkSegmentMemberus-gaap:OperatingSegmentsMem</w:t>
      </w:r>
      <w:r>
        <w:rPr>
          <w:rFonts w:eastAsia="Times New Roman"/>
          <w:vanish/>
        </w:rPr>
        <w:t>ber2021-01-012021-03-310000070866ncr:DigitalBankingMemberus-gaap:OperatingSegmentsMember2022-01-012022-03-310000070866ncr:DigitalBankingMemberus-gaap:OperatingSegmentsMember2021-01-012021-03-310000070866ncr:SelfServiceBankingSegmentsMemberus-gaap:Operating</w:t>
      </w:r>
      <w:r>
        <w:rPr>
          <w:rFonts w:eastAsia="Times New Roman"/>
          <w:vanish/>
        </w:rPr>
        <w:t>SegmentsMember2022-01-012022-03-310000070866ncr:SelfServiceBankingSegmentsMemberus-gaap:OperatingSegmentsMember2021-01-012021-03-310000070866ncr:RetailSegmentsMemberus-gaap:OperatingSegmentsMember2022-01-012022-03-310000070866ncr:RetailSegmentsMemberus-gaa</w:t>
      </w:r>
      <w:r>
        <w:rPr>
          <w:rFonts w:eastAsia="Times New Roman"/>
          <w:vanish/>
        </w:rPr>
        <w:t>p:OperatingSegmentsMember2021-01-012021-03-310000070866ncr:HospitalitySegmentMemberus-gaap:OperatingSegmentsMember2022-01-012022-03-310000070866ncr:HospitalitySegmentMemberus-gaap:OperatingSegmentsMember2021-01-012021-03-310000070866us-gaap:AllOtherSegment</w:t>
      </w:r>
      <w:r>
        <w:rPr>
          <w:rFonts w:eastAsia="Times New Roman"/>
          <w:vanish/>
        </w:rPr>
        <w:t>sMemberus-gaap:OperatingSegmentsMember2022-01-012022-03-310000070866us-gaap:AllOtherSegmentsMemberus-gaap:OperatingSegmentsMember2021-01-012021-03-310000070866ncr:EliminationsMemberus-gaap:OperatingSegmentsMember2022-01-012022-03-310000070866ncr:Eliminatio</w:t>
      </w:r>
      <w:r>
        <w:rPr>
          <w:rFonts w:eastAsia="Times New Roman"/>
          <w:vanish/>
        </w:rPr>
        <w:t>nsMemberus-gaap:OperatingSegmentsMember2021-01-012021-03-310000070866us-gaap:OperatingSegmentsMember2022-01-012022-03-310000070866us-gaap:OperatingSegmentsMember2021-01-012021-03-310000070866ncr:RussiaConflictMember2022-01-012022-03-310000070866ncr:RussiaC</w:t>
      </w:r>
      <w:r>
        <w:rPr>
          <w:rFonts w:eastAsia="Times New Roman"/>
          <w:vanish/>
        </w:rPr>
        <w:t>onflictMember2021-01-012021-03-310000070866srt:AmericasMember2022-01-012022-03-310000070866srt:AmericasMember2021-01-012021-03-310000070866us-gaap:EMEAMember2022-01-012022-03-310000070866us-gaap:EMEAMember2021-01-012021-03-310000070866srt:AsiaPacificMember</w:t>
      </w:r>
      <w:r>
        <w:rPr>
          <w:rFonts w:eastAsia="Times New Roman"/>
          <w:vanish/>
        </w:rPr>
        <w:t>2022-01-012022-03-310000070866srt:AsiaPacificMember2021-01-012021-03-310000070866ncr:RecurringRevenueMember2022-01-012022-03-310000070866ncr:RecurringRevenueMember2021-01-012021-03-310000070866ncr:AllOtherProductsAndServicesMember2022-01-012022-03-31000007</w:t>
      </w:r>
      <w:r>
        <w:rPr>
          <w:rFonts w:eastAsia="Times New Roman"/>
          <w:vanish/>
        </w:rPr>
        <w:t>0866ncr:AllOtherProductsAndServicesMember2021-01-012021-03-310000070866ncr:TermLoanMember2022-03-31xbrli:pure0000070866ncr:TermLoanMember2021-12-310000070866ncr:OtherDebtMember2022-03-310000070866ncr:OtherDebtMember2021-12-310000070866ncr:TermLoanMember202</w:t>
      </w:r>
      <w:r>
        <w:rPr>
          <w:rFonts w:eastAsia="Times New Roman"/>
          <w:vanish/>
        </w:rPr>
        <w:t>2-03-310000070866ncr:TermLoanMember2021-12-310000070866us-gaap:RevolvingCreditFacilityMember2022-03-310000070866us-gaap:RevolvingCreditFacilityMember2021-12-310000070866ncr:A5.750SeniorNotesdue2027Member2022-03-310000070866ncr:A5.750SeniorNotesdue2027Membe</w:t>
      </w:r>
      <w:r>
        <w:rPr>
          <w:rFonts w:eastAsia="Times New Roman"/>
          <w:vanish/>
        </w:rPr>
        <w:t>r2021-12-310000070866ncr:A5000SeniorNotesDue2028Member2022-03-310000070866ncr:A5000SeniorNotesDue2028Member2021-12-310000070866ncr:A5125NotesDue2029Member2022-03-310000070866ncr:A5125NotesDue2029Member2021-12-310000070866ncr:A6.125SeniorNotesdue2029Member2</w:t>
      </w:r>
      <w:r>
        <w:rPr>
          <w:rFonts w:eastAsia="Times New Roman"/>
          <w:vanish/>
        </w:rPr>
        <w:t>022-03-310000070866ncr:A6.125SeniorNotesdue2029Member2021-12-310000070866ncr:A5250SeniorNotesDue2030Member2022-03-310000070866ncr:A5250SeniorNotesDue2030Member2021-12-310000070866ncr:OtherDebtMember2022-03-310000070866ncr:OtherDebtMember2021-12-31000007086</w:t>
      </w:r>
      <w:r>
        <w:rPr>
          <w:rFonts w:eastAsia="Times New Roman"/>
          <w:vanish/>
        </w:rPr>
        <w:t>6us-gaap:SecuredDebtMemberncr:RevolvingMember2022-03-310000070866ncr:PeriodOneMember2022-03-310000070866ncr:PeriodTwoMember2022-03-310000070866ncr:PeriodThreeMember2022-03-310000070866srt:MinimumMember2022-03-310000070866srt:MaximumMember2022-03-3100000708</w:t>
      </w:r>
      <w:r>
        <w:rPr>
          <w:rFonts w:eastAsia="Times New Roman"/>
          <w:vanish/>
        </w:rPr>
        <w:t>66us-gaap:ShareBasedCompensationAwardTrancheOneMember2022-01-012022-03-310000070866ncr:RestrictedStockUnitsGrantedFebruary232021Memberus-gaap:PerformanceSharesMember2022-03-310000070866ncr:RestrictedStockUnitsGrantedFebruary232021Memberus-gaap:PerformanceS</w:t>
      </w:r>
      <w:r>
        <w:rPr>
          <w:rFonts w:eastAsia="Times New Roman"/>
          <w:vanish/>
        </w:rPr>
        <w:t>haresMember2022-01-012022-03-310000070866us-gaap:PerformanceSharesMember2022-01-012022-03-310000070866us-gaap:RestrictedStockUnitsRSUMember2022-03-310000070866us-gaap:RestrictedStockUnitsRSUMember2022-01-012022-03-310000070866us-gaap:EmployeeStockOptionMem</w:t>
      </w:r>
      <w:r>
        <w:rPr>
          <w:rFonts w:eastAsia="Times New Roman"/>
          <w:vanish/>
        </w:rPr>
        <w:t>ber2022-03-310000070866us-gaap:EmployeeStockOptionMember2022-01-012022-03-310000070866ncr:EmployeeStockPurchasePlanMember2022-01-012022-03-310000070866ncr:EmployeeStockPurchasePlanMember2022-03-310000070866ncr:EmployeeStockPurchasePlanMember2021-01-012021-</w:t>
      </w:r>
      <w:r>
        <w:rPr>
          <w:rFonts w:eastAsia="Times New Roman"/>
          <w:vanish/>
        </w:rPr>
        <w:t>03-310000070866us-gaap:PensionPlansDefinedBenefitMember2022-01-012022-03-310000070866us-gaap:DomesticPlanMember2022-01-012022-03-310000070866us-gaap:DomesticPlanMember2021-01-012021-03-310000070866us-gaap:ForeignPlanMember2022-01-012022-03-310000070866us-g</w:t>
      </w:r>
      <w:r>
        <w:rPr>
          <w:rFonts w:eastAsia="Times New Roman"/>
          <w:vanish/>
        </w:rPr>
        <w:t>aap:ForeignPlanMember2021-01-012021-03-310000070866us-gaap:PensionPlansDefinedBenefitMember2021-01-012021-03-310000070866us-gaap:OtherPostretirementBenefitPlansDefinedBenefitMember2022-01-012022-03-310000070866us-gaap:PostemploymentRetirementBenefitsMember</w:t>
      </w:r>
      <w:r>
        <w:rPr>
          <w:rFonts w:eastAsia="Times New Roman"/>
          <w:vanish/>
        </w:rPr>
        <w:t>2022-01-012022-03-310000070866us-gaap:PostemploymentRetirementBenefitsMember2021-01-012021-03-310000070866us-gaap:ForeignPlanMember2022-03-310000070866us-gaap:OtherPostretirementBenefitPlansDefinedBenefitMember2022-03-310000070866us-gaap:PostemploymentReti</w:t>
      </w:r>
      <w:r>
        <w:rPr>
          <w:rFonts w:eastAsia="Times New Roman"/>
          <w:vanish/>
        </w:rPr>
        <w:t>rementBenefitsMember2022-03-310000070866ncr:FoxRiverSiteMember2022-03-31ncr:entity0000070866ncr:FoxRiverSiteMember2007-11-130000070866ncr:FoxRiverSiteMember2022-03-310000070866ncr:FoxRiverSiteMember2021-12-310000070866ncr:FoxRiverSiteMemberncr:GlatfelterMe</w:t>
      </w:r>
      <w:r>
        <w:rPr>
          <w:rFonts w:eastAsia="Times New Roman"/>
          <w:vanish/>
        </w:rPr>
        <w:t>mber2017-08-22ncr:party0000070866ncr:FoxRiverSiteMember2022-01-012022-03-31ncr:defendant0000070866ncr:GeneralContractorArbitrationMembersrt:MinimumMemberncr:FoxRiverSiteMember2021-12-310000070866ncr:GeneralContractorArbitrationMembersrt:MaximumMemberncr:Fo</w:t>
      </w:r>
      <w:r>
        <w:rPr>
          <w:rFonts w:eastAsia="Times New Roman"/>
          <w:vanish/>
        </w:rPr>
        <w:t>xRiverSiteMember2021-12-310000070866ncr:GeneralContractorArbitrationMemberncr:FoxRiverSiteMember2021-12-310000070866ncr:FoxRiverSiteMemberncr:FoxRiverLlcMember2021-12-310000070866ncr:FoxRiverSiteMemberncr:FoxRiverLlcMember2022-03-310000070866ncr:KalamazooR</w:t>
      </w:r>
      <w:r>
        <w:rPr>
          <w:rFonts w:eastAsia="Times New Roman"/>
          <w:vanish/>
        </w:rPr>
        <w:t>iverSiteMember2022-03-31ncr:number_of_companiesncr:affiliate_corporations0000070866ncr:KalamazooRiverSiteMember2013-12-31ncr:company0000070866ncr:KalamazooRiverSiteMember2018-03-292018-03-290000070866ncr:KalamazooRiverSiteMember2018-03-290000070866ncr:Kala</w:t>
      </w:r>
      <w:r>
        <w:rPr>
          <w:rFonts w:eastAsia="Times New Roman"/>
          <w:vanish/>
        </w:rPr>
        <w:t>mazooRiverSiteMemberncr:CompanyOneMember2018-03-292018-03-290000070866ncr:KalamazooRiverSiteMemberncr:CompanyTwoMember2018-03-292018-03-290000070866ncr:KalamazooRiverSiteMember2021-12-310000070866srt:MinimumMemberncr:KalamazooRiverSiteMember2022-03-3100000</w:t>
      </w:r>
      <w:r>
        <w:rPr>
          <w:rFonts w:eastAsia="Times New Roman"/>
          <w:vanish/>
        </w:rPr>
        <w:t>70866ncr:KalamazooRiverSiteMembersrt:MaximumMember2022-03-310000070866ncr:EbinaMember2022-03-310000070866ncr:EbinaMember2021-12-310000070866ncr:FoxRiverSiteMember2021-03-310000070866us-gaap:ConvertiblePreferredStockMember2015-12-04utr:Rate0000070866us-gaap</w:t>
      </w:r>
      <w:r>
        <w:rPr>
          <w:rFonts w:eastAsia="Times New Roman"/>
          <w:vanish/>
        </w:rPr>
        <w:t>:ConvertiblePreferredStockMember2022-01-012022-03-310000070866us-gaap:ConvertiblePreferredStockMember2015-12-042015-12-040000070866us-gaap:ConvertiblePreferredStockMember2022-03-310000070866us-gaap:ConvertiblePreferredStockMember2021-01-012021-03-310000070</w:t>
      </w:r>
      <w:r>
        <w:rPr>
          <w:rFonts w:eastAsia="Times New Roman"/>
          <w:vanish/>
        </w:rPr>
        <w:t>866ncr:RestrictedStockUnitsRSUsandStockOptionsMember2022-01-012022-03-310000070866ncr:RestrictedStockUnitsRSUsandStockOptionsMember2021-01-012021-03-31ncr:currency0000070866us-gaap:AccumulatedGainLossCashFlowHedgeIncludingNoncontrollingInterestMemberus-gaa</w:t>
      </w:r>
      <w:r>
        <w:rPr>
          <w:rFonts w:eastAsia="Times New Roman"/>
          <w:vanish/>
        </w:rPr>
        <w:t>p:ForeignExchangeContractMember2022-03-310000070866us-gaap:AccumulatedGainLossCashFlowHedgeIncludingNoncontrollingInterestMemberus-gaap:ForeignExchangeContractMember2021-12-310000070866us-gaap:SwapMember2022-01-310000070866ncr:TerminatedInterestRateCapMemb</w:t>
      </w:r>
      <w:r>
        <w:rPr>
          <w:rFonts w:eastAsia="Times New Roman"/>
          <w:vanish/>
        </w:rPr>
        <w:t>er2022-03-310000070866ncr:AOCIAttributableToInterestRateDerivativesMember2022-03-310000070866ncr:AOCIAttributableToInterestRateDerivativesMember2021-12-310000070866us-gaap:OtherAssetsMemberus-gaap:DesignatedAsHedgingInstrumentMemberus-gaap:InterestRateCapM</w:t>
      </w:r>
      <w:r>
        <w:rPr>
          <w:rFonts w:eastAsia="Times New Roman"/>
          <w:vanish/>
        </w:rPr>
        <w:t>ember2022-03-310000070866us-gaap:OtherLiabilitiesMemberus-gaap:DesignatedAsHedgingInstrumentMemberus-gaap:InterestRateCapMember2022-03-310000070866us-gaap:DesignatedAsHedgingInstrumentMember2022-03-310000070866us-gaap:OtherCurrentAssetsMemberus-gaap:Nondes</w:t>
      </w:r>
      <w:r>
        <w:rPr>
          <w:rFonts w:eastAsia="Times New Roman"/>
          <w:vanish/>
        </w:rPr>
        <w:t>ignatedMemberus-gaap:ForeignExchangeContractMember2022-03-310000070866us-gaap:OtherCurrentLiabilitiesMemberus-gaap:NondesignatedMemberus-gaap:ForeignExchangeContractMember2022-03-310000070866us-gaap:NondesignatedMember2022-03-310000070866us-gaap:OtherCurre</w:t>
      </w:r>
      <w:r>
        <w:rPr>
          <w:rFonts w:eastAsia="Times New Roman"/>
          <w:vanish/>
        </w:rPr>
        <w:t>ntAssetsMemberus-gaap:DesignatedAsHedgingInstrumentMemberus-gaap:ForeignExchangeContractMember2021-12-310000070866us-gaap:OtherCurrentLiabilitiesMemberus-gaap:DesignatedAsHedgingInstrumentMemberus-gaap:ForeignExchangeContractMember2021-12-310000070866us-ga</w:t>
      </w:r>
      <w:r>
        <w:rPr>
          <w:rFonts w:eastAsia="Times New Roman"/>
          <w:vanish/>
        </w:rPr>
        <w:t>ap:DesignatedAsHedgingInstrumentMember2021-12-310000070866us-gaap:OtherCurrentAssetsMemberus-gaap:NondesignatedMemberus-gaap:ForeignExchangeContractMember2021-12-310000070866us-gaap:OtherCurrentAssetsMemberus-gaap:NondesignatedMember2021-12-310000070866us-</w:t>
      </w:r>
      <w:r>
        <w:rPr>
          <w:rFonts w:eastAsia="Times New Roman"/>
          <w:vanish/>
        </w:rPr>
        <w:t>gaap:OtherCurrentLiabilitiesMemberus-gaap:NondesignatedMemberus-gaap:ForeignExchangeContractMember2021-12-310000070866us-gaap:NondesignatedMember2021-12-310000070866us-gaap:InterestRateContractMemberus-gaap:CashFlowHedgingMember2022-01-012022-03-3100000708</w:t>
      </w:r>
      <w:r>
        <w:rPr>
          <w:rFonts w:eastAsia="Times New Roman"/>
          <w:vanish/>
        </w:rPr>
        <w:t>66us-gaap:InterestRateContractMemberus-gaap:CashFlowHedgingMember2021-01-012021-03-310000070866us-gaap:InterestRateContractMemberus-gaap:CashFlowHedgingMemberncr:CostOfService2022-01-012022-03-310000070866us-gaap:InterestRateContractMemberus-gaap:CashFlowH</w:t>
      </w:r>
      <w:r>
        <w:rPr>
          <w:rFonts w:eastAsia="Times New Roman"/>
          <w:vanish/>
        </w:rPr>
        <w:t>edgingMemberncr:CostOfService2021-01-012021-03-310000070866us-gaap:ForeignExchangeContractMemberus-gaap:OtherExpenseMember2022-01-012022-03-310000070866us-gaap:ForeignExchangeContractMemberus-gaap:OtherExpenseMember2021-01-012021-03-310000070866us-gaap:Fai</w:t>
      </w:r>
      <w:r>
        <w:rPr>
          <w:rFonts w:eastAsia="Times New Roman"/>
          <w:vanish/>
        </w:rPr>
        <w:t>rValueMeasurementsRecurringMemberus-gaap:EstimateOfFairValueFairValueDisclosureMember2022-03-310000070866us-gaap:FairValueInputsLevel1Memberus-gaap:FairValueMeasurementsRecurringMember2022-03-310000070866us-gaap:FairValueMeasurementsRecurringMemberus-gaap:</w:t>
      </w:r>
      <w:r>
        <w:rPr>
          <w:rFonts w:eastAsia="Times New Roman"/>
          <w:vanish/>
        </w:rPr>
        <w:t>FairValueInputsLevel2Member2022-03-310000070866us-gaap:FairValueInputsLevel3Memberus-gaap:FairValueMeasurementsRecurringMember2022-03-310000070866us-gaap:FairValueMeasurementsRecurringMemberus-gaap:EstimateOfFairValueFairValueDisclosureMember2021-12-310000</w:t>
      </w:r>
      <w:r>
        <w:rPr>
          <w:rFonts w:eastAsia="Times New Roman"/>
          <w:vanish/>
        </w:rPr>
        <w:t>070866us-gaap:FairValueInputsLevel1Memberus-gaap:FairValueMeasurementsRecurringMember2021-12-310000070866us-gaap:FairValueMeasurementsRecurringMemberus-gaap:FairValueInputsLevel2Member2021-12-310000070866us-gaap:FairValueInputsLevel3Memberus-gaap:FairValue</w:t>
      </w:r>
      <w:r>
        <w:rPr>
          <w:rFonts w:eastAsia="Times New Roman"/>
          <w:vanish/>
        </w:rPr>
        <w:t>MeasurementsRecurringMember2021-12-310000070866us-gaap:FairValueMeasurementsRecurringMemberus-gaap:EstimateOfFairValueFairValueDisclosureMemberus-gaap:InterestRateCapMember2021-12-310000070866us-gaap:FairValueInputsLevel1Memberus-gaap:FairValueMeasurements</w:t>
      </w:r>
      <w:r>
        <w:rPr>
          <w:rFonts w:eastAsia="Times New Roman"/>
          <w:vanish/>
        </w:rPr>
        <w:t>RecurringMemberus-gaap:InterestRateCapMember2021-12-310000070866us-gaap:FairValueMeasurementsRecurringMemberus-gaap:FairValueInputsLevel2Memberus-gaap:InterestRateCapMember2021-12-310000070866us-gaap:FairValueInputsLevel3Memberus-gaap:FairValueMeasurements</w:t>
      </w:r>
      <w:r>
        <w:rPr>
          <w:rFonts w:eastAsia="Times New Roman"/>
          <w:vanish/>
        </w:rPr>
        <w:t>RecurringMemberus-gaap:InterestRateCapMember2021-12-310000070866us-gaap:AccumulatedTranslationAdjustmentMember2021-12-310000070866us-gaap:AccumulatedDefinedBenefitPlansAdjustmentMember2021-12-310000070866us-gaap:AccumulatedNetGainLossFromDesignatedOrQualif</w:t>
      </w:r>
      <w:r>
        <w:rPr>
          <w:rFonts w:eastAsia="Times New Roman"/>
          <w:vanish/>
        </w:rPr>
        <w:t>yingCashFlowHedgesMember2021-12-310000070866us-gaap:AccumulatedTranslationAdjustmentMember2022-01-012022-03-310000070866us-gaap:AccumulatedDefinedBenefitPlansAdjustmentMember2022-01-012022-03-310000070866us-gaap:AccumulatedNetGainLossFromDesignatedOrQualif</w:t>
      </w:r>
      <w:r>
        <w:rPr>
          <w:rFonts w:eastAsia="Times New Roman"/>
          <w:vanish/>
        </w:rPr>
        <w:t>yingCashFlowHedgesMember2022-01-012022-03-310000070866us-gaap:AccumulatedTranslationAdjustmentMember2022-03-310000070866us-gaap:AccumulatedDefinedBenefitPlansAdjustmentMember2022-03-310000070866us-gaap:AccumulatedNetGainLossFromDesignatedOrQualifyingCashFl</w:t>
      </w:r>
      <w:r>
        <w:rPr>
          <w:rFonts w:eastAsia="Times New Roman"/>
          <w:vanish/>
        </w:rPr>
        <w:t>owHedgesMember2022-03-310000070866us-gaap:AccumulatedDefinedBenefitPlansAdjustmentNetUnamortizedGainLossMemberus-gaap:ProductMemberus-gaap:ReclassificationOutOfAccumulatedOtherComprehensiveIncomeMember2022-01-012022-03-310000070866us-gaap:AccumulatedDefine</w:t>
      </w:r>
      <w:r>
        <w:rPr>
          <w:rFonts w:eastAsia="Times New Roman"/>
          <w:vanish/>
        </w:rPr>
        <w:t>dBenefitPlansAdjustmentNetPriorServiceCostCreditMemberus-gaap:ProductMemberus-gaap:ReclassificationOutOfAccumulatedOtherComprehensiveIncomeMember2022-01-012022-03-310000070866us-gaap:AccumulatedNetGainLossFromDesignatedOrQualifyingCashFlowHedgesMemberus-ga</w:t>
      </w:r>
      <w:r>
        <w:rPr>
          <w:rFonts w:eastAsia="Times New Roman"/>
          <w:vanish/>
        </w:rPr>
        <w:t>ap:ProductMemberus-gaap:ReclassificationOutOfAccumulatedOtherComprehensiveIncomeMember2022-01-012022-03-310000070866us-gaap:ProductMemberus-gaap:ReclassificationOutOfAccumulatedOtherComprehensiveIncomeMember2022-01-012022-03-310000070866us-gaap:Accumulated</w:t>
      </w:r>
      <w:r>
        <w:rPr>
          <w:rFonts w:eastAsia="Times New Roman"/>
          <w:vanish/>
        </w:rPr>
        <w:t>DefinedBenefitPlansAdjustmentNetUnamortizedGainLossMemberus-gaap:ServiceMemberus-gaap:ReclassificationOutOfAccumulatedOtherComprehensiveIncomeMember2022-01-012022-03-310000070866us-gaap:AccumulatedDefinedBenefitPlansAdjustmentNetPriorServiceCostCreditMembe</w:t>
      </w:r>
      <w:r>
        <w:rPr>
          <w:rFonts w:eastAsia="Times New Roman"/>
          <w:vanish/>
        </w:rPr>
        <w:t>rus-gaap:ServiceMemberus-gaap:ReclassificationOutOfAccumulatedOtherComprehensiveIncomeMember2022-01-012022-03-310000070866us-gaap:ServiceMemberus-gaap:AccumulatedNetGainLossFromDesignatedOrQualifyingCashFlowHedgesMemberus-gaap:ReclassificationOutOfAccumula</w:t>
      </w:r>
      <w:r>
        <w:rPr>
          <w:rFonts w:eastAsia="Times New Roman"/>
          <w:vanish/>
        </w:rPr>
        <w:t>tedOtherComprehensiveIncomeMember2022-01-012022-03-310000070866us-gaap:ServiceMemberus-gaap:ReclassificationOutOfAccumulatedOtherComprehensiveIncomeMember2022-01-012022-03-310000070866us-gaap:AccumulatedDefinedBenefitPlansAdjustmentNetUnamortizedGainLossMe</w:t>
      </w:r>
      <w:r>
        <w:rPr>
          <w:rFonts w:eastAsia="Times New Roman"/>
          <w:vanish/>
        </w:rPr>
        <w:t>mberus-gaap:ReclassificationOutOfAccumulatedOtherComprehensiveIncomeMember2022-01-012022-03-310000070866us-gaap:AccumulatedDefinedBenefitPlansAdjustmentNetPriorServiceCostCreditMemberus-gaap:ReclassificationOutOfAccumulatedOtherComprehensiveIncomeMember202</w:t>
      </w:r>
      <w:r>
        <w:rPr>
          <w:rFonts w:eastAsia="Times New Roman"/>
          <w:vanish/>
        </w:rPr>
        <w:t>2-01-012022-03-310000070866us-gaap:AccumulatedNetGainLossFromDesignatedOrQualifyingCashFlowHedgesMemberus-gaap:ReclassificationOutOfAccumulatedOtherComprehensiveIncomeMember2022-01-012022-03-310000070866us-gaap:ReclassificationOutOfAccumulatedOtherComprehe</w:t>
      </w:r>
      <w:r>
        <w:rPr>
          <w:rFonts w:eastAsia="Times New Roman"/>
          <w:vanish/>
        </w:rPr>
        <w:t>nsiveIncomeMember2022-01-012022-03-310000070866us-gaap:AccumulatedDefinedBenefitPlansAdjustmentNetUnamortizedGainLossMemberus-gaap:ProductMemberus-gaap:ReclassificationOutOfAccumulatedOtherComprehensiveIncomeMember2021-01-012021-03-310000070866us-gaap:Accu</w:t>
      </w:r>
      <w:r>
        <w:rPr>
          <w:rFonts w:eastAsia="Times New Roman"/>
          <w:vanish/>
        </w:rPr>
        <w:t>mulatedDefinedBenefitPlansAdjustmentNetPriorServiceCostCreditMemberus-gaap:ProductMemberus-gaap:ReclassificationOutOfAccumulatedOtherComprehensiveIncomeMember2021-01-012021-03-310000070866us-gaap:AccumulatedNetGainLossFromDesignatedOrQualifyingCashFlowHedg</w:t>
      </w:r>
      <w:r>
        <w:rPr>
          <w:rFonts w:eastAsia="Times New Roman"/>
          <w:vanish/>
        </w:rPr>
        <w:t>esMemberus-gaap:ProductMemberus-gaap:ReclassificationOutOfAccumulatedOtherComprehensiveIncomeMember2021-01-012021-03-310000070866us-gaap:ProductMemberus-gaap:ReclassificationOutOfAccumulatedOtherComprehensiveIncomeMember2021-01-012021-03-310000070866us-gaa</w:t>
      </w:r>
      <w:r>
        <w:rPr>
          <w:rFonts w:eastAsia="Times New Roman"/>
          <w:vanish/>
        </w:rPr>
        <w:t>p:AccumulatedDefinedBenefitPlansAdjustmentNetUnamortizedGainLossMemberus-gaap:ServiceMemberus-gaap:ReclassificationOutOfAccumulatedOtherComprehensiveIncomeMember2021-01-012021-03-310000070866us-gaap:AccumulatedDefinedBenefitPlansAdjustmentNetPriorServiceCo</w:t>
      </w:r>
      <w:r>
        <w:rPr>
          <w:rFonts w:eastAsia="Times New Roman"/>
          <w:vanish/>
        </w:rPr>
        <w:t>stCreditMemberus-gaap:ServiceMemberus-gaap:ReclassificationOutOfAccumulatedOtherComprehensiveIncomeMember2021-01-012021-03-310000070866us-gaap:ServiceMemberus-gaap:AccumulatedNetGainLossFromDesignatedOrQualifyingCashFlowHedgesMemberus-gaap:Reclassification</w:t>
      </w:r>
      <w:r>
        <w:rPr>
          <w:rFonts w:eastAsia="Times New Roman"/>
          <w:vanish/>
        </w:rPr>
        <w:t>OutOfAccumulatedOtherComprehensiveIncomeMember2021-01-012021-03-310000070866us-gaap:ServiceMemberus-gaap:ReclassificationOutOfAccumulatedOtherComprehensiveIncomeMember2021-01-012021-03-310000070866us-gaap:AccumulatedDefinedBenefitPlansAdjustmentNetUnamorti</w:t>
      </w:r>
      <w:r>
        <w:rPr>
          <w:rFonts w:eastAsia="Times New Roman"/>
          <w:vanish/>
        </w:rPr>
        <w:t>zedGainLossMemberus-gaap:ReclassificationOutOfAccumulatedOtherComprehensiveIncomeMember2021-01-012021-03-310000070866us-gaap:AccumulatedDefinedBenefitPlansAdjustmentNetPriorServiceCostCreditMemberus-gaap:ReclassificationOutOfAccumulatedOtherComprehensiveIn</w:t>
      </w:r>
      <w:r>
        <w:rPr>
          <w:rFonts w:eastAsia="Times New Roman"/>
          <w:vanish/>
        </w:rPr>
        <w:t>comeMember2021-01-012021-03-310000070866us-gaap:AccumulatedNetGainLossFromDesignatedOrQualifyingCashFlowHedgesMemberus-gaap:ReclassificationOutOfAccumulatedOtherComprehensiveIncomeMember2021-01-012021-03-310000070866us-gaap:ReclassificationOutOfAccumulated</w:t>
      </w:r>
      <w:r>
        <w:rPr>
          <w:rFonts w:eastAsia="Times New Roman"/>
          <w:vanish/>
        </w:rPr>
        <w:t>OtherComprehensiveIncomeMember2021-01-012021-03-310000070866us-gaap:TradeAccountsReceivableMember2022-03-310000070866us-gaap:TradeAccountsReceivableMember2021-12-310000070866ncr:OtherReceivablesMember2022-03-310000070866ncr:OtherReceivablesMember2021-12-31</w:t>
      </w:r>
    </w:p>
    <w:p w14:paraId="01494C09" w14:textId="77777777" w:rsidR="00000000" w:rsidRDefault="0068293C">
      <w:pPr>
        <w:divId w:val="1900240029"/>
        <w:rPr>
          <w:rFonts w:eastAsia="Times New Roman"/>
        </w:rPr>
      </w:pPr>
      <w:hyperlink w:anchor="i78484f3d0d8e4e36a7c87ddd6ea9d725_7" w:history="1">
        <w:r>
          <w:rPr>
            <w:rStyle w:val="a3"/>
            <w:rFonts w:eastAsia="Times New Roman"/>
            <w:sz w:val="16"/>
            <w:szCs w:val="16"/>
          </w:rPr>
          <w:t>Table of Contents</w:t>
        </w:r>
      </w:hyperlink>
    </w:p>
    <w:tbl>
      <w:tblPr>
        <w:tblW w:w="4446" w:type="pct"/>
        <w:jc w:val="center"/>
        <w:tblCellMar>
          <w:top w:w="15" w:type="dxa"/>
          <w:left w:w="15" w:type="dxa"/>
          <w:bottom w:w="15" w:type="dxa"/>
          <w:right w:w="15" w:type="dxa"/>
        </w:tblCellMar>
        <w:tblLook w:val="04A0" w:firstRow="1" w:lastRow="0" w:firstColumn="1" w:lastColumn="0" w:noHBand="0" w:noVBand="1"/>
      </w:tblPr>
      <w:tblGrid>
        <w:gridCol w:w="59"/>
        <w:gridCol w:w="7291"/>
        <w:gridCol w:w="36"/>
      </w:tblGrid>
      <w:tr w:rsidR="00000000" w14:paraId="03B32543" w14:textId="77777777">
        <w:trPr>
          <w:jc w:val="center"/>
        </w:trPr>
        <w:tc>
          <w:tcPr>
            <w:tcW w:w="50" w:type="pct"/>
            <w:vAlign w:val="center"/>
            <w:hideMark/>
          </w:tcPr>
          <w:p w14:paraId="73F6B841" w14:textId="77777777" w:rsidR="00000000" w:rsidRDefault="0068293C">
            <w:pPr>
              <w:rPr>
                <w:rFonts w:eastAsia="Times New Roman"/>
              </w:rPr>
            </w:pPr>
          </w:p>
        </w:tc>
        <w:tc>
          <w:tcPr>
            <w:tcW w:w="4945" w:type="pct"/>
            <w:vAlign w:val="center"/>
            <w:hideMark/>
          </w:tcPr>
          <w:p w14:paraId="5B077E4A" w14:textId="77777777" w:rsidR="00000000" w:rsidRDefault="0068293C">
            <w:pPr>
              <w:spacing w:after="100"/>
              <w:rPr>
                <w:rFonts w:eastAsia="Times New Roman"/>
                <w:sz w:val="20"/>
                <w:szCs w:val="20"/>
              </w:rPr>
            </w:pPr>
          </w:p>
        </w:tc>
        <w:tc>
          <w:tcPr>
            <w:tcW w:w="5" w:type="pct"/>
            <w:vAlign w:val="center"/>
            <w:hideMark/>
          </w:tcPr>
          <w:p w14:paraId="4984B8D2" w14:textId="77777777" w:rsidR="00000000" w:rsidRDefault="0068293C">
            <w:pPr>
              <w:spacing w:after="100"/>
              <w:rPr>
                <w:rFonts w:eastAsia="Times New Roman"/>
                <w:sz w:val="20"/>
                <w:szCs w:val="20"/>
              </w:rPr>
            </w:pPr>
          </w:p>
        </w:tc>
      </w:tr>
      <w:tr w:rsidR="00000000" w14:paraId="17591AE5" w14:textId="77777777">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0AA92E12" w14:textId="77777777" w:rsidR="00000000" w:rsidRDefault="0068293C">
            <w:pPr>
              <w:spacing w:after="100"/>
              <w:rPr>
                <w:rFonts w:eastAsia="Times New Roman"/>
                <w:sz w:val="20"/>
                <w:szCs w:val="20"/>
              </w:rPr>
            </w:pPr>
          </w:p>
        </w:tc>
      </w:tr>
    </w:tbl>
    <w:p w14:paraId="50697910" w14:textId="77777777" w:rsidR="00000000" w:rsidRDefault="0068293C">
      <w:pPr>
        <w:jc w:val="center"/>
        <w:rPr>
          <w:rFonts w:eastAsia="Times New Roman"/>
        </w:rPr>
      </w:pPr>
      <w:r>
        <w:rPr>
          <w:rFonts w:eastAsia="Times New Roman"/>
          <w:b/>
          <w:bCs/>
          <w:color w:val="000000"/>
          <w:sz w:val="36"/>
          <w:szCs w:val="36"/>
        </w:rPr>
        <w:t>UNITED STATES</w:t>
      </w:r>
    </w:p>
    <w:p w14:paraId="79564BA7" w14:textId="77777777" w:rsidR="00000000" w:rsidRDefault="0068293C">
      <w:pPr>
        <w:jc w:val="center"/>
        <w:rPr>
          <w:rFonts w:eastAsia="Times New Roman"/>
        </w:rPr>
      </w:pPr>
      <w:r>
        <w:rPr>
          <w:rFonts w:eastAsia="Times New Roman"/>
          <w:b/>
          <w:bCs/>
          <w:color w:val="000000"/>
          <w:sz w:val="36"/>
          <w:szCs w:val="36"/>
        </w:rPr>
        <w:t>SECURITIES AND EXCHANGE COMMISSION</w:t>
      </w:r>
    </w:p>
    <w:p w14:paraId="7EA134A2" w14:textId="77777777" w:rsidR="00000000" w:rsidRDefault="0068293C">
      <w:pPr>
        <w:jc w:val="center"/>
        <w:rPr>
          <w:rFonts w:eastAsia="Times New Roman"/>
        </w:rPr>
      </w:pPr>
      <w:r>
        <w:rPr>
          <w:rFonts w:eastAsia="Times New Roman"/>
          <w:b/>
          <w:bCs/>
          <w:color w:val="000000"/>
        </w:rPr>
        <w:t>Washington, D.C. 20549</w:t>
      </w:r>
    </w:p>
    <w:p w14:paraId="096D2B82" w14:textId="77777777" w:rsidR="00000000" w:rsidRDefault="0068293C">
      <w:pPr>
        <w:jc w:val="center"/>
        <w:divId w:val="107432280"/>
        <w:rPr>
          <w:rFonts w:eastAsia="Times New Roman"/>
        </w:rPr>
      </w:pPr>
      <w:r>
        <w:rPr>
          <w:rFonts w:eastAsia="Times New Roman"/>
          <w:color w:val="000000"/>
          <w:sz w:val="20"/>
          <w:szCs w:val="20"/>
        </w:rPr>
        <w:t>________________________</w:t>
      </w:r>
    </w:p>
    <w:p w14:paraId="3C2AC90F" w14:textId="77777777" w:rsidR="00000000" w:rsidRDefault="0068293C">
      <w:pPr>
        <w:jc w:val="center"/>
        <w:divId w:val="1687753177"/>
        <w:rPr>
          <w:rFonts w:eastAsia="Times New Roman"/>
        </w:rPr>
      </w:pPr>
      <w:r>
        <w:rPr>
          <w:rFonts w:eastAsia="Times New Roman"/>
          <w:b/>
          <w:bCs/>
          <w:color w:val="000000"/>
          <w:sz w:val="36"/>
          <w:szCs w:val="36"/>
        </w:rPr>
        <w:t xml:space="preserve">FORM 10-Q </w:t>
      </w:r>
    </w:p>
    <w:p w14:paraId="50700C14" w14:textId="77777777" w:rsidR="00000000" w:rsidRDefault="0068293C">
      <w:pPr>
        <w:jc w:val="center"/>
        <w:divId w:val="839589453"/>
        <w:rPr>
          <w:rFonts w:eastAsia="Times New Roman"/>
        </w:rPr>
      </w:pPr>
      <w:r>
        <w:rPr>
          <w:rFonts w:eastAsia="Times New Roman"/>
          <w:color w:val="000000"/>
          <w:sz w:val="20"/>
          <w:szCs w:val="20"/>
        </w:rPr>
        <w:t>________________________</w:t>
      </w:r>
    </w:p>
    <w:p w14:paraId="758C4DFA" w14:textId="77777777" w:rsidR="00000000" w:rsidRDefault="0068293C">
      <w:pPr>
        <w:divId w:val="182206938"/>
        <w:rPr>
          <w:rFonts w:eastAsia="Times New Roman"/>
        </w:rPr>
      </w:pPr>
      <w:r>
        <w:rPr>
          <w:rFonts w:eastAsia="Times New Roman"/>
          <w:b/>
          <w:bCs/>
          <w:color w:val="000000"/>
          <w:sz w:val="20"/>
          <w:szCs w:val="20"/>
        </w:rPr>
        <w:t>(Mark One)</w:t>
      </w:r>
    </w:p>
    <w:tbl>
      <w:tblPr>
        <w:tblW w:w="11460" w:type="dxa"/>
        <w:tblCellMar>
          <w:top w:w="15" w:type="dxa"/>
          <w:left w:w="15" w:type="dxa"/>
          <w:bottom w:w="15" w:type="dxa"/>
          <w:right w:w="15" w:type="dxa"/>
        </w:tblCellMar>
        <w:tblLook w:val="04A0" w:firstRow="1" w:lastRow="0" w:firstColumn="1" w:lastColumn="0" w:noHBand="0" w:noVBand="1"/>
      </w:tblPr>
      <w:tblGrid>
        <w:gridCol w:w="58"/>
        <w:gridCol w:w="215"/>
        <w:gridCol w:w="57"/>
        <w:gridCol w:w="36"/>
        <w:gridCol w:w="11058"/>
        <w:gridCol w:w="36"/>
      </w:tblGrid>
      <w:tr w:rsidR="00000000" w14:paraId="7ABB0FCB" w14:textId="77777777">
        <w:trPr>
          <w:divId w:val="31615438"/>
        </w:trPr>
        <w:tc>
          <w:tcPr>
            <w:tcW w:w="20" w:type="dxa"/>
            <w:vAlign w:val="center"/>
            <w:hideMark/>
          </w:tcPr>
          <w:p w14:paraId="2298738C" w14:textId="77777777" w:rsidR="00000000" w:rsidRDefault="0068293C">
            <w:pPr>
              <w:rPr>
                <w:rFonts w:eastAsia="Times New Roman"/>
              </w:rPr>
            </w:pPr>
          </w:p>
        </w:tc>
        <w:tc>
          <w:tcPr>
            <w:tcW w:w="215" w:type="dxa"/>
            <w:vAlign w:val="center"/>
            <w:hideMark/>
          </w:tcPr>
          <w:p w14:paraId="4D9581EC" w14:textId="77777777" w:rsidR="00000000" w:rsidRDefault="0068293C">
            <w:pPr>
              <w:spacing w:after="100"/>
              <w:rPr>
                <w:rFonts w:eastAsia="Times New Roman"/>
                <w:sz w:val="20"/>
                <w:szCs w:val="20"/>
              </w:rPr>
            </w:pPr>
          </w:p>
        </w:tc>
        <w:tc>
          <w:tcPr>
            <w:tcW w:w="20" w:type="dxa"/>
            <w:vAlign w:val="center"/>
            <w:hideMark/>
          </w:tcPr>
          <w:p w14:paraId="7BA6202F" w14:textId="77777777" w:rsidR="00000000" w:rsidRDefault="0068293C">
            <w:pPr>
              <w:spacing w:after="100"/>
              <w:rPr>
                <w:rFonts w:eastAsia="Times New Roman"/>
                <w:sz w:val="20"/>
                <w:szCs w:val="20"/>
              </w:rPr>
            </w:pPr>
          </w:p>
        </w:tc>
        <w:tc>
          <w:tcPr>
            <w:tcW w:w="20" w:type="dxa"/>
            <w:vAlign w:val="center"/>
            <w:hideMark/>
          </w:tcPr>
          <w:p w14:paraId="2F2DA908" w14:textId="77777777" w:rsidR="00000000" w:rsidRDefault="0068293C">
            <w:pPr>
              <w:spacing w:after="100"/>
              <w:rPr>
                <w:rFonts w:eastAsia="Times New Roman"/>
                <w:sz w:val="20"/>
                <w:szCs w:val="20"/>
              </w:rPr>
            </w:pPr>
          </w:p>
        </w:tc>
        <w:tc>
          <w:tcPr>
            <w:tcW w:w="11165" w:type="dxa"/>
            <w:vAlign w:val="center"/>
            <w:hideMark/>
          </w:tcPr>
          <w:p w14:paraId="05BA586C" w14:textId="77777777" w:rsidR="00000000" w:rsidRDefault="0068293C">
            <w:pPr>
              <w:spacing w:after="100"/>
              <w:rPr>
                <w:rFonts w:eastAsia="Times New Roman"/>
                <w:sz w:val="20"/>
                <w:szCs w:val="20"/>
              </w:rPr>
            </w:pPr>
          </w:p>
        </w:tc>
        <w:tc>
          <w:tcPr>
            <w:tcW w:w="20" w:type="dxa"/>
            <w:vAlign w:val="center"/>
            <w:hideMark/>
          </w:tcPr>
          <w:p w14:paraId="58DEE9C5" w14:textId="77777777" w:rsidR="00000000" w:rsidRDefault="0068293C">
            <w:pPr>
              <w:spacing w:after="100"/>
              <w:rPr>
                <w:rFonts w:eastAsia="Times New Roman"/>
                <w:sz w:val="20"/>
                <w:szCs w:val="20"/>
              </w:rPr>
            </w:pPr>
          </w:p>
        </w:tc>
      </w:tr>
      <w:tr w:rsidR="00000000" w14:paraId="4E52F045" w14:textId="77777777">
        <w:trPr>
          <w:divId w:val="31615438"/>
          <w:trHeight w:val="300"/>
        </w:trPr>
        <w:tc>
          <w:tcPr>
            <w:tcW w:w="0" w:type="auto"/>
            <w:gridSpan w:val="3"/>
            <w:tcMar>
              <w:top w:w="30" w:type="dxa"/>
              <w:left w:w="20" w:type="dxa"/>
              <w:bottom w:w="30" w:type="dxa"/>
              <w:right w:w="20" w:type="dxa"/>
            </w:tcMar>
            <w:vAlign w:val="center"/>
            <w:hideMark/>
          </w:tcPr>
          <w:p w14:paraId="7559C7CB" w14:textId="77777777" w:rsidR="00000000" w:rsidRDefault="0068293C">
            <w:pPr>
              <w:spacing w:after="100"/>
              <w:divId w:val="1439982094"/>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1052AA10" w14:textId="77777777" w:rsidR="00000000" w:rsidRDefault="0068293C">
            <w:pPr>
              <w:spacing w:after="100"/>
              <w:rPr>
                <w:rFonts w:eastAsia="Times New Roman"/>
              </w:rPr>
            </w:pPr>
            <w:r>
              <w:rPr>
                <w:rFonts w:eastAsia="Times New Roman"/>
                <w:b/>
                <w:bCs/>
                <w:color w:val="000000"/>
                <w:sz w:val="20"/>
                <w:szCs w:val="20"/>
              </w:rPr>
              <w:t>QUARTERLY REPORT PURSUANT TO SECTION 13 OR 15(d) OF THE SECURITIES EXCHANGE ACT OF 1934</w:t>
            </w:r>
          </w:p>
        </w:tc>
      </w:tr>
    </w:tbl>
    <w:tbl>
      <w:tblPr>
        <w:tblW w:w="4973" w:type="pct"/>
        <w:tblCellMar>
          <w:top w:w="15" w:type="dxa"/>
          <w:left w:w="15" w:type="dxa"/>
          <w:bottom w:w="15" w:type="dxa"/>
          <w:right w:w="15" w:type="dxa"/>
        </w:tblCellMar>
        <w:tblLook w:val="04A0" w:firstRow="1" w:lastRow="0" w:firstColumn="1" w:lastColumn="0" w:noHBand="0" w:noVBand="1"/>
      </w:tblPr>
      <w:tblGrid>
        <w:gridCol w:w="36"/>
        <w:gridCol w:w="139"/>
        <w:gridCol w:w="36"/>
        <w:gridCol w:w="55"/>
        <w:gridCol w:w="7959"/>
        <w:gridCol w:w="36"/>
      </w:tblGrid>
      <w:tr w:rsidR="00000000" w14:paraId="708D22F1" w14:textId="77777777">
        <w:tc>
          <w:tcPr>
            <w:tcW w:w="5" w:type="pct"/>
            <w:vAlign w:val="center"/>
            <w:hideMark/>
          </w:tcPr>
          <w:p w14:paraId="5ED85358" w14:textId="77777777" w:rsidR="00000000" w:rsidRDefault="0068293C">
            <w:pPr>
              <w:rPr>
                <w:rFonts w:eastAsia="Times New Roman"/>
              </w:rPr>
            </w:pPr>
          </w:p>
        </w:tc>
        <w:tc>
          <w:tcPr>
            <w:tcW w:w="101" w:type="pct"/>
            <w:vAlign w:val="center"/>
            <w:hideMark/>
          </w:tcPr>
          <w:p w14:paraId="2C022D5D" w14:textId="77777777" w:rsidR="00000000" w:rsidRDefault="0068293C">
            <w:pPr>
              <w:spacing w:after="100"/>
              <w:rPr>
                <w:rFonts w:eastAsia="Times New Roman"/>
                <w:sz w:val="20"/>
                <w:szCs w:val="20"/>
              </w:rPr>
            </w:pPr>
          </w:p>
        </w:tc>
        <w:tc>
          <w:tcPr>
            <w:tcW w:w="5" w:type="pct"/>
            <w:vAlign w:val="center"/>
            <w:hideMark/>
          </w:tcPr>
          <w:p w14:paraId="6A930CD1" w14:textId="77777777" w:rsidR="00000000" w:rsidRDefault="0068293C">
            <w:pPr>
              <w:spacing w:after="100"/>
              <w:rPr>
                <w:rFonts w:eastAsia="Times New Roman"/>
                <w:sz w:val="20"/>
                <w:szCs w:val="20"/>
              </w:rPr>
            </w:pPr>
          </w:p>
        </w:tc>
        <w:tc>
          <w:tcPr>
            <w:tcW w:w="50" w:type="pct"/>
            <w:vAlign w:val="center"/>
            <w:hideMark/>
          </w:tcPr>
          <w:p w14:paraId="265FAB6F" w14:textId="77777777" w:rsidR="00000000" w:rsidRDefault="0068293C">
            <w:pPr>
              <w:spacing w:after="100"/>
              <w:rPr>
                <w:rFonts w:eastAsia="Times New Roman"/>
                <w:sz w:val="20"/>
                <w:szCs w:val="20"/>
              </w:rPr>
            </w:pPr>
          </w:p>
        </w:tc>
        <w:tc>
          <w:tcPr>
            <w:tcW w:w="4833" w:type="pct"/>
            <w:vAlign w:val="center"/>
            <w:hideMark/>
          </w:tcPr>
          <w:p w14:paraId="3F407E51" w14:textId="77777777" w:rsidR="00000000" w:rsidRDefault="0068293C">
            <w:pPr>
              <w:spacing w:after="100"/>
              <w:rPr>
                <w:rFonts w:eastAsia="Times New Roman"/>
                <w:sz w:val="20"/>
                <w:szCs w:val="20"/>
              </w:rPr>
            </w:pPr>
          </w:p>
        </w:tc>
        <w:tc>
          <w:tcPr>
            <w:tcW w:w="5" w:type="pct"/>
            <w:vAlign w:val="center"/>
            <w:hideMark/>
          </w:tcPr>
          <w:p w14:paraId="283ABDB9" w14:textId="77777777" w:rsidR="00000000" w:rsidRDefault="0068293C">
            <w:pPr>
              <w:spacing w:after="100"/>
              <w:rPr>
                <w:rFonts w:eastAsia="Times New Roman"/>
                <w:sz w:val="20"/>
                <w:szCs w:val="20"/>
              </w:rPr>
            </w:pPr>
          </w:p>
        </w:tc>
      </w:tr>
      <w:tr w:rsidR="00000000" w14:paraId="1CE2B3DB" w14:textId="77777777">
        <w:tc>
          <w:tcPr>
            <w:tcW w:w="0" w:type="auto"/>
            <w:gridSpan w:val="3"/>
            <w:tcMar>
              <w:top w:w="0" w:type="dxa"/>
              <w:left w:w="20" w:type="dxa"/>
              <w:bottom w:w="0" w:type="dxa"/>
              <w:right w:w="20" w:type="dxa"/>
            </w:tcMar>
            <w:vAlign w:val="center"/>
            <w:hideMark/>
          </w:tcPr>
          <w:p w14:paraId="7182755A"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4DCFD00" w14:textId="77777777" w:rsidR="00000000" w:rsidRDefault="0068293C">
            <w:pPr>
              <w:spacing w:after="100"/>
              <w:divId w:val="465120697"/>
              <w:rPr>
                <w:rFonts w:eastAsia="Times New Roman"/>
              </w:rPr>
            </w:pPr>
            <w:r>
              <w:rPr>
                <w:rFonts w:eastAsia="Times New Roman"/>
                <w:b/>
                <w:bCs/>
                <w:color w:val="000000"/>
                <w:sz w:val="20"/>
                <w:szCs w:val="20"/>
              </w:rPr>
              <w:t>For the quarterly period ended March 31, 2022</w:t>
            </w:r>
          </w:p>
        </w:tc>
      </w:tr>
    </w:tbl>
    <w:p w14:paraId="401A9DA5" w14:textId="77777777" w:rsidR="00000000" w:rsidRDefault="0068293C">
      <w:pPr>
        <w:ind w:firstLine="720"/>
        <w:divId w:val="638533988"/>
        <w:rPr>
          <w:rFonts w:eastAsia="Times New Roman"/>
          <w:vanish/>
        </w:rPr>
      </w:pPr>
    </w:p>
    <w:tbl>
      <w:tblPr>
        <w:tblW w:w="4973" w:type="pct"/>
        <w:tblCellMar>
          <w:top w:w="15" w:type="dxa"/>
          <w:left w:w="15" w:type="dxa"/>
          <w:bottom w:w="15" w:type="dxa"/>
          <w:right w:w="15" w:type="dxa"/>
        </w:tblCellMar>
        <w:tblLook w:val="04A0" w:firstRow="1" w:lastRow="0" w:firstColumn="1" w:lastColumn="0" w:noHBand="0" w:noVBand="1"/>
      </w:tblPr>
      <w:tblGrid>
        <w:gridCol w:w="37"/>
        <w:gridCol w:w="138"/>
        <w:gridCol w:w="36"/>
        <w:gridCol w:w="55"/>
        <w:gridCol w:w="7959"/>
        <w:gridCol w:w="36"/>
      </w:tblGrid>
      <w:tr w:rsidR="00000000" w14:paraId="2A382E13" w14:textId="77777777">
        <w:trPr>
          <w:divId w:val="638533988"/>
        </w:trPr>
        <w:tc>
          <w:tcPr>
            <w:tcW w:w="5" w:type="pct"/>
            <w:vAlign w:val="center"/>
            <w:hideMark/>
          </w:tcPr>
          <w:p w14:paraId="581E888C" w14:textId="77777777" w:rsidR="00000000" w:rsidRDefault="0068293C">
            <w:pPr>
              <w:ind w:firstLine="720"/>
              <w:rPr>
                <w:rFonts w:eastAsia="Times New Roman"/>
              </w:rPr>
            </w:pPr>
          </w:p>
        </w:tc>
        <w:tc>
          <w:tcPr>
            <w:tcW w:w="101" w:type="pct"/>
            <w:vAlign w:val="center"/>
            <w:hideMark/>
          </w:tcPr>
          <w:p w14:paraId="2669593F" w14:textId="77777777" w:rsidR="00000000" w:rsidRDefault="0068293C">
            <w:pPr>
              <w:spacing w:after="100"/>
              <w:rPr>
                <w:rFonts w:eastAsia="Times New Roman"/>
                <w:sz w:val="20"/>
                <w:szCs w:val="20"/>
              </w:rPr>
            </w:pPr>
          </w:p>
        </w:tc>
        <w:tc>
          <w:tcPr>
            <w:tcW w:w="5" w:type="pct"/>
            <w:vAlign w:val="center"/>
            <w:hideMark/>
          </w:tcPr>
          <w:p w14:paraId="32919F6D" w14:textId="77777777" w:rsidR="00000000" w:rsidRDefault="0068293C">
            <w:pPr>
              <w:spacing w:after="100"/>
              <w:rPr>
                <w:rFonts w:eastAsia="Times New Roman"/>
                <w:sz w:val="20"/>
                <w:szCs w:val="20"/>
              </w:rPr>
            </w:pPr>
          </w:p>
        </w:tc>
        <w:tc>
          <w:tcPr>
            <w:tcW w:w="50" w:type="pct"/>
            <w:vAlign w:val="center"/>
            <w:hideMark/>
          </w:tcPr>
          <w:p w14:paraId="179DF4C3" w14:textId="77777777" w:rsidR="00000000" w:rsidRDefault="0068293C">
            <w:pPr>
              <w:spacing w:after="100"/>
              <w:rPr>
                <w:rFonts w:eastAsia="Times New Roman"/>
                <w:sz w:val="20"/>
                <w:szCs w:val="20"/>
              </w:rPr>
            </w:pPr>
          </w:p>
        </w:tc>
        <w:tc>
          <w:tcPr>
            <w:tcW w:w="4833" w:type="pct"/>
            <w:vAlign w:val="center"/>
            <w:hideMark/>
          </w:tcPr>
          <w:p w14:paraId="21C3A05A" w14:textId="77777777" w:rsidR="00000000" w:rsidRDefault="0068293C">
            <w:pPr>
              <w:spacing w:after="100"/>
              <w:rPr>
                <w:rFonts w:eastAsia="Times New Roman"/>
                <w:sz w:val="20"/>
                <w:szCs w:val="20"/>
              </w:rPr>
            </w:pPr>
          </w:p>
        </w:tc>
        <w:tc>
          <w:tcPr>
            <w:tcW w:w="5" w:type="pct"/>
            <w:vAlign w:val="center"/>
            <w:hideMark/>
          </w:tcPr>
          <w:p w14:paraId="68EB696B" w14:textId="77777777" w:rsidR="00000000" w:rsidRDefault="0068293C">
            <w:pPr>
              <w:spacing w:after="100"/>
              <w:rPr>
                <w:rFonts w:eastAsia="Times New Roman"/>
                <w:sz w:val="20"/>
                <w:szCs w:val="20"/>
              </w:rPr>
            </w:pPr>
          </w:p>
        </w:tc>
      </w:tr>
      <w:tr w:rsidR="00000000" w14:paraId="3521C0CB" w14:textId="77777777">
        <w:trPr>
          <w:divId w:val="638533988"/>
        </w:trPr>
        <w:tc>
          <w:tcPr>
            <w:tcW w:w="0" w:type="auto"/>
            <w:gridSpan w:val="6"/>
            <w:tcMar>
              <w:top w:w="30" w:type="dxa"/>
              <w:left w:w="20" w:type="dxa"/>
              <w:bottom w:w="30" w:type="dxa"/>
              <w:right w:w="20" w:type="dxa"/>
            </w:tcMar>
            <w:vAlign w:val="bottom"/>
            <w:hideMark/>
          </w:tcPr>
          <w:p w14:paraId="484C6093" w14:textId="77777777" w:rsidR="00000000" w:rsidRDefault="0068293C">
            <w:pPr>
              <w:spacing w:after="100"/>
              <w:jc w:val="center"/>
              <w:rPr>
                <w:rFonts w:eastAsia="Times New Roman"/>
              </w:rPr>
            </w:pPr>
            <w:r>
              <w:rPr>
                <w:rFonts w:eastAsia="Times New Roman"/>
                <w:b/>
                <w:bCs/>
                <w:color w:val="000000"/>
                <w:sz w:val="20"/>
                <w:szCs w:val="20"/>
              </w:rPr>
              <w:t>or</w:t>
            </w:r>
          </w:p>
        </w:tc>
      </w:tr>
    </w:tbl>
    <w:tbl>
      <w:tblPr>
        <w:tblW w:w="11460" w:type="dxa"/>
        <w:tblCellMar>
          <w:top w:w="15" w:type="dxa"/>
          <w:left w:w="15" w:type="dxa"/>
          <w:bottom w:w="15" w:type="dxa"/>
          <w:right w:w="15" w:type="dxa"/>
        </w:tblCellMar>
        <w:tblLook w:val="04A0" w:firstRow="1" w:lastRow="0" w:firstColumn="1" w:lastColumn="0" w:noHBand="0" w:noVBand="1"/>
      </w:tblPr>
      <w:tblGrid>
        <w:gridCol w:w="36"/>
        <w:gridCol w:w="215"/>
        <w:gridCol w:w="36"/>
        <w:gridCol w:w="36"/>
        <w:gridCol w:w="11101"/>
        <w:gridCol w:w="36"/>
      </w:tblGrid>
      <w:tr w:rsidR="00000000" w14:paraId="7199F352" w14:textId="77777777">
        <w:tc>
          <w:tcPr>
            <w:tcW w:w="20" w:type="dxa"/>
            <w:vAlign w:val="center"/>
            <w:hideMark/>
          </w:tcPr>
          <w:p w14:paraId="6AEDF9F8" w14:textId="77777777" w:rsidR="00000000" w:rsidRDefault="0068293C">
            <w:pPr>
              <w:ind w:firstLine="720"/>
              <w:rPr>
                <w:rFonts w:eastAsia="Times New Roman"/>
              </w:rPr>
            </w:pPr>
          </w:p>
        </w:tc>
        <w:tc>
          <w:tcPr>
            <w:tcW w:w="215" w:type="dxa"/>
            <w:vAlign w:val="center"/>
            <w:hideMark/>
          </w:tcPr>
          <w:p w14:paraId="469B9136" w14:textId="77777777" w:rsidR="00000000" w:rsidRDefault="0068293C">
            <w:pPr>
              <w:spacing w:after="100"/>
              <w:rPr>
                <w:rFonts w:eastAsia="Times New Roman"/>
                <w:sz w:val="20"/>
                <w:szCs w:val="20"/>
              </w:rPr>
            </w:pPr>
          </w:p>
        </w:tc>
        <w:tc>
          <w:tcPr>
            <w:tcW w:w="20" w:type="dxa"/>
            <w:vAlign w:val="center"/>
            <w:hideMark/>
          </w:tcPr>
          <w:p w14:paraId="591E90AB" w14:textId="77777777" w:rsidR="00000000" w:rsidRDefault="0068293C">
            <w:pPr>
              <w:spacing w:after="100"/>
              <w:rPr>
                <w:rFonts w:eastAsia="Times New Roman"/>
                <w:sz w:val="20"/>
                <w:szCs w:val="20"/>
              </w:rPr>
            </w:pPr>
          </w:p>
        </w:tc>
        <w:tc>
          <w:tcPr>
            <w:tcW w:w="20" w:type="dxa"/>
            <w:vAlign w:val="center"/>
            <w:hideMark/>
          </w:tcPr>
          <w:p w14:paraId="04A0D7FA" w14:textId="77777777" w:rsidR="00000000" w:rsidRDefault="0068293C">
            <w:pPr>
              <w:spacing w:after="100"/>
              <w:rPr>
                <w:rFonts w:eastAsia="Times New Roman"/>
                <w:sz w:val="20"/>
                <w:szCs w:val="20"/>
              </w:rPr>
            </w:pPr>
          </w:p>
        </w:tc>
        <w:tc>
          <w:tcPr>
            <w:tcW w:w="11165" w:type="dxa"/>
            <w:vAlign w:val="center"/>
            <w:hideMark/>
          </w:tcPr>
          <w:p w14:paraId="298A3BDB" w14:textId="77777777" w:rsidR="00000000" w:rsidRDefault="0068293C">
            <w:pPr>
              <w:spacing w:after="100"/>
              <w:rPr>
                <w:rFonts w:eastAsia="Times New Roman"/>
                <w:sz w:val="20"/>
                <w:szCs w:val="20"/>
              </w:rPr>
            </w:pPr>
          </w:p>
        </w:tc>
        <w:tc>
          <w:tcPr>
            <w:tcW w:w="20" w:type="dxa"/>
            <w:vAlign w:val="center"/>
            <w:hideMark/>
          </w:tcPr>
          <w:p w14:paraId="37271694" w14:textId="77777777" w:rsidR="00000000" w:rsidRDefault="0068293C">
            <w:pPr>
              <w:spacing w:after="100"/>
              <w:rPr>
                <w:rFonts w:eastAsia="Times New Roman"/>
                <w:sz w:val="20"/>
                <w:szCs w:val="20"/>
              </w:rPr>
            </w:pPr>
          </w:p>
        </w:tc>
      </w:tr>
      <w:tr w:rsidR="00000000" w14:paraId="209ABDE5" w14:textId="77777777">
        <w:trPr>
          <w:trHeight w:val="720"/>
        </w:trPr>
        <w:tc>
          <w:tcPr>
            <w:tcW w:w="0" w:type="auto"/>
            <w:gridSpan w:val="3"/>
            <w:tcMar>
              <w:top w:w="30" w:type="dxa"/>
              <w:left w:w="20" w:type="dxa"/>
              <w:bottom w:w="30" w:type="dxa"/>
              <w:right w:w="20" w:type="dxa"/>
            </w:tcMar>
            <w:hideMark/>
          </w:tcPr>
          <w:p w14:paraId="3A187C89" w14:textId="77777777" w:rsidR="00000000" w:rsidRDefault="0068293C">
            <w:pPr>
              <w:spacing w:after="100"/>
              <w:divId w:val="914970569"/>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14:paraId="586E7566" w14:textId="77777777" w:rsidR="00000000" w:rsidRDefault="0068293C">
            <w:pPr>
              <w:spacing w:after="100"/>
              <w:rPr>
                <w:rFonts w:eastAsia="Times New Roman"/>
              </w:rPr>
            </w:pPr>
            <w:r>
              <w:rPr>
                <w:rFonts w:eastAsia="Times New Roman"/>
                <w:b/>
                <w:bCs/>
                <w:color w:val="000000"/>
                <w:sz w:val="20"/>
                <w:szCs w:val="20"/>
              </w:rPr>
              <w:t>TRANSITION REPORT PURSUANT TO SECTION 13 OR 15(d) OF THE SECURITIES EXCHANGE ACT OF 1934</w:t>
            </w:r>
            <w:r>
              <w:rPr>
                <w:rFonts w:eastAsia="Times New Roman"/>
                <w:b/>
                <w:bCs/>
                <w:color w:val="000000"/>
                <w:sz w:val="20"/>
                <w:szCs w:val="20"/>
              </w:rPr>
              <w:br/>
            </w:r>
            <w:r>
              <w:rPr>
                <w:rFonts w:eastAsia="Times New Roman"/>
                <w:b/>
                <w:bCs/>
                <w:color w:val="000000"/>
                <w:sz w:val="20"/>
                <w:szCs w:val="20"/>
              </w:rPr>
              <w:br/>
              <w:t>For the transition period from ____________ to ____________</w:t>
            </w:r>
          </w:p>
        </w:tc>
      </w:tr>
    </w:tbl>
    <w:p w14:paraId="6B73CCFC" w14:textId="77777777" w:rsidR="00000000" w:rsidRDefault="0068293C">
      <w:pPr>
        <w:divId w:val="1543399328"/>
        <w:rPr>
          <w:rFonts w:eastAsia="Times New Roman"/>
        </w:rPr>
      </w:pPr>
    </w:p>
    <w:tbl>
      <w:tblPr>
        <w:tblW w:w="4973" w:type="pct"/>
        <w:tblCellMar>
          <w:top w:w="15" w:type="dxa"/>
          <w:left w:w="15" w:type="dxa"/>
          <w:bottom w:w="15" w:type="dxa"/>
          <w:right w:w="15" w:type="dxa"/>
        </w:tblCellMar>
        <w:tblLook w:val="04A0" w:firstRow="1" w:lastRow="0" w:firstColumn="1" w:lastColumn="0" w:noHBand="0" w:noVBand="1"/>
      </w:tblPr>
      <w:tblGrid>
        <w:gridCol w:w="36"/>
        <w:gridCol w:w="139"/>
        <w:gridCol w:w="36"/>
        <w:gridCol w:w="55"/>
        <w:gridCol w:w="7959"/>
        <w:gridCol w:w="36"/>
      </w:tblGrid>
      <w:tr w:rsidR="00000000" w14:paraId="251D8B5E" w14:textId="77777777">
        <w:trPr>
          <w:divId w:val="1308630204"/>
        </w:trPr>
        <w:tc>
          <w:tcPr>
            <w:tcW w:w="5" w:type="pct"/>
            <w:vAlign w:val="center"/>
            <w:hideMark/>
          </w:tcPr>
          <w:p w14:paraId="548BD4BC" w14:textId="77777777" w:rsidR="00000000" w:rsidRDefault="0068293C">
            <w:pPr>
              <w:rPr>
                <w:rFonts w:eastAsia="Times New Roman"/>
              </w:rPr>
            </w:pPr>
          </w:p>
        </w:tc>
        <w:tc>
          <w:tcPr>
            <w:tcW w:w="101" w:type="pct"/>
            <w:vAlign w:val="center"/>
            <w:hideMark/>
          </w:tcPr>
          <w:p w14:paraId="136D0D70" w14:textId="77777777" w:rsidR="00000000" w:rsidRDefault="0068293C">
            <w:pPr>
              <w:spacing w:after="100"/>
              <w:rPr>
                <w:rFonts w:eastAsia="Times New Roman"/>
                <w:sz w:val="20"/>
                <w:szCs w:val="20"/>
              </w:rPr>
            </w:pPr>
          </w:p>
        </w:tc>
        <w:tc>
          <w:tcPr>
            <w:tcW w:w="5" w:type="pct"/>
            <w:vAlign w:val="center"/>
            <w:hideMark/>
          </w:tcPr>
          <w:p w14:paraId="59A92CB2" w14:textId="77777777" w:rsidR="00000000" w:rsidRDefault="0068293C">
            <w:pPr>
              <w:spacing w:after="100"/>
              <w:rPr>
                <w:rFonts w:eastAsia="Times New Roman"/>
                <w:sz w:val="20"/>
                <w:szCs w:val="20"/>
              </w:rPr>
            </w:pPr>
          </w:p>
        </w:tc>
        <w:tc>
          <w:tcPr>
            <w:tcW w:w="50" w:type="pct"/>
            <w:vAlign w:val="center"/>
            <w:hideMark/>
          </w:tcPr>
          <w:p w14:paraId="4A248C8B" w14:textId="77777777" w:rsidR="00000000" w:rsidRDefault="0068293C">
            <w:pPr>
              <w:spacing w:after="100"/>
              <w:rPr>
                <w:rFonts w:eastAsia="Times New Roman"/>
                <w:sz w:val="20"/>
                <w:szCs w:val="20"/>
              </w:rPr>
            </w:pPr>
          </w:p>
        </w:tc>
        <w:tc>
          <w:tcPr>
            <w:tcW w:w="4833" w:type="pct"/>
            <w:vAlign w:val="center"/>
            <w:hideMark/>
          </w:tcPr>
          <w:p w14:paraId="77308F34" w14:textId="77777777" w:rsidR="00000000" w:rsidRDefault="0068293C">
            <w:pPr>
              <w:spacing w:after="100"/>
              <w:rPr>
                <w:rFonts w:eastAsia="Times New Roman"/>
                <w:sz w:val="20"/>
                <w:szCs w:val="20"/>
              </w:rPr>
            </w:pPr>
          </w:p>
        </w:tc>
        <w:tc>
          <w:tcPr>
            <w:tcW w:w="5" w:type="pct"/>
            <w:vAlign w:val="center"/>
            <w:hideMark/>
          </w:tcPr>
          <w:p w14:paraId="1CF2AE83" w14:textId="77777777" w:rsidR="00000000" w:rsidRDefault="0068293C">
            <w:pPr>
              <w:spacing w:after="100"/>
              <w:rPr>
                <w:rFonts w:eastAsia="Times New Roman"/>
                <w:sz w:val="20"/>
                <w:szCs w:val="20"/>
              </w:rPr>
            </w:pPr>
          </w:p>
        </w:tc>
      </w:tr>
      <w:tr w:rsidR="00000000" w14:paraId="1C9A7BD2" w14:textId="77777777">
        <w:trPr>
          <w:divId w:val="1308630204"/>
        </w:trPr>
        <w:tc>
          <w:tcPr>
            <w:tcW w:w="0" w:type="auto"/>
            <w:gridSpan w:val="3"/>
            <w:tcMar>
              <w:top w:w="0" w:type="dxa"/>
              <w:left w:w="20" w:type="dxa"/>
              <w:bottom w:w="0" w:type="dxa"/>
              <w:right w:w="20" w:type="dxa"/>
            </w:tcMar>
            <w:vAlign w:val="center"/>
            <w:hideMark/>
          </w:tcPr>
          <w:p w14:paraId="79785C54"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7AF1C9" w14:textId="77777777" w:rsidR="00000000" w:rsidRDefault="0068293C">
            <w:pPr>
              <w:spacing w:after="100"/>
              <w:divId w:val="94593750"/>
              <w:rPr>
                <w:rFonts w:eastAsia="Times New Roman"/>
              </w:rPr>
            </w:pPr>
            <w:r>
              <w:rPr>
                <w:rFonts w:eastAsia="Times New Roman"/>
                <w:b/>
                <w:bCs/>
                <w:color w:val="000000"/>
                <w:sz w:val="20"/>
                <w:szCs w:val="20"/>
              </w:rPr>
              <w:t>Commission File Number: 001-00395</w:t>
            </w:r>
          </w:p>
        </w:tc>
      </w:tr>
    </w:tbl>
    <w:p w14:paraId="6D8CEBEC" w14:textId="77777777" w:rsidR="00000000" w:rsidRDefault="0068293C">
      <w:pPr>
        <w:jc w:val="center"/>
        <w:rPr>
          <w:rFonts w:eastAsia="Times New Roman"/>
        </w:rPr>
      </w:pPr>
      <w:r>
        <w:rPr>
          <w:rFonts w:eastAsia="Times New Roman"/>
          <w:color w:val="000000"/>
          <w:sz w:val="20"/>
          <w:szCs w:val="20"/>
        </w:rPr>
        <w:t> ________________________</w:t>
      </w:r>
    </w:p>
    <w:p w14:paraId="5243A542" w14:textId="77777777" w:rsidR="00000000" w:rsidRDefault="0068293C">
      <w:pPr>
        <w:jc w:val="center"/>
        <w:divId w:val="1549337210"/>
        <w:rPr>
          <w:rFonts w:eastAsia="Times New Roman"/>
        </w:rPr>
      </w:pPr>
      <w:r>
        <w:rPr>
          <w:rFonts w:eastAsia="Times New Roman"/>
          <w:noProof/>
        </w:rPr>
        <w:drawing>
          <wp:inline distT="0" distB="0" distL="0" distR="0" wp14:anchorId="5828FB45" wp14:editId="373C7111">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27BDCE" w14:textId="77777777" w:rsidR="00000000" w:rsidRDefault="0068293C">
      <w:pPr>
        <w:jc w:val="center"/>
        <w:divId w:val="399060851"/>
        <w:rPr>
          <w:rFonts w:eastAsia="Times New Roman"/>
        </w:rPr>
      </w:pPr>
      <w:r>
        <w:rPr>
          <w:rFonts w:eastAsia="Times New Roman"/>
          <w:b/>
          <w:bCs/>
          <w:color w:val="54B948"/>
          <w:sz w:val="28"/>
          <w:szCs w:val="28"/>
        </w:rPr>
        <w:t>NCR CORPORATION</w:t>
      </w:r>
    </w:p>
    <w:p w14:paraId="77A93FBB" w14:textId="77777777" w:rsidR="00000000" w:rsidRDefault="0068293C">
      <w:pPr>
        <w:jc w:val="center"/>
        <w:rPr>
          <w:rFonts w:eastAsia="Times New Roman"/>
        </w:rPr>
      </w:pPr>
      <w:r>
        <w:rPr>
          <w:rFonts w:eastAsia="Times New Roman"/>
          <w:b/>
          <w:bCs/>
          <w:color w:val="000000"/>
          <w:sz w:val="20"/>
          <w:szCs w:val="20"/>
        </w:rPr>
        <w:t>(Exact name of registrant as specified in its charter)</w:t>
      </w:r>
    </w:p>
    <w:p w14:paraId="32FED61B" w14:textId="77777777" w:rsidR="00000000" w:rsidRDefault="0068293C">
      <w:pPr>
        <w:jc w:val="center"/>
        <w:divId w:val="1517619768"/>
        <w:rPr>
          <w:rFonts w:eastAsia="Times New Roman"/>
        </w:rPr>
      </w:pPr>
      <w:r>
        <w:rPr>
          <w:rFonts w:eastAsia="Times New Roman"/>
          <w:color w:val="000000"/>
          <w:sz w:val="20"/>
          <w:szCs w:val="20"/>
        </w:rPr>
        <w:t>________________________</w:t>
      </w:r>
    </w:p>
    <w:p w14:paraId="7568964F" w14:textId="77777777" w:rsidR="00000000" w:rsidRDefault="0068293C">
      <w:pPr>
        <w:jc w:val="center"/>
        <w:divId w:val="180627023"/>
        <w:rPr>
          <w:rFonts w:eastAsia="Times New Roman"/>
        </w:rPr>
      </w:pPr>
      <w:r>
        <w:rPr>
          <w:rFonts w:eastAsia="Times New Roman"/>
          <w:color w:val="000000"/>
          <w:sz w:val="20"/>
          <w:szCs w:val="20"/>
        </w:rPr>
        <w:t> </w:t>
      </w:r>
    </w:p>
    <w:tbl>
      <w:tblPr>
        <w:tblW w:w="4759" w:type="pct"/>
        <w:jc w:val="center"/>
        <w:tblCellMar>
          <w:top w:w="15" w:type="dxa"/>
          <w:left w:w="15" w:type="dxa"/>
          <w:bottom w:w="15" w:type="dxa"/>
          <w:right w:w="15" w:type="dxa"/>
        </w:tblCellMar>
        <w:tblLook w:val="04A0" w:firstRow="1" w:lastRow="0" w:firstColumn="1" w:lastColumn="0" w:noHBand="0" w:noVBand="1"/>
      </w:tblPr>
      <w:tblGrid>
        <w:gridCol w:w="64"/>
        <w:gridCol w:w="3836"/>
        <w:gridCol w:w="36"/>
        <w:gridCol w:w="65"/>
        <w:gridCol w:w="190"/>
        <w:gridCol w:w="36"/>
        <w:gridCol w:w="65"/>
        <w:gridCol w:w="3577"/>
        <w:gridCol w:w="37"/>
      </w:tblGrid>
      <w:tr w:rsidR="00000000" w14:paraId="6436E957" w14:textId="77777777">
        <w:trPr>
          <w:divId w:val="787506856"/>
          <w:jc w:val="center"/>
        </w:trPr>
        <w:tc>
          <w:tcPr>
            <w:tcW w:w="50" w:type="pct"/>
            <w:vAlign w:val="center"/>
            <w:hideMark/>
          </w:tcPr>
          <w:p w14:paraId="485B3FFF" w14:textId="77777777" w:rsidR="00000000" w:rsidRDefault="0068293C">
            <w:pPr>
              <w:jc w:val="center"/>
              <w:rPr>
                <w:rFonts w:eastAsia="Times New Roman"/>
              </w:rPr>
            </w:pPr>
          </w:p>
        </w:tc>
        <w:tc>
          <w:tcPr>
            <w:tcW w:w="2434" w:type="pct"/>
            <w:vAlign w:val="center"/>
            <w:hideMark/>
          </w:tcPr>
          <w:p w14:paraId="6FB2F7AB" w14:textId="77777777" w:rsidR="00000000" w:rsidRDefault="0068293C">
            <w:pPr>
              <w:spacing w:after="100"/>
              <w:rPr>
                <w:rFonts w:eastAsia="Times New Roman"/>
                <w:sz w:val="20"/>
                <w:szCs w:val="20"/>
              </w:rPr>
            </w:pPr>
          </w:p>
        </w:tc>
        <w:tc>
          <w:tcPr>
            <w:tcW w:w="5" w:type="pct"/>
            <w:vAlign w:val="center"/>
            <w:hideMark/>
          </w:tcPr>
          <w:p w14:paraId="3FD459C0" w14:textId="77777777" w:rsidR="00000000" w:rsidRDefault="0068293C">
            <w:pPr>
              <w:spacing w:after="100"/>
              <w:rPr>
                <w:rFonts w:eastAsia="Times New Roman"/>
                <w:sz w:val="20"/>
                <w:szCs w:val="20"/>
              </w:rPr>
            </w:pPr>
          </w:p>
        </w:tc>
        <w:tc>
          <w:tcPr>
            <w:tcW w:w="50" w:type="pct"/>
            <w:vAlign w:val="center"/>
            <w:hideMark/>
          </w:tcPr>
          <w:p w14:paraId="5083F3B0" w14:textId="77777777" w:rsidR="00000000" w:rsidRDefault="0068293C">
            <w:pPr>
              <w:spacing w:after="100"/>
              <w:rPr>
                <w:rFonts w:eastAsia="Times New Roman"/>
                <w:sz w:val="20"/>
                <w:szCs w:val="20"/>
              </w:rPr>
            </w:pPr>
          </w:p>
        </w:tc>
        <w:tc>
          <w:tcPr>
            <w:tcW w:w="129" w:type="pct"/>
            <w:vAlign w:val="center"/>
            <w:hideMark/>
          </w:tcPr>
          <w:p w14:paraId="71289814" w14:textId="77777777" w:rsidR="00000000" w:rsidRDefault="0068293C">
            <w:pPr>
              <w:spacing w:after="100"/>
              <w:rPr>
                <w:rFonts w:eastAsia="Times New Roman"/>
                <w:sz w:val="20"/>
                <w:szCs w:val="20"/>
              </w:rPr>
            </w:pPr>
          </w:p>
        </w:tc>
        <w:tc>
          <w:tcPr>
            <w:tcW w:w="5" w:type="pct"/>
            <w:vAlign w:val="center"/>
            <w:hideMark/>
          </w:tcPr>
          <w:p w14:paraId="3D5F1BBF" w14:textId="77777777" w:rsidR="00000000" w:rsidRDefault="0068293C">
            <w:pPr>
              <w:spacing w:after="100"/>
              <w:rPr>
                <w:rFonts w:eastAsia="Times New Roman"/>
                <w:sz w:val="20"/>
                <w:szCs w:val="20"/>
              </w:rPr>
            </w:pPr>
          </w:p>
        </w:tc>
        <w:tc>
          <w:tcPr>
            <w:tcW w:w="50" w:type="pct"/>
            <w:vAlign w:val="center"/>
            <w:hideMark/>
          </w:tcPr>
          <w:p w14:paraId="04B83832" w14:textId="77777777" w:rsidR="00000000" w:rsidRDefault="0068293C">
            <w:pPr>
              <w:spacing w:after="100"/>
              <w:rPr>
                <w:rFonts w:eastAsia="Times New Roman"/>
                <w:sz w:val="20"/>
                <w:szCs w:val="20"/>
              </w:rPr>
            </w:pPr>
          </w:p>
        </w:tc>
        <w:tc>
          <w:tcPr>
            <w:tcW w:w="2270" w:type="pct"/>
            <w:vAlign w:val="center"/>
            <w:hideMark/>
          </w:tcPr>
          <w:p w14:paraId="2A50866B" w14:textId="77777777" w:rsidR="00000000" w:rsidRDefault="0068293C">
            <w:pPr>
              <w:spacing w:after="100"/>
              <w:rPr>
                <w:rFonts w:eastAsia="Times New Roman"/>
                <w:sz w:val="20"/>
                <w:szCs w:val="20"/>
              </w:rPr>
            </w:pPr>
          </w:p>
        </w:tc>
        <w:tc>
          <w:tcPr>
            <w:tcW w:w="5" w:type="pct"/>
            <w:vAlign w:val="center"/>
            <w:hideMark/>
          </w:tcPr>
          <w:p w14:paraId="6E418FCF" w14:textId="77777777" w:rsidR="00000000" w:rsidRDefault="0068293C">
            <w:pPr>
              <w:spacing w:after="100"/>
              <w:rPr>
                <w:rFonts w:eastAsia="Times New Roman"/>
                <w:sz w:val="20"/>
                <w:szCs w:val="20"/>
              </w:rPr>
            </w:pPr>
          </w:p>
        </w:tc>
      </w:tr>
      <w:tr w:rsidR="00000000" w14:paraId="49D61306" w14:textId="77777777">
        <w:trPr>
          <w:divId w:val="787506856"/>
          <w:jc w:val="center"/>
        </w:trPr>
        <w:tc>
          <w:tcPr>
            <w:tcW w:w="0" w:type="auto"/>
            <w:gridSpan w:val="3"/>
            <w:tcMar>
              <w:top w:w="30" w:type="dxa"/>
              <w:left w:w="20" w:type="dxa"/>
              <w:bottom w:w="30" w:type="dxa"/>
              <w:right w:w="20" w:type="dxa"/>
            </w:tcMar>
            <w:hideMark/>
          </w:tcPr>
          <w:p w14:paraId="29A2933C" w14:textId="77777777" w:rsidR="00000000" w:rsidRDefault="0068293C">
            <w:pPr>
              <w:spacing w:after="100"/>
              <w:jc w:val="center"/>
              <w:rPr>
                <w:rFonts w:eastAsia="Times New Roman"/>
              </w:rPr>
            </w:pPr>
            <w:r>
              <w:rPr>
                <w:rFonts w:eastAsia="Times New Roman"/>
                <w:b/>
                <w:bCs/>
                <w:color w:val="000000"/>
                <w:sz w:val="20"/>
                <w:szCs w:val="20"/>
              </w:rPr>
              <w:t>Maryland</w:t>
            </w:r>
          </w:p>
        </w:tc>
        <w:tc>
          <w:tcPr>
            <w:tcW w:w="0" w:type="auto"/>
            <w:gridSpan w:val="3"/>
            <w:tcMar>
              <w:top w:w="30" w:type="dxa"/>
              <w:left w:w="20" w:type="dxa"/>
              <w:bottom w:w="30" w:type="dxa"/>
              <w:right w:w="20" w:type="dxa"/>
            </w:tcMar>
            <w:vAlign w:val="bottom"/>
            <w:hideMark/>
          </w:tcPr>
          <w:p w14:paraId="5CF73C76"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13D768A4" w14:textId="77777777" w:rsidR="00000000" w:rsidRDefault="0068293C">
            <w:pPr>
              <w:spacing w:after="100"/>
              <w:jc w:val="center"/>
              <w:rPr>
                <w:rFonts w:eastAsia="Times New Roman"/>
              </w:rPr>
            </w:pPr>
            <w:r>
              <w:rPr>
                <w:rFonts w:eastAsia="Times New Roman"/>
                <w:b/>
                <w:bCs/>
                <w:color w:val="000000"/>
                <w:sz w:val="20"/>
                <w:szCs w:val="20"/>
              </w:rPr>
              <w:t>31-0387920</w:t>
            </w:r>
          </w:p>
        </w:tc>
      </w:tr>
      <w:tr w:rsidR="00000000" w14:paraId="2031D1B0" w14:textId="77777777">
        <w:trPr>
          <w:divId w:val="787506856"/>
          <w:jc w:val="center"/>
        </w:trPr>
        <w:tc>
          <w:tcPr>
            <w:tcW w:w="0" w:type="auto"/>
            <w:gridSpan w:val="3"/>
            <w:tcMar>
              <w:top w:w="30" w:type="dxa"/>
              <w:left w:w="20" w:type="dxa"/>
              <w:bottom w:w="30" w:type="dxa"/>
              <w:right w:w="20" w:type="dxa"/>
            </w:tcMar>
            <w:vAlign w:val="bottom"/>
            <w:hideMark/>
          </w:tcPr>
          <w:p w14:paraId="34A4B6E8" w14:textId="77777777" w:rsidR="00000000" w:rsidRDefault="0068293C">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14:paraId="2E09A113"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275119F" w14:textId="77777777" w:rsidR="00000000" w:rsidRDefault="0068293C">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14:paraId="32460702" w14:textId="77777777" w:rsidR="00000000" w:rsidRDefault="0068293C">
      <w:pPr>
        <w:jc w:val="center"/>
        <w:divId w:val="1573540430"/>
        <w:rPr>
          <w:rFonts w:eastAsia="Times New Roman"/>
        </w:rPr>
      </w:pPr>
      <w:r>
        <w:rPr>
          <w:rFonts w:eastAsia="Times New Roman"/>
          <w:b/>
          <w:bCs/>
          <w:color w:val="000000"/>
          <w:sz w:val="20"/>
          <w:szCs w:val="20"/>
        </w:rPr>
        <w:t xml:space="preserve">864 Spring Street NW </w:t>
      </w:r>
    </w:p>
    <w:p w14:paraId="4387A8CD" w14:textId="77777777" w:rsidR="00000000" w:rsidRDefault="0068293C">
      <w:pPr>
        <w:jc w:val="center"/>
        <w:rPr>
          <w:rFonts w:eastAsia="Times New Roman"/>
        </w:rPr>
      </w:pPr>
      <w:r>
        <w:rPr>
          <w:rFonts w:eastAsia="Times New Roman"/>
          <w:b/>
          <w:bCs/>
          <w:color w:val="000000"/>
          <w:sz w:val="20"/>
          <w:szCs w:val="20"/>
        </w:rPr>
        <w:t xml:space="preserve">Atlanta, GA 30308 </w:t>
      </w:r>
    </w:p>
    <w:p w14:paraId="4663887B" w14:textId="77777777" w:rsidR="00000000" w:rsidRDefault="0068293C">
      <w:pPr>
        <w:jc w:val="center"/>
        <w:rPr>
          <w:rFonts w:eastAsia="Times New Roman"/>
        </w:rPr>
      </w:pPr>
      <w:r>
        <w:rPr>
          <w:rFonts w:eastAsia="Times New Roman"/>
          <w:b/>
          <w:bCs/>
          <w:color w:val="000000"/>
          <w:sz w:val="16"/>
          <w:szCs w:val="16"/>
        </w:rPr>
        <w:t>(Address of principal executive offices) (Zip Code)</w:t>
      </w:r>
    </w:p>
    <w:p w14:paraId="73779F83" w14:textId="77777777" w:rsidR="00000000" w:rsidRDefault="0068293C">
      <w:pPr>
        <w:jc w:val="center"/>
        <w:divId w:val="767585221"/>
        <w:rPr>
          <w:rFonts w:eastAsia="Times New Roman"/>
        </w:rPr>
      </w:pPr>
      <w:r>
        <w:rPr>
          <w:rFonts w:eastAsia="Times New Roman"/>
          <w:b/>
          <w:bCs/>
          <w:color w:val="000000"/>
          <w:sz w:val="20"/>
          <w:szCs w:val="20"/>
        </w:rPr>
        <w:t>Registrant’</w:t>
      </w:r>
      <w:r>
        <w:rPr>
          <w:rFonts w:eastAsia="Times New Roman"/>
          <w:b/>
          <w:bCs/>
          <w:color w:val="000000"/>
          <w:sz w:val="20"/>
          <w:szCs w:val="20"/>
        </w:rPr>
        <w:t xml:space="preserve">s telephone number, including area code: (937) 445-1936 </w:t>
      </w:r>
    </w:p>
    <w:p w14:paraId="4F2F53B5" w14:textId="77777777" w:rsidR="00000000" w:rsidRDefault="0068293C">
      <w:pPr>
        <w:divId w:val="207186304"/>
        <w:rPr>
          <w:rFonts w:eastAsia="Times New Roman"/>
        </w:rPr>
      </w:pPr>
      <w:r>
        <w:rPr>
          <w:rFonts w:eastAsia="Times New Roman"/>
          <w:color w:val="000000"/>
          <w:sz w:val="20"/>
          <w:szCs w:val="20"/>
        </w:rPr>
        <w:t>Securities registered pursuant to Section 12(b) of the Act:</w:t>
      </w:r>
    </w:p>
    <w:tbl>
      <w:tblPr>
        <w:tblW w:w="4713" w:type="pct"/>
        <w:jc w:val="center"/>
        <w:tblCellMar>
          <w:top w:w="15" w:type="dxa"/>
          <w:left w:w="15" w:type="dxa"/>
          <w:bottom w:w="15" w:type="dxa"/>
          <w:right w:w="15" w:type="dxa"/>
        </w:tblCellMar>
        <w:tblLook w:val="04A0" w:firstRow="1" w:lastRow="0" w:firstColumn="1" w:lastColumn="0" w:noHBand="0" w:noVBand="1"/>
      </w:tblPr>
      <w:tblGrid>
        <w:gridCol w:w="64"/>
        <w:gridCol w:w="2538"/>
        <w:gridCol w:w="37"/>
        <w:gridCol w:w="64"/>
        <w:gridCol w:w="2267"/>
        <w:gridCol w:w="36"/>
        <w:gridCol w:w="65"/>
        <w:gridCol w:w="2722"/>
        <w:gridCol w:w="36"/>
      </w:tblGrid>
      <w:tr w:rsidR="00000000" w14:paraId="4D879479" w14:textId="77777777">
        <w:trPr>
          <w:divId w:val="192772496"/>
          <w:jc w:val="center"/>
        </w:trPr>
        <w:tc>
          <w:tcPr>
            <w:tcW w:w="50" w:type="pct"/>
            <w:vAlign w:val="center"/>
            <w:hideMark/>
          </w:tcPr>
          <w:p w14:paraId="65AB2EFA" w14:textId="77777777" w:rsidR="00000000" w:rsidRDefault="0068293C">
            <w:pPr>
              <w:rPr>
                <w:rFonts w:eastAsia="Times New Roman"/>
              </w:rPr>
            </w:pPr>
          </w:p>
        </w:tc>
        <w:tc>
          <w:tcPr>
            <w:tcW w:w="1630" w:type="pct"/>
            <w:vAlign w:val="center"/>
            <w:hideMark/>
          </w:tcPr>
          <w:p w14:paraId="7336200F" w14:textId="77777777" w:rsidR="00000000" w:rsidRDefault="0068293C">
            <w:pPr>
              <w:spacing w:after="100"/>
              <w:rPr>
                <w:rFonts w:eastAsia="Times New Roman"/>
                <w:sz w:val="20"/>
                <w:szCs w:val="20"/>
              </w:rPr>
            </w:pPr>
          </w:p>
        </w:tc>
        <w:tc>
          <w:tcPr>
            <w:tcW w:w="5" w:type="pct"/>
            <w:vAlign w:val="center"/>
            <w:hideMark/>
          </w:tcPr>
          <w:p w14:paraId="7E78C739" w14:textId="77777777" w:rsidR="00000000" w:rsidRDefault="0068293C">
            <w:pPr>
              <w:spacing w:after="100"/>
              <w:rPr>
                <w:rFonts w:eastAsia="Times New Roman"/>
                <w:sz w:val="20"/>
                <w:szCs w:val="20"/>
              </w:rPr>
            </w:pPr>
          </w:p>
        </w:tc>
        <w:tc>
          <w:tcPr>
            <w:tcW w:w="50" w:type="pct"/>
            <w:vAlign w:val="center"/>
            <w:hideMark/>
          </w:tcPr>
          <w:p w14:paraId="7A7FC592" w14:textId="77777777" w:rsidR="00000000" w:rsidRDefault="0068293C">
            <w:pPr>
              <w:spacing w:after="100"/>
              <w:rPr>
                <w:rFonts w:eastAsia="Times New Roman"/>
                <w:sz w:val="20"/>
                <w:szCs w:val="20"/>
              </w:rPr>
            </w:pPr>
          </w:p>
        </w:tc>
        <w:tc>
          <w:tcPr>
            <w:tcW w:w="1457" w:type="pct"/>
            <w:vAlign w:val="center"/>
            <w:hideMark/>
          </w:tcPr>
          <w:p w14:paraId="12CB7996" w14:textId="77777777" w:rsidR="00000000" w:rsidRDefault="0068293C">
            <w:pPr>
              <w:spacing w:after="100"/>
              <w:rPr>
                <w:rFonts w:eastAsia="Times New Roman"/>
                <w:sz w:val="20"/>
                <w:szCs w:val="20"/>
              </w:rPr>
            </w:pPr>
          </w:p>
        </w:tc>
        <w:tc>
          <w:tcPr>
            <w:tcW w:w="5" w:type="pct"/>
            <w:vAlign w:val="center"/>
            <w:hideMark/>
          </w:tcPr>
          <w:p w14:paraId="23043999" w14:textId="77777777" w:rsidR="00000000" w:rsidRDefault="0068293C">
            <w:pPr>
              <w:spacing w:after="100"/>
              <w:rPr>
                <w:rFonts w:eastAsia="Times New Roman"/>
                <w:sz w:val="20"/>
                <w:szCs w:val="20"/>
              </w:rPr>
            </w:pPr>
          </w:p>
        </w:tc>
        <w:tc>
          <w:tcPr>
            <w:tcW w:w="50" w:type="pct"/>
            <w:vAlign w:val="center"/>
            <w:hideMark/>
          </w:tcPr>
          <w:p w14:paraId="74226EB5" w14:textId="77777777" w:rsidR="00000000" w:rsidRDefault="0068293C">
            <w:pPr>
              <w:spacing w:after="100"/>
              <w:rPr>
                <w:rFonts w:eastAsia="Times New Roman"/>
                <w:sz w:val="20"/>
                <w:szCs w:val="20"/>
              </w:rPr>
            </w:pPr>
          </w:p>
        </w:tc>
        <w:tc>
          <w:tcPr>
            <w:tcW w:w="1747" w:type="pct"/>
            <w:vAlign w:val="center"/>
            <w:hideMark/>
          </w:tcPr>
          <w:p w14:paraId="67FE0492" w14:textId="77777777" w:rsidR="00000000" w:rsidRDefault="0068293C">
            <w:pPr>
              <w:spacing w:after="100"/>
              <w:rPr>
                <w:rFonts w:eastAsia="Times New Roman"/>
                <w:sz w:val="20"/>
                <w:szCs w:val="20"/>
              </w:rPr>
            </w:pPr>
          </w:p>
        </w:tc>
        <w:tc>
          <w:tcPr>
            <w:tcW w:w="5" w:type="pct"/>
            <w:vAlign w:val="center"/>
            <w:hideMark/>
          </w:tcPr>
          <w:p w14:paraId="170247C2" w14:textId="77777777" w:rsidR="00000000" w:rsidRDefault="0068293C">
            <w:pPr>
              <w:spacing w:after="100"/>
              <w:rPr>
                <w:rFonts w:eastAsia="Times New Roman"/>
                <w:sz w:val="20"/>
                <w:szCs w:val="20"/>
              </w:rPr>
            </w:pPr>
          </w:p>
        </w:tc>
      </w:tr>
      <w:tr w:rsidR="00000000" w14:paraId="275B5C52" w14:textId="77777777">
        <w:trPr>
          <w:divId w:val="192772496"/>
          <w:jc w:val="center"/>
        </w:trPr>
        <w:tc>
          <w:tcPr>
            <w:tcW w:w="0" w:type="auto"/>
            <w:gridSpan w:val="3"/>
            <w:tcMar>
              <w:top w:w="30" w:type="dxa"/>
              <w:left w:w="20" w:type="dxa"/>
              <w:bottom w:w="30" w:type="dxa"/>
              <w:right w:w="20" w:type="dxa"/>
            </w:tcMar>
            <w:vAlign w:val="center"/>
            <w:hideMark/>
          </w:tcPr>
          <w:p w14:paraId="6557CC3B" w14:textId="77777777" w:rsidR="00000000" w:rsidRDefault="0068293C">
            <w:pPr>
              <w:spacing w:after="100"/>
              <w:jc w:val="center"/>
              <w:divId w:val="1905792532"/>
              <w:rPr>
                <w:rFonts w:eastAsia="Times New Roman"/>
              </w:rPr>
            </w:pPr>
            <w:r>
              <w:rPr>
                <w:rFonts w:eastAsia="Times New Roman"/>
                <w:b/>
                <w:bCs/>
                <w:color w:val="000000"/>
                <w:sz w:val="20"/>
                <w:szCs w:val="20"/>
              </w:rPr>
              <w:t xml:space="preserve">Title of each class </w:t>
            </w:r>
          </w:p>
        </w:tc>
        <w:tc>
          <w:tcPr>
            <w:tcW w:w="0" w:type="auto"/>
            <w:gridSpan w:val="3"/>
            <w:tcMar>
              <w:top w:w="30" w:type="dxa"/>
              <w:left w:w="20" w:type="dxa"/>
              <w:bottom w:w="30" w:type="dxa"/>
              <w:right w:w="20" w:type="dxa"/>
            </w:tcMar>
            <w:vAlign w:val="bottom"/>
            <w:hideMark/>
          </w:tcPr>
          <w:p w14:paraId="7442F14F" w14:textId="77777777" w:rsidR="00000000" w:rsidRDefault="0068293C">
            <w:pPr>
              <w:spacing w:after="100"/>
              <w:jc w:val="center"/>
              <w:rPr>
                <w:rFonts w:eastAsia="Times New Roman"/>
              </w:rPr>
            </w:pPr>
            <w:r>
              <w:rPr>
                <w:rFonts w:eastAsia="Times New Roman"/>
                <w:b/>
                <w:bCs/>
                <w:color w:val="000000"/>
                <w:sz w:val="20"/>
                <w:szCs w:val="20"/>
              </w:rPr>
              <w:t>Trading Symbol(s)</w:t>
            </w:r>
          </w:p>
        </w:tc>
        <w:tc>
          <w:tcPr>
            <w:tcW w:w="0" w:type="auto"/>
            <w:gridSpan w:val="3"/>
            <w:tcMar>
              <w:top w:w="30" w:type="dxa"/>
              <w:left w:w="20" w:type="dxa"/>
              <w:bottom w:w="30" w:type="dxa"/>
              <w:right w:w="20" w:type="dxa"/>
            </w:tcMar>
            <w:vAlign w:val="center"/>
            <w:hideMark/>
          </w:tcPr>
          <w:p w14:paraId="473069E5" w14:textId="77777777" w:rsidR="00000000" w:rsidRDefault="0068293C">
            <w:pPr>
              <w:spacing w:after="100"/>
              <w:jc w:val="center"/>
              <w:divId w:val="2035108296"/>
              <w:rPr>
                <w:rFonts w:eastAsia="Times New Roman"/>
              </w:rPr>
            </w:pPr>
            <w:r>
              <w:rPr>
                <w:rFonts w:eastAsia="Times New Roman"/>
                <w:b/>
                <w:bCs/>
                <w:color w:val="000000"/>
                <w:sz w:val="20"/>
                <w:szCs w:val="20"/>
              </w:rPr>
              <w:t>Name of each exchange on which registered</w:t>
            </w:r>
          </w:p>
        </w:tc>
      </w:tr>
      <w:tr w:rsidR="00000000" w14:paraId="0320B59E" w14:textId="77777777">
        <w:trPr>
          <w:divId w:val="192772496"/>
          <w:jc w:val="center"/>
        </w:trPr>
        <w:tc>
          <w:tcPr>
            <w:tcW w:w="0" w:type="auto"/>
            <w:gridSpan w:val="3"/>
            <w:tcMar>
              <w:top w:w="30" w:type="dxa"/>
              <w:left w:w="20" w:type="dxa"/>
              <w:bottom w:w="30" w:type="dxa"/>
              <w:right w:w="20" w:type="dxa"/>
            </w:tcMar>
            <w:hideMark/>
          </w:tcPr>
          <w:p w14:paraId="76F17F5E" w14:textId="77777777" w:rsidR="00000000" w:rsidRDefault="0068293C">
            <w:pPr>
              <w:spacing w:after="100"/>
              <w:jc w:val="center"/>
              <w:divId w:val="650644322"/>
              <w:rPr>
                <w:rFonts w:eastAsia="Times New Roman"/>
              </w:rPr>
            </w:pPr>
            <w:r>
              <w:rPr>
                <w:rFonts w:eastAsia="Times New Roman"/>
                <w:color w:val="000000"/>
                <w:sz w:val="20"/>
                <w:szCs w:val="20"/>
              </w:rPr>
              <w:t>Common Stock, par value $0.01 per share</w:t>
            </w:r>
          </w:p>
        </w:tc>
        <w:tc>
          <w:tcPr>
            <w:tcW w:w="0" w:type="auto"/>
            <w:gridSpan w:val="3"/>
            <w:tcMar>
              <w:top w:w="30" w:type="dxa"/>
              <w:left w:w="20" w:type="dxa"/>
              <w:bottom w:w="30" w:type="dxa"/>
              <w:right w:w="20" w:type="dxa"/>
            </w:tcMar>
            <w:hideMark/>
          </w:tcPr>
          <w:p w14:paraId="29B0213A" w14:textId="77777777" w:rsidR="00000000" w:rsidRDefault="0068293C">
            <w:pPr>
              <w:spacing w:after="100"/>
              <w:jc w:val="center"/>
              <w:divId w:val="1220701657"/>
              <w:rPr>
                <w:rFonts w:eastAsia="Times New Roman"/>
              </w:rPr>
            </w:pPr>
            <w:r>
              <w:rPr>
                <w:rFonts w:eastAsia="Times New Roman"/>
                <w:color w:val="000000"/>
                <w:sz w:val="20"/>
                <w:szCs w:val="20"/>
              </w:rPr>
              <w:t>NCR</w:t>
            </w:r>
          </w:p>
        </w:tc>
        <w:tc>
          <w:tcPr>
            <w:tcW w:w="0" w:type="auto"/>
            <w:gridSpan w:val="3"/>
            <w:tcMar>
              <w:top w:w="30" w:type="dxa"/>
              <w:left w:w="20" w:type="dxa"/>
              <w:bottom w:w="30" w:type="dxa"/>
              <w:right w:w="20" w:type="dxa"/>
            </w:tcMar>
            <w:hideMark/>
          </w:tcPr>
          <w:p w14:paraId="64F76D15" w14:textId="77777777" w:rsidR="00000000" w:rsidRDefault="0068293C">
            <w:pPr>
              <w:spacing w:after="100"/>
              <w:jc w:val="center"/>
              <w:divId w:val="1289970546"/>
              <w:rPr>
                <w:rFonts w:eastAsia="Times New Roman"/>
              </w:rPr>
            </w:pPr>
            <w:r>
              <w:rPr>
                <w:rFonts w:eastAsia="Times New Roman"/>
                <w:color w:val="000000"/>
                <w:sz w:val="20"/>
                <w:szCs w:val="20"/>
              </w:rPr>
              <w:t>New York Stock Exchange</w:t>
            </w:r>
          </w:p>
        </w:tc>
      </w:tr>
    </w:tbl>
    <w:p w14:paraId="18E432F6" w14:textId="77777777" w:rsidR="00000000" w:rsidRDefault="0068293C">
      <w:pPr>
        <w:jc w:val="both"/>
        <w:divId w:val="658117656"/>
        <w:rPr>
          <w:rFonts w:eastAsia="Times New Roman"/>
        </w:rPr>
      </w:pPr>
      <w:r>
        <w:rPr>
          <w:rFonts w:eastAsia="Times New Roman"/>
          <w:color w:val="000000"/>
          <w:sz w:val="20"/>
          <w:szCs w:val="20"/>
        </w:rPr>
        <w:t>    Indicate by check mark whether the registrant (1) has filed all reports required to be filed by Section </w:t>
      </w:r>
      <w:r>
        <w:rPr>
          <w:rFonts w:eastAsia="Times New Roman"/>
          <w:color w:val="000000"/>
          <w:sz w:val="20"/>
          <w:szCs w:val="20"/>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14:paraId="0583C291" w14:textId="77777777" w:rsidR="00000000" w:rsidRDefault="0068293C">
      <w:pPr>
        <w:jc w:val="both"/>
        <w:divId w:val="1666854493"/>
        <w:rPr>
          <w:rFonts w:eastAsia="Times New Roman"/>
        </w:rPr>
      </w:pPr>
      <w:r>
        <w:rPr>
          <w:rFonts w:eastAsia="Times New Roman"/>
          <w:color w:val="000000"/>
          <w:sz w:val="20"/>
          <w:szCs w:val="20"/>
        </w:rPr>
        <w:lastRenderedPageBreak/>
        <w:t>    </w:t>
      </w: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14:paraId="2ACBEBD3" w14:textId="77777777" w:rsidR="00000000" w:rsidRDefault="0068293C">
      <w:pPr>
        <w:jc w:val="both"/>
        <w:divId w:val="825781596"/>
        <w:rPr>
          <w:rFonts w:eastAsia="Times New Roman"/>
        </w:rPr>
      </w:pPr>
      <w:r>
        <w:rPr>
          <w:rFonts w:eastAsia="Times New Roman"/>
          <w:color w:val="000000"/>
          <w:sz w:val="20"/>
          <w:szCs w:val="20"/>
        </w:rPr>
        <w:t>    Indicate by check mark whether the registrant is a large accelerated filer, an accelerated filer, a non-accelerated filer, a smaller reporting company, or an emerging growth compan</w:t>
      </w:r>
      <w:r>
        <w:rPr>
          <w:rFonts w:eastAsia="Times New Roman"/>
          <w:color w:val="000000"/>
          <w:sz w:val="20"/>
          <w:szCs w:val="20"/>
        </w:rPr>
        <w:t>y. See the definitions of “large accelerated filer,” “accelerated filer,” “smaller reporting company,” and “emerging growth company” in Rule 12b-2 of the Exchange Act.</w:t>
      </w:r>
    </w:p>
    <w:p w14:paraId="6C22CB80" w14:textId="77777777" w:rsidR="00000000" w:rsidRDefault="0068293C">
      <w:pPr>
        <w:divId w:val="2126922217"/>
        <w:rPr>
          <w:rFonts w:eastAsia="Times New Roman"/>
        </w:rPr>
      </w:pPr>
    </w:p>
    <w:p w14:paraId="0DE5E324" w14:textId="77777777" w:rsidR="00000000" w:rsidRDefault="0068293C">
      <w:pPr>
        <w:divId w:val="325062096"/>
        <w:rPr>
          <w:rFonts w:eastAsia="Times New Roman"/>
        </w:rPr>
      </w:pPr>
    </w:p>
    <w:p w14:paraId="47479672" w14:textId="77777777" w:rsidR="00000000" w:rsidRDefault="0068293C">
      <w:pPr>
        <w:divId w:val="1900898123"/>
        <w:rPr>
          <w:rFonts w:eastAsia="Times New Roman"/>
        </w:rPr>
      </w:pPr>
    </w:p>
    <w:tbl>
      <w:tblPr>
        <w:tblW w:w="4042" w:type="pct"/>
        <w:jc w:val="center"/>
        <w:tblCellMar>
          <w:top w:w="15" w:type="dxa"/>
          <w:left w:w="15" w:type="dxa"/>
          <w:bottom w:w="15" w:type="dxa"/>
          <w:right w:w="15" w:type="dxa"/>
        </w:tblCellMar>
        <w:tblLook w:val="04A0" w:firstRow="1" w:lastRow="0" w:firstColumn="1" w:lastColumn="0" w:noHBand="0" w:noVBand="1"/>
      </w:tblPr>
      <w:tblGrid>
        <w:gridCol w:w="49"/>
        <w:gridCol w:w="1324"/>
        <w:gridCol w:w="36"/>
        <w:gridCol w:w="60"/>
        <w:gridCol w:w="154"/>
        <w:gridCol w:w="36"/>
        <w:gridCol w:w="41"/>
        <w:gridCol w:w="2753"/>
        <w:gridCol w:w="36"/>
        <w:gridCol w:w="49"/>
        <w:gridCol w:w="124"/>
        <w:gridCol w:w="36"/>
        <w:gridCol w:w="49"/>
        <w:gridCol w:w="1683"/>
        <w:gridCol w:w="36"/>
        <w:gridCol w:w="69"/>
        <w:gridCol w:w="144"/>
        <w:gridCol w:w="36"/>
      </w:tblGrid>
      <w:tr w:rsidR="00000000" w14:paraId="0F56C2FC" w14:textId="77777777">
        <w:trPr>
          <w:divId w:val="281352346"/>
          <w:jc w:val="center"/>
        </w:trPr>
        <w:tc>
          <w:tcPr>
            <w:tcW w:w="50" w:type="pct"/>
            <w:vAlign w:val="center"/>
            <w:hideMark/>
          </w:tcPr>
          <w:p w14:paraId="2063805D" w14:textId="77777777" w:rsidR="00000000" w:rsidRDefault="0068293C">
            <w:pPr>
              <w:rPr>
                <w:rFonts w:eastAsia="Times New Roman"/>
              </w:rPr>
            </w:pPr>
          </w:p>
        </w:tc>
        <w:tc>
          <w:tcPr>
            <w:tcW w:w="999" w:type="pct"/>
            <w:vAlign w:val="center"/>
            <w:hideMark/>
          </w:tcPr>
          <w:p w14:paraId="2440274F" w14:textId="77777777" w:rsidR="00000000" w:rsidRDefault="0068293C">
            <w:pPr>
              <w:spacing w:after="100"/>
              <w:rPr>
                <w:rFonts w:eastAsia="Times New Roman"/>
                <w:sz w:val="20"/>
                <w:szCs w:val="20"/>
              </w:rPr>
            </w:pPr>
          </w:p>
        </w:tc>
        <w:tc>
          <w:tcPr>
            <w:tcW w:w="5" w:type="pct"/>
            <w:vAlign w:val="center"/>
            <w:hideMark/>
          </w:tcPr>
          <w:p w14:paraId="4C30CC07" w14:textId="77777777" w:rsidR="00000000" w:rsidRDefault="0068293C">
            <w:pPr>
              <w:spacing w:after="100"/>
              <w:rPr>
                <w:rFonts w:eastAsia="Times New Roman"/>
                <w:sz w:val="20"/>
                <w:szCs w:val="20"/>
              </w:rPr>
            </w:pPr>
          </w:p>
        </w:tc>
        <w:tc>
          <w:tcPr>
            <w:tcW w:w="50" w:type="pct"/>
            <w:vAlign w:val="center"/>
            <w:hideMark/>
          </w:tcPr>
          <w:p w14:paraId="07100994" w14:textId="77777777" w:rsidR="00000000" w:rsidRDefault="0068293C">
            <w:pPr>
              <w:spacing w:after="100"/>
              <w:rPr>
                <w:rFonts w:eastAsia="Times New Roman"/>
                <w:sz w:val="20"/>
                <w:szCs w:val="20"/>
              </w:rPr>
            </w:pPr>
          </w:p>
        </w:tc>
        <w:tc>
          <w:tcPr>
            <w:tcW w:w="130" w:type="pct"/>
            <w:vAlign w:val="center"/>
            <w:hideMark/>
          </w:tcPr>
          <w:p w14:paraId="0D4C2EDD" w14:textId="77777777" w:rsidR="00000000" w:rsidRDefault="0068293C">
            <w:pPr>
              <w:spacing w:after="100"/>
              <w:rPr>
                <w:rFonts w:eastAsia="Times New Roman"/>
                <w:sz w:val="20"/>
                <w:szCs w:val="20"/>
              </w:rPr>
            </w:pPr>
          </w:p>
        </w:tc>
        <w:tc>
          <w:tcPr>
            <w:tcW w:w="5" w:type="pct"/>
            <w:vAlign w:val="center"/>
            <w:hideMark/>
          </w:tcPr>
          <w:p w14:paraId="3EAE7B53" w14:textId="77777777" w:rsidR="00000000" w:rsidRDefault="0068293C">
            <w:pPr>
              <w:spacing w:after="100"/>
              <w:rPr>
                <w:rFonts w:eastAsia="Times New Roman"/>
                <w:sz w:val="20"/>
                <w:szCs w:val="20"/>
              </w:rPr>
            </w:pPr>
          </w:p>
        </w:tc>
        <w:tc>
          <w:tcPr>
            <w:tcW w:w="50" w:type="pct"/>
            <w:vAlign w:val="center"/>
            <w:hideMark/>
          </w:tcPr>
          <w:p w14:paraId="46BDEAFB" w14:textId="77777777" w:rsidR="00000000" w:rsidRDefault="0068293C">
            <w:pPr>
              <w:spacing w:after="100"/>
              <w:rPr>
                <w:rFonts w:eastAsia="Times New Roman"/>
                <w:sz w:val="20"/>
                <w:szCs w:val="20"/>
              </w:rPr>
            </w:pPr>
          </w:p>
        </w:tc>
        <w:tc>
          <w:tcPr>
            <w:tcW w:w="2062" w:type="pct"/>
            <w:vAlign w:val="center"/>
            <w:hideMark/>
          </w:tcPr>
          <w:p w14:paraId="7EEC7220" w14:textId="77777777" w:rsidR="00000000" w:rsidRDefault="0068293C">
            <w:pPr>
              <w:spacing w:after="100"/>
              <w:rPr>
                <w:rFonts w:eastAsia="Times New Roman"/>
                <w:sz w:val="20"/>
                <w:szCs w:val="20"/>
              </w:rPr>
            </w:pPr>
          </w:p>
        </w:tc>
        <w:tc>
          <w:tcPr>
            <w:tcW w:w="5" w:type="pct"/>
            <w:vAlign w:val="center"/>
            <w:hideMark/>
          </w:tcPr>
          <w:p w14:paraId="4FE338C0" w14:textId="77777777" w:rsidR="00000000" w:rsidRDefault="0068293C">
            <w:pPr>
              <w:spacing w:after="100"/>
              <w:rPr>
                <w:rFonts w:eastAsia="Times New Roman"/>
                <w:sz w:val="20"/>
                <w:szCs w:val="20"/>
              </w:rPr>
            </w:pPr>
          </w:p>
        </w:tc>
        <w:tc>
          <w:tcPr>
            <w:tcW w:w="50" w:type="pct"/>
            <w:vAlign w:val="center"/>
            <w:hideMark/>
          </w:tcPr>
          <w:p w14:paraId="5B04F2CB" w14:textId="77777777" w:rsidR="00000000" w:rsidRDefault="0068293C">
            <w:pPr>
              <w:spacing w:after="100"/>
              <w:rPr>
                <w:rFonts w:eastAsia="Times New Roman"/>
                <w:sz w:val="20"/>
                <w:szCs w:val="20"/>
              </w:rPr>
            </w:pPr>
          </w:p>
        </w:tc>
        <w:tc>
          <w:tcPr>
            <w:tcW w:w="106" w:type="pct"/>
            <w:vAlign w:val="center"/>
            <w:hideMark/>
          </w:tcPr>
          <w:p w14:paraId="67E335CD" w14:textId="77777777" w:rsidR="00000000" w:rsidRDefault="0068293C">
            <w:pPr>
              <w:spacing w:after="100"/>
              <w:rPr>
                <w:rFonts w:eastAsia="Times New Roman"/>
                <w:sz w:val="20"/>
                <w:szCs w:val="20"/>
              </w:rPr>
            </w:pPr>
          </w:p>
        </w:tc>
        <w:tc>
          <w:tcPr>
            <w:tcW w:w="5" w:type="pct"/>
            <w:vAlign w:val="center"/>
            <w:hideMark/>
          </w:tcPr>
          <w:p w14:paraId="1293F46F" w14:textId="77777777" w:rsidR="00000000" w:rsidRDefault="0068293C">
            <w:pPr>
              <w:spacing w:after="100"/>
              <w:rPr>
                <w:rFonts w:eastAsia="Times New Roman"/>
                <w:sz w:val="20"/>
                <w:szCs w:val="20"/>
              </w:rPr>
            </w:pPr>
          </w:p>
        </w:tc>
        <w:tc>
          <w:tcPr>
            <w:tcW w:w="50" w:type="pct"/>
            <w:vAlign w:val="center"/>
            <w:hideMark/>
          </w:tcPr>
          <w:p w14:paraId="5114FC92" w14:textId="77777777" w:rsidR="00000000" w:rsidRDefault="0068293C">
            <w:pPr>
              <w:spacing w:after="100"/>
              <w:rPr>
                <w:rFonts w:eastAsia="Times New Roman"/>
                <w:sz w:val="20"/>
                <w:szCs w:val="20"/>
              </w:rPr>
            </w:pPr>
          </w:p>
        </w:tc>
        <w:tc>
          <w:tcPr>
            <w:tcW w:w="1265" w:type="pct"/>
            <w:vAlign w:val="center"/>
            <w:hideMark/>
          </w:tcPr>
          <w:p w14:paraId="2D2A5A5C" w14:textId="77777777" w:rsidR="00000000" w:rsidRDefault="0068293C">
            <w:pPr>
              <w:spacing w:after="100"/>
              <w:rPr>
                <w:rFonts w:eastAsia="Times New Roman"/>
                <w:sz w:val="20"/>
                <w:szCs w:val="20"/>
              </w:rPr>
            </w:pPr>
          </w:p>
        </w:tc>
        <w:tc>
          <w:tcPr>
            <w:tcW w:w="5" w:type="pct"/>
            <w:vAlign w:val="center"/>
            <w:hideMark/>
          </w:tcPr>
          <w:p w14:paraId="4CD955C9" w14:textId="77777777" w:rsidR="00000000" w:rsidRDefault="0068293C">
            <w:pPr>
              <w:spacing w:after="100"/>
              <w:rPr>
                <w:rFonts w:eastAsia="Times New Roman"/>
                <w:sz w:val="20"/>
                <w:szCs w:val="20"/>
              </w:rPr>
            </w:pPr>
          </w:p>
        </w:tc>
        <w:tc>
          <w:tcPr>
            <w:tcW w:w="50" w:type="pct"/>
            <w:vAlign w:val="center"/>
            <w:hideMark/>
          </w:tcPr>
          <w:p w14:paraId="48BCDC1B" w14:textId="77777777" w:rsidR="00000000" w:rsidRDefault="0068293C">
            <w:pPr>
              <w:spacing w:after="100"/>
              <w:rPr>
                <w:rFonts w:eastAsia="Times New Roman"/>
                <w:sz w:val="20"/>
                <w:szCs w:val="20"/>
              </w:rPr>
            </w:pPr>
          </w:p>
        </w:tc>
        <w:tc>
          <w:tcPr>
            <w:tcW w:w="106" w:type="pct"/>
            <w:vAlign w:val="center"/>
            <w:hideMark/>
          </w:tcPr>
          <w:p w14:paraId="1054DAB8" w14:textId="77777777" w:rsidR="00000000" w:rsidRDefault="0068293C">
            <w:pPr>
              <w:spacing w:after="100"/>
              <w:rPr>
                <w:rFonts w:eastAsia="Times New Roman"/>
                <w:sz w:val="20"/>
                <w:szCs w:val="20"/>
              </w:rPr>
            </w:pPr>
          </w:p>
        </w:tc>
        <w:tc>
          <w:tcPr>
            <w:tcW w:w="5" w:type="pct"/>
            <w:vAlign w:val="center"/>
            <w:hideMark/>
          </w:tcPr>
          <w:p w14:paraId="22576F55" w14:textId="77777777" w:rsidR="00000000" w:rsidRDefault="0068293C">
            <w:pPr>
              <w:spacing w:after="100"/>
              <w:rPr>
                <w:rFonts w:eastAsia="Times New Roman"/>
                <w:sz w:val="20"/>
                <w:szCs w:val="20"/>
              </w:rPr>
            </w:pPr>
          </w:p>
        </w:tc>
      </w:tr>
      <w:tr w:rsidR="00000000" w14:paraId="2B88E842" w14:textId="77777777">
        <w:trPr>
          <w:divId w:val="281352346"/>
          <w:jc w:val="center"/>
        </w:trPr>
        <w:tc>
          <w:tcPr>
            <w:tcW w:w="0" w:type="auto"/>
            <w:gridSpan w:val="3"/>
            <w:tcMar>
              <w:top w:w="30" w:type="dxa"/>
              <w:left w:w="20" w:type="dxa"/>
              <w:bottom w:w="30" w:type="dxa"/>
              <w:right w:w="20" w:type="dxa"/>
            </w:tcMar>
            <w:vAlign w:val="center"/>
            <w:hideMark/>
          </w:tcPr>
          <w:p w14:paraId="0E82EC61" w14:textId="77777777" w:rsidR="00000000" w:rsidRDefault="0068293C">
            <w:pPr>
              <w:spacing w:after="100"/>
              <w:jc w:val="right"/>
              <w:divId w:val="1459181494"/>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4FB30CDE" w14:textId="77777777" w:rsidR="00000000" w:rsidRDefault="0068293C">
            <w:pPr>
              <w:spacing w:after="100"/>
              <w:divId w:val="1887333803"/>
              <w:rPr>
                <w:rFonts w:eastAsia="Times New Roman"/>
              </w:rPr>
            </w:pPr>
            <w:r>
              <w:rPr>
                <w:rFonts w:ascii="Wingdings" w:eastAsia="Times New Roman" w:hAnsi="Wingdings"/>
                <w:color w:val="000000"/>
                <w:sz w:val="20"/>
                <w:szCs w:val="20"/>
              </w:rPr>
              <w:t>þ</w:t>
            </w:r>
          </w:p>
        </w:tc>
        <w:tc>
          <w:tcPr>
            <w:tcW w:w="0" w:type="auto"/>
            <w:gridSpan w:val="3"/>
            <w:tcMar>
              <w:top w:w="0" w:type="dxa"/>
              <w:left w:w="20" w:type="dxa"/>
              <w:bottom w:w="0" w:type="dxa"/>
              <w:right w:w="20" w:type="dxa"/>
            </w:tcMar>
            <w:vAlign w:val="center"/>
            <w:hideMark/>
          </w:tcPr>
          <w:p w14:paraId="2301935E"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0E7F3426"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410055B8" w14:textId="77777777" w:rsidR="00000000" w:rsidRDefault="0068293C">
            <w:pPr>
              <w:spacing w:after="100"/>
              <w:jc w:val="right"/>
              <w:divId w:val="1698777794"/>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14:paraId="44E54B5C" w14:textId="77777777" w:rsidR="00000000" w:rsidRDefault="0068293C">
            <w:pPr>
              <w:spacing w:after="100"/>
              <w:divId w:val="522403900"/>
              <w:rPr>
                <w:rFonts w:eastAsia="Times New Roman"/>
              </w:rPr>
            </w:pPr>
            <w:r>
              <w:rPr>
                <w:rFonts w:ascii="Wingdings" w:eastAsia="Times New Roman" w:hAnsi="Wingdings"/>
                <w:color w:val="000000"/>
                <w:sz w:val="20"/>
                <w:szCs w:val="20"/>
              </w:rPr>
              <w:t>o</w:t>
            </w:r>
          </w:p>
        </w:tc>
      </w:tr>
      <w:tr w:rsidR="00000000" w14:paraId="7B638AC0" w14:textId="77777777">
        <w:trPr>
          <w:divId w:val="281352346"/>
          <w:jc w:val="center"/>
        </w:trPr>
        <w:tc>
          <w:tcPr>
            <w:tcW w:w="0" w:type="auto"/>
            <w:gridSpan w:val="3"/>
            <w:tcMar>
              <w:top w:w="30" w:type="dxa"/>
              <w:left w:w="20" w:type="dxa"/>
              <w:bottom w:w="30" w:type="dxa"/>
              <w:right w:w="20" w:type="dxa"/>
            </w:tcMar>
            <w:hideMark/>
          </w:tcPr>
          <w:p w14:paraId="3E42EBAB" w14:textId="77777777" w:rsidR="00000000" w:rsidRDefault="0068293C">
            <w:pPr>
              <w:spacing w:after="100"/>
              <w:jc w:val="right"/>
              <w:divId w:val="1210532995"/>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14:paraId="2857C1BC" w14:textId="77777777" w:rsidR="00000000" w:rsidRDefault="0068293C">
            <w:pPr>
              <w:spacing w:after="100"/>
              <w:divId w:val="1911619932"/>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14:paraId="49B00F21"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024149EC"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hideMark/>
          </w:tcPr>
          <w:p w14:paraId="1DBD898D" w14:textId="77777777" w:rsidR="00000000" w:rsidRDefault="0068293C">
            <w:pPr>
              <w:spacing w:after="100"/>
              <w:jc w:val="right"/>
              <w:divId w:val="643391064"/>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14:paraId="0B529D27" w14:textId="77777777" w:rsidR="00000000" w:rsidRDefault="0068293C">
            <w:pPr>
              <w:spacing w:after="100"/>
              <w:divId w:val="2077163889"/>
              <w:rPr>
                <w:rFonts w:eastAsia="Times New Roman"/>
              </w:rPr>
            </w:pPr>
            <w:r>
              <w:rPr>
                <w:rFonts w:ascii="Segoe UI Symbol" w:eastAsia="Times New Roman" w:hAnsi="Segoe UI Symbol" w:cs="Segoe UI Symbol"/>
                <w:color w:val="000000"/>
                <w:sz w:val="20"/>
                <w:szCs w:val="20"/>
              </w:rPr>
              <w:t>☐</w:t>
            </w:r>
          </w:p>
        </w:tc>
      </w:tr>
      <w:tr w:rsidR="00000000" w14:paraId="56CA464F" w14:textId="77777777">
        <w:trPr>
          <w:divId w:val="281352346"/>
          <w:jc w:val="center"/>
        </w:trPr>
        <w:tc>
          <w:tcPr>
            <w:tcW w:w="0" w:type="auto"/>
            <w:gridSpan w:val="3"/>
            <w:tcMar>
              <w:top w:w="0" w:type="dxa"/>
              <w:left w:w="20" w:type="dxa"/>
              <w:bottom w:w="0" w:type="dxa"/>
              <w:right w:w="20" w:type="dxa"/>
            </w:tcMar>
            <w:vAlign w:val="center"/>
            <w:hideMark/>
          </w:tcPr>
          <w:p w14:paraId="34CEE0AF"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7F8E7A0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EB6FCD"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2CD3A1"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hideMark/>
          </w:tcPr>
          <w:p w14:paraId="58BF9E41" w14:textId="77777777" w:rsidR="00000000" w:rsidRDefault="0068293C">
            <w:pPr>
              <w:spacing w:after="100"/>
              <w:jc w:val="right"/>
              <w:divId w:val="1709330361"/>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14:paraId="4A270A7D" w14:textId="77777777" w:rsidR="00000000" w:rsidRDefault="0068293C">
            <w:pPr>
              <w:spacing w:after="100"/>
              <w:divId w:val="78716904"/>
              <w:rPr>
                <w:rFonts w:eastAsia="Times New Roman"/>
              </w:rPr>
            </w:pPr>
            <w:r>
              <w:rPr>
                <w:rFonts w:ascii="Segoe UI Symbol" w:eastAsia="Times New Roman" w:hAnsi="Segoe UI Symbol" w:cs="Segoe UI Symbol"/>
                <w:color w:val="000000"/>
                <w:sz w:val="20"/>
                <w:szCs w:val="20"/>
              </w:rPr>
              <w:t>☐</w:t>
            </w:r>
          </w:p>
        </w:tc>
      </w:tr>
    </w:tbl>
    <w:p w14:paraId="28F829EE" w14:textId="77777777" w:rsidR="00000000" w:rsidRDefault="0068293C">
      <w:pPr>
        <w:divId w:val="1463185554"/>
        <w:rPr>
          <w:rFonts w:eastAsia="Times New Roman"/>
        </w:rPr>
      </w:pPr>
      <w:r>
        <w:rPr>
          <w:rFonts w:eastAsia="Times New Roman"/>
          <w:color w:val="000000"/>
          <w:sz w:val="20"/>
          <w:szCs w:val="20"/>
        </w:rPr>
        <w:t>    </w:t>
      </w: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r>
        <w:rPr>
          <w:rFonts w:eastAsia="Times New Roman"/>
          <w:color w:val="000000"/>
          <w:sz w:val="20"/>
          <w:szCs w:val="20"/>
        </w:rPr>
        <w:t> </w:t>
      </w:r>
    </w:p>
    <w:p w14:paraId="536D5225" w14:textId="77777777" w:rsidR="00000000" w:rsidRDefault="0068293C">
      <w:pPr>
        <w:divId w:val="1247808101"/>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Emoji" w:eastAsia="Times New Roman" w:hAnsi="Segoe UI Emoji" w:cs="Segoe UI Emoji"/>
          <w:color w:val="000000"/>
          <w:sz w:val="20"/>
          <w:szCs w:val="20"/>
        </w:rPr>
        <w:t>☑</w:t>
      </w:r>
    </w:p>
    <w:p w14:paraId="23F5489C" w14:textId="77777777" w:rsidR="00000000" w:rsidRDefault="0068293C">
      <w:pPr>
        <w:divId w:val="1484467854"/>
        <w:rPr>
          <w:rFonts w:eastAsia="Times New Roman"/>
        </w:rPr>
      </w:pPr>
      <w:r>
        <w:rPr>
          <w:rFonts w:eastAsia="Times New Roman"/>
          <w:color w:val="000000"/>
          <w:sz w:val="20"/>
          <w:szCs w:val="20"/>
        </w:rPr>
        <w:t>As of April 15, 2022, there were approximately 136.6 million shares of the registrant's common stock issued and outstanding.</w:t>
      </w:r>
    </w:p>
    <w:tbl>
      <w:tblPr>
        <w:tblW w:w="4446" w:type="pct"/>
        <w:jc w:val="center"/>
        <w:tblCellMar>
          <w:top w:w="15" w:type="dxa"/>
          <w:left w:w="15" w:type="dxa"/>
          <w:bottom w:w="15" w:type="dxa"/>
          <w:right w:w="15" w:type="dxa"/>
        </w:tblCellMar>
        <w:tblLook w:val="04A0" w:firstRow="1" w:lastRow="0" w:firstColumn="1" w:lastColumn="0" w:noHBand="0" w:noVBand="1"/>
      </w:tblPr>
      <w:tblGrid>
        <w:gridCol w:w="59"/>
        <w:gridCol w:w="7291"/>
        <w:gridCol w:w="36"/>
      </w:tblGrid>
      <w:tr w:rsidR="00000000" w14:paraId="2EE23B33" w14:textId="77777777">
        <w:trPr>
          <w:divId w:val="688992338"/>
          <w:jc w:val="center"/>
        </w:trPr>
        <w:tc>
          <w:tcPr>
            <w:tcW w:w="50" w:type="pct"/>
            <w:vAlign w:val="center"/>
            <w:hideMark/>
          </w:tcPr>
          <w:p w14:paraId="13EF431E" w14:textId="77777777" w:rsidR="00000000" w:rsidRDefault="0068293C">
            <w:pPr>
              <w:rPr>
                <w:rFonts w:eastAsia="Times New Roman"/>
              </w:rPr>
            </w:pPr>
          </w:p>
        </w:tc>
        <w:tc>
          <w:tcPr>
            <w:tcW w:w="4945" w:type="pct"/>
            <w:vAlign w:val="center"/>
            <w:hideMark/>
          </w:tcPr>
          <w:p w14:paraId="5CEEA373" w14:textId="77777777" w:rsidR="00000000" w:rsidRDefault="0068293C">
            <w:pPr>
              <w:spacing w:after="100"/>
              <w:rPr>
                <w:rFonts w:eastAsia="Times New Roman"/>
                <w:sz w:val="20"/>
                <w:szCs w:val="20"/>
              </w:rPr>
            </w:pPr>
          </w:p>
        </w:tc>
        <w:tc>
          <w:tcPr>
            <w:tcW w:w="5" w:type="pct"/>
            <w:vAlign w:val="center"/>
            <w:hideMark/>
          </w:tcPr>
          <w:p w14:paraId="4A014C8B" w14:textId="77777777" w:rsidR="00000000" w:rsidRDefault="0068293C">
            <w:pPr>
              <w:spacing w:after="100"/>
              <w:rPr>
                <w:rFonts w:eastAsia="Times New Roman"/>
                <w:sz w:val="20"/>
                <w:szCs w:val="20"/>
              </w:rPr>
            </w:pPr>
          </w:p>
        </w:tc>
      </w:tr>
      <w:tr w:rsidR="00000000" w14:paraId="56FCDA7B" w14:textId="77777777">
        <w:trPr>
          <w:divId w:val="688992338"/>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3805F10A" w14:textId="77777777" w:rsidR="00000000" w:rsidRDefault="0068293C">
            <w:pPr>
              <w:spacing w:after="100"/>
              <w:rPr>
                <w:rFonts w:eastAsia="Times New Roman"/>
                <w:sz w:val="20"/>
                <w:szCs w:val="20"/>
              </w:rPr>
            </w:pPr>
          </w:p>
        </w:tc>
      </w:tr>
    </w:tbl>
    <w:p w14:paraId="3D569652" w14:textId="77777777" w:rsidR="00000000" w:rsidRDefault="0068293C">
      <w:pPr>
        <w:divId w:val="1628002147"/>
        <w:rPr>
          <w:rFonts w:eastAsia="Times New Roman"/>
        </w:rPr>
      </w:pPr>
    </w:p>
    <w:p w14:paraId="3DD1A85F" w14:textId="77777777" w:rsidR="00000000" w:rsidRDefault="0068293C">
      <w:pPr>
        <w:rPr>
          <w:rFonts w:eastAsia="Times New Roman"/>
        </w:rPr>
      </w:pPr>
      <w:r>
        <w:rPr>
          <w:rFonts w:eastAsia="Times New Roman"/>
        </w:rPr>
        <w:pict w14:anchorId="24CA5B57">
          <v:rect id="_x0000_i1026" style="width:0;height:1.5pt" o:hralign="center" o:hrstd="t" o:hr="t" fillcolor="#a0a0a0" stroked="f"/>
        </w:pict>
      </w:r>
    </w:p>
    <w:p w14:paraId="2F352386" w14:textId="77777777" w:rsidR="00000000" w:rsidRDefault="0068293C">
      <w:pPr>
        <w:divId w:val="1775129834"/>
        <w:rPr>
          <w:rFonts w:eastAsia="Times New Roman"/>
        </w:rPr>
      </w:pPr>
      <w:hyperlink w:anchor="i78484f3d0d8e4e36a7c87ddd6ea9d725_7" w:history="1">
        <w:r>
          <w:rPr>
            <w:rStyle w:val="a3"/>
            <w:rFonts w:eastAsia="Times New Roman"/>
            <w:sz w:val="16"/>
            <w:szCs w:val="16"/>
          </w:rPr>
          <w:t>Table of Contents</w:t>
        </w:r>
      </w:hyperlink>
    </w:p>
    <w:p w14:paraId="24A08B72" w14:textId="77777777" w:rsidR="00000000" w:rsidRDefault="0068293C">
      <w:pPr>
        <w:jc w:val="center"/>
        <w:rPr>
          <w:rFonts w:eastAsia="Times New Roman"/>
        </w:rPr>
      </w:pPr>
    </w:p>
    <w:p w14:paraId="3E125DFE" w14:textId="77777777" w:rsidR="00000000" w:rsidRDefault="0068293C">
      <w:pPr>
        <w:jc w:val="center"/>
        <w:rPr>
          <w:rFonts w:eastAsia="Times New Roman"/>
        </w:rPr>
      </w:pPr>
      <w:r>
        <w:rPr>
          <w:rFonts w:eastAsia="Times New Roman"/>
          <w:b/>
          <w:bCs/>
          <w:color w:val="000000"/>
          <w:sz w:val="20"/>
          <w:szCs w:val="20"/>
        </w:rPr>
        <w:t>TABLE OF CONTENTS    </w:t>
      </w:r>
    </w:p>
    <w:p w14:paraId="61ACC159" w14:textId="77777777" w:rsidR="00000000" w:rsidRDefault="0068293C">
      <w:pPr>
        <w:divId w:val="1096558884"/>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92"/>
        <w:gridCol w:w="650"/>
        <w:gridCol w:w="36"/>
        <w:gridCol w:w="43"/>
        <w:gridCol w:w="7000"/>
        <w:gridCol w:w="38"/>
        <w:gridCol w:w="64"/>
        <w:gridCol w:w="334"/>
        <w:gridCol w:w="36"/>
      </w:tblGrid>
      <w:tr w:rsidR="00000000" w14:paraId="0A1DA82E" w14:textId="77777777">
        <w:trPr>
          <w:divId w:val="1293172086"/>
        </w:trPr>
        <w:tc>
          <w:tcPr>
            <w:tcW w:w="50" w:type="pct"/>
            <w:vAlign w:val="center"/>
            <w:hideMark/>
          </w:tcPr>
          <w:p w14:paraId="3B8258A3" w14:textId="77777777" w:rsidR="00000000" w:rsidRDefault="0068293C">
            <w:pPr>
              <w:rPr>
                <w:rFonts w:eastAsia="Times New Roman"/>
              </w:rPr>
            </w:pPr>
          </w:p>
        </w:tc>
        <w:tc>
          <w:tcPr>
            <w:tcW w:w="354" w:type="pct"/>
            <w:vAlign w:val="center"/>
            <w:hideMark/>
          </w:tcPr>
          <w:p w14:paraId="128F2EDF" w14:textId="77777777" w:rsidR="00000000" w:rsidRDefault="0068293C">
            <w:pPr>
              <w:spacing w:after="100"/>
              <w:rPr>
                <w:rFonts w:eastAsia="Times New Roman"/>
                <w:sz w:val="20"/>
                <w:szCs w:val="20"/>
              </w:rPr>
            </w:pPr>
          </w:p>
        </w:tc>
        <w:tc>
          <w:tcPr>
            <w:tcW w:w="5" w:type="pct"/>
            <w:vAlign w:val="center"/>
            <w:hideMark/>
          </w:tcPr>
          <w:p w14:paraId="1A05E9B2" w14:textId="77777777" w:rsidR="00000000" w:rsidRDefault="0068293C">
            <w:pPr>
              <w:spacing w:after="100"/>
              <w:rPr>
                <w:rFonts w:eastAsia="Times New Roman"/>
                <w:sz w:val="20"/>
                <w:szCs w:val="20"/>
              </w:rPr>
            </w:pPr>
          </w:p>
        </w:tc>
        <w:tc>
          <w:tcPr>
            <w:tcW w:w="50" w:type="pct"/>
            <w:vAlign w:val="center"/>
            <w:hideMark/>
          </w:tcPr>
          <w:p w14:paraId="6FE30C7B" w14:textId="77777777" w:rsidR="00000000" w:rsidRDefault="0068293C">
            <w:pPr>
              <w:spacing w:after="100"/>
              <w:rPr>
                <w:rFonts w:eastAsia="Times New Roman"/>
                <w:sz w:val="20"/>
                <w:szCs w:val="20"/>
              </w:rPr>
            </w:pPr>
          </w:p>
        </w:tc>
        <w:tc>
          <w:tcPr>
            <w:tcW w:w="4242" w:type="pct"/>
            <w:vAlign w:val="center"/>
            <w:hideMark/>
          </w:tcPr>
          <w:p w14:paraId="7462BB13" w14:textId="77777777" w:rsidR="00000000" w:rsidRDefault="0068293C">
            <w:pPr>
              <w:spacing w:after="100"/>
              <w:rPr>
                <w:rFonts w:eastAsia="Times New Roman"/>
                <w:sz w:val="20"/>
                <w:szCs w:val="20"/>
              </w:rPr>
            </w:pPr>
          </w:p>
        </w:tc>
        <w:tc>
          <w:tcPr>
            <w:tcW w:w="5" w:type="pct"/>
            <w:vAlign w:val="center"/>
            <w:hideMark/>
          </w:tcPr>
          <w:p w14:paraId="0AAFB36E" w14:textId="77777777" w:rsidR="00000000" w:rsidRDefault="0068293C">
            <w:pPr>
              <w:spacing w:after="100"/>
              <w:rPr>
                <w:rFonts w:eastAsia="Times New Roman"/>
                <w:sz w:val="20"/>
                <w:szCs w:val="20"/>
              </w:rPr>
            </w:pPr>
          </w:p>
        </w:tc>
        <w:tc>
          <w:tcPr>
            <w:tcW w:w="50" w:type="pct"/>
            <w:vAlign w:val="center"/>
            <w:hideMark/>
          </w:tcPr>
          <w:p w14:paraId="11832941" w14:textId="77777777" w:rsidR="00000000" w:rsidRDefault="0068293C">
            <w:pPr>
              <w:spacing w:after="100"/>
              <w:rPr>
                <w:rFonts w:eastAsia="Times New Roman"/>
                <w:sz w:val="20"/>
                <w:szCs w:val="20"/>
              </w:rPr>
            </w:pPr>
          </w:p>
        </w:tc>
        <w:tc>
          <w:tcPr>
            <w:tcW w:w="237" w:type="pct"/>
            <w:vAlign w:val="center"/>
            <w:hideMark/>
          </w:tcPr>
          <w:p w14:paraId="6FD24F1E" w14:textId="77777777" w:rsidR="00000000" w:rsidRDefault="0068293C">
            <w:pPr>
              <w:spacing w:after="100"/>
              <w:rPr>
                <w:rFonts w:eastAsia="Times New Roman"/>
                <w:sz w:val="20"/>
                <w:szCs w:val="20"/>
              </w:rPr>
            </w:pPr>
          </w:p>
        </w:tc>
        <w:tc>
          <w:tcPr>
            <w:tcW w:w="5" w:type="pct"/>
            <w:vAlign w:val="center"/>
            <w:hideMark/>
          </w:tcPr>
          <w:p w14:paraId="72322E0D" w14:textId="77777777" w:rsidR="00000000" w:rsidRDefault="0068293C">
            <w:pPr>
              <w:spacing w:after="100"/>
              <w:rPr>
                <w:rFonts w:eastAsia="Times New Roman"/>
                <w:sz w:val="20"/>
                <w:szCs w:val="20"/>
              </w:rPr>
            </w:pPr>
          </w:p>
        </w:tc>
      </w:tr>
      <w:tr w:rsidR="00000000" w14:paraId="595CF817" w14:textId="77777777">
        <w:trPr>
          <w:divId w:val="1293172086"/>
        </w:trPr>
        <w:tc>
          <w:tcPr>
            <w:tcW w:w="0" w:type="auto"/>
            <w:gridSpan w:val="6"/>
            <w:tcMar>
              <w:top w:w="30" w:type="dxa"/>
              <w:left w:w="20" w:type="dxa"/>
              <w:bottom w:w="30" w:type="dxa"/>
              <w:right w:w="20" w:type="dxa"/>
            </w:tcMar>
            <w:hideMark/>
          </w:tcPr>
          <w:p w14:paraId="2EC99F24" w14:textId="77777777" w:rsidR="00000000" w:rsidRDefault="0068293C">
            <w:pPr>
              <w:spacing w:after="100"/>
              <w:rPr>
                <w:rFonts w:eastAsia="Times New Roman"/>
              </w:rPr>
            </w:pPr>
            <w:r>
              <w:rPr>
                <w:rFonts w:eastAsia="Times New Roman"/>
                <w:b/>
                <w:bCs/>
                <w:color w:val="000000"/>
                <w:sz w:val="20"/>
                <w:szCs w:val="20"/>
              </w:rPr>
              <w:t>PART I. Financial Information</w:t>
            </w:r>
          </w:p>
        </w:tc>
        <w:tc>
          <w:tcPr>
            <w:tcW w:w="0" w:type="auto"/>
            <w:gridSpan w:val="3"/>
            <w:tcMar>
              <w:top w:w="0" w:type="dxa"/>
              <w:left w:w="20" w:type="dxa"/>
              <w:bottom w:w="0" w:type="dxa"/>
              <w:right w:w="20" w:type="dxa"/>
            </w:tcMar>
            <w:vAlign w:val="center"/>
            <w:hideMark/>
          </w:tcPr>
          <w:p w14:paraId="07EAE4EC" w14:textId="77777777" w:rsidR="00000000" w:rsidRDefault="0068293C">
            <w:pPr>
              <w:spacing w:after="100"/>
              <w:rPr>
                <w:rFonts w:eastAsia="Times New Roman"/>
              </w:rPr>
            </w:pPr>
          </w:p>
        </w:tc>
      </w:tr>
      <w:tr w:rsidR="00000000" w14:paraId="4D782AC5" w14:textId="77777777">
        <w:trPr>
          <w:divId w:val="1293172086"/>
          <w:trHeight w:val="300"/>
        </w:trPr>
        <w:tc>
          <w:tcPr>
            <w:tcW w:w="0" w:type="auto"/>
            <w:gridSpan w:val="3"/>
            <w:tcMar>
              <w:top w:w="0" w:type="dxa"/>
              <w:left w:w="20" w:type="dxa"/>
              <w:bottom w:w="0" w:type="dxa"/>
              <w:right w:w="20" w:type="dxa"/>
            </w:tcMar>
            <w:vAlign w:val="center"/>
            <w:hideMark/>
          </w:tcPr>
          <w:p w14:paraId="5EA679B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979EB8"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B0D8C0" w14:textId="77777777" w:rsidR="00000000" w:rsidRDefault="0068293C">
            <w:pPr>
              <w:spacing w:after="100"/>
              <w:rPr>
                <w:rFonts w:eastAsia="Times New Roman"/>
                <w:sz w:val="20"/>
                <w:szCs w:val="20"/>
              </w:rPr>
            </w:pPr>
          </w:p>
        </w:tc>
      </w:tr>
      <w:tr w:rsidR="00000000" w14:paraId="3814B070" w14:textId="77777777">
        <w:trPr>
          <w:divId w:val="1293172086"/>
        </w:trPr>
        <w:tc>
          <w:tcPr>
            <w:tcW w:w="0" w:type="auto"/>
            <w:gridSpan w:val="3"/>
            <w:tcMar>
              <w:top w:w="30" w:type="dxa"/>
              <w:left w:w="20" w:type="dxa"/>
              <w:bottom w:w="30" w:type="dxa"/>
              <w:right w:w="20" w:type="dxa"/>
            </w:tcMar>
            <w:vAlign w:val="bottom"/>
            <w:hideMark/>
          </w:tcPr>
          <w:p w14:paraId="160DAC6C"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59C7172" w14:textId="77777777" w:rsidR="00000000" w:rsidRDefault="0068293C">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14:paraId="7DB8DD74" w14:textId="77777777" w:rsidR="00000000" w:rsidRDefault="0068293C">
            <w:pPr>
              <w:spacing w:after="100"/>
              <w:jc w:val="center"/>
              <w:rPr>
                <w:rFonts w:eastAsia="Times New Roman"/>
              </w:rPr>
            </w:pPr>
            <w:r>
              <w:rPr>
                <w:rFonts w:eastAsia="Times New Roman"/>
                <w:b/>
                <w:bCs/>
                <w:color w:val="000000"/>
                <w:sz w:val="16"/>
                <w:szCs w:val="16"/>
              </w:rPr>
              <w:t>Page</w:t>
            </w:r>
          </w:p>
        </w:tc>
      </w:tr>
      <w:tr w:rsidR="00000000" w14:paraId="572A1EE9" w14:textId="77777777">
        <w:trPr>
          <w:divId w:val="1293172086"/>
          <w:trHeight w:val="180"/>
        </w:trPr>
        <w:tc>
          <w:tcPr>
            <w:tcW w:w="0" w:type="auto"/>
            <w:gridSpan w:val="3"/>
            <w:tcMar>
              <w:top w:w="0" w:type="dxa"/>
              <w:left w:w="20" w:type="dxa"/>
              <w:bottom w:w="0" w:type="dxa"/>
              <w:right w:w="20" w:type="dxa"/>
            </w:tcMar>
            <w:vAlign w:val="center"/>
            <w:hideMark/>
          </w:tcPr>
          <w:p w14:paraId="0CC197ED"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9EE0D66"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850C00" w14:textId="77777777" w:rsidR="00000000" w:rsidRDefault="0068293C">
            <w:pPr>
              <w:spacing w:after="100"/>
              <w:rPr>
                <w:rFonts w:eastAsia="Times New Roman"/>
                <w:sz w:val="20"/>
                <w:szCs w:val="20"/>
              </w:rPr>
            </w:pPr>
          </w:p>
        </w:tc>
      </w:tr>
      <w:tr w:rsidR="00000000" w14:paraId="27925577" w14:textId="77777777">
        <w:trPr>
          <w:divId w:val="1293172086"/>
        </w:trPr>
        <w:tc>
          <w:tcPr>
            <w:tcW w:w="0" w:type="auto"/>
            <w:gridSpan w:val="3"/>
            <w:tcMar>
              <w:top w:w="30" w:type="dxa"/>
              <w:left w:w="20" w:type="dxa"/>
              <w:bottom w:w="30" w:type="dxa"/>
              <w:right w:w="20" w:type="dxa"/>
            </w:tcMar>
            <w:hideMark/>
          </w:tcPr>
          <w:p w14:paraId="05F0B25B" w14:textId="77777777" w:rsidR="00000000" w:rsidRDefault="0068293C">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14:paraId="7DF6FB23" w14:textId="77777777" w:rsidR="00000000" w:rsidRDefault="0068293C">
            <w:pPr>
              <w:spacing w:after="100"/>
              <w:divId w:val="1372194558"/>
              <w:rPr>
                <w:rFonts w:eastAsia="Times New Roman"/>
              </w:rPr>
            </w:pPr>
            <w:hyperlink w:anchor="i78484f3d0d8e4e36a7c87ddd6ea9d725_13"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14:paraId="070D62C2" w14:textId="77777777" w:rsidR="00000000" w:rsidRDefault="0068293C">
            <w:pPr>
              <w:spacing w:after="100"/>
              <w:jc w:val="right"/>
              <w:rPr>
                <w:rFonts w:eastAsia="Times New Roman"/>
              </w:rPr>
            </w:pPr>
            <w:hyperlink w:anchor="i78484f3d0d8e4e36a7c87ddd6ea9d725_13" w:history="1">
              <w:r>
                <w:rPr>
                  <w:rStyle w:val="a3"/>
                  <w:rFonts w:eastAsia="Times New Roman"/>
                  <w:sz w:val="20"/>
                  <w:szCs w:val="20"/>
                </w:rPr>
                <w:t>3</w:t>
              </w:r>
            </w:hyperlink>
          </w:p>
        </w:tc>
      </w:tr>
      <w:tr w:rsidR="00000000" w14:paraId="0BFA093F" w14:textId="77777777">
        <w:trPr>
          <w:divId w:val="1293172086"/>
          <w:trHeight w:val="180"/>
        </w:trPr>
        <w:tc>
          <w:tcPr>
            <w:tcW w:w="0" w:type="auto"/>
            <w:gridSpan w:val="3"/>
            <w:tcMar>
              <w:top w:w="0" w:type="dxa"/>
              <w:left w:w="20" w:type="dxa"/>
              <w:bottom w:w="0" w:type="dxa"/>
              <w:right w:w="20" w:type="dxa"/>
            </w:tcMar>
            <w:vAlign w:val="center"/>
            <w:hideMark/>
          </w:tcPr>
          <w:p w14:paraId="33E5776B"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5231EC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5FDEFB" w14:textId="77777777" w:rsidR="00000000" w:rsidRDefault="0068293C">
            <w:pPr>
              <w:spacing w:after="100"/>
              <w:rPr>
                <w:rFonts w:eastAsia="Times New Roman"/>
                <w:sz w:val="20"/>
                <w:szCs w:val="20"/>
              </w:rPr>
            </w:pPr>
          </w:p>
        </w:tc>
      </w:tr>
      <w:tr w:rsidR="00000000" w14:paraId="6715512E" w14:textId="77777777">
        <w:trPr>
          <w:divId w:val="1293172086"/>
        </w:trPr>
        <w:tc>
          <w:tcPr>
            <w:tcW w:w="0" w:type="auto"/>
            <w:gridSpan w:val="3"/>
            <w:tcMar>
              <w:top w:w="0" w:type="dxa"/>
              <w:left w:w="20" w:type="dxa"/>
              <w:bottom w:w="0" w:type="dxa"/>
              <w:right w:w="20" w:type="dxa"/>
            </w:tcMar>
            <w:vAlign w:val="center"/>
            <w:hideMark/>
          </w:tcPr>
          <w:p w14:paraId="124162FF"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17F9172" w14:textId="77777777" w:rsidR="00000000" w:rsidRDefault="0068293C">
            <w:pPr>
              <w:spacing w:after="100"/>
              <w:divId w:val="1209684624"/>
              <w:rPr>
                <w:rFonts w:eastAsia="Times New Roman"/>
              </w:rPr>
            </w:pPr>
            <w:hyperlink w:anchor="i78484f3d0d8e4e36a7c87ddd6ea9d725_16" w:history="1">
              <w:r>
                <w:rPr>
                  <w:rStyle w:val="a3"/>
                  <w:rFonts w:eastAsia="Times New Roman"/>
                  <w:sz w:val="20"/>
                  <w:szCs w:val="20"/>
                </w:rPr>
                <w:t xml:space="preserve">Condensed Consolidated Statements of Operations (Unaudited) Three </w:t>
              </w:r>
            </w:hyperlink>
            <w:hyperlink w:anchor="i78484f3d0d8e4e36a7c87ddd6ea9d725_16" w:history="1">
              <w:r>
                <w:rPr>
                  <w:rStyle w:val="a3"/>
                  <w:rFonts w:eastAsia="Times New Roman"/>
                  <w:sz w:val="20"/>
                  <w:szCs w:val="20"/>
                </w:rPr>
                <w:t xml:space="preserve">Months Ended </w:t>
              </w:r>
            </w:hyperlink>
            <w:hyperlink w:anchor="i78484f3d0d8e4e36a7c87ddd6ea9d725_16" w:history="1">
              <w:r>
                <w:rPr>
                  <w:rStyle w:val="a3"/>
                  <w:rFonts w:eastAsia="Times New Roman"/>
                  <w:sz w:val="20"/>
                  <w:szCs w:val="20"/>
                </w:rPr>
                <w:t xml:space="preserve">March 31, 2022 and </w:t>
              </w:r>
            </w:hyperlink>
            <w:hyperlink w:anchor="i78484f3d0d8e4e36a7c87ddd6ea9d725_16" w:history="1">
              <w:r>
                <w:rPr>
                  <w:rStyle w:val="a3"/>
                  <w:rFonts w:eastAsia="Times New Roman"/>
                  <w:sz w:val="20"/>
                  <w:szCs w:val="20"/>
                </w:rPr>
                <w:t>2021</w:t>
              </w:r>
            </w:hyperlink>
          </w:p>
        </w:tc>
        <w:tc>
          <w:tcPr>
            <w:tcW w:w="0" w:type="auto"/>
            <w:gridSpan w:val="3"/>
            <w:tcMar>
              <w:top w:w="30" w:type="dxa"/>
              <w:left w:w="20" w:type="dxa"/>
              <w:bottom w:w="30" w:type="dxa"/>
              <w:right w:w="20" w:type="dxa"/>
            </w:tcMar>
            <w:vAlign w:val="bottom"/>
            <w:hideMark/>
          </w:tcPr>
          <w:p w14:paraId="45FBC730" w14:textId="77777777" w:rsidR="00000000" w:rsidRDefault="0068293C">
            <w:pPr>
              <w:spacing w:after="100"/>
              <w:jc w:val="right"/>
              <w:rPr>
                <w:rFonts w:eastAsia="Times New Roman"/>
              </w:rPr>
            </w:pPr>
            <w:hyperlink w:anchor="i78484f3d0d8e4e36a7c87ddd6ea9d725_16" w:history="1">
              <w:r>
                <w:rPr>
                  <w:rStyle w:val="a3"/>
                  <w:rFonts w:eastAsia="Times New Roman"/>
                  <w:sz w:val="20"/>
                  <w:szCs w:val="20"/>
                </w:rPr>
                <w:t>3</w:t>
              </w:r>
            </w:hyperlink>
          </w:p>
        </w:tc>
      </w:tr>
      <w:tr w:rsidR="00000000" w14:paraId="301D1A92" w14:textId="77777777">
        <w:trPr>
          <w:divId w:val="1293172086"/>
          <w:trHeight w:val="180"/>
        </w:trPr>
        <w:tc>
          <w:tcPr>
            <w:tcW w:w="0" w:type="auto"/>
            <w:gridSpan w:val="3"/>
            <w:tcMar>
              <w:top w:w="0" w:type="dxa"/>
              <w:left w:w="20" w:type="dxa"/>
              <w:bottom w:w="0" w:type="dxa"/>
              <w:right w:w="20" w:type="dxa"/>
            </w:tcMar>
            <w:vAlign w:val="center"/>
            <w:hideMark/>
          </w:tcPr>
          <w:p w14:paraId="37D83C43"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8C950D"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3F1534" w14:textId="77777777" w:rsidR="00000000" w:rsidRDefault="0068293C">
            <w:pPr>
              <w:spacing w:after="100"/>
              <w:rPr>
                <w:rFonts w:eastAsia="Times New Roman"/>
                <w:sz w:val="20"/>
                <w:szCs w:val="20"/>
              </w:rPr>
            </w:pPr>
          </w:p>
        </w:tc>
      </w:tr>
      <w:tr w:rsidR="00000000" w14:paraId="6243E4D3" w14:textId="77777777">
        <w:trPr>
          <w:divId w:val="1293172086"/>
        </w:trPr>
        <w:tc>
          <w:tcPr>
            <w:tcW w:w="0" w:type="auto"/>
            <w:gridSpan w:val="3"/>
            <w:tcMar>
              <w:top w:w="0" w:type="dxa"/>
              <w:left w:w="20" w:type="dxa"/>
              <w:bottom w:w="0" w:type="dxa"/>
              <w:right w:w="20" w:type="dxa"/>
            </w:tcMar>
            <w:vAlign w:val="center"/>
            <w:hideMark/>
          </w:tcPr>
          <w:p w14:paraId="67913318"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8621AAD" w14:textId="77777777" w:rsidR="00000000" w:rsidRDefault="0068293C">
            <w:pPr>
              <w:spacing w:after="100"/>
              <w:divId w:val="215971051"/>
              <w:rPr>
                <w:rFonts w:eastAsia="Times New Roman"/>
              </w:rPr>
            </w:pPr>
            <w:hyperlink w:anchor="i78484f3d0d8e4e36a7c87ddd6ea9d725_19" w:history="1">
              <w:r>
                <w:rPr>
                  <w:rStyle w:val="a3"/>
                  <w:rFonts w:eastAsia="Times New Roman"/>
                  <w:sz w:val="20"/>
                  <w:szCs w:val="20"/>
                </w:rPr>
                <w:t xml:space="preserve">Condensed Consolidated Statements of Comprehensive Income (Unaudited) Three </w:t>
              </w:r>
            </w:hyperlink>
            <w:hyperlink w:anchor="i78484f3d0d8e4e36a7c87ddd6ea9d725_19" w:history="1">
              <w:r>
                <w:rPr>
                  <w:rStyle w:val="a3"/>
                  <w:rFonts w:eastAsia="Times New Roman"/>
                  <w:sz w:val="20"/>
                  <w:szCs w:val="20"/>
                </w:rPr>
                <w:t>Months Ended</w:t>
              </w:r>
            </w:hyperlink>
            <w:hyperlink w:anchor="i78484f3d0d8e4e36a7c87ddd6ea9d725_19" w:history="1">
              <w:r>
                <w:rPr>
                  <w:rStyle w:val="a3"/>
                  <w:rFonts w:eastAsia="Times New Roman"/>
                  <w:sz w:val="20"/>
                  <w:szCs w:val="20"/>
                </w:rPr>
                <w:t xml:space="preserve"> </w:t>
              </w:r>
            </w:hyperlink>
            <w:hyperlink w:anchor="i78484f3d0d8e4e36a7c87ddd6ea9d725_19" w:history="1">
              <w:r>
                <w:rPr>
                  <w:rStyle w:val="a3"/>
                  <w:rFonts w:eastAsia="Times New Roman"/>
                  <w:sz w:val="20"/>
                  <w:szCs w:val="20"/>
                </w:rPr>
                <w:t xml:space="preserve">March </w:t>
              </w:r>
            </w:hyperlink>
            <w:hyperlink w:anchor="i78484f3d0d8e4e36a7c87ddd6ea9d725_19" w:history="1">
              <w:r>
                <w:rPr>
                  <w:rStyle w:val="a3"/>
                  <w:rFonts w:eastAsia="Times New Roman"/>
                  <w:sz w:val="20"/>
                  <w:szCs w:val="20"/>
                </w:rPr>
                <w:t>31</w:t>
              </w:r>
            </w:hyperlink>
            <w:hyperlink w:anchor="i78484f3d0d8e4e36a7c87ddd6ea9d725_19" w:history="1">
              <w:r>
                <w:rPr>
                  <w:rStyle w:val="a3"/>
                  <w:rFonts w:eastAsia="Times New Roman"/>
                  <w:sz w:val="20"/>
                  <w:szCs w:val="20"/>
                </w:rPr>
                <w:t xml:space="preserve">, </w:t>
              </w:r>
            </w:hyperlink>
            <w:hyperlink w:anchor="i78484f3d0d8e4e36a7c87ddd6ea9d725_19" w:history="1">
              <w:r>
                <w:rPr>
                  <w:rStyle w:val="a3"/>
                  <w:rFonts w:eastAsia="Times New Roman"/>
                  <w:sz w:val="20"/>
                  <w:szCs w:val="20"/>
                </w:rPr>
                <w:t xml:space="preserve">2022 and </w:t>
              </w:r>
            </w:hyperlink>
            <w:hyperlink w:anchor="i78484f3d0d8e4e36a7c87ddd6ea9d725_19" w:history="1">
              <w:r>
                <w:rPr>
                  <w:rStyle w:val="a3"/>
                  <w:rFonts w:eastAsia="Times New Roman"/>
                  <w:sz w:val="20"/>
                  <w:szCs w:val="20"/>
                </w:rPr>
                <w:t>2021</w:t>
              </w:r>
            </w:hyperlink>
          </w:p>
        </w:tc>
        <w:tc>
          <w:tcPr>
            <w:tcW w:w="0" w:type="auto"/>
            <w:gridSpan w:val="3"/>
            <w:tcMar>
              <w:top w:w="30" w:type="dxa"/>
              <w:left w:w="20" w:type="dxa"/>
              <w:bottom w:w="30" w:type="dxa"/>
              <w:right w:w="20" w:type="dxa"/>
            </w:tcMar>
            <w:vAlign w:val="bottom"/>
            <w:hideMark/>
          </w:tcPr>
          <w:p w14:paraId="76A63B75" w14:textId="77777777" w:rsidR="00000000" w:rsidRDefault="0068293C">
            <w:pPr>
              <w:spacing w:after="100"/>
              <w:jc w:val="right"/>
              <w:rPr>
                <w:rFonts w:eastAsia="Times New Roman"/>
              </w:rPr>
            </w:pPr>
            <w:hyperlink w:anchor="i78484f3d0d8e4e36a7c87ddd6ea9d725_19" w:history="1">
              <w:r>
                <w:rPr>
                  <w:rStyle w:val="a3"/>
                  <w:rFonts w:eastAsia="Times New Roman"/>
                  <w:sz w:val="20"/>
                  <w:szCs w:val="20"/>
                </w:rPr>
                <w:t>4</w:t>
              </w:r>
            </w:hyperlink>
          </w:p>
        </w:tc>
      </w:tr>
      <w:tr w:rsidR="00000000" w14:paraId="7893ABC1" w14:textId="77777777">
        <w:trPr>
          <w:divId w:val="1293172086"/>
          <w:trHeight w:val="180"/>
        </w:trPr>
        <w:tc>
          <w:tcPr>
            <w:tcW w:w="0" w:type="auto"/>
            <w:gridSpan w:val="3"/>
            <w:tcMar>
              <w:top w:w="0" w:type="dxa"/>
              <w:left w:w="20" w:type="dxa"/>
              <w:bottom w:w="0" w:type="dxa"/>
              <w:right w:w="20" w:type="dxa"/>
            </w:tcMar>
            <w:vAlign w:val="center"/>
            <w:hideMark/>
          </w:tcPr>
          <w:p w14:paraId="61AE4D17"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6D04E68"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5CF0EE" w14:textId="77777777" w:rsidR="00000000" w:rsidRDefault="0068293C">
            <w:pPr>
              <w:spacing w:after="100"/>
              <w:rPr>
                <w:rFonts w:eastAsia="Times New Roman"/>
                <w:sz w:val="20"/>
                <w:szCs w:val="20"/>
              </w:rPr>
            </w:pPr>
          </w:p>
        </w:tc>
      </w:tr>
      <w:tr w:rsidR="00000000" w14:paraId="72F594A5" w14:textId="77777777">
        <w:trPr>
          <w:divId w:val="1293172086"/>
        </w:trPr>
        <w:tc>
          <w:tcPr>
            <w:tcW w:w="0" w:type="auto"/>
            <w:gridSpan w:val="3"/>
            <w:tcMar>
              <w:top w:w="0" w:type="dxa"/>
              <w:left w:w="20" w:type="dxa"/>
              <w:bottom w:w="0" w:type="dxa"/>
              <w:right w:w="20" w:type="dxa"/>
            </w:tcMar>
            <w:vAlign w:val="center"/>
            <w:hideMark/>
          </w:tcPr>
          <w:p w14:paraId="54310E63"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01CECB" w14:textId="77777777" w:rsidR="00000000" w:rsidRDefault="0068293C">
            <w:pPr>
              <w:spacing w:after="100"/>
              <w:divId w:val="334113855"/>
              <w:rPr>
                <w:rFonts w:eastAsia="Times New Roman"/>
              </w:rPr>
            </w:pPr>
            <w:hyperlink w:anchor="i78484f3d0d8e4e36a7c87ddd6ea9d725_22" w:history="1">
              <w:r>
                <w:rPr>
                  <w:rStyle w:val="a3"/>
                  <w:rFonts w:eastAsia="Times New Roman"/>
                  <w:sz w:val="20"/>
                  <w:szCs w:val="20"/>
                </w:rPr>
                <w:t xml:space="preserve">Condensed Consolidated Balance Sheets (Unaudited) </w:t>
              </w:r>
            </w:hyperlink>
            <w:hyperlink w:anchor="i78484f3d0d8e4e36a7c87ddd6ea9d725_22" w:history="1">
              <w:r>
                <w:rPr>
                  <w:rStyle w:val="a3"/>
                  <w:rFonts w:eastAsia="Times New Roman"/>
                  <w:sz w:val="20"/>
                  <w:szCs w:val="20"/>
                </w:rPr>
                <w:t>March 31</w:t>
              </w:r>
            </w:hyperlink>
            <w:hyperlink w:anchor="i78484f3d0d8e4e36a7c87ddd6ea9d725_22" w:history="1">
              <w:r>
                <w:rPr>
                  <w:rStyle w:val="a3"/>
                  <w:rFonts w:eastAsia="Times New Roman"/>
                  <w:sz w:val="20"/>
                  <w:szCs w:val="20"/>
                </w:rPr>
                <w:t>, 202</w:t>
              </w:r>
            </w:hyperlink>
            <w:hyperlink w:anchor="i78484f3d0d8e4e36a7c87ddd6ea9d725_22" w:history="1">
              <w:r>
                <w:rPr>
                  <w:rStyle w:val="a3"/>
                  <w:rFonts w:eastAsia="Times New Roman"/>
                  <w:sz w:val="20"/>
                  <w:szCs w:val="20"/>
                </w:rPr>
                <w:t>2 and December 31, 2021</w:t>
              </w:r>
            </w:hyperlink>
          </w:p>
        </w:tc>
        <w:tc>
          <w:tcPr>
            <w:tcW w:w="0" w:type="auto"/>
            <w:gridSpan w:val="3"/>
            <w:tcMar>
              <w:top w:w="30" w:type="dxa"/>
              <w:left w:w="20" w:type="dxa"/>
              <w:bottom w:w="30" w:type="dxa"/>
              <w:right w:w="20" w:type="dxa"/>
            </w:tcMar>
            <w:vAlign w:val="bottom"/>
            <w:hideMark/>
          </w:tcPr>
          <w:p w14:paraId="556731FD" w14:textId="77777777" w:rsidR="00000000" w:rsidRDefault="0068293C">
            <w:pPr>
              <w:spacing w:after="100"/>
              <w:jc w:val="right"/>
              <w:rPr>
                <w:rFonts w:eastAsia="Times New Roman"/>
              </w:rPr>
            </w:pPr>
            <w:hyperlink w:anchor="i78484f3d0d8e4e36a7c87ddd6ea9d725_22" w:history="1">
              <w:r>
                <w:rPr>
                  <w:rStyle w:val="a3"/>
                  <w:rFonts w:eastAsia="Times New Roman"/>
                  <w:sz w:val="20"/>
                  <w:szCs w:val="20"/>
                </w:rPr>
                <w:t>5</w:t>
              </w:r>
            </w:hyperlink>
          </w:p>
        </w:tc>
      </w:tr>
      <w:tr w:rsidR="00000000" w14:paraId="75454E6A" w14:textId="77777777">
        <w:trPr>
          <w:divId w:val="1293172086"/>
          <w:trHeight w:val="180"/>
        </w:trPr>
        <w:tc>
          <w:tcPr>
            <w:tcW w:w="0" w:type="auto"/>
            <w:gridSpan w:val="3"/>
            <w:tcMar>
              <w:top w:w="0" w:type="dxa"/>
              <w:left w:w="20" w:type="dxa"/>
              <w:bottom w:w="0" w:type="dxa"/>
              <w:right w:w="20" w:type="dxa"/>
            </w:tcMar>
            <w:vAlign w:val="center"/>
            <w:hideMark/>
          </w:tcPr>
          <w:p w14:paraId="525460B2"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0E7617"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D519A2" w14:textId="77777777" w:rsidR="00000000" w:rsidRDefault="0068293C">
            <w:pPr>
              <w:spacing w:after="100"/>
              <w:rPr>
                <w:rFonts w:eastAsia="Times New Roman"/>
                <w:sz w:val="20"/>
                <w:szCs w:val="20"/>
              </w:rPr>
            </w:pPr>
          </w:p>
        </w:tc>
      </w:tr>
      <w:tr w:rsidR="00000000" w14:paraId="6867DAD7" w14:textId="77777777">
        <w:trPr>
          <w:divId w:val="1293172086"/>
        </w:trPr>
        <w:tc>
          <w:tcPr>
            <w:tcW w:w="0" w:type="auto"/>
            <w:gridSpan w:val="3"/>
            <w:tcMar>
              <w:top w:w="0" w:type="dxa"/>
              <w:left w:w="20" w:type="dxa"/>
              <w:bottom w:w="0" w:type="dxa"/>
              <w:right w:w="20" w:type="dxa"/>
            </w:tcMar>
            <w:vAlign w:val="center"/>
            <w:hideMark/>
          </w:tcPr>
          <w:p w14:paraId="7EDE2E4B"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A2E1C4" w14:textId="77777777" w:rsidR="00000000" w:rsidRDefault="0068293C">
            <w:pPr>
              <w:spacing w:after="100"/>
              <w:divId w:val="2016764360"/>
              <w:rPr>
                <w:rFonts w:eastAsia="Times New Roman"/>
              </w:rPr>
            </w:pPr>
            <w:hyperlink w:anchor="i78484f3d0d8e4e36a7c87ddd6ea9d725_25" w:history="1">
              <w:r>
                <w:rPr>
                  <w:rStyle w:val="a3"/>
                  <w:rFonts w:eastAsia="Times New Roman"/>
                  <w:sz w:val="20"/>
                  <w:szCs w:val="20"/>
                </w:rPr>
                <w:t xml:space="preserve">Condensed Consolidated Statements of Cash Flows (Unaudited) </w:t>
              </w:r>
            </w:hyperlink>
            <w:hyperlink w:anchor="i78484f3d0d8e4e36a7c87ddd6ea9d725_25" w:history="1">
              <w:r>
                <w:rPr>
                  <w:rStyle w:val="a3"/>
                  <w:rFonts w:eastAsia="Times New Roman"/>
                  <w:sz w:val="20"/>
                  <w:szCs w:val="20"/>
                </w:rPr>
                <w:t>Three</w:t>
              </w:r>
            </w:hyperlink>
            <w:hyperlink w:anchor="i78484f3d0d8e4e36a7c87ddd6ea9d725_25" w:history="1">
              <w:r>
                <w:rPr>
                  <w:rStyle w:val="a3"/>
                  <w:rFonts w:eastAsia="Times New Roman"/>
                  <w:sz w:val="20"/>
                  <w:szCs w:val="20"/>
                </w:rPr>
                <w:t xml:space="preserve"> Months Ended </w:t>
              </w:r>
            </w:hyperlink>
            <w:hyperlink w:anchor="i78484f3d0d8e4e36a7c87ddd6ea9d725_25" w:history="1">
              <w:r>
                <w:rPr>
                  <w:rStyle w:val="a3"/>
                  <w:rFonts w:eastAsia="Times New Roman"/>
                  <w:sz w:val="20"/>
                  <w:szCs w:val="20"/>
                </w:rPr>
                <w:t xml:space="preserve">March </w:t>
              </w:r>
            </w:hyperlink>
            <w:hyperlink w:anchor="i78484f3d0d8e4e36a7c87ddd6ea9d725_25" w:history="1">
              <w:r>
                <w:rPr>
                  <w:rStyle w:val="a3"/>
                  <w:rFonts w:eastAsia="Times New Roman"/>
                  <w:sz w:val="20"/>
                  <w:szCs w:val="20"/>
                </w:rPr>
                <w:t>31</w:t>
              </w:r>
            </w:hyperlink>
            <w:hyperlink w:anchor="i78484f3d0d8e4e36a7c87ddd6ea9d725_25" w:history="1">
              <w:r>
                <w:rPr>
                  <w:rStyle w:val="a3"/>
                  <w:rFonts w:eastAsia="Times New Roman"/>
                  <w:sz w:val="20"/>
                  <w:szCs w:val="20"/>
                </w:rPr>
                <w:t>,</w:t>
              </w:r>
            </w:hyperlink>
            <w:hyperlink w:anchor="i78484f3d0d8e4e36a7c87ddd6ea9d725_25" w:history="1">
              <w:r>
                <w:rPr>
                  <w:rStyle w:val="a3"/>
                  <w:rFonts w:eastAsia="Times New Roman"/>
                  <w:sz w:val="20"/>
                  <w:szCs w:val="20"/>
                </w:rPr>
                <w:t xml:space="preserve"> 2022 and</w:t>
              </w:r>
            </w:hyperlink>
            <w:hyperlink w:anchor="i78484f3d0d8e4e36a7c87ddd6ea9d725_25" w:history="1">
              <w:r>
                <w:rPr>
                  <w:rStyle w:val="a3"/>
                  <w:rFonts w:eastAsia="Times New Roman"/>
                  <w:sz w:val="20"/>
                  <w:szCs w:val="20"/>
                </w:rPr>
                <w:t xml:space="preserve"> 2</w:t>
              </w:r>
              <w:r>
                <w:rPr>
                  <w:rStyle w:val="a3"/>
                  <w:rFonts w:eastAsia="Times New Roman"/>
                  <w:sz w:val="20"/>
                  <w:szCs w:val="20"/>
                </w:rPr>
                <w:t>021</w:t>
              </w:r>
            </w:hyperlink>
          </w:p>
        </w:tc>
        <w:tc>
          <w:tcPr>
            <w:tcW w:w="0" w:type="auto"/>
            <w:gridSpan w:val="3"/>
            <w:tcMar>
              <w:top w:w="30" w:type="dxa"/>
              <w:left w:w="20" w:type="dxa"/>
              <w:bottom w:w="30" w:type="dxa"/>
              <w:right w:w="20" w:type="dxa"/>
            </w:tcMar>
            <w:vAlign w:val="bottom"/>
            <w:hideMark/>
          </w:tcPr>
          <w:p w14:paraId="7FBBF30B" w14:textId="77777777" w:rsidR="00000000" w:rsidRDefault="0068293C">
            <w:pPr>
              <w:spacing w:after="100"/>
              <w:jc w:val="right"/>
              <w:rPr>
                <w:rFonts w:eastAsia="Times New Roman"/>
              </w:rPr>
            </w:pPr>
            <w:hyperlink w:anchor="i78484f3d0d8e4e36a7c87ddd6ea9d725_25" w:history="1">
              <w:r>
                <w:rPr>
                  <w:rStyle w:val="a3"/>
                  <w:rFonts w:eastAsia="Times New Roman"/>
                  <w:sz w:val="20"/>
                  <w:szCs w:val="20"/>
                </w:rPr>
                <w:t>6</w:t>
              </w:r>
            </w:hyperlink>
          </w:p>
        </w:tc>
      </w:tr>
      <w:tr w:rsidR="00000000" w14:paraId="642CBD27" w14:textId="77777777">
        <w:trPr>
          <w:divId w:val="1293172086"/>
          <w:trHeight w:val="180"/>
        </w:trPr>
        <w:tc>
          <w:tcPr>
            <w:tcW w:w="0" w:type="auto"/>
            <w:gridSpan w:val="3"/>
            <w:tcMar>
              <w:top w:w="0" w:type="dxa"/>
              <w:left w:w="20" w:type="dxa"/>
              <w:bottom w:w="0" w:type="dxa"/>
              <w:right w:w="20" w:type="dxa"/>
            </w:tcMar>
            <w:vAlign w:val="center"/>
            <w:hideMark/>
          </w:tcPr>
          <w:p w14:paraId="73434F08"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3BD97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11C7DA" w14:textId="77777777" w:rsidR="00000000" w:rsidRDefault="0068293C">
            <w:pPr>
              <w:spacing w:after="100"/>
              <w:rPr>
                <w:rFonts w:eastAsia="Times New Roman"/>
                <w:sz w:val="20"/>
                <w:szCs w:val="20"/>
              </w:rPr>
            </w:pPr>
          </w:p>
        </w:tc>
      </w:tr>
      <w:tr w:rsidR="00000000" w14:paraId="6E134CFC" w14:textId="77777777">
        <w:trPr>
          <w:divId w:val="1293172086"/>
        </w:trPr>
        <w:tc>
          <w:tcPr>
            <w:tcW w:w="0" w:type="auto"/>
            <w:gridSpan w:val="3"/>
            <w:tcMar>
              <w:top w:w="0" w:type="dxa"/>
              <w:left w:w="20" w:type="dxa"/>
              <w:bottom w:w="0" w:type="dxa"/>
              <w:right w:w="20" w:type="dxa"/>
            </w:tcMar>
            <w:vAlign w:val="center"/>
            <w:hideMark/>
          </w:tcPr>
          <w:p w14:paraId="23615B89"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014C7E" w14:textId="77777777" w:rsidR="00000000" w:rsidRDefault="0068293C">
            <w:pPr>
              <w:spacing w:after="100"/>
              <w:divId w:val="1711222880"/>
              <w:rPr>
                <w:rFonts w:eastAsia="Times New Roman"/>
              </w:rPr>
            </w:pPr>
            <w:hyperlink w:anchor="i78484f3d0d8e4e36a7c87ddd6ea9d725_28" w:history="1">
              <w:r>
                <w:rPr>
                  <w:rStyle w:val="a3"/>
                  <w:rFonts w:eastAsia="Times New Roman"/>
                  <w:sz w:val="20"/>
                  <w:szCs w:val="20"/>
                </w:rPr>
                <w:t xml:space="preserve">Condensed Consolidated Statements of Changes in Stockholder's Equity (Unaudited) Three </w:t>
              </w:r>
            </w:hyperlink>
            <w:hyperlink w:anchor="i78484f3d0d8e4e36a7c87ddd6ea9d725_28" w:history="1">
              <w:r>
                <w:rPr>
                  <w:rStyle w:val="a3"/>
                  <w:rFonts w:eastAsia="Times New Roman"/>
                  <w:sz w:val="20"/>
                  <w:szCs w:val="20"/>
                </w:rPr>
                <w:t xml:space="preserve">Months Ended </w:t>
              </w:r>
            </w:hyperlink>
            <w:hyperlink w:anchor="i78484f3d0d8e4e36a7c87ddd6ea9d725_28" w:history="1">
              <w:r>
                <w:rPr>
                  <w:rStyle w:val="a3"/>
                  <w:rFonts w:eastAsia="Times New Roman"/>
                  <w:sz w:val="20"/>
                  <w:szCs w:val="20"/>
                </w:rPr>
                <w:t>March 31</w:t>
              </w:r>
            </w:hyperlink>
            <w:hyperlink w:anchor="i78484f3d0d8e4e36a7c87ddd6ea9d725_28" w:history="1">
              <w:r>
                <w:rPr>
                  <w:rStyle w:val="a3"/>
                  <w:rFonts w:eastAsia="Times New Roman"/>
                  <w:sz w:val="20"/>
                  <w:szCs w:val="20"/>
                </w:rPr>
                <w:t xml:space="preserve">, </w:t>
              </w:r>
            </w:hyperlink>
            <w:hyperlink w:anchor="i78484f3d0d8e4e36a7c87ddd6ea9d725_28" w:history="1">
              <w:r>
                <w:rPr>
                  <w:rStyle w:val="a3"/>
                  <w:rFonts w:eastAsia="Times New Roman"/>
                  <w:sz w:val="20"/>
                  <w:szCs w:val="20"/>
                </w:rPr>
                <w:t xml:space="preserve">2022 and </w:t>
              </w:r>
            </w:hyperlink>
            <w:hyperlink w:anchor="i78484f3d0d8e4e36a7c87ddd6ea9d725_28" w:history="1">
              <w:r>
                <w:rPr>
                  <w:rStyle w:val="a3"/>
                  <w:rFonts w:eastAsia="Times New Roman"/>
                  <w:sz w:val="20"/>
                  <w:szCs w:val="20"/>
                </w:rPr>
                <w:t>2021</w:t>
              </w:r>
            </w:hyperlink>
          </w:p>
        </w:tc>
        <w:tc>
          <w:tcPr>
            <w:tcW w:w="0" w:type="auto"/>
            <w:gridSpan w:val="3"/>
            <w:tcMar>
              <w:top w:w="30" w:type="dxa"/>
              <w:left w:w="20" w:type="dxa"/>
              <w:bottom w:w="30" w:type="dxa"/>
              <w:right w:w="20" w:type="dxa"/>
            </w:tcMar>
            <w:vAlign w:val="bottom"/>
            <w:hideMark/>
          </w:tcPr>
          <w:p w14:paraId="71E060AD" w14:textId="77777777" w:rsidR="00000000" w:rsidRDefault="0068293C">
            <w:pPr>
              <w:spacing w:after="100"/>
              <w:jc w:val="right"/>
              <w:rPr>
                <w:rFonts w:eastAsia="Times New Roman"/>
              </w:rPr>
            </w:pPr>
            <w:hyperlink w:anchor="i78484f3d0d8e4e36a7c87ddd6ea9d725_28" w:history="1">
              <w:r>
                <w:rPr>
                  <w:rStyle w:val="a3"/>
                  <w:rFonts w:eastAsia="Times New Roman"/>
                  <w:sz w:val="20"/>
                  <w:szCs w:val="20"/>
                </w:rPr>
                <w:t>7</w:t>
              </w:r>
            </w:hyperlink>
          </w:p>
          <w:p w14:paraId="47E9C40F" w14:textId="77777777" w:rsidR="00000000" w:rsidRDefault="0068293C">
            <w:pPr>
              <w:spacing w:after="100"/>
              <w:divId w:val="1607928603"/>
              <w:rPr>
                <w:rFonts w:eastAsia="Times New Roman"/>
              </w:rPr>
            </w:pPr>
          </w:p>
        </w:tc>
      </w:tr>
      <w:tr w:rsidR="00000000" w14:paraId="427B844A" w14:textId="77777777">
        <w:trPr>
          <w:divId w:val="1293172086"/>
          <w:trHeight w:val="180"/>
        </w:trPr>
        <w:tc>
          <w:tcPr>
            <w:tcW w:w="0" w:type="auto"/>
            <w:gridSpan w:val="3"/>
            <w:tcMar>
              <w:top w:w="0" w:type="dxa"/>
              <w:left w:w="20" w:type="dxa"/>
              <w:bottom w:w="0" w:type="dxa"/>
              <w:right w:w="20" w:type="dxa"/>
            </w:tcMar>
            <w:vAlign w:val="center"/>
            <w:hideMark/>
          </w:tcPr>
          <w:p w14:paraId="757D6212"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66283690"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C20D0D" w14:textId="77777777" w:rsidR="00000000" w:rsidRDefault="0068293C">
            <w:pPr>
              <w:spacing w:after="100"/>
              <w:rPr>
                <w:rFonts w:eastAsia="Times New Roman"/>
                <w:sz w:val="20"/>
                <w:szCs w:val="20"/>
              </w:rPr>
            </w:pPr>
          </w:p>
        </w:tc>
      </w:tr>
      <w:tr w:rsidR="00000000" w14:paraId="233AFBFD" w14:textId="77777777">
        <w:trPr>
          <w:divId w:val="1293172086"/>
        </w:trPr>
        <w:tc>
          <w:tcPr>
            <w:tcW w:w="0" w:type="auto"/>
            <w:gridSpan w:val="3"/>
            <w:tcMar>
              <w:top w:w="0" w:type="dxa"/>
              <w:left w:w="20" w:type="dxa"/>
              <w:bottom w:w="0" w:type="dxa"/>
              <w:right w:w="20" w:type="dxa"/>
            </w:tcMar>
            <w:vAlign w:val="center"/>
            <w:hideMark/>
          </w:tcPr>
          <w:p w14:paraId="178ED930"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2EB2CB" w14:textId="77777777" w:rsidR="00000000" w:rsidRDefault="0068293C">
            <w:pPr>
              <w:spacing w:after="100"/>
              <w:divId w:val="422648008"/>
              <w:rPr>
                <w:rFonts w:eastAsia="Times New Roman"/>
              </w:rPr>
            </w:pPr>
            <w:hyperlink w:anchor="i78484f3d0d8e4e36a7c87ddd6ea9d725_31" w:history="1">
              <w:r>
                <w:rPr>
                  <w:rStyle w:val="a3"/>
                  <w:rFonts w:eastAsia="Times New Roman"/>
                  <w:sz w:val="20"/>
                  <w:szCs w:val="20"/>
                </w:rPr>
                <w:t>Notes to Condensed Consolidated Financial Statements (Unaudited)</w:t>
              </w:r>
            </w:hyperlink>
          </w:p>
        </w:tc>
        <w:tc>
          <w:tcPr>
            <w:tcW w:w="0" w:type="auto"/>
            <w:gridSpan w:val="3"/>
            <w:tcMar>
              <w:top w:w="30" w:type="dxa"/>
              <w:left w:w="20" w:type="dxa"/>
              <w:bottom w:w="30" w:type="dxa"/>
              <w:right w:w="20" w:type="dxa"/>
            </w:tcMar>
            <w:vAlign w:val="bottom"/>
            <w:hideMark/>
          </w:tcPr>
          <w:p w14:paraId="408E03F7" w14:textId="77777777" w:rsidR="00000000" w:rsidRDefault="0068293C">
            <w:pPr>
              <w:spacing w:after="100"/>
              <w:jc w:val="right"/>
              <w:rPr>
                <w:rFonts w:eastAsia="Times New Roman"/>
              </w:rPr>
            </w:pPr>
            <w:hyperlink w:anchor="i78484f3d0d8e4e36a7c87ddd6ea9d725_31" w:history="1">
              <w:r>
                <w:rPr>
                  <w:rStyle w:val="a3"/>
                  <w:rFonts w:eastAsia="Times New Roman"/>
                  <w:sz w:val="20"/>
                  <w:szCs w:val="20"/>
                </w:rPr>
                <w:t>9</w:t>
              </w:r>
            </w:hyperlink>
          </w:p>
        </w:tc>
      </w:tr>
      <w:tr w:rsidR="00000000" w14:paraId="37500180" w14:textId="77777777">
        <w:trPr>
          <w:divId w:val="1293172086"/>
          <w:trHeight w:val="180"/>
        </w:trPr>
        <w:tc>
          <w:tcPr>
            <w:tcW w:w="0" w:type="auto"/>
            <w:gridSpan w:val="3"/>
            <w:tcMar>
              <w:top w:w="0" w:type="dxa"/>
              <w:left w:w="20" w:type="dxa"/>
              <w:bottom w:w="0" w:type="dxa"/>
              <w:right w:w="20" w:type="dxa"/>
            </w:tcMar>
            <w:vAlign w:val="center"/>
            <w:hideMark/>
          </w:tcPr>
          <w:p w14:paraId="28E1E9E9"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D750AE"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3F1687" w14:textId="77777777" w:rsidR="00000000" w:rsidRDefault="0068293C">
            <w:pPr>
              <w:spacing w:after="100"/>
              <w:rPr>
                <w:rFonts w:eastAsia="Times New Roman"/>
                <w:sz w:val="20"/>
                <w:szCs w:val="20"/>
              </w:rPr>
            </w:pPr>
          </w:p>
        </w:tc>
      </w:tr>
      <w:tr w:rsidR="00000000" w14:paraId="7BC97998" w14:textId="77777777">
        <w:trPr>
          <w:divId w:val="1293172086"/>
        </w:trPr>
        <w:tc>
          <w:tcPr>
            <w:tcW w:w="0" w:type="auto"/>
            <w:gridSpan w:val="3"/>
            <w:tcMar>
              <w:top w:w="30" w:type="dxa"/>
              <w:left w:w="20" w:type="dxa"/>
              <w:bottom w:w="30" w:type="dxa"/>
              <w:right w:w="20" w:type="dxa"/>
            </w:tcMar>
            <w:hideMark/>
          </w:tcPr>
          <w:p w14:paraId="135657C8" w14:textId="77777777" w:rsidR="00000000" w:rsidRDefault="0068293C">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14:paraId="727243AF" w14:textId="77777777" w:rsidR="00000000" w:rsidRDefault="0068293C">
            <w:pPr>
              <w:spacing w:after="100"/>
              <w:divId w:val="950937607"/>
              <w:rPr>
                <w:rFonts w:eastAsia="Times New Roman"/>
              </w:rPr>
            </w:pPr>
            <w:hyperlink w:anchor="i78484f3d0d8e4e36a7c87ddd6ea9d725_94"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249B7AF9" w14:textId="77777777" w:rsidR="00000000" w:rsidRDefault="0068293C">
            <w:pPr>
              <w:spacing w:after="100"/>
              <w:jc w:val="right"/>
              <w:rPr>
                <w:rFonts w:eastAsia="Times New Roman"/>
              </w:rPr>
            </w:pPr>
            <w:hyperlink w:anchor="i78484f3d0d8e4e36a7c87ddd6ea9d725_94" w:history="1">
              <w:r>
                <w:rPr>
                  <w:rStyle w:val="a3"/>
                  <w:rFonts w:eastAsia="Times New Roman"/>
                  <w:sz w:val="20"/>
                  <w:szCs w:val="20"/>
                </w:rPr>
                <w:t>35</w:t>
              </w:r>
            </w:hyperlink>
          </w:p>
        </w:tc>
      </w:tr>
      <w:tr w:rsidR="00000000" w14:paraId="7E46C72F" w14:textId="77777777">
        <w:trPr>
          <w:divId w:val="1293172086"/>
          <w:trHeight w:val="180"/>
        </w:trPr>
        <w:tc>
          <w:tcPr>
            <w:tcW w:w="0" w:type="auto"/>
            <w:gridSpan w:val="3"/>
            <w:tcMar>
              <w:top w:w="0" w:type="dxa"/>
              <w:left w:w="20" w:type="dxa"/>
              <w:bottom w:w="0" w:type="dxa"/>
              <w:right w:w="20" w:type="dxa"/>
            </w:tcMar>
            <w:vAlign w:val="center"/>
            <w:hideMark/>
          </w:tcPr>
          <w:p w14:paraId="7B4AC5EF"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985CA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26819A" w14:textId="77777777" w:rsidR="00000000" w:rsidRDefault="0068293C">
            <w:pPr>
              <w:spacing w:after="100"/>
              <w:rPr>
                <w:rFonts w:eastAsia="Times New Roman"/>
                <w:sz w:val="20"/>
                <w:szCs w:val="20"/>
              </w:rPr>
            </w:pPr>
          </w:p>
        </w:tc>
      </w:tr>
      <w:tr w:rsidR="00000000" w14:paraId="67BE0DBC" w14:textId="77777777">
        <w:trPr>
          <w:divId w:val="1293172086"/>
        </w:trPr>
        <w:tc>
          <w:tcPr>
            <w:tcW w:w="0" w:type="auto"/>
            <w:gridSpan w:val="3"/>
            <w:tcMar>
              <w:top w:w="30" w:type="dxa"/>
              <w:left w:w="20" w:type="dxa"/>
              <w:bottom w:w="30" w:type="dxa"/>
              <w:right w:w="20" w:type="dxa"/>
            </w:tcMar>
            <w:hideMark/>
          </w:tcPr>
          <w:p w14:paraId="7C5458E5" w14:textId="77777777" w:rsidR="00000000" w:rsidRDefault="0068293C">
            <w:pPr>
              <w:spacing w:after="100"/>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14:paraId="4AE34F17" w14:textId="77777777" w:rsidR="00000000" w:rsidRDefault="0068293C">
            <w:pPr>
              <w:spacing w:after="100"/>
              <w:divId w:val="423263624"/>
              <w:rPr>
                <w:rFonts w:eastAsia="Times New Roman"/>
              </w:rPr>
            </w:pPr>
            <w:hyperlink w:anchor="i78484f3d0d8e4e36a7c87ddd6ea9d725_160"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0D5DEF9D" w14:textId="77777777" w:rsidR="00000000" w:rsidRDefault="0068293C">
            <w:pPr>
              <w:spacing w:after="100"/>
              <w:jc w:val="right"/>
              <w:rPr>
                <w:rFonts w:eastAsia="Times New Roman"/>
              </w:rPr>
            </w:pPr>
            <w:hyperlink w:anchor="i78484f3d0d8e4e36a7c87ddd6ea9d725_160" w:history="1">
              <w:r>
                <w:rPr>
                  <w:rStyle w:val="a3"/>
                  <w:rFonts w:eastAsia="Times New Roman"/>
                  <w:sz w:val="20"/>
                  <w:szCs w:val="20"/>
                </w:rPr>
                <w:t>48</w:t>
              </w:r>
            </w:hyperlink>
          </w:p>
        </w:tc>
      </w:tr>
      <w:tr w:rsidR="00000000" w14:paraId="17AF9D42" w14:textId="77777777">
        <w:trPr>
          <w:divId w:val="1293172086"/>
          <w:trHeight w:val="180"/>
        </w:trPr>
        <w:tc>
          <w:tcPr>
            <w:tcW w:w="0" w:type="auto"/>
            <w:gridSpan w:val="3"/>
            <w:tcMar>
              <w:top w:w="0" w:type="dxa"/>
              <w:left w:w="20" w:type="dxa"/>
              <w:bottom w:w="0" w:type="dxa"/>
              <w:right w:w="20" w:type="dxa"/>
            </w:tcMar>
            <w:vAlign w:val="center"/>
            <w:hideMark/>
          </w:tcPr>
          <w:p w14:paraId="0121CBE1"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8971D68"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4FC7C5" w14:textId="77777777" w:rsidR="00000000" w:rsidRDefault="0068293C">
            <w:pPr>
              <w:spacing w:after="100"/>
              <w:rPr>
                <w:rFonts w:eastAsia="Times New Roman"/>
                <w:sz w:val="20"/>
                <w:szCs w:val="20"/>
              </w:rPr>
            </w:pPr>
          </w:p>
        </w:tc>
      </w:tr>
      <w:tr w:rsidR="00000000" w14:paraId="5A093069" w14:textId="77777777">
        <w:trPr>
          <w:divId w:val="1293172086"/>
        </w:trPr>
        <w:tc>
          <w:tcPr>
            <w:tcW w:w="0" w:type="auto"/>
            <w:gridSpan w:val="3"/>
            <w:tcMar>
              <w:top w:w="30" w:type="dxa"/>
              <w:left w:w="20" w:type="dxa"/>
              <w:bottom w:w="30" w:type="dxa"/>
              <w:right w:w="20" w:type="dxa"/>
            </w:tcMar>
            <w:hideMark/>
          </w:tcPr>
          <w:p w14:paraId="4730B026" w14:textId="77777777" w:rsidR="00000000" w:rsidRDefault="0068293C">
            <w:pPr>
              <w:spacing w:after="100"/>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14:paraId="31E288B8" w14:textId="77777777" w:rsidR="00000000" w:rsidRDefault="0068293C">
            <w:pPr>
              <w:spacing w:after="100"/>
              <w:divId w:val="1788236967"/>
              <w:rPr>
                <w:rFonts w:eastAsia="Times New Roman"/>
              </w:rPr>
            </w:pPr>
            <w:hyperlink w:anchor="i78484f3d0d8e4e36a7c87ddd6ea9d725_163"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5AA3D402" w14:textId="77777777" w:rsidR="00000000" w:rsidRDefault="0068293C">
            <w:pPr>
              <w:spacing w:after="100"/>
              <w:jc w:val="right"/>
              <w:rPr>
                <w:rFonts w:eastAsia="Times New Roman"/>
              </w:rPr>
            </w:pPr>
            <w:hyperlink w:anchor="i78484f3d0d8e4e36a7c87ddd6ea9d725_163" w:history="1">
              <w:r>
                <w:rPr>
                  <w:rStyle w:val="a3"/>
                  <w:rFonts w:eastAsia="Times New Roman"/>
                  <w:sz w:val="20"/>
                  <w:szCs w:val="20"/>
                </w:rPr>
                <w:t>49</w:t>
              </w:r>
            </w:hyperlink>
          </w:p>
        </w:tc>
      </w:tr>
      <w:tr w:rsidR="00000000" w14:paraId="245FC840" w14:textId="77777777">
        <w:trPr>
          <w:divId w:val="1293172086"/>
          <w:trHeight w:val="300"/>
        </w:trPr>
        <w:tc>
          <w:tcPr>
            <w:tcW w:w="0" w:type="auto"/>
            <w:gridSpan w:val="6"/>
            <w:tcMar>
              <w:top w:w="0" w:type="dxa"/>
              <w:left w:w="20" w:type="dxa"/>
              <w:bottom w:w="0" w:type="dxa"/>
              <w:right w:w="20" w:type="dxa"/>
            </w:tcMar>
            <w:vAlign w:val="center"/>
            <w:hideMark/>
          </w:tcPr>
          <w:p w14:paraId="2D930443"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C174931" w14:textId="77777777" w:rsidR="00000000" w:rsidRDefault="0068293C">
            <w:pPr>
              <w:spacing w:after="100"/>
              <w:rPr>
                <w:rFonts w:eastAsia="Times New Roman"/>
                <w:sz w:val="20"/>
                <w:szCs w:val="20"/>
              </w:rPr>
            </w:pPr>
          </w:p>
        </w:tc>
      </w:tr>
      <w:tr w:rsidR="00000000" w14:paraId="6F82603B" w14:textId="77777777">
        <w:trPr>
          <w:divId w:val="1293172086"/>
        </w:trPr>
        <w:tc>
          <w:tcPr>
            <w:tcW w:w="0" w:type="auto"/>
            <w:gridSpan w:val="6"/>
            <w:tcMar>
              <w:top w:w="30" w:type="dxa"/>
              <w:left w:w="20" w:type="dxa"/>
              <w:bottom w:w="30" w:type="dxa"/>
              <w:right w:w="20" w:type="dxa"/>
            </w:tcMar>
            <w:hideMark/>
          </w:tcPr>
          <w:p w14:paraId="09920503" w14:textId="77777777" w:rsidR="00000000" w:rsidRDefault="0068293C">
            <w:pPr>
              <w:spacing w:after="100"/>
              <w:rPr>
                <w:rFonts w:eastAsia="Times New Roman"/>
              </w:rPr>
            </w:pPr>
            <w:r>
              <w:rPr>
                <w:rFonts w:eastAsia="Times New Roman"/>
                <w:b/>
                <w:bCs/>
                <w:color w:val="000000"/>
                <w:sz w:val="20"/>
                <w:szCs w:val="20"/>
              </w:rPr>
              <w:t>PART II. Other Information</w:t>
            </w:r>
          </w:p>
        </w:tc>
        <w:tc>
          <w:tcPr>
            <w:tcW w:w="0" w:type="auto"/>
            <w:gridSpan w:val="3"/>
            <w:tcMar>
              <w:top w:w="0" w:type="dxa"/>
              <w:left w:w="20" w:type="dxa"/>
              <w:bottom w:w="0" w:type="dxa"/>
              <w:right w:w="20" w:type="dxa"/>
            </w:tcMar>
            <w:vAlign w:val="center"/>
            <w:hideMark/>
          </w:tcPr>
          <w:p w14:paraId="41D6FBB0" w14:textId="77777777" w:rsidR="00000000" w:rsidRDefault="0068293C">
            <w:pPr>
              <w:spacing w:after="100"/>
              <w:rPr>
                <w:rFonts w:eastAsia="Times New Roman"/>
              </w:rPr>
            </w:pPr>
          </w:p>
        </w:tc>
      </w:tr>
      <w:tr w:rsidR="00000000" w14:paraId="52B6E1F8" w14:textId="77777777">
        <w:trPr>
          <w:divId w:val="1293172086"/>
          <w:trHeight w:val="300"/>
        </w:trPr>
        <w:tc>
          <w:tcPr>
            <w:tcW w:w="0" w:type="auto"/>
            <w:gridSpan w:val="3"/>
            <w:tcMar>
              <w:top w:w="0" w:type="dxa"/>
              <w:left w:w="20" w:type="dxa"/>
              <w:bottom w:w="0" w:type="dxa"/>
              <w:right w:w="20" w:type="dxa"/>
            </w:tcMar>
            <w:vAlign w:val="center"/>
            <w:hideMark/>
          </w:tcPr>
          <w:p w14:paraId="77B2BAB4"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B19496"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9E0873" w14:textId="77777777" w:rsidR="00000000" w:rsidRDefault="0068293C">
            <w:pPr>
              <w:spacing w:after="100"/>
              <w:rPr>
                <w:rFonts w:eastAsia="Times New Roman"/>
                <w:sz w:val="20"/>
                <w:szCs w:val="20"/>
              </w:rPr>
            </w:pPr>
          </w:p>
        </w:tc>
      </w:tr>
      <w:tr w:rsidR="00000000" w14:paraId="0CAD7F89" w14:textId="77777777">
        <w:trPr>
          <w:divId w:val="1293172086"/>
        </w:trPr>
        <w:tc>
          <w:tcPr>
            <w:tcW w:w="0" w:type="auto"/>
            <w:gridSpan w:val="3"/>
            <w:tcMar>
              <w:top w:w="30" w:type="dxa"/>
              <w:left w:w="20" w:type="dxa"/>
              <w:bottom w:w="30" w:type="dxa"/>
              <w:right w:w="20" w:type="dxa"/>
            </w:tcMar>
            <w:vAlign w:val="bottom"/>
            <w:hideMark/>
          </w:tcPr>
          <w:p w14:paraId="4D07B7CB"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C22B246" w14:textId="77777777" w:rsidR="00000000" w:rsidRDefault="0068293C">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14:paraId="1A1E04DE" w14:textId="77777777" w:rsidR="00000000" w:rsidRDefault="0068293C">
            <w:pPr>
              <w:spacing w:after="100"/>
              <w:jc w:val="center"/>
              <w:rPr>
                <w:rFonts w:eastAsia="Times New Roman"/>
              </w:rPr>
            </w:pPr>
            <w:r>
              <w:rPr>
                <w:rFonts w:eastAsia="Times New Roman"/>
                <w:b/>
                <w:bCs/>
                <w:color w:val="000000"/>
                <w:sz w:val="16"/>
                <w:szCs w:val="16"/>
              </w:rPr>
              <w:t>Page</w:t>
            </w:r>
          </w:p>
        </w:tc>
      </w:tr>
      <w:tr w:rsidR="00000000" w14:paraId="09245965" w14:textId="77777777">
        <w:trPr>
          <w:divId w:val="1293172086"/>
          <w:trHeight w:val="180"/>
        </w:trPr>
        <w:tc>
          <w:tcPr>
            <w:tcW w:w="0" w:type="auto"/>
            <w:gridSpan w:val="3"/>
            <w:tcMar>
              <w:top w:w="0" w:type="dxa"/>
              <w:left w:w="20" w:type="dxa"/>
              <w:bottom w:w="0" w:type="dxa"/>
              <w:right w:w="20" w:type="dxa"/>
            </w:tcMar>
            <w:vAlign w:val="center"/>
            <w:hideMark/>
          </w:tcPr>
          <w:p w14:paraId="770257CC"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FEF33AF"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9E7CBF" w14:textId="77777777" w:rsidR="00000000" w:rsidRDefault="0068293C">
            <w:pPr>
              <w:spacing w:after="100"/>
              <w:rPr>
                <w:rFonts w:eastAsia="Times New Roman"/>
                <w:sz w:val="20"/>
                <w:szCs w:val="20"/>
              </w:rPr>
            </w:pPr>
          </w:p>
        </w:tc>
      </w:tr>
      <w:tr w:rsidR="00000000" w14:paraId="57734230" w14:textId="77777777">
        <w:trPr>
          <w:divId w:val="1293172086"/>
        </w:trPr>
        <w:tc>
          <w:tcPr>
            <w:tcW w:w="0" w:type="auto"/>
            <w:gridSpan w:val="3"/>
            <w:tcMar>
              <w:top w:w="30" w:type="dxa"/>
              <w:left w:w="20" w:type="dxa"/>
              <w:bottom w:w="30" w:type="dxa"/>
              <w:right w:w="20" w:type="dxa"/>
            </w:tcMar>
            <w:hideMark/>
          </w:tcPr>
          <w:p w14:paraId="52863F66" w14:textId="77777777" w:rsidR="00000000" w:rsidRDefault="0068293C">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14:paraId="033AFF61" w14:textId="77777777" w:rsidR="00000000" w:rsidRDefault="0068293C">
            <w:pPr>
              <w:spacing w:after="100"/>
              <w:divId w:val="717705836"/>
              <w:rPr>
                <w:rFonts w:eastAsia="Times New Roman"/>
              </w:rPr>
            </w:pPr>
            <w:hyperlink w:anchor="i78484f3d0d8e4e36a7c87ddd6ea9d725_169"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0963DF1E" w14:textId="77777777" w:rsidR="00000000" w:rsidRDefault="0068293C">
            <w:pPr>
              <w:spacing w:after="100"/>
              <w:jc w:val="right"/>
              <w:rPr>
                <w:rFonts w:eastAsia="Times New Roman"/>
              </w:rPr>
            </w:pPr>
            <w:hyperlink w:anchor="i78484f3d0d8e4e36a7c87ddd6ea9d725_169" w:history="1">
              <w:r>
                <w:rPr>
                  <w:rStyle w:val="a3"/>
                  <w:rFonts w:eastAsia="Times New Roman"/>
                  <w:sz w:val="20"/>
                  <w:szCs w:val="20"/>
                </w:rPr>
                <w:t>50</w:t>
              </w:r>
            </w:hyperlink>
          </w:p>
        </w:tc>
      </w:tr>
      <w:tr w:rsidR="00000000" w14:paraId="240F7AA2" w14:textId="77777777">
        <w:trPr>
          <w:divId w:val="1293172086"/>
          <w:trHeight w:val="180"/>
        </w:trPr>
        <w:tc>
          <w:tcPr>
            <w:tcW w:w="0" w:type="auto"/>
            <w:gridSpan w:val="3"/>
            <w:tcMar>
              <w:top w:w="0" w:type="dxa"/>
              <w:left w:w="20" w:type="dxa"/>
              <w:bottom w:w="0" w:type="dxa"/>
              <w:right w:w="20" w:type="dxa"/>
            </w:tcMar>
            <w:vAlign w:val="center"/>
            <w:hideMark/>
          </w:tcPr>
          <w:p w14:paraId="7BBF166C"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CC2CD6"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E0F477" w14:textId="77777777" w:rsidR="00000000" w:rsidRDefault="0068293C">
            <w:pPr>
              <w:spacing w:after="100"/>
              <w:rPr>
                <w:rFonts w:eastAsia="Times New Roman"/>
                <w:sz w:val="20"/>
                <w:szCs w:val="20"/>
              </w:rPr>
            </w:pPr>
          </w:p>
        </w:tc>
      </w:tr>
      <w:tr w:rsidR="00000000" w14:paraId="058BECE5" w14:textId="77777777">
        <w:trPr>
          <w:divId w:val="1293172086"/>
        </w:trPr>
        <w:tc>
          <w:tcPr>
            <w:tcW w:w="0" w:type="auto"/>
            <w:gridSpan w:val="3"/>
            <w:tcMar>
              <w:top w:w="30" w:type="dxa"/>
              <w:left w:w="20" w:type="dxa"/>
              <w:bottom w:w="30" w:type="dxa"/>
              <w:right w:w="20" w:type="dxa"/>
            </w:tcMar>
            <w:hideMark/>
          </w:tcPr>
          <w:p w14:paraId="00E06702" w14:textId="77777777" w:rsidR="00000000" w:rsidRDefault="0068293C">
            <w:pPr>
              <w:spacing w:after="100"/>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14:paraId="3BDC5626" w14:textId="77777777" w:rsidR="00000000" w:rsidRDefault="0068293C">
            <w:pPr>
              <w:spacing w:after="100"/>
              <w:divId w:val="659313328"/>
              <w:rPr>
                <w:rFonts w:eastAsia="Times New Roman"/>
              </w:rPr>
            </w:pPr>
            <w:hyperlink w:anchor="i78484f3d0d8e4e36a7c87ddd6ea9d725_17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0EE1BFE8" w14:textId="77777777" w:rsidR="00000000" w:rsidRDefault="0068293C">
            <w:pPr>
              <w:spacing w:after="100"/>
              <w:jc w:val="right"/>
              <w:rPr>
                <w:rFonts w:eastAsia="Times New Roman"/>
              </w:rPr>
            </w:pPr>
            <w:hyperlink w:anchor="i78484f3d0d8e4e36a7c87ddd6ea9d725_172" w:history="1">
              <w:r>
                <w:rPr>
                  <w:rStyle w:val="a3"/>
                  <w:rFonts w:eastAsia="Times New Roman"/>
                  <w:sz w:val="20"/>
                  <w:szCs w:val="20"/>
                </w:rPr>
                <w:t>50</w:t>
              </w:r>
            </w:hyperlink>
          </w:p>
        </w:tc>
      </w:tr>
      <w:tr w:rsidR="00000000" w14:paraId="19D18C61" w14:textId="77777777">
        <w:trPr>
          <w:divId w:val="1293172086"/>
          <w:trHeight w:val="180"/>
        </w:trPr>
        <w:tc>
          <w:tcPr>
            <w:tcW w:w="0" w:type="auto"/>
            <w:gridSpan w:val="3"/>
            <w:tcMar>
              <w:top w:w="0" w:type="dxa"/>
              <w:left w:w="20" w:type="dxa"/>
              <w:bottom w:w="0" w:type="dxa"/>
              <w:right w:w="20" w:type="dxa"/>
            </w:tcMar>
            <w:vAlign w:val="center"/>
            <w:hideMark/>
          </w:tcPr>
          <w:p w14:paraId="640BB6DA"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72A2BC"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D9E276" w14:textId="77777777" w:rsidR="00000000" w:rsidRDefault="0068293C">
            <w:pPr>
              <w:spacing w:after="100"/>
              <w:rPr>
                <w:rFonts w:eastAsia="Times New Roman"/>
                <w:sz w:val="20"/>
                <w:szCs w:val="20"/>
              </w:rPr>
            </w:pPr>
          </w:p>
        </w:tc>
      </w:tr>
      <w:tr w:rsidR="00000000" w14:paraId="7ED643A7" w14:textId="77777777">
        <w:trPr>
          <w:divId w:val="1293172086"/>
        </w:trPr>
        <w:tc>
          <w:tcPr>
            <w:tcW w:w="0" w:type="auto"/>
            <w:gridSpan w:val="3"/>
            <w:tcMar>
              <w:top w:w="30" w:type="dxa"/>
              <w:left w:w="20" w:type="dxa"/>
              <w:bottom w:w="30" w:type="dxa"/>
              <w:right w:w="20" w:type="dxa"/>
            </w:tcMar>
            <w:hideMark/>
          </w:tcPr>
          <w:p w14:paraId="170331F8" w14:textId="77777777" w:rsidR="00000000" w:rsidRDefault="0068293C">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14:paraId="70A0AA91" w14:textId="77777777" w:rsidR="00000000" w:rsidRDefault="0068293C">
            <w:pPr>
              <w:spacing w:after="100"/>
              <w:divId w:val="979067353"/>
              <w:rPr>
                <w:rFonts w:eastAsia="Times New Roman"/>
              </w:rPr>
            </w:pPr>
            <w:hyperlink w:anchor="i78484f3d0d8e4e36a7c87ddd6ea9d725_175"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14:paraId="5EBC74B6" w14:textId="77777777" w:rsidR="00000000" w:rsidRDefault="0068293C">
            <w:pPr>
              <w:spacing w:after="100"/>
              <w:jc w:val="right"/>
              <w:rPr>
                <w:rFonts w:eastAsia="Times New Roman"/>
              </w:rPr>
            </w:pPr>
            <w:hyperlink w:anchor="i78484f3d0d8e4e36a7c87ddd6ea9d725_175" w:history="1">
              <w:r>
                <w:rPr>
                  <w:rStyle w:val="a3"/>
                  <w:rFonts w:eastAsia="Times New Roman"/>
                  <w:sz w:val="20"/>
                  <w:szCs w:val="20"/>
                </w:rPr>
                <w:t>50</w:t>
              </w:r>
            </w:hyperlink>
          </w:p>
        </w:tc>
      </w:tr>
      <w:tr w:rsidR="00000000" w14:paraId="15C5B2E5" w14:textId="77777777">
        <w:trPr>
          <w:divId w:val="1293172086"/>
          <w:trHeight w:val="180"/>
        </w:trPr>
        <w:tc>
          <w:tcPr>
            <w:tcW w:w="0" w:type="auto"/>
            <w:gridSpan w:val="3"/>
            <w:tcMar>
              <w:top w:w="0" w:type="dxa"/>
              <w:left w:w="20" w:type="dxa"/>
              <w:bottom w:w="0" w:type="dxa"/>
              <w:right w:w="20" w:type="dxa"/>
            </w:tcMar>
            <w:vAlign w:val="center"/>
            <w:hideMark/>
          </w:tcPr>
          <w:p w14:paraId="7CEE6031"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FED21D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377664" w14:textId="77777777" w:rsidR="00000000" w:rsidRDefault="0068293C">
            <w:pPr>
              <w:spacing w:after="100"/>
              <w:rPr>
                <w:rFonts w:eastAsia="Times New Roman"/>
                <w:sz w:val="20"/>
                <w:szCs w:val="20"/>
              </w:rPr>
            </w:pPr>
          </w:p>
        </w:tc>
      </w:tr>
      <w:tr w:rsidR="00000000" w14:paraId="246B6588" w14:textId="77777777">
        <w:trPr>
          <w:divId w:val="1293172086"/>
        </w:trPr>
        <w:tc>
          <w:tcPr>
            <w:tcW w:w="0" w:type="auto"/>
            <w:gridSpan w:val="3"/>
            <w:tcMar>
              <w:top w:w="30" w:type="dxa"/>
              <w:left w:w="20" w:type="dxa"/>
              <w:bottom w:w="30" w:type="dxa"/>
              <w:right w:w="20" w:type="dxa"/>
            </w:tcMar>
            <w:hideMark/>
          </w:tcPr>
          <w:p w14:paraId="5C6CC97D" w14:textId="77777777" w:rsidR="00000000" w:rsidRDefault="0068293C">
            <w:pPr>
              <w:spacing w:after="100"/>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14:paraId="547AB97E" w14:textId="77777777" w:rsidR="00000000" w:rsidRDefault="0068293C">
            <w:pPr>
              <w:spacing w:after="100"/>
              <w:divId w:val="1622028953"/>
              <w:rPr>
                <w:rFonts w:eastAsia="Times New Roman"/>
              </w:rPr>
            </w:pPr>
            <w:hyperlink w:anchor="i78484f3d0d8e4e36a7c87ddd6ea9d725_178"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14:paraId="032B04FF" w14:textId="77777777" w:rsidR="00000000" w:rsidRDefault="0068293C">
            <w:pPr>
              <w:spacing w:after="100"/>
              <w:jc w:val="right"/>
              <w:rPr>
                <w:rFonts w:eastAsia="Times New Roman"/>
              </w:rPr>
            </w:pPr>
            <w:hyperlink w:anchor="i78484f3d0d8e4e36a7c87ddd6ea9d725_178" w:history="1">
              <w:r>
                <w:rPr>
                  <w:rStyle w:val="a3"/>
                  <w:rFonts w:eastAsia="Times New Roman"/>
                  <w:sz w:val="20"/>
                  <w:szCs w:val="20"/>
                </w:rPr>
                <w:t>51</w:t>
              </w:r>
            </w:hyperlink>
          </w:p>
        </w:tc>
      </w:tr>
      <w:tr w:rsidR="00000000" w14:paraId="679E1556" w14:textId="77777777">
        <w:trPr>
          <w:divId w:val="1293172086"/>
          <w:trHeight w:val="180"/>
        </w:trPr>
        <w:tc>
          <w:tcPr>
            <w:tcW w:w="0" w:type="auto"/>
            <w:gridSpan w:val="3"/>
            <w:tcMar>
              <w:top w:w="0" w:type="dxa"/>
              <w:left w:w="20" w:type="dxa"/>
              <w:bottom w:w="0" w:type="dxa"/>
              <w:right w:w="20" w:type="dxa"/>
            </w:tcMar>
            <w:vAlign w:val="center"/>
            <w:hideMark/>
          </w:tcPr>
          <w:p w14:paraId="4722E368"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07AE4D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A9368A" w14:textId="77777777" w:rsidR="00000000" w:rsidRDefault="0068293C">
            <w:pPr>
              <w:spacing w:after="100"/>
              <w:rPr>
                <w:rFonts w:eastAsia="Times New Roman"/>
                <w:sz w:val="20"/>
                <w:szCs w:val="20"/>
              </w:rPr>
            </w:pPr>
          </w:p>
        </w:tc>
      </w:tr>
      <w:tr w:rsidR="00000000" w14:paraId="2DDDBA11" w14:textId="77777777">
        <w:trPr>
          <w:divId w:val="1293172086"/>
        </w:trPr>
        <w:tc>
          <w:tcPr>
            <w:tcW w:w="0" w:type="auto"/>
            <w:gridSpan w:val="3"/>
            <w:tcMar>
              <w:top w:w="0" w:type="dxa"/>
              <w:left w:w="20" w:type="dxa"/>
              <w:bottom w:w="0" w:type="dxa"/>
              <w:right w:w="20" w:type="dxa"/>
            </w:tcMar>
            <w:vAlign w:val="center"/>
            <w:hideMark/>
          </w:tcPr>
          <w:p w14:paraId="36A56FD7"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3C05EA8" w14:textId="77777777" w:rsidR="00000000" w:rsidRDefault="0068293C">
            <w:pPr>
              <w:spacing w:after="100"/>
              <w:divId w:val="968900452"/>
              <w:rPr>
                <w:rFonts w:eastAsia="Times New Roman"/>
              </w:rPr>
            </w:pPr>
            <w:hyperlink w:anchor="i78484f3d0d8e4e36a7c87ddd6ea9d725_181"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14:paraId="05FBF474" w14:textId="77777777" w:rsidR="00000000" w:rsidRDefault="0068293C">
            <w:pPr>
              <w:spacing w:after="100"/>
              <w:jc w:val="right"/>
              <w:rPr>
                <w:rFonts w:eastAsia="Times New Roman"/>
              </w:rPr>
            </w:pPr>
            <w:hyperlink w:anchor="i78484f3d0d8e4e36a7c87ddd6ea9d725_181" w:history="1">
              <w:r>
                <w:rPr>
                  <w:rStyle w:val="a3"/>
                  <w:rFonts w:eastAsia="Times New Roman"/>
                  <w:sz w:val="20"/>
                  <w:szCs w:val="20"/>
                </w:rPr>
                <w:t>52</w:t>
              </w:r>
            </w:hyperlink>
          </w:p>
        </w:tc>
      </w:tr>
    </w:tbl>
    <w:p w14:paraId="2E37F34C" w14:textId="77777777" w:rsidR="00000000" w:rsidRDefault="0068293C">
      <w:pPr>
        <w:divId w:val="1694069596"/>
        <w:rPr>
          <w:rFonts w:eastAsia="Times New Roman"/>
        </w:rPr>
      </w:pPr>
    </w:p>
    <w:p w14:paraId="337D6B46" w14:textId="77777777" w:rsidR="00000000" w:rsidRDefault="0068293C">
      <w:pPr>
        <w:divId w:val="782924309"/>
        <w:rPr>
          <w:rFonts w:eastAsia="Times New Roman"/>
        </w:rPr>
      </w:pPr>
    </w:p>
    <w:p w14:paraId="6D892CE6" w14:textId="77777777" w:rsidR="00000000" w:rsidRDefault="0068293C">
      <w:pPr>
        <w:jc w:val="center"/>
        <w:divId w:val="376513251"/>
        <w:rPr>
          <w:rFonts w:eastAsia="Times New Roman"/>
        </w:rPr>
      </w:pPr>
      <w:r>
        <w:rPr>
          <w:rFonts w:eastAsia="Times New Roman"/>
          <w:color w:val="000000"/>
          <w:sz w:val="20"/>
          <w:szCs w:val="20"/>
        </w:rPr>
        <w:t>2</w:t>
      </w:r>
    </w:p>
    <w:p w14:paraId="428C76E7" w14:textId="77777777" w:rsidR="00000000" w:rsidRDefault="0068293C">
      <w:pPr>
        <w:rPr>
          <w:rFonts w:eastAsia="Times New Roman"/>
        </w:rPr>
      </w:pPr>
      <w:r>
        <w:rPr>
          <w:rFonts w:eastAsia="Times New Roman"/>
        </w:rPr>
        <w:pict w14:anchorId="021EDAFF">
          <v:rect id="_x0000_i1027" style="width:0;height:1.5pt" o:hralign="center" o:hrstd="t" o:hr="t" fillcolor="#a0a0a0" stroked="f"/>
        </w:pict>
      </w:r>
    </w:p>
    <w:p w14:paraId="21BA65CB" w14:textId="77777777" w:rsidR="00000000" w:rsidRDefault="0068293C">
      <w:pPr>
        <w:divId w:val="1021082708"/>
        <w:rPr>
          <w:rFonts w:eastAsia="Times New Roman"/>
        </w:rPr>
      </w:pPr>
      <w:hyperlink w:anchor="i78484f3d0d8e4e36a7c87ddd6ea9d725_7" w:history="1">
        <w:r>
          <w:rPr>
            <w:rStyle w:val="a3"/>
            <w:rFonts w:eastAsia="Times New Roman"/>
            <w:sz w:val="16"/>
            <w:szCs w:val="16"/>
          </w:rPr>
          <w:t>Table of Contents</w:t>
        </w:r>
      </w:hyperlink>
    </w:p>
    <w:p w14:paraId="06DFE97A" w14:textId="77777777" w:rsidR="00000000" w:rsidRDefault="0068293C">
      <w:pPr>
        <w:divId w:val="1988513527"/>
        <w:rPr>
          <w:rFonts w:eastAsia="Times New Roman"/>
        </w:rPr>
      </w:pPr>
      <w:r>
        <w:rPr>
          <w:rFonts w:eastAsia="Times New Roman"/>
          <w:b/>
          <w:bCs/>
          <w:color w:val="000000"/>
          <w:sz w:val="20"/>
          <w:szCs w:val="20"/>
        </w:rPr>
        <w:t>Part I. Financial Information</w:t>
      </w:r>
    </w:p>
    <w:p w14:paraId="570CA0CC" w14:textId="77777777" w:rsidR="00000000" w:rsidRDefault="0068293C">
      <w:pPr>
        <w:divId w:val="94836838"/>
        <w:rPr>
          <w:rFonts w:eastAsia="Times New Roman"/>
        </w:rPr>
      </w:pPr>
      <w:r>
        <w:rPr>
          <w:rFonts w:eastAsia="Times New Roman"/>
          <w:color w:val="000000"/>
          <w:sz w:val="18"/>
          <w:szCs w:val="18"/>
        </w:rPr>
        <w:t> </w:t>
      </w:r>
    </w:p>
    <w:p w14:paraId="1A8183C9" w14:textId="77777777" w:rsidR="00000000" w:rsidRDefault="0068293C">
      <w:pPr>
        <w:ind w:hanging="1170"/>
        <w:divId w:val="531921155"/>
        <w:rPr>
          <w:rFonts w:eastAsia="Times New Roman"/>
        </w:rPr>
      </w:pPr>
      <w:r>
        <w:rPr>
          <w:rFonts w:eastAsia="Times New Roman"/>
          <w:b/>
          <w:bCs/>
          <w:color w:val="000000"/>
          <w:sz w:val="20"/>
          <w:szCs w:val="20"/>
        </w:rPr>
        <w:t>Item 1.    FINANCIAL STATEMENTS</w:t>
      </w:r>
    </w:p>
    <w:p w14:paraId="75A9690B" w14:textId="77777777" w:rsidR="00000000" w:rsidRDefault="0068293C">
      <w:pPr>
        <w:ind w:firstLine="720"/>
        <w:jc w:val="center"/>
        <w:rPr>
          <w:rFonts w:eastAsia="Times New Roman"/>
        </w:rPr>
      </w:pPr>
      <w:r>
        <w:rPr>
          <w:rFonts w:eastAsia="Times New Roman"/>
          <w:b/>
          <w:bCs/>
          <w:color w:val="000000"/>
          <w:sz w:val="20"/>
          <w:szCs w:val="20"/>
        </w:rPr>
        <w:t>NCR Corporation</w:t>
      </w:r>
    </w:p>
    <w:p w14:paraId="7F2FBF95" w14:textId="77777777" w:rsidR="00000000" w:rsidRDefault="0068293C">
      <w:pPr>
        <w:jc w:val="center"/>
        <w:rPr>
          <w:rFonts w:eastAsia="Times New Roman"/>
        </w:rPr>
      </w:pPr>
      <w:r>
        <w:rPr>
          <w:rFonts w:eastAsia="Times New Roman"/>
          <w:b/>
          <w:bCs/>
          <w:color w:val="000000"/>
          <w:sz w:val="20"/>
          <w:szCs w:val="20"/>
        </w:rPr>
        <w:t>Condensed Consolidated Statements of Operations (Unaudited)</w:t>
      </w:r>
      <w:r>
        <w:rPr>
          <w:rFonts w:eastAsia="Times New Roman"/>
          <w:color w:val="000000"/>
          <w:sz w:val="18"/>
          <w:szCs w:val="18"/>
        </w:rPr>
        <w:t> </w:t>
      </w:r>
    </w:p>
    <w:tbl>
      <w:tblPr>
        <w:tblW w:w="4444" w:type="pct"/>
        <w:jc w:val="center"/>
        <w:tblCellMar>
          <w:top w:w="15" w:type="dxa"/>
          <w:left w:w="15" w:type="dxa"/>
          <w:bottom w:w="15" w:type="dxa"/>
          <w:right w:w="15" w:type="dxa"/>
        </w:tblCellMar>
        <w:tblLook w:val="04A0" w:firstRow="1" w:lastRow="0" w:firstColumn="1" w:lastColumn="0" w:noHBand="0" w:noVBand="1"/>
      </w:tblPr>
      <w:tblGrid>
        <w:gridCol w:w="40"/>
        <w:gridCol w:w="4703"/>
        <w:gridCol w:w="39"/>
        <w:gridCol w:w="120"/>
        <w:gridCol w:w="1097"/>
        <w:gridCol w:w="36"/>
        <w:gridCol w:w="36"/>
        <w:gridCol w:w="36"/>
        <w:gridCol w:w="36"/>
        <w:gridCol w:w="120"/>
        <w:gridCol w:w="1083"/>
        <w:gridCol w:w="36"/>
      </w:tblGrid>
      <w:tr w:rsidR="00000000" w14:paraId="13FDB52A" w14:textId="77777777">
        <w:trPr>
          <w:divId w:val="111751985"/>
          <w:jc w:val="center"/>
        </w:trPr>
        <w:tc>
          <w:tcPr>
            <w:tcW w:w="50" w:type="pct"/>
            <w:vAlign w:val="center"/>
            <w:hideMark/>
          </w:tcPr>
          <w:p w14:paraId="65D5A93E" w14:textId="77777777" w:rsidR="00000000" w:rsidRDefault="0068293C">
            <w:pPr>
              <w:jc w:val="center"/>
              <w:rPr>
                <w:rFonts w:eastAsia="Times New Roman"/>
              </w:rPr>
            </w:pPr>
          </w:p>
        </w:tc>
        <w:tc>
          <w:tcPr>
            <w:tcW w:w="3226" w:type="pct"/>
            <w:vAlign w:val="center"/>
            <w:hideMark/>
          </w:tcPr>
          <w:p w14:paraId="50CAA1F0" w14:textId="77777777" w:rsidR="00000000" w:rsidRDefault="0068293C">
            <w:pPr>
              <w:spacing w:after="100"/>
              <w:rPr>
                <w:rFonts w:eastAsia="Times New Roman"/>
                <w:sz w:val="20"/>
                <w:szCs w:val="20"/>
              </w:rPr>
            </w:pPr>
          </w:p>
        </w:tc>
        <w:tc>
          <w:tcPr>
            <w:tcW w:w="5" w:type="pct"/>
            <w:vAlign w:val="center"/>
            <w:hideMark/>
          </w:tcPr>
          <w:p w14:paraId="08B35C0B" w14:textId="77777777" w:rsidR="00000000" w:rsidRDefault="0068293C">
            <w:pPr>
              <w:spacing w:after="100"/>
              <w:rPr>
                <w:rFonts w:eastAsia="Times New Roman"/>
                <w:sz w:val="20"/>
                <w:szCs w:val="20"/>
              </w:rPr>
            </w:pPr>
          </w:p>
        </w:tc>
        <w:tc>
          <w:tcPr>
            <w:tcW w:w="50" w:type="pct"/>
            <w:vAlign w:val="center"/>
            <w:hideMark/>
          </w:tcPr>
          <w:p w14:paraId="63DEBC07" w14:textId="77777777" w:rsidR="00000000" w:rsidRDefault="0068293C">
            <w:pPr>
              <w:spacing w:after="100"/>
              <w:rPr>
                <w:rFonts w:eastAsia="Times New Roman"/>
                <w:sz w:val="20"/>
                <w:szCs w:val="20"/>
              </w:rPr>
            </w:pPr>
          </w:p>
        </w:tc>
        <w:tc>
          <w:tcPr>
            <w:tcW w:w="775" w:type="pct"/>
            <w:vAlign w:val="center"/>
            <w:hideMark/>
          </w:tcPr>
          <w:p w14:paraId="72E054EC" w14:textId="77777777" w:rsidR="00000000" w:rsidRDefault="0068293C">
            <w:pPr>
              <w:spacing w:after="100"/>
              <w:rPr>
                <w:rFonts w:eastAsia="Times New Roman"/>
                <w:sz w:val="20"/>
                <w:szCs w:val="20"/>
              </w:rPr>
            </w:pPr>
          </w:p>
        </w:tc>
        <w:tc>
          <w:tcPr>
            <w:tcW w:w="5" w:type="pct"/>
            <w:vAlign w:val="center"/>
            <w:hideMark/>
          </w:tcPr>
          <w:p w14:paraId="2326CFA8" w14:textId="77777777" w:rsidR="00000000" w:rsidRDefault="0068293C">
            <w:pPr>
              <w:spacing w:after="100"/>
              <w:rPr>
                <w:rFonts w:eastAsia="Times New Roman"/>
                <w:sz w:val="20"/>
                <w:szCs w:val="20"/>
              </w:rPr>
            </w:pPr>
          </w:p>
        </w:tc>
        <w:tc>
          <w:tcPr>
            <w:tcW w:w="5" w:type="pct"/>
            <w:vAlign w:val="center"/>
            <w:hideMark/>
          </w:tcPr>
          <w:p w14:paraId="22F9257E" w14:textId="77777777" w:rsidR="00000000" w:rsidRDefault="0068293C">
            <w:pPr>
              <w:spacing w:after="100"/>
              <w:rPr>
                <w:rFonts w:eastAsia="Times New Roman"/>
                <w:sz w:val="20"/>
                <w:szCs w:val="20"/>
              </w:rPr>
            </w:pPr>
          </w:p>
        </w:tc>
        <w:tc>
          <w:tcPr>
            <w:tcW w:w="47" w:type="pct"/>
            <w:vAlign w:val="center"/>
            <w:hideMark/>
          </w:tcPr>
          <w:p w14:paraId="4B2014DC" w14:textId="77777777" w:rsidR="00000000" w:rsidRDefault="0068293C">
            <w:pPr>
              <w:spacing w:after="100"/>
              <w:rPr>
                <w:rFonts w:eastAsia="Times New Roman"/>
                <w:sz w:val="20"/>
                <w:szCs w:val="20"/>
              </w:rPr>
            </w:pPr>
          </w:p>
        </w:tc>
        <w:tc>
          <w:tcPr>
            <w:tcW w:w="5" w:type="pct"/>
            <w:vAlign w:val="center"/>
            <w:hideMark/>
          </w:tcPr>
          <w:p w14:paraId="28CD1DB4" w14:textId="77777777" w:rsidR="00000000" w:rsidRDefault="0068293C">
            <w:pPr>
              <w:spacing w:after="100"/>
              <w:rPr>
                <w:rFonts w:eastAsia="Times New Roman"/>
                <w:sz w:val="20"/>
                <w:szCs w:val="20"/>
              </w:rPr>
            </w:pPr>
          </w:p>
        </w:tc>
        <w:tc>
          <w:tcPr>
            <w:tcW w:w="50" w:type="pct"/>
            <w:vAlign w:val="center"/>
            <w:hideMark/>
          </w:tcPr>
          <w:p w14:paraId="5FF95DCD" w14:textId="77777777" w:rsidR="00000000" w:rsidRDefault="0068293C">
            <w:pPr>
              <w:spacing w:after="100"/>
              <w:rPr>
                <w:rFonts w:eastAsia="Times New Roman"/>
                <w:sz w:val="20"/>
                <w:szCs w:val="20"/>
              </w:rPr>
            </w:pPr>
          </w:p>
        </w:tc>
        <w:tc>
          <w:tcPr>
            <w:tcW w:w="775" w:type="pct"/>
            <w:vAlign w:val="center"/>
            <w:hideMark/>
          </w:tcPr>
          <w:p w14:paraId="7C907263" w14:textId="77777777" w:rsidR="00000000" w:rsidRDefault="0068293C">
            <w:pPr>
              <w:spacing w:after="100"/>
              <w:rPr>
                <w:rFonts w:eastAsia="Times New Roman"/>
                <w:sz w:val="20"/>
                <w:szCs w:val="20"/>
              </w:rPr>
            </w:pPr>
          </w:p>
        </w:tc>
        <w:tc>
          <w:tcPr>
            <w:tcW w:w="5" w:type="pct"/>
            <w:vAlign w:val="center"/>
            <w:hideMark/>
          </w:tcPr>
          <w:p w14:paraId="4C8135E7" w14:textId="77777777" w:rsidR="00000000" w:rsidRDefault="0068293C">
            <w:pPr>
              <w:spacing w:after="100"/>
              <w:rPr>
                <w:rFonts w:eastAsia="Times New Roman"/>
                <w:sz w:val="20"/>
                <w:szCs w:val="20"/>
              </w:rPr>
            </w:pPr>
          </w:p>
        </w:tc>
      </w:tr>
      <w:tr w:rsidR="00000000" w14:paraId="34105DA8" w14:textId="77777777">
        <w:trPr>
          <w:divId w:val="111751985"/>
          <w:trHeight w:val="420"/>
          <w:jc w:val="center"/>
        </w:trPr>
        <w:tc>
          <w:tcPr>
            <w:tcW w:w="0" w:type="auto"/>
            <w:gridSpan w:val="3"/>
            <w:vMerge w:val="restart"/>
            <w:tcMar>
              <w:top w:w="30" w:type="dxa"/>
              <w:left w:w="20" w:type="dxa"/>
              <w:bottom w:w="30" w:type="dxa"/>
              <w:right w:w="20" w:type="dxa"/>
            </w:tcMar>
            <w:vAlign w:val="bottom"/>
            <w:hideMark/>
          </w:tcPr>
          <w:p w14:paraId="071BC25C" w14:textId="77777777" w:rsidR="00000000" w:rsidRDefault="0068293C">
            <w:pPr>
              <w:spacing w:after="100"/>
              <w:rPr>
                <w:rFonts w:eastAsia="Times New Roman"/>
              </w:rPr>
            </w:pPr>
            <w:r>
              <w:rPr>
                <w:rFonts w:eastAsia="Times New Roman"/>
                <w:b/>
                <w:bCs/>
                <w:color w:val="000000"/>
                <w:sz w:val="16"/>
                <w:szCs w:val="16"/>
              </w:rPr>
              <w:t>In millions, except per share amounts</w:t>
            </w:r>
          </w:p>
        </w:tc>
        <w:tc>
          <w:tcPr>
            <w:tcW w:w="0" w:type="auto"/>
            <w:gridSpan w:val="9"/>
            <w:tcMar>
              <w:top w:w="30" w:type="dxa"/>
              <w:left w:w="20" w:type="dxa"/>
              <w:bottom w:w="30" w:type="dxa"/>
              <w:right w:w="20" w:type="dxa"/>
            </w:tcMar>
            <w:vAlign w:val="bottom"/>
            <w:hideMark/>
          </w:tcPr>
          <w:p w14:paraId="4EFBFC71"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191643CB" w14:textId="77777777">
        <w:trPr>
          <w:divId w:val="111751985"/>
          <w:trHeight w:val="240"/>
          <w:jc w:val="center"/>
        </w:trPr>
        <w:tc>
          <w:tcPr>
            <w:tcW w:w="0" w:type="auto"/>
            <w:gridSpan w:val="3"/>
            <w:vMerge/>
            <w:vAlign w:val="center"/>
            <w:hideMark/>
          </w:tcPr>
          <w:p w14:paraId="72E5D15E"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9DED18"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69DABE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D986D4"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74435D4B" w14:textId="77777777">
        <w:trPr>
          <w:divId w:val="111751985"/>
          <w:jc w:val="center"/>
        </w:trPr>
        <w:tc>
          <w:tcPr>
            <w:tcW w:w="0" w:type="auto"/>
            <w:gridSpan w:val="3"/>
            <w:shd w:val="clear" w:color="auto" w:fill="CCEEFF"/>
            <w:tcMar>
              <w:top w:w="30" w:type="dxa"/>
              <w:left w:w="20" w:type="dxa"/>
              <w:bottom w:w="30" w:type="dxa"/>
              <w:right w:w="20" w:type="dxa"/>
            </w:tcMar>
            <w:hideMark/>
          </w:tcPr>
          <w:p w14:paraId="06336EE2" w14:textId="77777777" w:rsidR="00000000" w:rsidRDefault="0068293C">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31870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16EB58" w14:textId="77777777" w:rsidR="00000000" w:rsidRDefault="0068293C">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4F5EE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92FF2"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B110D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DFBBE1" w14:textId="77777777" w:rsidR="00000000" w:rsidRDefault="0068293C">
            <w:pPr>
              <w:spacing w:after="100"/>
              <w:jc w:val="right"/>
              <w:rPr>
                <w:rFonts w:eastAsia="Times New Roman"/>
              </w:rPr>
            </w:pPr>
            <w:r>
              <w:rPr>
                <w:rFonts w:eastAsia="Times New Roman"/>
                <w:color w:val="000000"/>
                <w:sz w:val="20"/>
                <w:szCs w:val="20"/>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37945C" w14:textId="77777777" w:rsidR="00000000" w:rsidRDefault="0068293C">
            <w:pPr>
              <w:spacing w:after="100"/>
              <w:jc w:val="right"/>
              <w:rPr>
                <w:rFonts w:eastAsia="Times New Roman"/>
              </w:rPr>
            </w:pPr>
          </w:p>
        </w:tc>
      </w:tr>
      <w:tr w:rsidR="00000000" w14:paraId="561C7EC7" w14:textId="77777777">
        <w:trPr>
          <w:divId w:val="111751985"/>
          <w:jc w:val="center"/>
        </w:trPr>
        <w:tc>
          <w:tcPr>
            <w:tcW w:w="0" w:type="auto"/>
            <w:gridSpan w:val="3"/>
            <w:shd w:val="clear" w:color="auto" w:fill="FFFFFF"/>
            <w:tcMar>
              <w:top w:w="30" w:type="dxa"/>
              <w:left w:w="20" w:type="dxa"/>
              <w:bottom w:w="30" w:type="dxa"/>
              <w:right w:w="20" w:type="dxa"/>
            </w:tcMar>
            <w:hideMark/>
          </w:tcPr>
          <w:p w14:paraId="575EF836" w14:textId="77777777" w:rsidR="00000000" w:rsidRDefault="0068293C">
            <w:pPr>
              <w:spacing w:after="100"/>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14:paraId="71651418" w14:textId="77777777" w:rsidR="00000000" w:rsidRDefault="0068293C">
            <w:pPr>
              <w:spacing w:after="100"/>
              <w:jc w:val="right"/>
              <w:rPr>
                <w:rFonts w:eastAsia="Times New Roman"/>
              </w:rPr>
            </w:pPr>
            <w:r>
              <w:rPr>
                <w:rFonts w:eastAsia="Times New Roman"/>
                <w:b/>
                <w:bCs/>
                <w:color w:val="000000"/>
                <w:sz w:val="20"/>
                <w:szCs w:val="20"/>
              </w:rPr>
              <w:t>1,350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C0CCD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E173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4D4FAE" w14:textId="77777777" w:rsidR="00000000" w:rsidRDefault="0068293C">
            <w:pPr>
              <w:spacing w:after="100"/>
              <w:jc w:val="right"/>
              <w:rPr>
                <w:rFonts w:eastAsia="Times New Roman"/>
              </w:rPr>
            </w:pPr>
            <w:r>
              <w:rPr>
                <w:rFonts w:eastAsia="Times New Roman"/>
                <w:color w:val="000000"/>
                <w:sz w:val="20"/>
                <w:szCs w:val="20"/>
              </w:rPr>
              <w:t>1,062 </w:t>
            </w:r>
          </w:p>
        </w:tc>
        <w:tc>
          <w:tcPr>
            <w:tcW w:w="0" w:type="auto"/>
            <w:shd w:val="clear" w:color="auto" w:fill="FFFFFF"/>
            <w:tcMar>
              <w:top w:w="30" w:type="dxa"/>
              <w:left w:w="0" w:type="dxa"/>
              <w:bottom w:w="30" w:type="dxa"/>
              <w:right w:w="20" w:type="dxa"/>
            </w:tcMar>
            <w:vAlign w:val="bottom"/>
            <w:hideMark/>
          </w:tcPr>
          <w:p w14:paraId="68F690C3" w14:textId="77777777" w:rsidR="00000000" w:rsidRDefault="0068293C">
            <w:pPr>
              <w:spacing w:after="100"/>
              <w:jc w:val="right"/>
              <w:rPr>
                <w:rFonts w:eastAsia="Times New Roman"/>
              </w:rPr>
            </w:pPr>
          </w:p>
        </w:tc>
      </w:tr>
      <w:tr w:rsidR="00000000" w14:paraId="58FA960B" w14:textId="77777777">
        <w:trPr>
          <w:divId w:val="111751985"/>
          <w:jc w:val="center"/>
        </w:trPr>
        <w:tc>
          <w:tcPr>
            <w:tcW w:w="0" w:type="auto"/>
            <w:gridSpan w:val="3"/>
            <w:shd w:val="clear" w:color="auto" w:fill="CCEEFF"/>
            <w:tcMar>
              <w:top w:w="30" w:type="dxa"/>
              <w:left w:w="20" w:type="dxa"/>
              <w:bottom w:w="30" w:type="dxa"/>
              <w:right w:w="20" w:type="dxa"/>
            </w:tcMar>
            <w:hideMark/>
          </w:tcPr>
          <w:p w14:paraId="1E386E63" w14:textId="77777777" w:rsidR="00000000" w:rsidRDefault="0068293C">
            <w:pPr>
              <w:spacing w:after="100"/>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EF9A7D"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06950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05C34"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2DF9E1"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D7EF0D" w14:textId="77777777" w:rsidR="00000000" w:rsidRDefault="0068293C">
            <w:pPr>
              <w:spacing w:after="100"/>
              <w:jc w:val="right"/>
              <w:rPr>
                <w:rFonts w:eastAsia="Times New Roman"/>
              </w:rPr>
            </w:pPr>
          </w:p>
        </w:tc>
      </w:tr>
      <w:tr w:rsidR="00000000" w14:paraId="1AAF2719" w14:textId="77777777">
        <w:trPr>
          <w:divId w:val="111751985"/>
          <w:jc w:val="center"/>
        </w:trPr>
        <w:tc>
          <w:tcPr>
            <w:tcW w:w="0" w:type="auto"/>
            <w:gridSpan w:val="3"/>
            <w:shd w:val="clear" w:color="auto" w:fill="FFFFFF"/>
            <w:tcMar>
              <w:top w:w="30" w:type="dxa"/>
              <w:left w:w="20" w:type="dxa"/>
              <w:bottom w:w="30" w:type="dxa"/>
              <w:right w:w="20" w:type="dxa"/>
            </w:tcMar>
            <w:hideMark/>
          </w:tcPr>
          <w:p w14:paraId="205B1969" w14:textId="77777777" w:rsidR="00000000" w:rsidRDefault="0068293C">
            <w:pPr>
              <w:spacing w:after="100"/>
              <w:rPr>
                <w:rFonts w:eastAsia="Times New Roman"/>
              </w:rPr>
            </w:pPr>
            <w:r>
              <w:rPr>
                <w:rFonts w:eastAsia="Times New Roman"/>
                <w:color w:val="000000"/>
                <w:sz w:val="20"/>
                <w:szCs w:val="20"/>
              </w:rPr>
              <w:t>Cost of products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EA9CD2" w14:textId="77777777" w:rsidR="00000000" w:rsidRDefault="0068293C">
            <w:pPr>
              <w:spacing w:after="100"/>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8F0FA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8AB67"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B43C33" w14:textId="77777777" w:rsidR="00000000" w:rsidRDefault="0068293C">
            <w:pPr>
              <w:spacing w:after="100"/>
              <w:jc w:val="right"/>
              <w:rPr>
                <w:rFonts w:eastAsia="Times New Roman"/>
              </w:rPr>
            </w:pPr>
            <w:r>
              <w:rPr>
                <w:rFonts w:eastAsia="Times New Roman"/>
                <w:color w:val="000000"/>
                <w:sz w:val="20"/>
                <w:szCs w:val="20"/>
              </w:rPr>
              <w:t>408 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765532" w14:textId="77777777" w:rsidR="00000000" w:rsidRDefault="0068293C">
            <w:pPr>
              <w:spacing w:after="100"/>
              <w:jc w:val="right"/>
              <w:rPr>
                <w:rFonts w:eastAsia="Times New Roman"/>
              </w:rPr>
            </w:pPr>
          </w:p>
        </w:tc>
      </w:tr>
      <w:tr w:rsidR="00000000" w14:paraId="32C798BD" w14:textId="77777777">
        <w:trPr>
          <w:divId w:val="111751985"/>
          <w:jc w:val="center"/>
        </w:trPr>
        <w:tc>
          <w:tcPr>
            <w:tcW w:w="0" w:type="auto"/>
            <w:gridSpan w:val="3"/>
            <w:shd w:val="clear" w:color="auto" w:fill="CCEEFF"/>
            <w:tcMar>
              <w:top w:w="30" w:type="dxa"/>
              <w:left w:w="20" w:type="dxa"/>
              <w:bottom w:w="30" w:type="dxa"/>
              <w:right w:w="20" w:type="dxa"/>
            </w:tcMar>
            <w:hideMark/>
          </w:tcPr>
          <w:p w14:paraId="4C7BABF2" w14:textId="77777777" w:rsidR="00000000" w:rsidRDefault="0068293C">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14:paraId="3F802FCA" w14:textId="77777777" w:rsidR="00000000" w:rsidRDefault="0068293C">
            <w:pPr>
              <w:spacing w:after="100"/>
              <w:jc w:val="right"/>
              <w:rPr>
                <w:rFonts w:eastAsia="Times New Roman"/>
              </w:rPr>
            </w:pPr>
            <w:r>
              <w:rPr>
                <w:rFonts w:eastAsia="Times New Roman"/>
                <w:b/>
                <w:bCs/>
                <w:color w:val="000000"/>
                <w:sz w:val="20"/>
                <w:szCs w:val="20"/>
              </w:rPr>
              <w:t>963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B6402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82E52"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6004B" w14:textId="77777777" w:rsidR="00000000" w:rsidRDefault="0068293C">
            <w:pPr>
              <w:spacing w:after="100"/>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14:paraId="26660481" w14:textId="77777777" w:rsidR="00000000" w:rsidRDefault="0068293C">
            <w:pPr>
              <w:spacing w:after="100"/>
              <w:jc w:val="right"/>
              <w:rPr>
                <w:rFonts w:eastAsia="Times New Roman"/>
              </w:rPr>
            </w:pPr>
          </w:p>
        </w:tc>
      </w:tr>
      <w:tr w:rsidR="00000000" w14:paraId="4E613B66" w14:textId="77777777">
        <w:trPr>
          <w:divId w:val="111751985"/>
          <w:jc w:val="center"/>
        </w:trPr>
        <w:tc>
          <w:tcPr>
            <w:tcW w:w="0" w:type="auto"/>
            <w:gridSpan w:val="3"/>
            <w:shd w:val="clear" w:color="auto" w:fill="FFFFFF"/>
            <w:tcMar>
              <w:top w:w="30" w:type="dxa"/>
              <w:left w:w="20" w:type="dxa"/>
              <w:bottom w:w="30" w:type="dxa"/>
              <w:right w:w="20" w:type="dxa"/>
            </w:tcMar>
            <w:hideMark/>
          </w:tcPr>
          <w:p w14:paraId="2E3B5644" w14:textId="77777777" w:rsidR="00000000" w:rsidRDefault="0068293C">
            <w:pPr>
              <w:spacing w:after="100"/>
              <w:rPr>
                <w:rFonts w:eastAsia="Times New Roman"/>
              </w:rPr>
            </w:pPr>
            <w:r>
              <w:rPr>
                <w:rFonts w:eastAsia="Times New Roman"/>
                <w:color w:val="000000"/>
                <w:sz w:val="20"/>
                <w:szCs w:val="20"/>
              </w:rPr>
              <w:lastRenderedPageBreak/>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35692CBF" w14:textId="77777777" w:rsidR="00000000" w:rsidRDefault="0068293C">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E65E2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6AB94"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E10317" w14:textId="77777777" w:rsidR="00000000" w:rsidRDefault="0068293C">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14:paraId="5B405748" w14:textId="77777777" w:rsidR="00000000" w:rsidRDefault="0068293C">
            <w:pPr>
              <w:spacing w:after="100"/>
              <w:jc w:val="right"/>
              <w:rPr>
                <w:rFonts w:eastAsia="Times New Roman"/>
              </w:rPr>
            </w:pPr>
          </w:p>
        </w:tc>
      </w:tr>
      <w:tr w:rsidR="00000000" w14:paraId="05BB1B79" w14:textId="77777777">
        <w:trPr>
          <w:divId w:val="111751985"/>
          <w:jc w:val="center"/>
        </w:trPr>
        <w:tc>
          <w:tcPr>
            <w:tcW w:w="0" w:type="auto"/>
            <w:gridSpan w:val="3"/>
            <w:shd w:val="clear" w:color="auto" w:fill="CCEEFF"/>
            <w:tcMar>
              <w:top w:w="30" w:type="dxa"/>
              <w:left w:w="20" w:type="dxa"/>
              <w:bottom w:w="30" w:type="dxa"/>
              <w:right w:w="20" w:type="dxa"/>
            </w:tcMar>
            <w:hideMark/>
          </w:tcPr>
          <w:p w14:paraId="03309485" w14:textId="77777777" w:rsidR="00000000" w:rsidRDefault="0068293C">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14:paraId="79BE6B55" w14:textId="77777777" w:rsidR="00000000" w:rsidRDefault="0068293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28A4D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90B3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157BC" w14:textId="77777777" w:rsidR="00000000" w:rsidRDefault="0068293C">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5DCFBE0F" w14:textId="77777777" w:rsidR="00000000" w:rsidRDefault="0068293C">
            <w:pPr>
              <w:spacing w:after="100"/>
              <w:jc w:val="right"/>
              <w:rPr>
                <w:rFonts w:eastAsia="Times New Roman"/>
              </w:rPr>
            </w:pPr>
          </w:p>
        </w:tc>
      </w:tr>
      <w:tr w:rsidR="00000000" w14:paraId="150BC411" w14:textId="77777777">
        <w:trPr>
          <w:divId w:val="111751985"/>
          <w:jc w:val="center"/>
        </w:trPr>
        <w:tc>
          <w:tcPr>
            <w:tcW w:w="0" w:type="auto"/>
            <w:gridSpan w:val="3"/>
            <w:vAlign w:val="center"/>
            <w:hideMark/>
          </w:tcPr>
          <w:p w14:paraId="76199226" w14:textId="77777777" w:rsidR="00000000" w:rsidRDefault="0068293C">
            <w:pPr>
              <w:spacing w:after="100"/>
              <w:jc w:val="right"/>
              <w:rPr>
                <w:rFonts w:eastAsia="Times New Roman"/>
                <w:sz w:val="20"/>
                <w:szCs w:val="20"/>
              </w:rPr>
            </w:pPr>
          </w:p>
        </w:tc>
        <w:tc>
          <w:tcPr>
            <w:tcW w:w="0" w:type="auto"/>
            <w:gridSpan w:val="3"/>
            <w:vAlign w:val="center"/>
            <w:hideMark/>
          </w:tcPr>
          <w:p w14:paraId="4E08A78D" w14:textId="77777777" w:rsidR="00000000" w:rsidRDefault="0068293C">
            <w:pPr>
              <w:spacing w:after="100"/>
              <w:rPr>
                <w:rFonts w:eastAsia="Times New Roman"/>
                <w:sz w:val="20"/>
                <w:szCs w:val="20"/>
              </w:rPr>
            </w:pPr>
          </w:p>
        </w:tc>
        <w:tc>
          <w:tcPr>
            <w:tcW w:w="0" w:type="auto"/>
            <w:gridSpan w:val="3"/>
            <w:vAlign w:val="center"/>
            <w:hideMark/>
          </w:tcPr>
          <w:p w14:paraId="3D10ADDB" w14:textId="77777777" w:rsidR="00000000" w:rsidRDefault="0068293C">
            <w:pPr>
              <w:spacing w:after="100"/>
              <w:rPr>
                <w:rFonts w:eastAsia="Times New Roman"/>
                <w:sz w:val="20"/>
                <w:szCs w:val="20"/>
              </w:rPr>
            </w:pPr>
          </w:p>
        </w:tc>
        <w:tc>
          <w:tcPr>
            <w:tcW w:w="0" w:type="auto"/>
            <w:gridSpan w:val="3"/>
            <w:vAlign w:val="center"/>
            <w:hideMark/>
          </w:tcPr>
          <w:p w14:paraId="43EA7809" w14:textId="77777777" w:rsidR="00000000" w:rsidRDefault="0068293C">
            <w:pPr>
              <w:spacing w:after="100"/>
              <w:rPr>
                <w:rFonts w:eastAsia="Times New Roman"/>
                <w:sz w:val="20"/>
                <w:szCs w:val="20"/>
              </w:rPr>
            </w:pPr>
          </w:p>
        </w:tc>
      </w:tr>
      <w:tr w:rsidR="00000000" w14:paraId="1501A716" w14:textId="77777777">
        <w:trPr>
          <w:divId w:val="111751985"/>
          <w:jc w:val="center"/>
        </w:trPr>
        <w:tc>
          <w:tcPr>
            <w:tcW w:w="0" w:type="auto"/>
            <w:gridSpan w:val="3"/>
            <w:shd w:val="clear" w:color="auto" w:fill="FFFFFF"/>
            <w:tcMar>
              <w:top w:w="30" w:type="dxa"/>
              <w:left w:w="20" w:type="dxa"/>
              <w:bottom w:w="30" w:type="dxa"/>
              <w:right w:w="20" w:type="dxa"/>
            </w:tcMar>
            <w:hideMark/>
          </w:tcPr>
          <w:p w14:paraId="7F6D8EFF" w14:textId="77777777" w:rsidR="00000000" w:rsidRDefault="0068293C">
            <w:pPr>
              <w:spacing w:after="100"/>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13D023" w14:textId="77777777" w:rsidR="00000000" w:rsidRDefault="0068293C">
            <w:pPr>
              <w:spacing w:after="100"/>
              <w:jc w:val="right"/>
              <w:rPr>
                <w:rFonts w:eastAsia="Times New Roman"/>
              </w:rPr>
            </w:pPr>
            <w:r>
              <w:rPr>
                <w:rFonts w:eastAsia="Times New Roman"/>
                <w:b/>
                <w:bCs/>
                <w:color w:val="000000"/>
                <w:sz w:val="20"/>
                <w:szCs w:val="20"/>
              </w:rPr>
              <w:t>1,833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24A02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12FBE"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3166C4" w14:textId="77777777" w:rsidR="00000000" w:rsidRDefault="0068293C">
            <w:pPr>
              <w:spacing w:after="100"/>
              <w:jc w:val="right"/>
              <w:rPr>
                <w:rFonts w:eastAsia="Times New Roman"/>
              </w:rPr>
            </w:pPr>
            <w:r>
              <w:rPr>
                <w:rFonts w:eastAsia="Times New Roman"/>
                <w:color w:val="000000"/>
                <w:sz w:val="20"/>
                <w:szCs w:val="20"/>
              </w:rPr>
              <w:t>1,434 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401F67" w14:textId="77777777" w:rsidR="00000000" w:rsidRDefault="0068293C">
            <w:pPr>
              <w:spacing w:after="100"/>
              <w:jc w:val="right"/>
              <w:rPr>
                <w:rFonts w:eastAsia="Times New Roman"/>
              </w:rPr>
            </w:pPr>
          </w:p>
        </w:tc>
      </w:tr>
      <w:tr w:rsidR="00000000" w14:paraId="33599F72" w14:textId="77777777">
        <w:trPr>
          <w:divId w:val="111751985"/>
          <w:jc w:val="center"/>
        </w:trPr>
        <w:tc>
          <w:tcPr>
            <w:tcW w:w="0" w:type="auto"/>
            <w:gridSpan w:val="3"/>
            <w:shd w:val="clear" w:color="auto" w:fill="CCEEFF"/>
            <w:tcMar>
              <w:top w:w="30" w:type="dxa"/>
              <w:left w:w="20" w:type="dxa"/>
              <w:bottom w:w="30" w:type="dxa"/>
              <w:right w:w="20" w:type="dxa"/>
            </w:tcMar>
            <w:hideMark/>
          </w:tcPr>
          <w:p w14:paraId="7B73A36C" w14:textId="77777777" w:rsidR="00000000" w:rsidRDefault="0068293C">
            <w:pPr>
              <w:spacing w:after="100"/>
              <w:rPr>
                <w:rFonts w:eastAsia="Times New Roman"/>
              </w:rPr>
            </w:pPr>
            <w:r>
              <w:rPr>
                <w:rFonts w:eastAsia="Times New Roman"/>
                <w:b/>
                <w:bCs/>
                <w:color w:val="000000"/>
                <w:sz w:val="20"/>
                <w:szCs w:val="20"/>
              </w:rPr>
              <w:t>Income (loss)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515B6D" w14:textId="77777777" w:rsidR="00000000" w:rsidRDefault="0068293C">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2D1B5F" w14:textId="77777777" w:rsidR="00000000" w:rsidRDefault="0068293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7FDCE3"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49ADFB" w14:textId="77777777" w:rsidR="00000000" w:rsidRDefault="0068293C">
            <w:pPr>
              <w:spacing w:after="100"/>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A454E4" w14:textId="77777777" w:rsidR="00000000" w:rsidRDefault="0068293C">
            <w:pPr>
              <w:spacing w:after="100"/>
              <w:jc w:val="right"/>
              <w:rPr>
                <w:rFonts w:eastAsia="Times New Roman"/>
              </w:rPr>
            </w:pPr>
          </w:p>
        </w:tc>
      </w:tr>
      <w:tr w:rsidR="00000000" w14:paraId="704699DF" w14:textId="77777777">
        <w:trPr>
          <w:divId w:val="111751985"/>
          <w:jc w:val="center"/>
        </w:trPr>
        <w:tc>
          <w:tcPr>
            <w:tcW w:w="0" w:type="auto"/>
            <w:gridSpan w:val="3"/>
            <w:vAlign w:val="center"/>
            <w:hideMark/>
          </w:tcPr>
          <w:p w14:paraId="1046B27B" w14:textId="77777777" w:rsidR="00000000" w:rsidRDefault="0068293C">
            <w:pPr>
              <w:spacing w:after="100"/>
              <w:jc w:val="right"/>
              <w:rPr>
                <w:rFonts w:eastAsia="Times New Roman"/>
                <w:sz w:val="20"/>
                <w:szCs w:val="20"/>
              </w:rPr>
            </w:pPr>
          </w:p>
        </w:tc>
        <w:tc>
          <w:tcPr>
            <w:tcW w:w="0" w:type="auto"/>
            <w:gridSpan w:val="3"/>
            <w:vAlign w:val="center"/>
            <w:hideMark/>
          </w:tcPr>
          <w:p w14:paraId="0339D8E7" w14:textId="77777777" w:rsidR="00000000" w:rsidRDefault="0068293C">
            <w:pPr>
              <w:spacing w:after="100"/>
              <w:rPr>
                <w:rFonts w:eastAsia="Times New Roman"/>
                <w:sz w:val="20"/>
                <w:szCs w:val="20"/>
              </w:rPr>
            </w:pPr>
          </w:p>
        </w:tc>
        <w:tc>
          <w:tcPr>
            <w:tcW w:w="0" w:type="auto"/>
            <w:gridSpan w:val="3"/>
            <w:vAlign w:val="center"/>
            <w:hideMark/>
          </w:tcPr>
          <w:p w14:paraId="5D42BC94" w14:textId="77777777" w:rsidR="00000000" w:rsidRDefault="0068293C">
            <w:pPr>
              <w:spacing w:after="100"/>
              <w:rPr>
                <w:rFonts w:eastAsia="Times New Roman"/>
                <w:sz w:val="20"/>
                <w:szCs w:val="20"/>
              </w:rPr>
            </w:pPr>
          </w:p>
        </w:tc>
        <w:tc>
          <w:tcPr>
            <w:tcW w:w="0" w:type="auto"/>
            <w:gridSpan w:val="3"/>
            <w:vAlign w:val="center"/>
            <w:hideMark/>
          </w:tcPr>
          <w:p w14:paraId="64496F7A" w14:textId="77777777" w:rsidR="00000000" w:rsidRDefault="0068293C">
            <w:pPr>
              <w:spacing w:after="100"/>
              <w:rPr>
                <w:rFonts w:eastAsia="Times New Roman"/>
                <w:sz w:val="20"/>
                <w:szCs w:val="20"/>
              </w:rPr>
            </w:pPr>
          </w:p>
        </w:tc>
      </w:tr>
      <w:tr w:rsidR="00000000" w14:paraId="2B3A981F" w14:textId="77777777">
        <w:trPr>
          <w:divId w:val="111751985"/>
          <w:jc w:val="center"/>
        </w:trPr>
        <w:tc>
          <w:tcPr>
            <w:tcW w:w="0" w:type="auto"/>
            <w:gridSpan w:val="3"/>
            <w:vAlign w:val="center"/>
            <w:hideMark/>
          </w:tcPr>
          <w:p w14:paraId="5F89F832" w14:textId="77777777" w:rsidR="00000000" w:rsidRDefault="0068293C">
            <w:pPr>
              <w:spacing w:after="100"/>
              <w:rPr>
                <w:rFonts w:eastAsia="Times New Roman"/>
                <w:sz w:val="20"/>
                <w:szCs w:val="20"/>
              </w:rPr>
            </w:pPr>
          </w:p>
        </w:tc>
        <w:tc>
          <w:tcPr>
            <w:tcW w:w="0" w:type="auto"/>
            <w:gridSpan w:val="3"/>
            <w:vAlign w:val="center"/>
            <w:hideMark/>
          </w:tcPr>
          <w:p w14:paraId="4B037D7D" w14:textId="77777777" w:rsidR="00000000" w:rsidRDefault="0068293C">
            <w:pPr>
              <w:spacing w:after="100"/>
              <w:rPr>
                <w:rFonts w:eastAsia="Times New Roman"/>
                <w:sz w:val="20"/>
                <w:szCs w:val="20"/>
              </w:rPr>
            </w:pPr>
          </w:p>
        </w:tc>
        <w:tc>
          <w:tcPr>
            <w:tcW w:w="0" w:type="auto"/>
            <w:gridSpan w:val="3"/>
            <w:vAlign w:val="center"/>
            <w:hideMark/>
          </w:tcPr>
          <w:p w14:paraId="5FF210C1" w14:textId="77777777" w:rsidR="00000000" w:rsidRDefault="0068293C">
            <w:pPr>
              <w:spacing w:after="100"/>
              <w:rPr>
                <w:rFonts w:eastAsia="Times New Roman"/>
                <w:sz w:val="20"/>
                <w:szCs w:val="20"/>
              </w:rPr>
            </w:pPr>
          </w:p>
        </w:tc>
        <w:tc>
          <w:tcPr>
            <w:tcW w:w="0" w:type="auto"/>
            <w:gridSpan w:val="3"/>
            <w:vAlign w:val="center"/>
            <w:hideMark/>
          </w:tcPr>
          <w:p w14:paraId="6479AEFA" w14:textId="77777777" w:rsidR="00000000" w:rsidRDefault="0068293C">
            <w:pPr>
              <w:spacing w:after="100"/>
              <w:rPr>
                <w:rFonts w:eastAsia="Times New Roman"/>
                <w:sz w:val="20"/>
                <w:szCs w:val="20"/>
              </w:rPr>
            </w:pPr>
          </w:p>
        </w:tc>
      </w:tr>
      <w:tr w:rsidR="00000000" w14:paraId="2093FD11" w14:textId="77777777">
        <w:trPr>
          <w:divId w:val="111751985"/>
          <w:jc w:val="center"/>
        </w:trPr>
        <w:tc>
          <w:tcPr>
            <w:tcW w:w="0" w:type="auto"/>
            <w:gridSpan w:val="3"/>
            <w:shd w:val="clear" w:color="auto" w:fill="FFFFFF"/>
            <w:tcMar>
              <w:top w:w="30" w:type="dxa"/>
              <w:left w:w="20" w:type="dxa"/>
              <w:bottom w:w="30" w:type="dxa"/>
              <w:right w:w="20" w:type="dxa"/>
            </w:tcMar>
            <w:hideMark/>
          </w:tcPr>
          <w:p w14:paraId="01EA94F0" w14:textId="77777777" w:rsidR="00000000" w:rsidRDefault="0068293C">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1F606D18" w14:textId="77777777" w:rsidR="00000000" w:rsidRDefault="0068293C">
            <w:pPr>
              <w:spacing w:after="100"/>
              <w:jc w:val="right"/>
              <w:rPr>
                <w:rFonts w:eastAsia="Times New Roman"/>
              </w:rPr>
            </w:pPr>
            <w:r>
              <w:rPr>
                <w:rFonts w:eastAsia="Times New Roman"/>
                <w:b/>
                <w:bCs/>
                <w:color w:val="000000"/>
                <w:sz w:val="20"/>
                <w:szCs w:val="20"/>
              </w:rPr>
              <w:t>(63)</w:t>
            </w:r>
          </w:p>
        </w:tc>
        <w:tc>
          <w:tcPr>
            <w:tcW w:w="0" w:type="auto"/>
            <w:shd w:val="clear" w:color="auto" w:fill="FFFFFF"/>
            <w:tcMar>
              <w:top w:w="30" w:type="dxa"/>
              <w:left w:w="0" w:type="dxa"/>
              <w:bottom w:w="30" w:type="dxa"/>
              <w:right w:w="20" w:type="dxa"/>
            </w:tcMar>
            <w:vAlign w:val="bottom"/>
            <w:hideMark/>
          </w:tcPr>
          <w:p w14:paraId="5145E42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E59A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D218F6" w14:textId="77777777" w:rsidR="00000000" w:rsidRDefault="0068293C">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58145F2C" w14:textId="77777777" w:rsidR="00000000" w:rsidRDefault="0068293C">
            <w:pPr>
              <w:spacing w:after="100"/>
              <w:jc w:val="right"/>
              <w:rPr>
                <w:rFonts w:eastAsia="Times New Roman"/>
              </w:rPr>
            </w:pPr>
          </w:p>
        </w:tc>
      </w:tr>
      <w:tr w:rsidR="00000000" w14:paraId="23DCAD42" w14:textId="77777777">
        <w:trPr>
          <w:divId w:val="111751985"/>
          <w:jc w:val="center"/>
        </w:trPr>
        <w:tc>
          <w:tcPr>
            <w:tcW w:w="0" w:type="auto"/>
            <w:gridSpan w:val="3"/>
            <w:shd w:val="clear" w:color="auto" w:fill="CCEEFF"/>
            <w:tcMar>
              <w:top w:w="30" w:type="dxa"/>
              <w:left w:w="20" w:type="dxa"/>
              <w:bottom w:w="30" w:type="dxa"/>
              <w:right w:w="20" w:type="dxa"/>
            </w:tcMar>
            <w:hideMark/>
          </w:tcPr>
          <w:p w14:paraId="68604619" w14:textId="77777777" w:rsidR="00000000" w:rsidRDefault="0068293C">
            <w:pPr>
              <w:spacing w:after="100"/>
              <w:rPr>
                <w:rFonts w:eastAsia="Times New Roman"/>
              </w:rPr>
            </w:pPr>
            <w:r>
              <w:rPr>
                <w:rFonts w:eastAsia="Times New Roman"/>
                <w:color w:val="000000"/>
                <w:sz w:val="20"/>
                <w:szCs w:val="20"/>
              </w:rPr>
              <w:t>Other income (expense), net</w:t>
            </w:r>
          </w:p>
        </w:tc>
        <w:tc>
          <w:tcPr>
            <w:tcW w:w="0" w:type="auto"/>
            <w:gridSpan w:val="2"/>
            <w:shd w:val="clear" w:color="auto" w:fill="CCEEFF"/>
            <w:tcMar>
              <w:top w:w="30" w:type="dxa"/>
              <w:left w:w="20" w:type="dxa"/>
              <w:bottom w:w="30" w:type="dxa"/>
              <w:right w:w="0" w:type="dxa"/>
            </w:tcMar>
            <w:vAlign w:val="bottom"/>
            <w:hideMark/>
          </w:tcPr>
          <w:p w14:paraId="506E0D84" w14:textId="77777777" w:rsidR="00000000" w:rsidRDefault="0068293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09520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C9E8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7B500E" w14:textId="77777777" w:rsidR="00000000" w:rsidRDefault="0068293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14:paraId="49BAF1D7" w14:textId="77777777" w:rsidR="00000000" w:rsidRDefault="0068293C">
            <w:pPr>
              <w:spacing w:after="100"/>
              <w:jc w:val="right"/>
              <w:rPr>
                <w:rFonts w:eastAsia="Times New Roman"/>
              </w:rPr>
            </w:pPr>
          </w:p>
        </w:tc>
      </w:tr>
      <w:tr w:rsidR="00000000" w14:paraId="1F1439C6" w14:textId="77777777">
        <w:trPr>
          <w:divId w:val="111751985"/>
          <w:jc w:val="center"/>
        </w:trPr>
        <w:tc>
          <w:tcPr>
            <w:tcW w:w="0" w:type="auto"/>
            <w:gridSpan w:val="3"/>
            <w:shd w:val="clear" w:color="auto" w:fill="FFFFFF"/>
            <w:tcMar>
              <w:top w:w="30" w:type="dxa"/>
              <w:left w:w="20" w:type="dxa"/>
              <w:bottom w:w="30" w:type="dxa"/>
              <w:right w:w="20" w:type="dxa"/>
            </w:tcMar>
            <w:hideMark/>
          </w:tcPr>
          <w:p w14:paraId="63EF82E2" w14:textId="77777777" w:rsidR="00000000" w:rsidRDefault="0068293C">
            <w:pPr>
              <w:spacing w:after="100"/>
              <w:rPr>
                <w:rFonts w:eastAsia="Times New Roman"/>
              </w:rPr>
            </w:pPr>
            <w:r>
              <w:rPr>
                <w:rFonts w:eastAsia="Times New Roman"/>
                <w:b/>
                <w:bCs/>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7D03FF" w14:textId="77777777" w:rsidR="00000000" w:rsidRDefault="0068293C">
            <w:pPr>
              <w:spacing w:after="100"/>
              <w:jc w:val="right"/>
              <w:rPr>
                <w:rFonts w:eastAsia="Times New Roman"/>
              </w:rPr>
            </w:pPr>
            <w:r>
              <w:rPr>
                <w:rFonts w:eastAsia="Times New Roman"/>
                <w:b/>
                <w:bCs/>
                <w:color w:val="000000"/>
                <w:sz w:val="20"/>
                <w:szCs w:val="20"/>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0F3D0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61FD3"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1F9E0C" w14:textId="77777777" w:rsidR="00000000" w:rsidRDefault="0068293C">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FEF546" w14:textId="77777777" w:rsidR="00000000" w:rsidRDefault="0068293C">
            <w:pPr>
              <w:spacing w:after="100"/>
              <w:jc w:val="right"/>
              <w:rPr>
                <w:rFonts w:eastAsia="Times New Roman"/>
              </w:rPr>
            </w:pPr>
          </w:p>
        </w:tc>
      </w:tr>
      <w:tr w:rsidR="00000000" w14:paraId="076CCA84" w14:textId="77777777">
        <w:trPr>
          <w:divId w:val="111751985"/>
          <w:jc w:val="center"/>
        </w:trPr>
        <w:tc>
          <w:tcPr>
            <w:tcW w:w="0" w:type="auto"/>
            <w:gridSpan w:val="3"/>
            <w:shd w:val="clear" w:color="auto" w:fill="CCEEFF"/>
            <w:tcMar>
              <w:top w:w="30" w:type="dxa"/>
              <w:left w:w="20" w:type="dxa"/>
              <w:bottom w:w="30" w:type="dxa"/>
              <w:right w:w="20" w:type="dxa"/>
            </w:tcMar>
            <w:hideMark/>
          </w:tcPr>
          <w:p w14:paraId="65F9355F" w14:textId="77777777" w:rsidR="00000000" w:rsidRDefault="0068293C">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14:paraId="2481728D"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145A6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DBAD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55F9F5" w14:textId="77777777" w:rsidR="00000000" w:rsidRDefault="0068293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6663381E" w14:textId="77777777" w:rsidR="00000000" w:rsidRDefault="0068293C">
            <w:pPr>
              <w:spacing w:after="100"/>
              <w:jc w:val="right"/>
              <w:rPr>
                <w:rFonts w:eastAsia="Times New Roman"/>
              </w:rPr>
            </w:pPr>
          </w:p>
        </w:tc>
      </w:tr>
      <w:tr w:rsidR="00000000" w14:paraId="0796404B" w14:textId="77777777">
        <w:trPr>
          <w:divId w:val="111751985"/>
          <w:jc w:val="center"/>
        </w:trPr>
        <w:tc>
          <w:tcPr>
            <w:tcW w:w="0" w:type="auto"/>
            <w:gridSpan w:val="3"/>
            <w:shd w:val="clear" w:color="auto" w:fill="FFFFFF"/>
            <w:tcMar>
              <w:top w:w="30" w:type="dxa"/>
              <w:left w:w="20" w:type="dxa"/>
              <w:bottom w:w="30" w:type="dxa"/>
              <w:right w:w="20" w:type="dxa"/>
            </w:tcMar>
            <w:hideMark/>
          </w:tcPr>
          <w:p w14:paraId="73A1E7D7" w14:textId="77777777" w:rsidR="00000000" w:rsidRDefault="0068293C">
            <w:pPr>
              <w:spacing w:after="100"/>
              <w:rPr>
                <w:rFonts w:eastAsia="Times New Roman"/>
              </w:rPr>
            </w:pPr>
            <w:r>
              <w:rPr>
                <w:rFonts w:eastAsia="Times New Roman"/>
                <w:b/>
                <w:bCs/>
                <w:color w:val="000000"/>
                <w:sz w:val="20"/>
                <w:szCs w:val="20"/>
              </w:rPr>
              <w:t>Income (loss)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4824A9" w14:textId="77777777" w:rsidR="00000000" w:rsidRDefault="0068293C">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B31D1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0EACF"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ECB1AF" w14:textId="77777777" w:rsidR="00000000" w:rsidRDefault="0068293C">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69600B" w14:textId="77777777" w:rsidR="00000000" w:rsidRDefault="0068293C">
            <w:pPr>
              <w:spacing w:after="100"/>
              <w:jc w:val="right"/>
              <w:rPr>
                <w:rFonts w:eastAsia="Times New Roman"/>
              </w:rPr>
            </w:pPr>
          </w:p>
        </w:tc>
      </w:tr>
      <w:tr w:rsidR="00000000" w14:paraId="2111B356" w14:textId="77777777">
        <w:trPr>
          <w:divId w:val="111751985"/>
          <w:jc w:val="center"/>
        </w:trPr>
        <w:tc>
          <w:tcPr>
            <w:tcW w:w="0" w:type="auto"/>
            <w:gridSpan w:val="3"/>
            <w:shd w:val="clear" w:color="auto" w:fill="CCEEFF"/>
            <w:tcMar>
              <w:top w:w="30" w:type="dxa"/>
              <w:left w:w="20" w:type="dxa"/>
              <w:bottom w:w="30" w:type="dxa"/>
              <w:right w:w="20" w:type="dxa"/>
            </w:tcMar>
            <w:hideMark/>
          </w:tcPr>
          <w:p w14:paraId="2A2D3CDD" w14:textId="77777777" w:rsidR="00000000" w:rsidRDefault="0068293C">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14:paraId="2484A5EE"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0FDE656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5780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3BCE83"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6E431F" w14:textId="77777777" w:rsidR="00000000" w:rsidRDefault="0068293C">
            <w:pPr>
              <w:spacing w:after="100"/>
              <w:jc w:val="right"/>
              <w:rPr>
                <w:rFonts w:eastAsia="Times New Roman"/>
              </w:rPr>
            </w:pPr>
          </w:p>
        </w:tc>
      </w:tr>
      <w:tr w:rsidR="00000000" w14:paraId="28B0E11E" w14:textId="77777777">
        <w:trPr>
          <w:divId w:val="111751985"/>
          <w:jc w:val="center"/>
        </w:trPr>
        <w:tc>
          <w:tcPr>
            <w:tcW w:w="0" w:type="auto"/>
            <w:gridSpan w:val="3"/>
            <w:shd w:val="clear" w:color="auto" w:fill="FFFFFF"/>
            <w:tcMar>
              <w:top w:w="30" w:type="dxa"/>
              <w:left w:w="20" w:type="dxa"/>
              <w:bottom w:w="30" w:type="dxa"/>
              <w:right w:w="20" w:type="dxa"/>
            </w:tcMar>
            <w:hideMark/>
          </w:tcPr>
          <w:p w14:paraId="3F19B120" w14:textId="77777777" w:rsidR="00000000" w:rsidRDefault="0068293C">
            <w:pPr>
              <w:spacing w:after="100"/>
              <w:rPr>
                <w:rFonts w:eastAsia="Times New Roman"/>
              </w:rPr>
            </w:pPr>
            <w:r>
              <w:rPr>
                <w:rFonts w:eastAsia="Times New Roman"/>
                <w:b/>
                <w:bCs/>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ACF785" w14:textId="77777777" w:rsidR="00000000" w:rsidRDefault="0068293C">
            <w:pPr>
              <w:spacing w:after="100"/>
              <w:jc w:val="right"/>
              <w:rPr>
                <w:rFonts w:eastAsia="Times New Roman"/>
              </w:rPr>
            </w:pPr>
            <w:r>
              <w:rPr>
                <w:rFonts w:eastAsia="Times New Roman"/>
                <w:b/>
                <w:bCs/>
                <w:color w:val="000000"/>
                <w:sz w:val="20"/>
                <w:szCs w:val="20"/>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A0983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C22DD"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D24A8E" w14:textId="77777777" w:rsidR="00000000" w:rsidRDefault="0068293C">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83145B" w14:textId="77777777" w:rsidR="00000000" w:rsidRDefault="0068293C">
            <w:pPr>
              <w:spacing w:after="100"/>
              <w:jc w:val="right"/>
              <w:rPr>
                <w:rFonts w:eastAsia="Times New Roman"/>
              </w:rPr>
            </w:pPr>
          </w:p>
        </w:tc>
      </w:tr>
      <w:tr w:rsidR="00000000" w14:paraId="05F2E99C" w14:textId="77777777">
        <w:trPr>
          <w:divId w:val="111751985"/>
          <w:jc w:val="center"/>
        </w:trPr>
        <w:tc>
          <w:tcPr>
            <w:tcW w:w="0" w:type="auto"/>
            <w:gridSpan w:val="3"/>
            <w:shd w:val="clear" w:color="auto" w:fill="CCEEFF"/>
            <w:tcMar>
              <w:top w:w="30" w:type="dxa"/>
              <w:left w:w="20" w:type="dxa"/>
              <w:bottom w:w="30" w:type="dxa"/>
              <w:right w:w="20" w:type="dxa"/>
            </w:tcMar>
            <w:hideMark/>
          </w:tcPr>
          <w:p w14:paraId="24B911B1" w14:textId="77777777" w:rsidR="00000000" w:rsidRDefault="0068293C">
            <w:pPr>
              <w:spacing w:after="100"/>
              <w:rPr>
                <w:rFonts w:eastAsia="Times New Roman"/>
              </w:rPr>
            </w:pPr>
            <w:r>
              <w:rPr>
                <w:rFonts w:eastAsia="Times New Roman"/>
                <w:color w:val="000000"/>
                <w:sz w:val="20"/>
                <w:szCs w:val="20"/>
              </w:rPr>
              <w:t>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6AE88C50"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765BD12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4656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638B04"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4D90DCB" w14:textId="77777777" w:rsidR="00000000" w:rsidRDefault="0068293C">
            <w:pPr>
              <w:spacing w:after="100"/>
              <w:jc w:val="right"/>
              <w:rPr>
                <w:rFonts w:eastAsia="Times New Roman"/>
              </w:rPr>
            </w:pPr>
          </w:p>
        </w:tc>
      </w:tr>
      <w:tr w:rsidR="00000000" w14:paraId="6B780ECD" w14:textId="77777777">
        <w:trPr>
          <w:divId w:val="111751985"/>
          <w:jc w:val="center"/>
        </w:trPr>
        <w:tc>
          <w:tcPr>
            <w:tcW w:w="0" w:type="auto"/>
            <w:gridSpan w:val="3"/>
            <w:shd w:val="clear" w:color="auto" w:fill="FFFFFF"/>
            <w:tcMar>
              <w:top w:w="30" w:type="dxa"/>
              <w:left w:w="20" w:type="dxa"/>
              <w:bottom w:w="30" w:type="dxa"/>
              <w:right w:w="20" w:type="dxa"/>
            </w:tcMar>
            <w:hideMark/>
          </w:tcPr>
          <w:p w14:paraId="52F8B660" w14:textId="77777777" w:rsidR="00000000" w:rsidRDefault="0068293C">
            <w:pPr>
              <w:spacing w:after="100"/>
              <w:rPr>
                <w:rFonts w:eastAsia="Times New Roman"/>
              </w:rPr>
            </w:pPr>
            <w:r>
              <w:rPr>
                <w:rFonts w:eastAsia="Times New Roman"/>
                <w:b/>
                <w:bCs/>
                <w:color w:val="000000"/>
                <w:sz w:val="20"/>
                <w:szCs w:val="20"/>
              </w:rPr>
              <w:t>Net income (loss) attributable to NCR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795D43"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FBABC2" w14:textId="77777777" w:rsidR="00000000" w:rsidRDefault="0068293C">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F8F1D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2A012"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A399A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4A373F" w14:textId="77777777" w:rsidR="00000000" w:rsidRDefault="0068293C">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36195E" w14:textId="77777777" w:rsidR="00000000" w:rsidRDefault="0068293C">
            <w:pPr>
              <w:spacing w:after="100"/>
              <w:jc w:val="right"/>
              <w:rPr>
                <w:rFonts w:eastAsia="Times New Roman"/>
              </w:rPr>
            </w:pPr>
          </w:p>
        </w:tc>
      </w:tr>
      <w:tr w:rsidR="00000000" w14:paraId="1DFF5611" w14:textId="77777777">
        <w:trPr>
          <w:divId w:val="111751985"/>
          <w:jc w:val="center"/>
        </w:trPr>
        <w:tc>
          <w:tcPr>
            <w:tcW w:w="0" w:type="auto"/>
            <w:gridSpan w:val="3"/>
            <w:shd w:val="clear" w:color="auto" w:fill="CCEEFF"/>
            <w:tcMar>
              <w:top w:w="30" w:type="dxa"/>
              <w:left w:w="20" w:type="dxa"/>
              <w:bottom w:w="30" w:type="dxa"/>
              <w:right w:w="20" w:type="dxa"/>
            </w:tcMar>
            <w:hideMark/>
          </w:tcPr>
          <w:p w14:paraId="77DCBEA3" w14:textId="77777777" w:rsidR="00000000" w:rsidRDefault="0068293C">
            <w:pPr>
              <w:spacing w:after="100"/>
              <w:rPr>
                <w:rFonts w:eastAsia="Times New Roman"/>
              </w:rPr>
            </w:pPr>
            <w:r>
              <w:rPr>
                <w:rFonts w:eastAsia="Times New Roman"/>
                <w:b/>
                <w:bCs/>
                <w:color w:val="000000"/>
                <w:sz w:val="20"/>
                <w:szCs w:val="20"/>
              </w:rPr>
              <w:t>Amounts attributable to NCR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8A7045"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1E70C"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09AB59" w14:textId="77777777" w:rsidR="00000000" w:rsidRDefault="0068293C">
            <w:pPr>
              <w:spacing w:after="100"/>
              <w:rPr>
                <w:rFonts w:eastAsia="Times New Roman"/>
                <w:sz w:val="20"/>
                <w:szCs w:val="20"/>
              </w:rPr>
            </w:pPr>
          </w:p>
        </w:tc>
      </w:tr>
      <w:tr w:rsidR="00000000" w14:paraId="61AB98E5" w14:textId="77777777">
        <w:trPr>
          <w:divId w:val="111751985"/>
          <w:jc w:val="center"/>
        </w:trPr>
        <w:tc>
          <w:tcPr>
            <w:tcW w:w="0" w:type="auto"/>
            <w:gridSpan w:val="3"/>
            <w:shd w:val="clear" w:color="auto" w:fill="FFFFFF"/>
            <w:tcMar>
              <w:top w:w="30" w:type="dxa"/>
              <w:left w:w="20" w:type="dxa"/>
              <w:bottom w:w="30" w:type="dxa"/>
              <w:right w:w="20" w:type="dxa"/>
            </w:tcMar>
            <w:hideMark/>
          </w:tcPr>
          <w:p w14:paraId="679590C2" w14:textId="77777777" w:rsidR="00000000" w:rsidRDefault="0068293C">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14:paraId="6FDF405C"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2B4FA1D" w14:textId="77777777" w:rsidR="00000000" w:rsidRDefault="0068293C">
            <w:pPr>
              <w:spacing w:after="100"/>
              <w:jc w:val="right"/>
              <w:rPr>
                <w:rFonts w:eastAsia="Times New Roman"/>
              </w:rPr>
            </w:pPr>
            <w:r>
              <w:rPr>
                <w:rFonts w:eastAsia="Times New Roman"/>
                <w:b/>
                <w:bCs/>
                <w:color w:val="000000"/>
                <w:sz w:val="20"/>
                <w:szCs w:val="20"/>
              </w:rPr>
              <w:t>(33)</w:t>
            </w:r>
          </w:p>
        </w:tc>
        <w:tc>
          <w:tcPr>
            <w:tcW w:w="0" w:type="auto"/>
            <w:shd w:val="clear" w:color="auto" w:fill="FFFFFF"/>
            <w:tcMar>
              <w:top w:w="30" w:type="dxa"/>
              <w:left w:w="0" w:type="dxa"/>
              <w:bottom w:w="30" w:type="dxa"/>
              <w:right w:w="20" w:type="dxa"/>
            </w:tcMar>
            <w:vAlign w:val="bottom"/>
            <w:hideMark/>
          </w:tcPr>
          <w:p w14:paraId="53EC0B9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49C22"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6691C0"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F264F1" w14:textId="77777777" w:rsidR="00000000" w:rsidRDefault="0068293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5217447F" w14:textId="77777777" w:rsidR="00000000" w:rsidRDefault="0068293C">
            <w:pPr>
              <w:spacing w:after="100"/>
              <w:jc w:val="right"/>
              <w:rPr>
                <w:rFonts w:eastAsia="Times New Roman"/>
              </w:rPr>
            </w:pPr>
          </w:p>
        </w:tc>
      </w:tr>
      <w:tr w:rsidR="00000000" w14:paraId="46AEF8EA" w14:textId="77777777">
        <w:trPr>
          <w:divId w:val="111751985"/>
          <w:jc w:val="center"/>
        </w:trPr>
        <w:tc>
          <w:tcPr>
            <w:tcW w:w="0" w:type="auto"/>
            <w:gridSpan w:val="3"/>
            <w:shd w:val="clear" w:color="auto" w:fill="CCEEFF"/>
            <w:tcMar>
              <w:top w:w="30" w:type="dxa"/>
              <w:left w:w="20" w:type="dxa"/>
              <w:bottom w:w="30" w:type="dxa"/>
              <w:right w:w="20" w:type="dxa"/>
            </w:tcMar>
            <w:hideMark/>
          </w:tcPr>
          <w:p w14:paraId="0F158474" w14:textId="77777777" w:rsidR="00000000" w:rsidRDefault="0068293C">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14:paraId="478701E6" w14:textId="77777777" w:rsidR="00000000" w:rsidRDefault="0068293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2160B16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2253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996CD" w14:textId="77777777" w:rsidR="00000000" w:rsidRDefault="0068293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027B13B0" w14:textId="77777777" w:rsidR="00000000" w:rsidRDefault="0068293C">
            <w:pPr>
              <w:spacing w:after="100"/>
              <w:jc w:val="right"/>
              <w:rPr>
                <w:rFonts w:eastAsia="Times New Roman"/>
              </w:rPr>
            </w:pPr>
          </w:p>
        </w:tc>
      </w:tr>
      <w:tr w:rsidR="00000000" w14:paraId="49FA27EB" w14:textId="77777777">
        <w:trPr>
          <w:divId w:val="111751985"/>
          <w:jc w:val="center"/>
        </w:trPr>
        <w:tc>
          <w:tcPr>
            <w:tcW w:w="0" w:type="auto"/>
            <w:gridSpan w:val="3"/>
            <w:shd w:val="clear" w:color="auto" w:fill="FFFFFF"/>
            <w:tcMar>
              <w:top w:w="30" w:type="dxa"/>
              <w:left w:w="380" w:type="dxa"/>
              <w:bottom w:w="30" w:type="dxa"/>
              <w:right w:w="20" w:type="dxa"/>
            </w:tcMar>
            <w:hideMark/>
          </w:tcPr>
          <w:p w14:paraId="419008C5" w14:textId="77777777" w:rsidR="00000000" w:rsidRDefault="0068293C">
            <w:pPr>
              <w:spacing w:after="100"/>
              <w:rPr>
                <w:rFonts w:eastAsia="Times New Roman"/>
              </w:rPr>
            </w:pPr>
            <w:r>
              <w:rPr>
                <w:rFonts w:eastAsia="Times New Roman"/>
                <w:color w:val="000000"/>
                <w:sz w:val="20"/>
                <w:szCs w:val="20"/>
              </w:rPr>
              <w:t>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AD3D4A" w14:textId="77777777" w:rsidR="00000000" w:rsidRDefault="0068293C">
            <w:pPr>
              <w:spacing w:after="100"/>
              <w:jc w:val="right"/>
              <w:rPr>
                <w:rFonts w:eastAsia="Times New Roman"/>
              </w:rPr>
            </w:pPr>
            <w:r>
              <w:rPr>
                <w:rFonts w:eastAsia="Times New Roman"/>
                <w:b/>
                <w:bCs/>
                <w:color w:val="000000"/>
                <w:sz w:val="20"/>
                <w:szCs w:val="20"/>
              </w:rPr>
              <w:t>(37)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1523E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F8E4A"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D29542" w14:textId="77777777" w:rsidR="00000000" w:rsidRDefault="0068293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B4DFCB" w14:textId="77777777" w:rsidR="00000000" w:rsidRDefault="0068293C">
            <w:pPr>
              <w:spacing w:after="100"/>
              <w:jc w:val="right"/>
              <w:rPr>
                <w:rFonts w:eastAsia="Times New Roman"/>
              </w:rPr>
            </w:pPr>
          </w:p>
        </w:tc>
      </w:tr>
      <w:tr w:rsidR="00000000" w14:paraId="222BE93D" w14:textId="77777777">
        <w:trPr>
          <w:divId w:val="111751985"/>
          <w:jc w:val="center"/>
        </w:trPr>
        <w:tc>
          <w:tcPr>
            <w:tcW w:w="0" w:type="auto"/>
            <w:gridSpan w:val="3"/>
            <w:shd w:val="clear" w:color="auto" w:fill="CCEEFF"/>
            <w:tcMar>
              <w:top w:w="30" w:type="dxa"/>
              <w:left w:w="20" w:type="dxa"/>
              <w:bottom w:w="30" w:type="dxa"/>
              <w:right w:w="20" w:type="dxa"/>
            </w:tcMar>
            <w:hideMark/>
          </w:tcPr>
          <w:p w14:paraId="1CDA2C8D" w14:textId="77777777" w:rsidR="00000000" w:rsidRDefault="0068293C">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14:paraId="78EBF051"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0E6F3E2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F1E4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295CA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D4BB8D" w14:textId="77777777" w:rsidR="00000000" w:rsidRDefault="0068293C">
            <w:pPr>
              <w:spacing w:after="100"/>
              <w:jc w:val="right"/>
              <w:rPr>
                <w:rFonts w:eastAsia="Times New Roman"/>
              </w:rPr>
            </w:pPr>
          </w:p>
        </w:tc>
      </w:tr>
      <w:tr w:rsidR="00000000" w14:paraId="10C75543" w14:textId="77777777">
        <w:trPr>
          <w:divId w:val="111751985"/>
          <w:jc w:val="center"/>
        </w:trPr>
        <w:tc>
          <w:tcPr>
            <w:tcW w:w="0" w:type="auto"/>
            <w:gridSpan w:val="3"/>
            <w:shd w:val="clear" w:color="auto" w:fill="FFFFFF"/>
            <w:tcMar>
              <w:top w:w="30" w:type="dxa"/>
              <w:left w:w="380" w:type="dxa"/>
              <w:bottom w:w="30" w:type="dxa"/>
              <w:right w:w="20" w:type="dxa"/>
            </w:tcMar>
            <w:hideMark/>
          </w:tcPr>
          <w:p w14:paraId="099F9AE9" w14:textId="77777777" w:rsidR="00000000" w:rsidRDefault="0068293C">
            <w:pPr>
              <w:spacing w:after="100"/>
              <w:rPr>
                <w:rFonts w:eastAsia="Times New Roman"/>
              </w:rPr>
            </w:pPr>
            <w:r>
              <w:rPr>
                <w:rFonts w:eastAsia="Times New Roman"/>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0696A4"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CDDBAE" w14:textId="77777777" w:rsidR="00000000" w:rsidRDefault="0068293C">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7194B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285D9"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B5A21C"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18E291" w14:textId="77777777" w:rsidR="00000000" w:rsidRDefault="0068293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B898B6" w14:textId="77777777" w:rsidR="00000000" w:rsidRDefault="0068293C">
            <w:pPr>
              <w:spacing w:after="100"/>
              <w:jc w:val="right"/>
              <w:rPr>
                <w:rFonts w:eastAsia="Times New Roman"/>
              </w:rPr>
            </w:pPr>
          </w:p>
        </w:tc>
      </w:tr>
      <w:tr w:rsidR="00000000" w14:paraId="19A4E644" w14:textId="77777777">
        <w:trPr>
          <w:divId w:val="111751985"/>
          <w:jc w:val="center"/>
        </w:trPr>
        <w:tc>
          <w:tcPr>
            <w:tcW w:w="0" w:type="auto"/>
            <w:gridSpan w:val="3"/>
            <w:shd w:val="clear" w:color="auto" w:fill="CCEEFF"/>
            <w:tcMar>
              <w:top w:w="30" w:type="dxa"/>
              <w:left w:w="20" w:type="dxa"/>
              <w:bottom w:w="30" w:type="dxa"/>
              <w:right w:w="20" w:type="dxa"/>
            </w:tcMar>
            <w:hideMark/>
          </w:tcPr>
          <w:p w14:paraId="4A1EA855" w14:textId="77777777" w:rsidR="00000000" w:rsidRDefault="0068293C">
            <w:pPr>
              <w:spacing w:after="100"/>
              <w:rPr>
                <w:rFonts w:eastAsia="Times New Roman"/>
              </w:rPr>
            </w:pPr>
            <w:r>
              <w:rPr>
                <w:rFonts w:eastAsia="Times New Roman"/>
                <w:b/>
                <w:bCs/>
                <w:color w:val="000000"/>
                <w:sz w:val="20"/>
                <w:szCs w:val="20"/>
              </w:rPr>
              <w:t>Income (loss) per share attributable to NCR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2C992D"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D1415"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9F86770" w14:textId="77777777" w:rsidR="00000000" w:rsidRDefault="0068293C">
            <w:pPr>
              <w:spacing w:after="100"/>
              <w:rPr>
                <w:rFonts w:eastAsia="Times New Roman"/>
                <w:sz w:val="20"/>
                <w:szCs w:val="20"/>
              </w:rPr>
            </w:pPr>
          </w:p>
        </w:tc>
      </w:tr>
      <w:tr w:rsidR="00000000" w14:paraId="1889AC04" w14:textId="77777777">
        <w:trPr>
          <w:divId w:val="111751985"/>
          <w:jc w:val="center"/>
        </w:trPr>
        <w:tc>
          <w:tcPr>
            <w:tcW w:w="0" w:type="auto"/>
            <w:gridSpan w:val="3"/>
            <w:shd w:val="clear" w:color="auto" w:fill="FFFFFF"/>
            <w:tcMar>
              <w:top w:w="30" w:type="dxa"/>
              <w:left w:w="20" w:type="dxa"/>
              <w:bottom w:w="30" w:type="dxa"/>
              <w:right w:w="20" w:type="dxa"/>
            </w:tcMar>
            <w:hideMark/>
          </w:tcPr>
          <w:p w14:paraId="6622897B" w14:textId="77777777" w:rsidR="00000000" w:rsidRDefault="0068293C">
            <w:pPr>
              <w:spacing w:after="100"/>
              <w:rPr>
                <w:rFonts w:eastAsia="Times New Roman"/>
              </w:rPr>
            </w:pPr>
            <w:r>
              <w:rPr>
                <w:rFonts w:eastAsia="Times New Roman"/>
                <w:b/>
                <w:bCs/>
                <w:color w:val="000000"/>
                <w:sz w:val="20"/>
                <w:szCs w:val="20"/>
              </w:rPr>
              <w:t>Income (loss) per common share from continuing operations</w:t>
            </w:r>
          </w:p>
        </w:tc>
        <w:tc>
          <w:tcPr>
            <w:tcW w:w="0" w:type="auto"/>
            <w:gridSpan w:val="3"/>
            <w:shd w:val="clear" w:color="auto" w:fill="FFFFFF"/>
            <w:tcMar>
              <w:top w:w="0" w:type="dxa"/>
              <w:left w:w="20" w:type="dxa"/>
              <w:bottom w:w="0" w:type="dxa"/>
              <w:right w:w="20" w:type="dxa"/>
            </w:tcMar>
            <w:vAlign w:val="center"/>
            <w:hideMark/>
          </w:tcPr>
          <w:p w14:paraId="56011829"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8CCFE"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CD590" w14:textId="77777777" w:rsidR="00000000" w:rsidRDefault="0068293C">
            <w:pPr>
              <w:spacing w:after="100"/>
              <w:rPr>
                <w:rFonts w:eastAsia="Times New Roman"/>
                <w:sz w:val="20"/>
                <w:szCs w:val="20"/>
              </w:rPr>
            </w:pPr>
          </w:p>
        </w:tc>
      </w:tr>
      <w:tr w:rsidR="00000000" w14:paraId="657C286F" w14:textId="77777777">
        <w:trPr>
          <w:divId w:val="111751985"/>
          <w:jc w:val="center"/>
        </w:trPr>
        <w:tc>
          <w:tcPr>
            <w:tcW w:w="0" w:type="auto"/>
            <w:gridSpan w:val="3"/>
            <w:shd w:val="clear" w:color="auto" w:fill="CCEEFF"/>
            <w:tcMar>
              <w:top w:w="30" w:type="dxa"/>
              <w:left w:w="380" w:type="dxa"/>
              <w:bottom w:w="30" w:type="dxa"/>
              <w:right w:w="20" w:type="dxa"/>
            </w:tcMar>
            <w:hideMark/>
          </w:tcPr>
          <w:p w14:paraId="7498D07C" w14:textId="77777777" w:rsidR="00000000" w:rsidRDefault="0068293C">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14:paraId="25831B19"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1B35B7C" w14:textId="77777777" w:rsidR="00000000" w:rsidRDefault="0068293C">
            <w:pPr>
              <w:spacing w:after="100"/>
              <w:jc w:val="right"/>
              <w:rPr>
                <w:rFonts w:eastAsia="Times New Roman"/>
              </w:rPr>
            </w:pPr>
            <w:r>
              <w:rPr>
                <w:rFonts w:eastAsia="Times New Roman"/>
                <w:b/>
                <w:bCs/>
                <w:color w:val="000000"/>
                <w:sz w:val="20"/>
                <w:szCs w:val="20"/>
              </w:rPr>
              <w:t>(0.27)</w:t>
            </w:r>
          </w:p>
        </w:tc>
        <w:tc>
          <w:tcPr>
            <w:tcW w:w="0" w:type="auto"/>
            <w:shd w:val="clear" w:color="auto" w:fill="CCEEFF"/>
            <w:tcMar>
              <w:top w:w="30" w:type="dxa"/>
              <w:left w:w="0" w:type="dxa"/>
              <w:bottom w:w="30" w:type="dxa"/>
              <w:right w:w="20" w:type="dxa"/>
            </w:tcMar>
            <w:vAlign w:val="bottom"/>
            <w:hideMark/>
          </w:tcPr>
          <w:p w14:paraId="48C96FE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5B751"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E6A18E"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D07345" w14:textId="77777777" w:rsidR="00000000" w:rsidRDefault="0068293C">
            <w:pPr>
              <w:spacing w:after="100"/>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14:paraId="3CE2D7C3" w14:textId="77777777" w:rsidR="00000000" w:rsidRDefault="0068293C">
            <w:pPr>
              <w:spacing w:after="100"/>
              <w:jc w:val="right"/>
              <w:rPr>
                <w:rFonts w:eastAsia="Times New Roman"/>
              </w:rPr>
            </w:pPr>
          </w:p>
        </w:tc>
      </w:tr>
      <w:tr w:rsidR="00000000" w14:paraId="0E067341" w14:textId="77777777">
        <w:trPr>
          <w:divId w:val="111751985"/>
          <w:jc w:val="center"/>
        </w:trPr>
        <w:tc>
          <w:tcPr>
            <w:tcW w:w="0" w:type="auto"/>
            <w:gridSpan w:val="3"/>
            <w:shd w:val="clear" w:color="auto" w:fill="FFFFFF"/>
            <w:tcMar>
              <w:top w:w="30" w:type="dxa"/>
              <w:left w:w="380" w:type="dxa"/>
              <w:bottom w:w="30" w:type="dxa"/>
              <w:right w:w="20" w:type="dxa"/>
            </w:tcMar>
            <w:hideMark/>
          </w:tcPr>
          <w:p w14:paraId="672806EF" w14:textId="77777777" w:rsidR="00000000" w:rsidRDefault="0068293C">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59EEC2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CD621CE" w14:textId="77777777" w:rsidR="00000000" w:rsidRDefault="0068293C">
            <w:pPr>
              <w:spacing w:after="100"/>
              <w:jc w:val="right"/>
              <w:rPr>
                <w:rFonts w:eastAsia="Times New Roman"/>
              </w:rPr>
            </w:pPr>
            <w:r>
              <w:rPr>
                <w:rFonts w:eastAsia="Times New Roman"/>
                <w:b/>
                <w:bCs/>
                <w:color w:val="000000"/>
                <w:sz w:val="20"/>
                <w:szCs w:val="20"/>
              </w:rPr>
              <w:t>(0.27)</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DDBB7E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BBBA3" w14:textId="77777777" w:rsidR="00000000" w:rsidRDefault="0068293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5CA536D"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DEF5623" w14:textId="77777777" w:rsidR="00000000" w:rsidRDefault="0068293C">
            <w:pPr>
              <w:spacing w:after="100"/>
              <w:jc w:val="right"/>
              <w:rPr>
                <w:rFonts w:eastAsia="Times New Roman"/>
              </w:rPr>
            </w:pPr>
            <w:r>
              <w:rPr>
                <w:rFonts w:eastAsia="Times New Roman"/>
                <w:color w:val="000000"/>
                <w:sz w:val="20"/>
                <w:szCs w:val="20"/>
              </w:rPr>
              <w:t>0.19 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1C858E0" w14:textId="77777777" w:rsidR="00000000" w:rsidRDefault="0068293C">
            <w:pPr>
              <w:spacing w:after="100"/>
              <w:jc w:val="right"/>
              <w:rPr>
                <w:rFonts w:eastAsia="Times New Roman"/>
              </w:rPr>
            </w:pPr>
          </w:p>
        </w:tc>
      </w:tr>
      <w:tr w:rsidR="00000000" w14:paraId="760020E6" w14:textId="77777777">
        <w:trPr>
          <w:divId w:val="111751985"/>
          <w:jc w:val="center"/>
        </w:trPr>
        <w:tc>
          <w:tcPr>
            <w:tcW w:w="0" w:type="auto"/>
            <w:gridSpan w:val="3"/>
            <w:shd w:val="clear" w:color="auto" w:fill="CCEEFF"/>
            <w:tcMar>
              <w:top w:w="30" w:type="dxa"/>
              <w:left w:w="20" w:type="dxa"/>
              <w:bottom w:w="30" w:type="dxa"/>
              <w:right w:w="20" w:type="dxa"/>
            </w:tcMar>
            <w:hideMark/>
          </w:tcPr>
          <w:p w14:paraId="28802AFA" w14:textId="77777777" w:rsidR="00000000" w:rsidRDefault="0068293C">
            <w:pPr>
              <w:spacing w:after="100"/>
              <w:rPr>
                <w:rFonts w:eastAsia="Times New Roman"/>
              </w:rPr>
            </w:pPr>
            <w:r>
              <w:rPr>
                <w:rFonts w:eastAsia="Times New Roman"/>
                <w:b/>
                <w:bCs/>
                <w:color w:val="000000"/>
                <w:sz w:val="20"/>
                <w:szCs w:val="20"/>
              </w:rPr>
              <w:t>Net income (loss) per common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FD92A8"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02F11"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4A7890" w14:textId="77777777" w:rsidR="00000000" w:rsidRDefault="0068293C">
            <w:pPr>
              <w:spacing w:after="100"/>
              <w:rPr>
                <w:rFonts w:eastAsia="Times New Roman"/>
                <w:sz w:val="20"/>
                <w:szCs w:val="20"/>
              </w:rPr>
            </w:pPr>
          </w:p>
        </w:tc>
      </w:tr>
      <w:tr w:rsidR="00000000" w14:paraId="275E1085" w14:textId="77777777">
        <w:trPr>
          <w:divId w:val="111751985"/>
          <w:jc w:val="center"/>
        </w:trPr>
        <w:tc>
          <w:tcPr>
            <w:tcW w:w="0" w:type="auto"/>
            <w:gridSpan w:val="3"/>
            <w:shd w:val="clear" w:color="auto" w:fill="FFFFFF"/>
            <w:tcMar>
              <w:top w:w="30" w:type="dxa"/>
              <w:left w:w="380" w:type="dxa"/>
              <w:bottom w:w="30" w:type="dxa"/>
              <w:right w:w="20" w:type="dxa"/>
            </w:tcMar>
            <w:hideMark/>
          </w:tcPr>
          <w:p w14:paraId="7DFB09AB" w14:textId="77777777" w:rsidR="00000000" w:rsidRDefault="0068293C">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22AED78A"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88F8AB2" w14:textId="77777777" w:rsidR="00000000" w:rsidRDefault="0068293C">
            <w:pPr>
              <w:spacing w:after="100"/>
              <w:jc w:val="right"/>
              <w:rPr>
                <w:rFonts w:eastAsia="Times New Roman"/>
              </w:rPr>
            </w:pPr>
            <w:r>
              <w:rPr>
                <w:rFonts w:eastAsia="Times New Roman"/>
                <w:b/>
                <w:bCs/>
                <w:color w:val="000000"/>
                <w:sz w:val="20"/>
                <w:szCs w:val="20"/>
              </w:rPr>
              <w:t>(0.28)</w:t>
            </w:r>
          </w:p>
        </w:tc>
        <w:tc>
          <w:tcPr>
            <w:tcW w:w="0" w:type="auto"/>
            <w:shd w:val="clear" w:color="auto" w:fill="FFFFFF"/>
            <w:tcMar>
              <w:top w:w="30" w:type="dxa"/>
              <w:left w:w="0" w:type="dxa"/>
              <w:bottom w:w="30" w:type="dxa"/>
              <w:right w:w="20" w:type="dxa"/>
            </w:tcMar>
            <w:vAlign w:val="bottom"/>
            <w:hideMark/>
          </w:tcPr>
          <w:p w14:paraId="25C8A60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652CE"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F370C5"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39F76D" w14:textId="77777777" w:rsidR="00000000" w:rsidRDefault="0068293C">
            <w:pPr>
              <w:spacing w:after="100"/>
              <w:jc w:val="right"/>
              <w:rPr>
                <w:rFonts w:eastAsia="Times New Roman"/>
              </w:rPr>
            </w:pPr>
            <w:r>
              <w:rPr>
                <w:rFonts w:eastAsia="Times New Roman"/>
                <w:color w:val="000000"/>
                <w:sz w:val="20"/>
                <w:szCs w:val="20"/>
              </w:rPr>
              <w:t>0.20 </w:t>
            </w:r>
          </w:p>
        </w:tc>
        <w:tc>
          <w:tcPr>
            <w:tcW w:w="0" w:type="auto"/>
            <w:shd w:val="clear" w:color="auto" w:fill="FFFFFF"/>
            <w:tcMar>
              <w:top w:w="30" w:type="dxa"/>
              <w:left w:w="0" w:type="dxa"/>
              <w:bottom w:w="30" w:type="dxa"/>
              <w:right w:w="20" w:type="dxa"/>
            </w:tcMar>
            <w:vAlign w:val="bottom"/>
            <w:hideMark/>
          </w:tcPr>
          <w:p w14:paraId="42D603D6" w14:textId="77777777" w:rsidR="00000000" w:rsidRDefault="0068293C">
            <w:pPr>
              <w:spacing w:after="100"/>
              <w:jc w:val="right"/>
              <w:rPr>
                <w:rFonts w:eastAsia="Times New Roman"/>
              </w:rPr>
            </w:pPr>
          </w:p>
        </w:tc>
      </w:tr>
      <w:tr w:rsidR="00000000" w14:paraId="7F679FDA" w14:textId="77777777">
        <w:trPr>
          <w:divId w:val="111751985"/>
          <w:jc w:val="center"/>
        </w:trPr>
        <w:tc>
          <w:tcPr>
            <w:tcW w:w="0" w:type="auto"/>
            <w:gridSpan w:val="3"/>
            <w:shd w:val="clear" w:color="auto" w:fill="CCEEFF"/>
            <w:tcMar>
              <w:top w:w="30" w:type="dxa"/>
              <w:left w:w="380" w:type="dxa"/>
              <w:bottom w:w="30" w:type="dxa"/>
              <w:right w:w="20" w:type="dxa"/>
            </w:tcMar>
            <w:hideMark/>
          </w:tcPr>
          <w:p w14:paraId="5EAC87BF" w14:textId="77777777" w:rsidR="00000000" w:rsidRDefault="0068293C">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BE08487"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F48F63A" w14:textId="77777777" w:rsidR="00000000" w:rsidRDefault="0068293C">
            <w:pPr>
              <w:spacing w:after="100"/>
              <w:jc w:val="right"/>
              <w:rPr>
                <w:rFonts w:eastAsia="Times New Roman"/>
              </w:rPr>
            </w:pPr>
            <w:r>
              <w:rPr>
                <w:rFonts w:eastAsia="Times New Roman"/>
                <w:b/>
                <w:bCs/>
                <w:color w:val="000000"/>
                <w:sz w:val="20"/>
                <w:szCs w:val="20"/>
              </w:rPr>
              <w:t>(0.28)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D1AD7F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C618C" w14:textId="77777777" w:rsidR="00000000" w:rsidRDefault="0068293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696F586"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8560253" w14:textId="77777777" w:rsidR="00000000" w:rsidRDefault="0068293C">
            <w:pPr>
              <w:spacing w:after="100"/>
              <w:jc w:val="right"/>
              <w:rPr>
                <w:rFonts w:eastAsia="Times New Roman"/>
              </w:rPr>
            </w:pPr>
            <w:r>
              <w:rPr>
                <w:rFonts w:eastAsia="Times New Roman"/>
                <w:color w:val="000000"/>
                <w:sz w:val="20"/>
                <w:szCs w:val="20"/>
              </w:rPr>
              <w:t>0.19 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6A41288" w14:textId="77777777" w:rsidR="00000000" w:rsidRDefault="0068293C">
            <w:pPr>
              <w:spacing w:after="100"/>
              <w:jc w:val="right"/>
              <w:rPr>
                <w:rFonts w:eastAsia="Times New Roman"/>
              </w:rPr>
            </w:pPr>
          </w:p>
        </w:tc>
      </w:tr>
      <w:tr w:rsidR="00000000" w14:paraId="79177A08" w14:textId="77777777">
        <w:trPr>
          <w:divId w:val="111751985"/>
          <w:jc w:val="center"/>
        </w:trPr>
        <w:tc>
          <w:tcPr>
            <w:tcW w:w="0" w:type="auto"/>
            <w:gridSpan w:val="3"/>
            <w:shd w:val="clear" w:color="auto" w:fill="FFFFFF"/>
            <w:tcMar>
              <w:top w:w="30" w:type="dxa"/>
              <w:left w:w="20" w:type="dxa"/>
              <w:bottom w:w="30" w:type="dxa"/>
              <w:right w:w="20" w:type="dxa"/>
            </w:tcMar>
            <w:hideMark/>
          </w:tcPr>
          <w:p w14:paraId="456C7418" w14:textId="77777777" w:rsidR="00000000" w:rsidRDefault="0068293C">
            <w:pPr>
              <w:spacing w:after="100"/>
              <w:rPr>
                <w:rFonts w:eastAsia="Times New Roman"/>
              </w:rPr>
            </w:pPr>
            <w:r>
              <w:rPr>
                <w:rFonts w:eastAsia="Times New Roman"/>
                <w:b/>
                <w:bCs/>
                <w:color w:val="000000"/>
                <w:sz w:val="20"/>
                <w:szCs w:val="20"/>
              </w:rPr>
              <w:t>Weighted average common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AE86F8"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CD884"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8B4D0C" w14:textId="77777777" w:rsidR="00000000" w:rsidRDefault="0068293C">
            <w:pPr>
              <w:spacing w:after="100"/>
              <w:rPr>
                <w:rFonts w:eastAsia="Times New Roman"/>
                <w:sz w:val="20"/>
                <w:szCs w:val="20"/>
              </w:rPr>
            </w:pPr>
          </w:p>
        </w:tc>
      </w:tr>
      <w:tr w:rsidR="00000000" w14:paraId="008715F4" w14:textId="77777777">
        <w:trPr>
          <w:divId w:val="111751985"/>
          <w:jc w:val="center"/>
        </w:trPr>
        <w:tc>
          <w:tcPr>
            <w:tcW w:w="0" w:type="auto"/>
            <w:gridSpan w:val="3"/>
            <w:shd w:val="clear" w:color="auto" w:fill="CCEEFF"/>
            <w:tcMar>
              <w:top w:w="30" w:type="dxa"/>
              <w:left w:w="380" w:type="dxa"/>
              <w:bottom w:w="30" w:type="dxa"/>
              <w:right w:w="20" w:type="dxa"/>
            </w:tcMar>
            <w:hideMark/>
          </w:tcPr>
          <w:p w14:paraId="14B17959" w14:textId="77777777" w:rsidR="00000000" w:rsidRDefault="0068293C">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14:paraId="7789094B" w14:textId="77777777" w:rsidR="00000000" w:rsidRDefault="0068293C">
            <w:pPr>
              <w:spacing w:after="100"/>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368AC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6593E"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A89C6" w14:textId="77777777" w:rsidR="00000000" w:rsidRDefault="0068293C">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14:paraId="7B943A22" w14:textId="77777777" w:rsidR="00000000" w:rsidRDefault="0068293C">
            <w:pPr>
              <w:spacing w:after="100"/>
              <w:jc w:val="right"/>
              <w:rPr>
                <w:rFonts w:eastAsia="Times New Roman"/>
              </w:rPr>
            </w:pPr>
          </w:p>
        </w:tc>
      </w:tr>
      <w:tr w:rsidR="00000000" w14:paraId="747272A8" w14:textId="77777777">
        <w:trPr>
          <w:divId w:val="111751985"/>
          <w:jc w:val="center"/>
        </w:trPr>
        <w:tc>
          <w:tcPr>
            <w:tcW w:w="0" w:type="auto"/>
            <w:gridSpan w:val="3"/>
            <w:shd w:val="clear" w:color="auto" w:fill="FFFFFF"/>
            <w:tcMar>
              <w:top w:w="30" w:type="dxa"/>
              <w:left w:w="380" w:type="dxa"/>
              <w:bottom w:w="30" w:type="dxa"/>
              <w:right w:w="20" w:type="dxa"/>
            </w:tcMar>
            <w:hideMark/>
          </w:tcPr>
          <w:p w14:paraId="5961DED2" w14:textId="77777777" w:rsidR="00000000" w:rsidRDefault="0068293C">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14:paraId="1AAE0C70" w14:textId="77777777" w:rsidR="00000000" w:rsidRDefault="0068293C">
            <w:pPr>
              <w:spacing w:after="100"/>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1FE41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DA05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E0C77" w14:textId="77777777" w:rsidR="00000000" w:rsidRDefault="0068293C">
            <w:pPr>
              <w:spacing w:after="100"/>
              <w:jc w:val="right"/>
              <w:rPr>
                <w:rFonts w:eastAsia="Times New Roman"/>
              </w:rPr>
            </w:pPr>
            <w:r>
              <w:rPr>
                <w:rFonts w:eastAsia="Times New Roman"/>
                <w:color w:val="000000"/>
                <w:sz w:val="20"/>
                <w:szCs w:val="20"/>
              </w:rPr>
              <w:t>134.7 </w:t>
            </w:r>
          </w:p>
        </w:tc>
        <w:tc>
          <w:tcPr>
            <w:tcW w:w="0" w:type="auto"/>
            <w:shd w:val="clear" w:color="auto" w:fill="FFFFFF"/>
            <w:tcMar>
              <w:top w:w="30" w:type="dxa"/>
              <w:left w:w="0" w:type="dxa"/>
              <w:bottom w:w="30" w:type="dxa"/>
              <w:right w:w="20" w:type="dxa"/>
            </w:tcMar>
            <w:vAlign w:val="bottom"/>
            <w:hideMark/>
          </w:tcPr>
          <w:p w14:paraId="10B114AA" w14:textId="77777777" w:rsidR="00000000" w:rsidRDefault="0068293C">
            <w:pPr>
              <w:spacing w:after="100"/>
              <w:jc w:val="right"/>
              <w:rPr>
                <w:rFonts w:eastAsia="Times New Roman"/>
              </w:rPr>
            </w:pPr>
          </w:p>
        </w:tc>
      </w:tr>
    </w:tbl>
    <w:p w14:paraId="65A57A02" w14:textId="77777777" w:rsidR="00000000" w:rsidRDefault="0068293C">
      <w:pPr>
        <w:jc w:val="center"/>
        <w:rPr>
          <w:rFonts w:eastAsia="Times New Roman"/>
        </w:rPr>
      </w:pPr>
      <w:r>
        <w:rPr>
          <w:rFonts w:eastAsia="Times New Roman"/>
          <w:color w:val="000000"/>
          <w:sz w:val="20"/>
          <w:szCs w:val="20"/>
        </w:rPr>
        <w:t>See Notes to Condensed Consolidated Financial Statements.</w:t>
      </w:r>
    </w:p>
    <w:p w14:paraId="18469CFC" w14:textId="77777777" w:rsidR="00000000" w:rsidRDefault="0068293C">
      <w:pPr>
        <w:jc w:val="center"/>
        <w:divId w:val="1805349877"/>
        <w:rPr>
          <w:rFonts w:eastAsia="Times New Roman"/>
        </w:rPr>
      </w:pPr>
      <w:r>
        <w:rPr>
          <w:rFonts w:eastAsia="Times New Roman"/>
          <w:color w:val="000000"/>
          <w:sz w:val="20"/>
          <w:szCs w:val="20"/>
        </w:rPr>
        <w:t>3</w:t>
      </w:r>
    </w:p>
    <w:p w14:paraId="6801257E" w14:textId="77777777" w:rsidR="00000000" w:rsidRDefault="0068293C">
      <w:pPr>
        <w:rPr>
          <w:rFonts w:eastAsia="Times New Roman"/>
        </w:rPr>
      </w:pPr>
      <w:r>
        <w:rPr>
          <w:rFonts w:eastAsia="Times New Roman"/>
        </w:rPr>
        <w:pict w14:anchorId="74C41990">
          <v:rect id="_x0000_i1028" style="width:0;height:1.5pt" o:hralign="center" o:hrstd="t" o:hr="t" fillcolor="#a0a0a0" stroked="f"/>
        </w:pict>
      </w:r>
    </w:p>
    <w:p w14:paraId="0F084A96" w14:textId="77777777" w:rsidR="00000000" w:rsidRDefault="0068293C">
      <w:pPr>
        <w:divId w:val="1308703196"/>
        <w:rPr>
          <w:rFonts w:eastAsia="Times New Roman"/>
        </w:rPr>
      </w:pPr>
      <w:hyperlink w:anchor="i78484f3d0d8e4e36a7c87ddd6ea9d725_7" w:history="1">
        <w:r>
          <w:rPr>
            <w:rStyle w:val="a3"/>
            <w:rFonts w:eastAsia="Times New Roman"/>
            <w:sz w:val="16"/>
            <w:szCs w:val="16"/>
          </w:rPr>
          <w:t>Table of Contents</w:t>
        </w:r>
      </w:hyperlink>
    </w:p>
    <w:p w14:paraId="4C2220FA" w14:textId="77777777" w:rsidR="00000000" w:rsidRDefault="0068293C">
      <w:pPr>
        <w:jc w:val="center"/>
        <w:rPr>
          <w:rFonts w:eastAsia="Times New Roman"/>
        </w:rPr>
      </w:pPr>
      <w:r>
        <w:rPr>
          <w:rFonts w:eastAsia="Times New Roman"/>
          <w:b/>
          <w:bCs/>
          <w:color w:val="000000"/>
          <w:sz w:val="20"/>
          <w:szCs w:val="20"/>
        </w:rPr>
        <w:lastRenderedPageBreak/>
        <w:t>NCR Corporation</w:t>
      </w:r>
    </w:p>
    <w:p w14:paraId="5457F168" w14:textId="77777777" w:rsidR="00000000" w:rsidRDefault="0068293C">
      <w:pPr>
        <w:jc w:val="center"/>
        <w:rPr>
          <w:rFonts w:eastAsia="Times New Roman"/>
        </w:rPr>
      </w:pPr>
      <w:r>
        <w:rPr>
          <w:rFonts w:eastAsia="Times New Roman"/>
          <w:b/>
          <w:bCs/>
          <w:color w:val="000000"/>
          <w:sz w:val="20"/>
          <w:szCs w:val="20"/>
        </w:rPr>
        <w:t>Condensed Consolidated Statements of Comprehensive Income (Unaudited</w:t>
      </w:r>
      <w:r>
        <w:rPr>
          <w:rFonts w:eastAsia="Times New Roman"/>
          <w:b/>
          <w:bCs/>
          <w:color w:val="000000"/>
          <w:sz w:val="20"/>
          <w:szCs w:val="20"/>
        </w:rPr>
        <w:t>)</w:t>
      </w:r>
    </w:p>
    <w:p w14:paraId="4CD513C6" w14:textId="77777777" w:rsidR="00000000" w:rsidRDefault="0068293C">
      <w:pPr>
        <w:divId w:val="1221090151"/>
        <w:rPr>
          <w:rFonts w:eastAsia="Times New Roman"/>
        </w:rPr>
      </w:pP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47"/>
        <w:gridCol w:w="38"/>
        <w:gridCol w:w="120"/>
        <w:gridCol w:w="1078"/>
        <w:gridCol w:w="36"/>
        <w:gridCol w:w="36"/>
        <w:gridCol w:w="38"/>
        <w:gridCol w:w="36"/>
        <w:gridCol w:w="120"/>
        <w:gridCol w:w="1081"/>
        <w:gridCol w:w="36"/>
      </w:tblGrid>
      <w:tr w:rsidR="00000000" w14:paraId="0DF0AABA" w14:textId="77777777">
        <w:trPr>
          <w:divId w:val="263347874"/>
          <w:jc w:val="center"/>
        </w:trPr>
        <w:tc>
          <w:tcPr>
            <w:tcW w:w="50" w:type="pct"/>
            <w:vAlign w:val="center"/>
            <w:hideMark/>
          </w:tcPr>
          <w:p w14:paraId="25646979" w14:textId="77777777" w:rsidR="00000000" w:rsidRDefault="0068293C">
            <w:pPr>
              <w:rPr>
                <w:rFonts w:eastAsia="Times New Roman"/>
              </w:rPr>
            </w:pPr>
          </w:p>
        </w:tc>
        <w:tc>
          <w:tcPr>
            <w:tcW w:w="3424" w:type="pct"/>
            <w:vAlign w:val="center"/>
            <w:hideMark/>
          </w:tcPr>
          <w:p w14:paraId="182F18EE" w14:textId="77777777" w:rsidR="00000000" w:rsidRDefault="0068293C">
            <w:pPr>
              <w:spacing w:after="100"/>
              <w:rPr>
                <w:rFonts w:eastAsia="Times New Roman"/>
                <w:sz w:val="20"/>
                <w:szCs w:val="20"/>
              </w:rPr>
            </w:pPr>
          </w:p>
        </w:tc>
        <w:tc>
          <w:tcPr>
            <w:tcW w:w="5" w:type="pct"/>
            <w:vAlign w:val="center"/>
            <w:hideMark/>
          </w:tcPr>
          <w:p w14:paraId="61DC315C" w14:textId="77777777" w:rsidR="00000000" w:rsidRDefault="0068293C">
            <w:pPr>
              <w:spacing w:after="100"/>
              <w:rPr>
                <w:rFonts w:eastAsia="Times New Roman"/>
                <w:sz w:val="20"/>
                <w:szCs w:val="20"/>
              </w:rPr>
            </w:pPr>
          </w:p>
        </w:tc>
        <w:tc>
          <w:tcPr>
            <w:tcW w:w="50" w:type="pct"/>
            <w:vAlign w:val="center"/>
            <w:hideMark/>
          </w:tcPr>
          <w:p w14:paraId="575E7A86" w14:textId="77777777" w:rsidR="00000000" w:rsidRDefault="0068293C">
            <w:pPr>
              <w:spacing w:after="100"/>
              <w:rPr>
                <w:rFonts w:eastAsia="Times New Roman"/>
                <w:sz w:val="20"/>
                <w:szCs w:val="20"/>
              </w:rPr>
            </w:pPr>
          </w:p>
        </w:tc>
        <w:tc>
          <w:tcPr>
            <w:tcW w:w="675" w:type="pct"/>
            <w:vAlign w:val="center"/>
            <w:hideMark/>
          </w:tcPr>
          <w:p w14:paraId="5E8F5A4B" w14:textId="77777777" w:rsidR="00000000" w:rsidRDefault="0068293C">
            <w:pPr>
              <w:spacing w:after="100"/>
              <w:rPr>
                <w:rFonts w:eastAsia="Times New Roman"/>
                <w:sz w:val="20"/>
                <w:szCs w:val="20"/>
              </w:rPr>
            </w:pPr>
          </w:p>
        </w:tc>
        <w:tc>
          <w:tcPr>
            <w:tcW w:w="5" w:type="pct"/>
            <w:vAlign w:val="center"/>
            <w:hideMark/>
          </w:tcPr>
          <w:p w14:paraId="3C87D380" w14:textId="77777777" w:rsidR="00000000" w:rsidRDefault="0068293C">
            <w:pPr>
              <w:spacing w:after="100"/>
              <w:rPr>
                <w:rFonts w:eastAsia="Times New Roman"/>
                <w:sz w:val="20"/>
                <w:szCs w:val="20"/>
              </w:rPr>
            </w:pPr>
          </w:p>
        </w:tc>
        <w:tc>
          <w:tcPr>
            <w:tcW w:w="5" w:type="pct"/>
            <w:vAlign w:val="center"/>
            <w:hideMark/>
          </w:tcPr>
          <w:p w14:paraId="41C9B0B0" w14:textId="77777777" w:rsidR="00000000" w:rsidRDefault="0068293C">
            <w:pPr>
              <w:spacing w:after="100"/>
              <w:rPr>
                <w:rFonts w:eastAsia="Times New Roman"/>
                <w:sz w:val="20"/>
                <w:szCs w:val="20"/>
              </w:rPr>
            </w:pPr>
          </w:p>
        </w:tc>
        <w:tc>
          <w:tcPr>
            <w:tcW w:w="48" w:type="pct"/>
            <w:vAlign w:val="center"/>
            <w:hideMark/>
          </w:tcPr>
          <w:p w14:paraId="718C2BF2" w14:textId="77777777" w:rsidR="00000000" w:rsidRDefault="0068293C">
            <w:pPr>
              <w:spacing w:after="100"/>
              <w:rPr>
                <w:rFonts w:eastAsia="Times New Roman"/>
                <w:sz w:val="20"/>
                <w:szCs w:val="20"/>
              </w:rPr>
            </w:pPr>
          </w:p>
        </w:tc>
        <w:tc>
          <w:tcPr>
            <w:tcW w:w="5" w:type="pct"/>
            <w:vAlign w:val="center"/>
            <w:hideMark/>
          </w:tcPr>
          <w:p w14:paraId="297EE537" w14:textId="77777777" w:rsidR="00000000" w:rsidRDefault="0068293C">
            <w:pPr>
              <w:spacing w:after="100"/>
              <w:rPr>
                <w:rFonts w:eastAsia="Times New Roman"/>
                <w:sz w:val="20"/>
                <w:szCs w:val="20"/>
              </w:rPr>
            </w:pPr>
          </w:p>
        </w:tc>
        <w:tc>
          <w:tcPr>
            <w:tcW w:w="50" w:type="pct"/>
            <w:vAlign w:val="center"/>
            <w:hideMark/>
          </w:tcPr>
          <w:p w14:paraId="042C4407" w14:textId="77777777" w:rsidR="00000000" w:rsidRDefault="0068293C">
            <w:pPr>
              <w:spacing w:after="100"/>
              <w:rPr>
                <w:rFonts w:eastAsia="Times New Roman"/>
                <w:sz w:val="20"/>
                <w:szCs w:val="20"/>
              </w:rPr>
            </w:pPr>
          </w:p>
        </w:tc>
        <w:tc>
          <w:tcPr>
            <w:tcW w:w="676" w:type="pct"/>
            <w:vAlign w:val="center"/>
            <w:hideMark/>
          </w:tcPr>
          <w:p w14:paraId="313A7A3D" w14:textId="77777777" w:rsidR="00000000" w:rsidRDefault="0068293C">
            <w:pPr>
              <w:spacing w:after="100"/>
              <w:rPr>
                <w:rFonts w:eastAsia="Times New Roman"/>
                <w:sz w:val="20"/>
                <w:szCs w:val="20"/>
              </w:rPr>
            </w:pPr>
          </w:p>
        </w:tc>
        <w:tc>
          <w:tcPr>
            <w:tcW w:w="5" w:type="pct"/>
            <w:vAlign w:val="center"/>
            <w:hideMark/>
          </w:tcPr>
          <w:p w14:paraId="2B704AC1" w14:textId="77777777" w:rsidR="00000000" w:rsidRDefault="0068293C">
            <w:pPr>
              <w:spacing w:after="100"/>
              <w:rPr>
                <w:rFonts w:eastAsia="Times New Roman"/>
                <w:sz w:val="20"/>
                <w:szCs w:val="20"/>
              </w:rPr>
            </w:pPr>
          </w:p>
        </w:tc>
      </w:tr>
      <w:tr w:rsidR="00000000" w14:paraId="773ABADD" w14:textId="77777777">
        <w:trPr>
          <w:divId w:val="263347874"/>
          <w:trHeight w:val="400"/>
          <w:jc w:val="center"/>
        </w:trPr>
        <w:tc>
          <w:tcPr>
            <w:tcW w:w="0" w:type="auto"/>
            <w:gridSpan w:val="3"/>
            <w:vMerge w:val="restart"/>
            <w:tcMar>
              <w:top w:w="30" w:type="dxa"/>
              <w:left w:w="20" w:type="dxa"/>
              <w:bottom w:w="30" w:type="dxa"/>
              <w:right w:w="20" w:type="dxa"/>
            </w:tcMar>
            <w:vAlign w:val="bottom"/>
            <w:hideMark/>
          </w:tcPr>
          <w:p w14:paraId="64D26887"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7700DD67"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3F48A30B" w14:textId="77777777">
        <w:trPr>
          <w:divId w:val="263347874"/>
          <w:trHeight w:val="240"/>
          <w:jc w:val="center"/>
        </w:trPr>
        <w:tc>
          <w:tcPr>
            <w:tcW w:w="0" w:type="auto"/>
            <w:gridSpan w:val="3"/>
            <w:vMerge/>
            <w:vAlign w:val="center"/>
            <w:hideMark/>
          </w:tcPr>
          <w:p w14:paraId="231FB9A1"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212D62"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AD6BE8C"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58F8AC"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1F0BC630"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60A3BE8D" w14:textId="77777777" w:rsidR="00000000" w:rsidRDefault="0068293C">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D2141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59B3A4" w14:textId="77777777" w:rsidR="00000000" w:rsidRDefault="0068293C">
            <w:pPr>
              <w:spacing w:after="100"/>
              <w:jc w:val="right"/>
              <w:rPr>
                <w:rFonts w:eastAsia="Times New Roman"/>
              </w:rPr>
            </w:pPr>
            <w:r>
              <w:rPr>
                <w:rFonts w:eastAsia="Times New Roman"/>
                <w:color w:val="000000"/>
                <w:sz w:val="20"/>
                <w:szCs w:val="20"/>
              </w:rPr>
              <w:t>(35)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4D42A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3546A"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CA4C7C"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E5130E" w14:textId="77777777" w:rsidR="00000000" w:rsidRDefault="0068293C">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18CA0B" w14:textId="77777777" w:rsidR="00000000" w:rsidRDefault="0068293C">
            <w:pPr>
              <w:spacing w:after="100"/>
              <w:jc w:val="right"/>
              <w:rPr>
                <w:rFonts w:eastAsia="Times New Roman"/>
              </w:rPr>
            </w:pPr>
          </w:p>
        </w:tc>
      </w:tr>
      <w:tr w:rsidR="00000000" w14:paraId="4F42BFA5" w14:textId="77777777">
        <w:trPr>
          <w:divId w:val="263347874"/>
          <w:jc w:val="center"/>
        </w:trPr>
        <w:tc>
          <w:tcPr>
            <w:tcW w:w="0" w:type="auto"/>
            <w:gridSpan w:val="3"/>
            <w:shd w:val="clear" w:color="auto" w:fill="FFFFFF"/>
            <w:tcMar>
              <w:top w:w="30" w:type="dxa"/>
              <w:left w:w="20" w:type="dxa"/>
              <w:bottom w:w="30" w:type="dxa"/>
              <w:right w:w="20" w:type="dxa"/>
            </w:tcMar>
            <w:vAlign w:val="bottom"/>
            <w:hideMark/>
          </w:tcPr>
          <w:p w14:paraId="21BEF023" w14:textId="77777777" w:rsidR="00000000" w:rsidRDefault="0068293C">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14:paraId="350F3A3E"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A39F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E593F" w14:textId="77777777" w:rsidR="00000000" w:rsidRDefault="0068293C">
            <w:pPr>
              <w:spacing w:after="100"/>
              <w:rPr>
                <w:rFonts w:eastAsia="Times New Roman"/>
                <w:sz w:val="20"/>
                <w:szCs w:val="20"/>
              </w:rPr>
            </w:pPr>
          </w:p>
        </w:tc>
      </w:tr>
      <w:tr w:rsidR="00000000" w14:paraId="6FEDC257"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4EBEFD26" w14:textId="77777777" w:rsidR="00000000" w:rsidRDefault="0068293C">
            <w:pPr>
              <w:spacing w:after="100"/>
              <w:rPr>
                <w:rFonts w:eastAsia="Times New Roman"/>
              </w:rPr>
            </w:pPr>
            <w:r>
              <w:rPr>
                <w:rFonts w:eastAsia="Times New Roman"/>
                <w:b/>
                <w:bCs/>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14:paraId="10027D57"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F209C"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E2EEBD" w14:textId="77777777" w:rsidR="00000000" w:rsidRDefault="0068293C">
            <w:pPr>
              <w:spacing w:after="100"/>
              <w:rPr>
                <w:rFonts w:eastAsia="Times New Roman"/>
                <w:sz w:val="20"/>
                <w:szCs w:val="20"/>
              </w:rPr>
            </w:pPr>
          </w:p>
        </w:tc>
      </w:tr>
      <w:tr w:rsidR="00000000" w14:paraId="0998F98A" w14:textId="77777777">
        <w:trPr>
          <w:divId w:val="263347874"/>
          <w:jc w:val="center"/>
        </w:trPr>
        <w:tc>
          <w:tcPr>
            <w:tcW w:w="0" w:type="auto"/>
            <w:gridSpan w:val="3"/>
            <w:shd w:val="clear" w:color="auto" w:fill="FFFFFF"/>
            <w:tcMar>
              <w:top w:w="30" w:type="dxa"/>
              <w:left w:w="155" w:type="dxa"/>
              <w:bottom w:w="30" w:type="dxa"/>
              <w:right w:w="20" w:type="dxa"/>
            </w:tcMar>
            <w:vAlign w:val="bottom"/>
            <w:hideMark/>
          </w:tcPr>
          <w:p w14:paraId="0F458336" w14:textId="77777777" w:rsidR="00000000" w:rsidRDefault="0068293C">
            <w:pPr>
              <w:spacing w:after="100"/>
              <w:rPr>
                <w:rFonts w:eastAsia="Times New Roman"/>
              </w:rPr>
            </w:pPr>
            <w:r>
              <w:rPr>
                <w:rFonts w:eastAsia="Times New Roman"/>
                <w:color w:val="000000"/>
                <w:sz w:val="20"/>
                <w:szCs w:val="20"/>
              </w:rPr>
              <w:t>Currency translation gains (loss)</w:t>
            </w:r>
          </w:p>
        </w:tc>
        <w:tc>
          <w:tcPr>
            <w:tcW w:w="0" w:type="auto"/>
            <w:gridSpan w:val="2"/>
            <w:shd w:val="clear" w:color="auto" w:fill="FFFFFF"/>
            <w:tcMar>
              <w:top w:w="30" w:type="dxa"/>
              <w:left w:w="20" w:type="dxa"/>
              <w:bottom w:w="30" w:type="dxa"/>
              <w:right w:w="0" w:type="dxa"/>
            </w:tcMar>
            <w:vAlign w:val="bottom"/>
            <w:hideMark/>
          </w:tcPr>
          <w:p w14:paraId="78C76EFA" w14:textId="77777777" w:rsidR="00000000" w:rsidRDefault="0068293C">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14:paraId="15F96E2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36F1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888B0" w14:textId="77777777" w:rsidR="00000000" w:rsidRDefault="0068293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5330938A" w14:textId="77777777" w:rsidR="00000000" w:rsidRDefault="0068293C">
            <w:pPr>
              <w:spacing w:after="100"/>
              <w:jc w:val="right"/>
              <w:rPr>
                <w:rFonts w:eastAsia="Times New Roman"/>
              </w:rPr>
            </w:pPr>
          </w:p>
        </w:tc>
      </w:tr>
      <w:tr w:rsidR="00000000" w14:paraId="1600E756"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4CA9E5E5" w14:textId="77777777" w:rsidR="00000000" w:rsidRDefault="0068293C">
            <w:pPr>
              <w:spacing w:after="100"/>
              <w:rPr>
                <w:rFonts w:eastAsia="Times New Roman"/>
              </w:rPr>
            </w:pPr>
            <w:r>
              <w:rPr>
                <w:rFonts w:eastAsia="Times New Roman"/>
                <w:b/>
                <w:bCs/>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14:paraId="2CE555F6"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F9B0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8C3603" w14:textId="77777777" w:rsidR="00000000" w:rsidRDefault="0068293C">
            <w:pPr>
              <w:spacing w:after="100"/>
              <w:rPr>
                <w:rFonts w:eastAsia="Times New Roman"/>
                <w:sz w:val="20"/>
                <w:szCs w:val="20"/>
              </w:rPr>
            </w:pPr>
          </w:p>
        </w:tc>
      </w:tr>
      <w:tr w:rsidR="00000000" w14:paraId="729278B1" w14:textId="77777777">
        <w:trPr>
          <w:divId w:val="263347874"/>
          <w:jc w:val="center"/>
        </w:trPr>
        <w:tc>
          <w:tcPr>
            <w:tcW w:w="0" w:type="auto"/>
            <w:gridSpan w:val="3"/>
            <w:shd w:val="clear" w:color="auto" w:fill="FFFFFF"/>
            <w:tcMar>
              <w:top w:w="30" w:type="dxa"/>
              <w:left w:w="155" w:type="dxa"/>
              <w:bottom w:w="30" w:type="dxa"/>
              <w:right w:w="20" w:type="dxa"/>
            </w:tcMar>
            <w:vAlign w:val="bottom"/>
            <w:hideMark/>
          </w:tcPr>
          <w:p w14:paraId="3BB78457" w14:textId="77777777" w:rsidR="00000000" w:rsidRDefault="0068293C">
            <w:pPr>
              <w:spacing w:after="100"/>
              <w:rPr>
                <w:rFonts w:eastAsia="Times New Roman"/>
              </w:rPr>
            </w:pPr>
            <w:r>
              <w:rPr>
                <w:rFonts w:eastAsia="Times New Roman"/>
                <w:color w:val="000000"/>
                <w:sz w:val="20"/>
                <w:szCs w:val="20"/>
              </w:rPr>
              <w:t>Unrealized gains (loss) on derivatives</w:t>
            </w:r>
          </w:p>
        </w:tc>
        <w:tc>
          <w:tcPr>
            <w:tcW w:w="0" w:type="auto"/>
            <w:gridSpan w:val="2"/>
            <w:shd w:val="clear" w:color="auto" w:fill="FFFFFF"/>
            <w:tcMar>
              <w:top w:w="30" w:type="dxa"/>
              <w:left w:w="20" w:type="dxa"/>
              <w:bottom w:w="30" w:type="dxa"/>
              <w:right w:w="0" w:type="dxa"/>
            </w:tcMar>
            <w:vAlign w:val="bottom"/>
            <w:hideMark/>
          </w:tcPr>
          <w:p w14:paraId="0A5CDCFE" w14:textId="77777777" w:rsidR="00000000" w:rsidRDefault="0068293C">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14:paraId="2796B88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17B4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3AFD4"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8D5213" w14:textId="77777777" w:rsidR="00000000" w:rsidRDefault="0068293C">
            <w:pPr>
              <w:spacing w:after="100"/>
              <w:jc w:val="right"/>
              <w:rPr>
                <w:rFonts w:eastAsia="Times New Roman"/>
              </w:rPr>
            </w:pPr>
          </w:p>
        </w:tc>
      </w:tr>
      <w:tr w:rsidR="00000000" w14:paraId="76177874"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782D1DAD" w14:textId="77777777" w:rsidR="00000000" w:rsidRDefault="0068293C">
            <w:pPr>
              <w:spacing w:after="100"/>
              <w:rPr>
                <w:rFonts w:eastAsia="Times New Roman"/>
              </w:rPr>
            </w:pPr>
            <w:r>
              <w:rPr>
                <w:rFonts w:eastAsia="Times New Roman"/>
                <w:color w:val="000000"/>
                <w:sz w:val="20"/>
                <w:szCs w:val="20"/>
              </w:rPr>
              <w:t>   Loss (gains) on derivatives recognized during the period</w:t>
            </w:r>
          </w:p>
        </w:tc>
        <w:tc>
          <w:tcPr>
            <w:tcW w:w="0" w:type="auto"/>
            <w:gridSpan w:val="2"/>
            <w:shd w:val="clear" w:color="auto" w:fill="CCEEFF"/>
            <w:tcMar>
              <w:top w:w="30" w:type="dxa"/>
              <w:left w:w="20" w:type="dxa"/>
              <w:bottom w:w="30" w:type="dxa"/>
              <w:right w:w="0" w:type="dxa"/>
            </w:tcMar>
            <w:vAlign w:val="bottom"/>
            <w:hideMark/>
          </w:tcPr>
          <w:p w14:paraId="75D86DF4"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0AFF307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209D5"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025B8"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63C8B5" w14:textId="77777777" w:rsidR="00000000" w:rsidRDefault="0068293C">
            <w:pPr>
              <w:spacing w:after="100"/>
              <w:jc w:val="right"/>
              <w:rPr>
                <w:rFonts w:eastAsia="Times New Roman"/>
              </w:rPr>
            </w:pPr>
          </w:p>
        </w:tc>
      </w:tr>
      <w:tr w:rsidR="00000000" w14:paraId="4F27B15E" w14:textId="77777777">
        <w:trPr>
          <w:divId w:val="263347874"/>
          <w:jc w:val="center"/>
        </w:trPr>
        <w:tc>
          <w:tcPr>
            <w:tcW w:w="0" w:type="auto"/>
            <w:gridSpan w:val="3"/>
            <w:shd w:val="clear" w:color="auto" w:fill="FFFFFF"/>
            <w:tcMar>
              <w:top w:w="30" w:type="dxa"/>
              <w:left w:w="20" w:type="dxa"/>
              <w:bottom w:w="30" w:type="dxa"/>
              <w:right w:w="20" w:type="dxa"/>
            </w:tcMar>
            <w:vAlign w:val="bottom"/>
            <w:hideMark/>
          </w:tcPr>
          <w:p w14:paraId="7D74FCE3" w14:textId="77777777" w:rsidR="00000000" w:rsidRDefault="0068293C">
            <w:pPr>
              <w:spacing w:after="100"/>
              <w:rPr>
                <w:rFonts w:eastAsia="Times New Roman"/>
              </w:rPr>
            </w:pPr>
            <w:r>
              <w:rPr>
                <w:rFonts w:eastAsia="Times New Roman"/>
                <w:color w:val="000000"/>
                <w:sz w:val="20"/>
                <w:szCs w:val="20"/>
              </w:rPr>
              <w:t>        Less income tax</w:t>
            </w:r>
          </w:p>
        </w:tc>
        <w:tc>
          <w:tcPr>
            <w:tcW w:w="0" w:type="auto"/>
            <w:gridSpan w:val="2"/>
            <w:shd w:val="clear" w:color="auto" w:fill="FFFFFF"/>
            <w:tcMar>
              <w:top w:w="30" w:type="dxa"/>
              <w:left w:w="20" w:type="dxa"/>
              <w:bottom w:w="30" w:type="dxa"/>
              <w:right w:w="0" w:type="dxa"/>
            </w:tcMar>
            <w:vAlign w:val="bottom"/>
            <w:hideMark/>
          </w:tcPr>
          <w:p w14:paraId="0C168F52" w14:textId="77777777" w:rsidR="00000000" w:rsidRDefault="0068293C">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5885043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ECFF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D6D2F"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D262DF" w14:textId="77777777" w:rsidR="00000000" w:rsidRDefault="0068293C">
            <w:pPr>
              <w:spacing w:after="100"/>
              <w:jc w:val="right"/>
              <w:rPr>
                <w:rFonts w:eastAsia="Times New Roman"/>
              </w:rPr>
            </w:pPr>
          </w:p>
        </w:tc>
      </w:tr>
      <w:tr w:rsidR="00000000" w14:paraId="14A3987D"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40CC515E" w14:textId="77777777" w:rsidR="00000000" w:rsidRDefault="0068293C">
            <w:pPr>
              <w:spacing w:after="100"/>
              <w:rPr>
                <w:rFonts w:eastAsia="Times New Roman"/>
              </w:rPr>
            </w:pPr>
            <w:r>
              <w:rPr>
                <w:rFonts w:eastAsia="Times New Roman"/>
                <w:b/>
                <w:bCs/>
                <w:color w:val="000000"/>
                <w:sz w:val="20"/>
                <w:szCs w:val="20"/>
              </w:rPr>
              <w:t>Employee benefit plans</w:t>
            </w:r>
          </w:p>
        </w:tc>
        <w:tc>
          <w:tcPr>
            <w:tcW w:w="0" w:type="auto"/>
            <w:gridSpan w:val="3"/>
            <w:shd w:val="clear" w:color="auto" w:fill="CCEEFF"/>
            <w:tcMar>
              <w:top w:w="0" w:type="dxa"/>
              <w:left w:w="20" w:type="dxa"/>
              <w:bottom w:w="0" w:type="dxa"/>
              <w:right w:w="20" w:type="dxa"/>
            </w:tcMar>
            <w:vAlign w:val="center"/>
            <w:hideMark/>
          </w:tcPr>
          <w:p w14:paraId="795A6467"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ABAC8"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C4BC5" w14:textId="77777777" w:rsidR="00000000" w:rsidRDefault="0068293C">
            <w:pPr>
              <w:spacing w:after="100"/>
              <w:rPr>
                <w:rFonts w:eastAsia="Times New Roman"/>
                <w:sz w:val="20"/>
                <w:szCs w:val="20"/>
              </w:rPr>
            </w:pPr>
          </w:p>
        </w:tc>
      </w:tr>
      <w:tr w:rsidR="00000000" w14:paraId="3B67E703" w14:textId="77777777">
        <w:trPr>
          <w:divId w:val="263347874"/>
          <w:jc w:val="center"/>
        </w:trPr>
        <w:tc>
          <w:tcPr>
            <w:tcW w:w="0" w:type="auto"/>
            <w:gridSpan w:val="3"/>
            <w:shd w:val="clear" w:color="auto" w:fill="FFFFFF"/>
            <w:tcMar>
              <w:top w:w="30" w:type="dxa"/>
              <w:left w:w="20" w:type="dxa"/>
              <w:bottom w:w="30" w:type="dxa"/>
              <w:right w:w="20" w:type="dxa"/>
            </w:tcMar>
            <w:vAlign w:val="bottom"/>
            <w:hideMark/>
          </w:tcPr>
          <w:p w14:paraId="631DB7AB" w14:textId="77777777" w:rsidR="00000000" w:rsidRDefault="0068293C">
            <w:pPr>
              <w:spacing w:after="100"/>
              <w:rPr>
                <w:rFonts w:eastAsia="Times New Roman"/>
              </w:rPr>
            </w:pPr>
            <w:r>
              <w:rPr>
                <w:rFonts w:eastAsia="Times New Roman"/>
                <w:color w:val="000000"/>
                <w:sz w:val="20"/>
                <w:szCs w:val="20"/>
              </w:rPr>
              <w:t>   Amortization of prior service cost (benefit)</w:t>
            </w:r>
          </w:p>
        </w:tc>
        <w:tc>
          <w:tcPr>
            <w:tcW w:w="0" w:type="auto"/>
            <w:gridSpan w:val="2"/>
            <w:shd w:val="clear" w:color="auto" w:fill="FFFFFF"/>
            <w:tcMar>
              <w:top w:w="30" w:type="dxa"/>
              <w:left w:w="20" w:type="dxa"/>
              <w:bottom w:w="30" w:type="dxa"/>
              <w:right w:w="0" w:type="dxa"/>
            </w:tcMar>
            <w:vAlign w:val="bottom"/>
            <w:hideMark/>
          </w:tcPr>
          <w:p w14:paraId="061C072C"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C4BD39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2037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4B55AD"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5122B433" w14:textId="77777777" w:rsidR="00000000" w:rsidRDefault="0068293C">
            <w:pPr>
              <w:spacing w:after="100"/>
              <w:jc w:val="right"/>
              <w:rPr>
                <w:rFonts w:eastAsia="Times New Roman"/>
              </w:rPr>
            </w:pPr>
          </w:p>
        </w:tc>
      </w:tr>
      <w:tr w:rsidR="00000000" w14:paraId="696DC24D" w14:textId="77777777">
        <w:trPr>
          <w:divId w:val="263347874"/>
          <w:jc w:val="center"/>
        </w:trPr>
        <w:tc>
          <w:tcPr>
            <w:tcW w:w="0" w:type="auto"/>
            <w:gridSpan w:val="3"/>
            <w:vAlign w:val="center"/>
            <w:hideMark/>
          </w:tcPr>
          <w:p w14:paraId="1C1639CE" w14:textId="77777777" w:rsidR="00000000" w:rsidRDefault="0068293C">
            <w:pPr>
              <w:spacing w:after="100"/>
              <w:jc w:val="right"/>
              <w:rPr>
                <w:rFonts w:eastAsia="Times New Roman"/>
                <w:sz w:val="20"/>
                <w:szCs w:val="20"/>
              </w:rPr>
            </w:pPr>
          </w:p>
        </w:tc>
        <w:tc>
          <w:tcPr>
            <w:tcW w:w="0" w:type="auto"/>
            <w:gridSpan w:val="3"/>
            <w:vAlign w:val="center"/>
            <w:hideMark/>
          </w:tcPr>
          <w:p w14:paraId="1BB453E7" w14:textId="77777777" w:rsidR="00000000" w:rsidRDefault="0068293C">
            <w:pPr>
              <w:spacing w:after="100"/>
              <w:rPr>
                <w:rFonts w:eastAsia="Times New Roman"/>
                <w:sz w:val="20"/>
                <w:szCs w:val="20"/>
              </w:rPr>
            </w:pPr>
          </w:p>
        </w:tc>
        <w:tc>
          <w:tcPr>
            <w:tcW w:w="0" w:type="auto"/>
            <w:gridSpan w:val="3"/>
            <w:vAlign w:val="center"/>
            <w:hideMark/>
          </w:tcPr>
          <w:p w14:paraId="70038401" w14:textId="77777777" w:rsidR="00000000" w:rsidRDefault="0068293C">
            <w:pPr>
              <w:spacing w:after="100"/>
              <w:rPr>
                <w:rFonts w:eastAsia="Times New Roman"/>
                <w:sz w:val="20"/>
                <w:szCs w:val="20"/>
              </w:rPr>
            </w:pPr>
          </w:p>
        </w:tc>
        <w:tc>
          <w:tcPr>
            <w:tcW w:w="0" w:type="auto"/>
            <w:gridSpan w:val="3"/>
            <w:vAlign w:val="center"/>
            <w:hideMark/>
          </w:tcPr>
          <w:p w14:paraId="51EC1851" w14:textId="77777777" w:rsidR="00000000" w:rsidRDefault="0068293C">
            <w:pPr>
              <w:spacing w:after="100"/>
              <w:rPr>
                <w:rFonts w:eastAsia="Times New Roman"/>
                <w:sz w:val="20"/>
                <w:szCs w:val="20"/>
              </w:rPr>
            </w:pPr>
          </w:p>
        </w:tc>
      </w:tr>
      <w:tr w:rsidR="00000000" w14:paraId="36C42EC1" w14:textId="77777777">
        <w:trPr>
          <w:divId w:val="263347874"/>
          <w:jc w:val="center"/>
        </w:trPr>
        <w:tc>
          <w:tcPr>
            <w:tcW w:w="0" w:type="auto"/>
            <w:gridSpan w:val="3"/>
            <w:vAlign w:val="center"/>
            <w:hideMark/>
          </w:tcPr>
          <w:p w14:paraId="32C3ECE0" w14:textId="77777777" w:rsidR="00000000" w:rsidRDefault="0068293C">
            <w:pPr>
              <w:spacing w:after="100"/>
              <w:rPr>
                <w:rFonts w:eastAsia="Times New Roman"/>
                <w:sz w:val="20"/>
                <w:szCs w:val="20"/>
              </w:rPr>
            </w:pPr>
          </w:p>
        </w:tc>
        <w:tc>
          <w:tcPr>
            <w:tcW w:w="0" w:type="auto"/>
            <w:gridSpan w:val="3"/>
            <w:vAlign w:val="center"/>
            <w:hideMark/>
          </w:tcPr>
          <w:p w14:paraId="21630C3E" w14:textId="77777777" w:rsidR="00000000" w:rsidRDefault="0068293C">
            <w:pPr>
              <w:spacing w:after="100"/>
              <w:rPr>
                <w:rFonts w:eastAsia="Times New Roman"/>
                <w:sz w:val="20"/>
                <w:szCs w:val="20"/>
              </w:rPr>
            </w:pPr>
          </w:p>
        </w:tc>
        <w:tc>
          <w:tcPr>
            <w:tcW w:w="0" w:type="auto"/>
            <w:gridSpan w:val="3"/>
            <w:vAlign w:val="center"/>
            <w:hideMark/>
          </w:tcPr>
          <w:p w14:paraId="6FD96935" w14:textId="77777777" w:rsidR="00000000" w:rsidRDefault="0068293C">
            <w:pPr>
              <w:spacing w:after="100"/>
              <w:rPr>
                <w:rFonts w:eastAsia="Times New Roman"/>
                <w:sz w:val="20"/>
                <w:szCs w:val="20"/>
              </w:rPr>
            </w:pPr>
          </w:p>
        </w:tc>
        <w:tc>
          <w:tcPr>
            <w:tcW w:w="0" w:type="auto"/>
            <w:gridSpan w:val="3"/>
            <w:vAlign w:val="center"/>
            <w:hideMark/>
          </w:tcPr>
          <w:p w14:paraId="02A6096C" w14:textId="77777777" w:rsidR="00000000" w:rsidRDefault="0068293C">
            <w:pPr>
              <w:spacing w:after="100"/>
              <w:rPr>
                <w:rFonts w:eastAsia="Times New Roman"/>
                <w:sz w:val="20"/>
                <w:szCs w:val="20"/>
              </w:rPr>
            </w:pPr>
          </w:p>
        </w:tc>
      </w:tr>
      <w:tr w:rsidR="00000000" w14:paraId="43AC5462"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1F4276A3" w14:textId="77777777" w:rsidR="00000000" w:rsidRDefault="0068293C">
            <w:pPr>
              <w:spacing w:after="100"/>
              <w:rPr>
                <w:rFonts w:eastAsia="Times New Roman"/>
              </w:rPr>
            </w:pPr>
            <w:r>
              <w:rPr>
                <w:rFonts w:eastAsia="Times New Roman"/>
                <w:color w:val="000000"/>
                <w:sz w:val="20"/>
                <w:szCs w:val="20"/>
              </w:rPr>
              <w:t>        Less income tax</w:t>
            </w:r>
          </w:p>
        </w:tc>
        <w:tc>
          <w:tcPr>
            <w:tcW w:w="0" w:type="auto"/>
            <w:gridSpan w:val="2"/>
            <w:shd w:val="clear" w:color="auto" w:fill="CCEEFF"/>
            <w:tcMar>
              <w:top w:w="30" w:type="dxa"/>
              <w:left w:w="20" w:type="dxa"/>
              <w:bottom w:w="30" w:type="dxa"/>
              <w:right w:w="0" w:type="dxa"/>
            </w:tcMar>
            <w:vAlign w:val="bottom"/>
            <w:hideMark/>
          </w:tcPr>
          <w:p w14:paraId="53CE117F"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821D8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3056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E31FF3"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4D9DD2" w14:textId="77777777" w:rsidR="00000000" w:rsidRDefault="0068293C">
            <w:pPr>
              <w:spacing w:after="100"/>
              <w:jc w:val="right"/>
              <w:rPr>
                <w:rFonts w:eastAsia="Times New Roman"/>
              </w:rPr>
            </w:pPr>
          </w:p>
        </w:tc>
      </w:tr>
      <w:tr w:rsidR="00000000" w14:paraId="0D300B1D" w14:textId="77777777">
        <w:trPr>
          <w:divId w:val="263347874"/>
          <w:jc w:val="center"/>
        </w:trPr>
        <w:tc>
          <w:tcPr>
            <w:tcW w:w="0" w:type="auto"/>
            <w:gridSpan w:val="3"/>
            <w:shd w:val="clear" w:color="auto" w:fill="FFFFFF"/>
            <w:tcMar>
              <w:top w:w="30" w:type="dxa"/>
              <w:left w:w="20" w:type="dxa"/>
              <w:bottom w:w="30" w:type="dxa"/>
              <w:right w:w="20" w:type="dxa"/>
            </w:tcMar>
            <w:vAlign w:val="bottom"/>
            <w:hideMark/>
          </w:tcPr>
          <w:p w14:paraId="452E1E4D" w14:textId="77777777" w:rsidR="00000000" w:rsidRDefault="0068293C">
            <w:pPr>
              <w:spacing w:after="100"/>
              <w:rPr>
                <w:rFonts w:eastAsia="Times New Roman"/>
              </w:rPr>
            </w:pPr>
            <w:r>
              <w:rPr>
                <w:rFonts w:eastAsia="Times New Roman"/>
                <w:b/>
                <w:bCs/>
                <w:color w:val="000000"/>
                <w:sz w:val="20"/>
                <w:szCs w:val="20"/>
              </w:rPr>
              <w:t>Other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4D3CA1" w14:textId="77777777" w:rsidR="00000000" w:rsidRDefault="0068293C">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1B98F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9446D"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5308F9" w14:textId="77777777" w:rsidR="00000000" w:rsidRDefault="0068293C">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8C3091" w14:textId="77777777" w:rsidR="00000000" w:rsidRDefault="0068293C">
            <w:pPr>
              <w:spacing w:after="100"/>
              <w:jc w:val="right"/>
              <w:rPr>
                <w:rFonts w:eastAsia="Times New Roman"/>
              </w:rPr>
            </w:pPr>
          </w:p>
        </w:tc>
      </w:tr>
      <w:tr w:rsidR="00000000" w14:paraId="73A8B977"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07270240" w14:textId="77777777" w:rsidR="00000000" w:rsidRDefault="0068293C">
            <w:pPr>
              <w:spacing w:after="100"/>
              <w:rPr>
                <w:rFonts w:eastAsia="Times New Roman"/>
              </w:rPr>
            </w:pPr>
            <w:r>
              <w:rPr>
                <w:rFonts w:eastAsia="Times New Roman"/>
                <w:b/>
                <w:bCs/>
                <w:color w:val="000000"/>
                <w:sz w:val="20"/>
                <w:szCs w:val="20"/>
              </w:rPr>
              <w:t>Total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8DF2E4" w14:textId="77777777" w:rsidR="00000000" w:rsidRDefault="0068293C">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AC040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322F0"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0012F9" w14:textId="77777777" w:rsidR="00000000" w:rsidRDefault="0068293C">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E4C6BA" w14:textId="77777777" w:rsidR="00000000" w:rsidRDefault="0068293C">
            <w:pPr>
              <w:spacing w:after="100"/>
              <w:jc w:val="right"/>
              <w:rPr>
                <w:rFonts w:eastAsia="Times New Roman"/>
              </w:rPr>
            </w:pPr>
          </w:p>
        </w:tc>
      </w:tr>
      <w:tr w:rsidR="00000000" w14:paraId="6965199B" w14:textId="77777777">
        <w:trPr>
          <w:divId w:val="263347874"/>
          <w:jc w:val="center"/>
        </w:trPr>
        <w:tc>
          <w:tcPr>
            <w:tcW w:w="0" w:type="auto"/>
            <w:gridSpan w:val="3"/>
            <w:shd w:val="clear" w:color="auto" w:fill="FFFFFF"/>
            <w:tcMar>
              <w:top w:w="30" w:type="dxa"/>
              <w:left w:w="20" w:type="dxa"/>
              <w:bottom w:w="30" w:type="dxa"/>
              <w:right w:w="20" w:type="dxa"/>
            </w:tcMar>
            <w:vAlign w:val="bottom"/>
            <w:hideMark/>
          </w:tcPr>
          <w:p w14:paraId="2ADFF9A7" w14:textId="77777777" w:rsidR="00000000" w:rsidRDefault="0068293C">
            <w:pPr>
              <w:spacing w:after="100"/>
              <w:rPr>
                <w:rFonts w:eastAsia="Times New Roman"/>
              </w:rPr>
            </w:pPr>
            <w:r>
              <w:rPr>
                <w:rFonts w:eastAsia="Times New Roman"/>
                <w:color w:val="000000"/>
                <w:sz w:val="20"/>
                <w:szCs w:val="20"/>
              </w:rPr>
              <w:t>Less comprehensive income attributable to noncontrolling interests:</w:t>
            </w:r>
          </w:p>
        </w:tc>
        <w:tc>
          <w:tcPr>
            <w:tcW w:w="0" w:type="auto"/>
            <w:gridSpan w:val="3"/>
            <w:shd w:val="clear" w:color="auto" w:fill="FFFFFF"/>
            <w:tcMar>
              <w:top w:w="0" w:type="dxa"/>
              <w:left w:w="20" w:type="dxa"/>
              <w:bottom w:w="0" w:type="dxa"/>
              <w:right w:w="20" w:type="dxa"/>
            </w:tcMar>
            <w:vAlign w:val="center"/>
            <w:hideMark/>
          </w:tcPr>
          <w:p w14:paraId="6D79330A"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7E963"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B16464" w14:textId="77777777" w:rsidR="00000000" w:rsidRDefault="0068293C">
            <w:pPr>
              <w:spacing w:after="100"/>
              <w:rPr>
                <w:rFonts w:eastAsia="Times New Roman"/>
                <w:sz w:val="20"/>
                <w:szCs w:val="20"/>
              </w:rPr>
            </w:pPr>
          </w:p>
        </w:tc>
      </w:tr>
      <w:tr w:rsidR="00000000" w14:paraId="63379FED"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669441DF" w14:textId="77777777" w:rsidR="00000000" w:rsidRDefault="0068293C">
            <w:pPr>
              <w:spacing w:after="100"/>
              <w:rPr>
                <w:rFonts w:eastAsia="Times New Roman"/>
              </w:rPr>
            </w:pPr>
            <w:r>
              <w:rPr>
                <w:rFonts w:eastAsia="Times New Roman"/>
                <w:color w:val="000000"/>
                <w:sz w:val="20"/>
                <w:szCs w:val="20"/>
              </w:rPr>
              <w:t>   Net income (loss)</w:t>
            </w:r>
          </w:p>
        </w:tc>
        <w:tc>
          <w:tcPr>
            <w:tcW w:w="0" w:type="auto"/>
            <w:gridSpan w:val="2"/>
            <w:shd w:val="clear" w:color="auto" w:fill="CCEEFF"/>
            <w:tcMar>
              <w:top w:w="30" w:type="dxa"/>
              <w:left w:w="20" w:type="dxa"/>
              <w:bottom w:w="30" w:type="dxa"/>
              <w:right w:w="0" w:type="dxa"/>
            </w:tcMar>
            <w:vAlign w:val="bottom"/>
            <w:hideMark/>
          </w:tcPr>
          <w:p w14:paraId="60AFFDCC"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5AA869A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91C42"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EDD07D"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4643450" w14:textId="77777777" w:rsidR="00000000" w:rsidRDefault="0068293C">
            <w:pPr>
              <w:spacing w:after="100"/>
              <w:jc w:val="right"/>
              <w:rPr>
                <w:rFonts w:eastAsia="Times New Roman"/>
              </w:rPr>
            </w:pPr>
          </w:p>
        </w:tc>
      </w:tr>
      <w:tr w:rsidR="00000000" w14:paraId="14A49F0A" w14:textId="77777777">
        <w:trPr>
          <w:divId w:val="263347874"/>
          <w:jc w:val="center"/>
        </w:trPr>
        <w:tc>
          <w:tcPr>
            <w:tcW w:w="0" w:type="auto"/>
            <w:gridSpan w:val="3"/>
            <w:shd w:val="clear" w:color="auto" w:fill="FFFFFF"/>
            <w:tcMar>
              <w:top w:w="30" w:type="dxa"/>
              <w:left w:w="20" w:type="dxa"/>
              <w:bottom w:w="30" w:type="dxa"/>
              <w:right w:w="20" w:type="dxa"/>
            </w:tcMar>
            <w:vAlign w:val="bottom"/>
            <w:hideMark/>
          </w:tcPr>
          <w:p w14:paraId="67FF3025" w14:textId="77777777" w:rsidR="00000000" w:rsidRDefault="0068293C">
            <w:pPr>
              <w:spacing w:after="100"/>
              <w:rPr>
                <w:rFonts w:eastAsia="Times New Roman"/>
              </w:rPr>
            </w:pPr>
            <w:r>
              <w:rPr>
                <w:rFonts w:eastAsia="Times New Roman"/>
                <w:color w:val="000000"/>
                <w:sz w:val="20"/>
                <w:szCs w:val="20"/>
              </w:rPr>
              <w:t>   Currency translation losses</w:t>
            </w:r>
          </w:p>
        </w:tc>
        <w:tc>
          <w:tcPr>
            <w:tcW w:w="0" w:type="auto"/>
            <w:gridSpan w:val="2"/>
            <w:shd w:val="clear" w:color="auto" w:fill="FFFFFF"/>
            <w:tcMar>
              <w:top w:w="30" w:type="dxa"/>
              <w:left w:w="20" w:type="dxa"/>
              <w:bottom w:w="30" w:type="dxa"/>
              <w:right w:w="0" w:type="dxa"/>
            </w:tcMar>
            <w:vAlign w:val="bottom"/>
            <w:hideMark/>
          </w:tcPr>
          <w:p w14:paraId="43E6EE9B"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5C911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7F97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698A8C"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F4C133" w14:textId="77777777" w:rsidR="00000000" w:rsidRDefault="0068293C">
            <w:pPr>
              <w:spacing w:after="100"/>
              <w:jc w:val="right"/>
              <w:rPr>
                <w:rFonts w:eastAsia="Times New Roman"/>
              </w:rPr>
            </w:pPr>
          </w:p>
        </w:tc>
      </w:tr>
      <w:tr w:rsidR="00000000" w14:paraId="63F5C171" w14:textId="77777777">
        <w:trPr>
          <w:divId w:val="263347874"/>
          <w:jc w:val="center"/>
        </w:trPr>
        <w:tc>
          <w:tcPr>
            <w:tcW w:w="0" w:type="auto"/>
            <w:gridSpan w:val="3"/>
            <w:shd w:val="clear" w:color="auto" w:fill="CCEEFF"/>
            <w:tcMar>
              <w:top w:w="30" w:type="dxa"/>
              <w:left w:w="20" w:type="dxa"/>
              <w:bottom w:w="30" w:type="dxa"/>
              <w:right w:w="20" w:type="dxa"/>
            </w:tcMar>
            <w:vAlign w:val="bottom"/>
            <w:hideMark/>
          </w:tcPr>
          <w:p w14:paraId="0A76107D" w14:textId="77777777" w:rsidR="00000000" w:rsidRDefault="0068293C">
            <w:pPr>
              <w:spacing w:after="100"/>
              <w:rPr>
                <w:rFonts w:eastAsia="Times New Roman"/>
              </w:rPr>
            </w:pPr>
            <w:r>
              <w:rPr>
                <w:rFonts w:eastAsia="Times New Roman"/>
                <w:b/>
                <w:bCs/>
                <w:color w:val="000000"/>
                <w:sz w:val="20"/>
                <w:szCs w:val="20"/>
              </w:rPr>
              <w:t>Amounts attributable to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633452"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DB0E5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33198"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528164"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3AA5C2" w14:textId="77777777" w:rsidR="00000000" w:rsidRDefault="0068293C">
            <w:pPr>
              <w:spacing w:after="100"/>
              <w:jc w:val="right"/>
              <w:rPr>
                <w:rFonts w:eastAsia="Times New Roman"/>
              </w:rPr>
            </w:pPr>
          </w:p>
        </w:tc>
      </w:tr>
      <w:tr w:rsidR="00000000" w14:paraId="6C01FCDA" w14:textId="77777777">
        <w:trPr>
          <w:divId w:val="263347874"/>
          <w:jc w:val="center"/>
        </w:trPr>
        <w:tc>
          <w:tcPr>
            <w:tcW w:w="0" w:type="auto"/>
            <w:gridSpan w:val="3"/>
            <w:shd w:val="clear" w:color="auto" w:fill="FFFFFF"/>
            <w:tcMar>
              <w:top w:w="30" w:type="dxa"/>
              <w:left w:w="20" w:type="dxa"/>
              <w:bottom w:w="30" w:type="dxa"/>
              <w:right w:w="20" w:type="dxa"/>
            </w:tcMar>
            <w:vAlign w:val="bottom"/>
            <w:hideMark/>
          </w:tcPr>
          <w:p w14:paraId="660AEE34" w14:textId="77777777" w:rsidR="00000000" w:rsidRDefault="0068293C">
            <w:pPr>
              <w:spacing w:after="100"/>
              <w:rPr>
                <w:rFonts w:eastAsia="Times New Roman"/>
              </w:rPr>
            </w:pPr>
            <w:r>
              <w:rPr>
                <w:rFonts w:eastAsia="Times New Roman"/>
                <w:b/>
                <w:bCs/>
                <w:color w:val="000000"/>
                <w:sz w:val="20"/>
                <w:szCs w:val="20"/>
              </w:rPr>
              <w:t>Comprehensive income (loss) attributable to NCR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613F2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C04AC1" w14:textId="77777777" w:rsidR="00000000" w:rsidRDefault="0068293C">
            <w:pPr>
              <w:spacing w:after="100"/>
              <w:jc w:val="right"/>
              <w:rPr>
                <w:rFonts w:eastAsia="Times New Roman"/>
              </w:rPr>
            </w:pPr>
            <w:r>
              <w:rPr>
                <w:rFonts w:eastAsia="Times New Roman"/>
                <w:color w:val="000000"/>
                <w:sz w:val="20"/>
                <w:szCs w:val="20"/>
              </w:rPr>
              <w:t>(16)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009F8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61BCC"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953BD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25CC65" w14:textId="77777777" w:rsidR="00000000" w:rsidRDefault="0068293C">
            <w:pPr>
              <w:spacing w:after="100"/>
              <w:jc w:val="right"/>
              <w:rPr>
                <w:rFonts w:eastAsia="Times New Roman"/>
              </w:rPr>
            </w:pPr>
            <w:r>
              <w:rPr>
                <w:rFonts w:eastAsia="Times New Roman"/>
                <w:color w:val="000000"/>
                <w:sz w:val="20"/>
                <w:szCs w:val="20"/>
              </w:rPr>
              <w:t>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1F335A" w14:textId="77777777" w:rsidR="00000000" w:rsidRDefault="0068293C">
            <w:pPr>
              <w:spacing w:after="100"/>
              <w:jc w:val="right"/>
              <w:rPr>
                <w:rFonts w:eastAsia="Times New Roman"/>
              </w:rPr>
            </w:pPr>
          </w:p>
        </w:tc>
      </w:tr>
    </w:tbl>
    <w:p w14:paraId="234E2C76" w14:textId="77777777" w:rsidR="00000000" w:rsidRDefault="0068293C">
      <w:pPr>
        <w:jc w:val="center"/>
        <w:divId w:val="270551181"/>
        <w:rPr>
          <w:rFonts w:eastAsia="Times New Roman"/>
        </w:rPr>
      </w:pPr>
      <w:r>
        <w:rPr>
          <w:rFonts w:eastAsia="Times New Roman"/>
          <w:color w:val="000000"/>
          <w:sz w:val="20"/>
          <w:szCs w:val="20"/>
        </w:rPr>
        <w:t>See Notes to Condensed Consolidated Financial Statements.</w:t>
      </w:r>
    </w:p>
    <w:p w14:paraId="090C68B0" w14:textId="77777777" w:rsidR="00000000" w:rsidRDefault="0068293C">
      <w:pPr>
        <w:jc w:val="center"/>
        <w:divId w:val="1658799934"/>
        <w:rPr>
          <w:rFonts w:eastAsia="Times New Roman"/>
        </w:rPr>
      </w:pPr>
      <w:r>
        <w:rPr>
          <w:rFonts w:eastAsia="Times New Roman"/>
          <w:color w:val="000000"/>
          <w:sz w:val="20"/>
          <w:szCs w:val="20"/>
        </w:rPr>
        <w:t>4</w:t>
      </w:r>
    </w:p>
    <w:p w14:paraId="3C18D5CB" w14:textId="77777777" w:rsidR="00000000" w:rsidRDefault="0068293C">
      <w:pPr>
        <w:rPr>
          <w:rFonts w:eastAsia="Times New Roman"/>
        </w:rPr>
      </w:pPr>
      <w:r>
        <w:rPr>
          <w:rFonts w:eastAsia="Times New Roman"/>
        </w:rPr>
        <w:pict w14:anchorId="22159A9C">
          <v:rect id="_x0000_i1029" style="width:0;height:1.5pt" o:hralign="center" o:hrstd="t" o:hr="t" fillcolor="#a0a0a0" stroked="f"/>
        </w:pict>
      </w:r>
    </w:p>
    <w:p w14:paraId="1FCEACE2" w14:textId="77777777" w:rsidR="00000000" w:rsidRDefault="0068293C">
      <w:pPr>
        <w:divId w:val="706032348"/>
        <w:rPr>
          <w:rFonts w:eastAsia="Times New Roman"/>
        </w:rPr>
      </w:pPr>
      <w:hyperlink w:anchor="i78484f3d0d8e4e36a7c87ddd6ea9d725_7" w:history="1">
        <w:r>
          <w:rPr>
            <w:rStyle w:val="a3"/>
            <w:rFonts w:eastAsia="Times New Roman"/>
            <w:sz w:val="16"/>
            <w:szCs w:val="16"/>
          </w:rPr>
          <w:t>Table of Contents</w:t>
        </w:r>
      </w:hyperlink>
    </w:p>
    <w:p w14:paraId="56CB0F4D" w14:textId="77777777" w:rsidR="00000000" w:rsidRDefault="0068293C">
      <w:pPr>
        <w:ind w:firstLine="720"/>
        <w:jc w:val="center"/>
        <w:rPr>
          <w:rFonts w:eastAsia="Times New Roman"/>
        </w:rPr>
      </w:pPr>
      <w:r>
        <w:rPr>
          <w:rFonts w:eastAsia="Times New Roman"/>
          <w:b/>
          <w:bCs/>
          <w:color w:val="000000"/>
          <w:sz w:val="20"/>
          <w:szCs w:val="20"/>
        </w:rPr>
        <w:t>NCR Corporation</w:t>
      </w:r>
    </w:p>
    <w:p w14:paraId="4716D576" w14:textId="77777777" w:rsidR="00000000" w:rsidRDefault="0068293C">
      <w:pPr>
        <w:jc w:val="center"/>
        <w:rPr>
          <w:rFonts w:eastAsia="Times New Roman"/>
        </w:rPr>
      </w:pPr>
      <w:r>
        <w:rPr>
          <w:rFonts w:eastAsia="Times New Roman"/>
          <w:b/>
          <w:bCs/>
          <w:color w:val="000000"/>
          <w:sz w:val="20"/>
          <w:szCs w:val="20"/>
        </w:rPr>
        <w:t>Condensed Consolidated Balance Sheets (Unaudited)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675"/>
        <w:gridCol w:w="39"/>
        <w:gridCol w:w="120"/>
        <w:gridCol w:w="1113"/>
        <w:gridCol w:w="36"/>
        <w:gridCol w:w="36"/>
        <w:gridCol w:w="37"/>
        <w:gridCol w:w="36"/>
        <w:gridCol w:w="120"/>
        <w:gridCol w:w="1018"/>
        <w:gridCol w:w="36"/>
      </w:tblGrid>
      <w:tr w:rsidR="00000000" w14:paraId="4EDF2C4C" w14:textId="77777777">
        <w:trPr>
          <w:divId w:val="1320842279"/>
        </w:trPr>
        <w:tc>
          <w:tcPr>
            <w:tcW w:w="50" w:type="pct"/>
            <w:vAlign w:val="center"/>
            <w:hideMark/>
          </w:tcPr>
          <w:p w14:paraId="5207FD90" w14:textId="77777777" w:rsidR="00000000" w:rsidRDefault="0068293C">
            <w:pPr>
              <w:jc w:val="center"/>
              <w:rPr>
                <w:rFonts w:eastAsia="Times New Roman"/>
              </w:rPr>
            </w:pPr>
          </w:p>
        </w:tc>
        <w:tc>
          <w:tcPr>
            <w:tcW w:w="3441" w:type="pct"/>
            <w:vAlign w:val="center"/>
            <w:hideMark/>
          </w:tcPr>
          <w:p w14:paraId="17975428" w14:textId="77777777" w:rsidR="00000000" w:rsidRDefault="0068293C">
            <w:pPr>
              <w:spacing w:after="100"/>
              <w:rPr>
                <w:rFonts w:eastAsia="Times New Roman"/>
                <w:sz w:val="20"/>
                <w:szCs w:val="20"/>
              </w:rPr>
            </w:pPr>
          </w:p>
        </w:tc>
        <w:tc>
          <w:tcPr>
            <w:tcW w:w="5" w:type="pct"/>
            <w:vAlign w:val="center"/>
            <w:hideMark/>
          </w:tcPr>
          <w:p w14:paraId="23844A04" w14:textId="77777777" w:rsidR="00000000" w:rsidRDefault="0068293C">
            <w:pPr>
              <w:spacing w:after="100"/>
              <w:rPr>
                <w:rFonts w:eastAsia="Times New Roman"/>
                <w:sz w:val="20"/>
                <w:szCs w:val="20"/>
              </w:rPr>
            </w:pPr>
          </w:p>
        </w:tc>
        <w:tc>
          <w:tcPr>
            <w:tcW w:w="50" w:type="pct"/>
            <w:vAlign w:val="center"/>
            <w:hideMark/>
          </w:tcPr>
          <w:p w14:paraId="251839DF" w14:textId="77777777" w:rsidR="00000000" w:rsidRDefault="0068293C">
            <w:pPr>
              <w:spacing w:after="100"/>
              <w:rPr>
                <w:rFonts w:eastAsia="Times New Roman"/>
                <w:sz w:val="20"/>
                <w:szCs w:val="20"/>
              </w:rPr>
            </w:pPr>
          </w:p>
        </w:tc>
        <w:tc>
          <w:tcPr>
            <w:tcW w:w="696" w:type="pct"/>
            <w:vAlign w:val="center"/>
            <w:hideMark/>
          </w:tcPr>
          <w:p w14:paraId="2D70DF41" w14:textId="77777777" w:rsidR="00000000" w:rsidRDefault="0068293C">
            <w:pPr>
              <w:spacing w:after="100"/>
              <w:rPr>
                <w:rFonts w:eastAsia="Times New Roman"/>
                <w:sz w:val="20"/>
                <w:szCs w:val="20"/>
              </w:rPr>
            </w:pPr>
          </w:p>
        </w:tc>
        <w:tc>
          <w:tcPr>
            <w:tcW w:w="5" w:type="pct"/>
            <w:vAlign w:val="center"/>
            <w:hideMark/>
          </w:tcPr>
          <w:p w14:paraId="5E317FC7" w14:textId="77777777" w:rsidR="00000000" w:rsidRDefault="0068293C">
            <w:pPr>
              <w:spacing w:after="100"/>
              <w:rPr>
                <w:rFonts w:eastAsia="Times New Roman"/>
                <w:sz w:val="20"/>
                <w:szCs w:val="20"/>
              </w:rPr>
            </w:pPr>
          </w:p>
        </w:tc>
        <w:tc>
          <w:tcPr>
            <w:tcW w:w="5" w:type="pct"/>
            <w:vAlign w:val="center"/>
            <w:hideMark/>
          </w:tcPr>
          <w:p w14:paraId="2BFFD3DB" w14:textId="77777777" w:rsidR="00000000" w:rsidRDefault="0068293C">
            <w:pPr>
              <w:spacing w:after="100"/>
              <w:rPr>
                <w:rFonts w:eastAsia="Times New Roman"/>
                <w:sz w:val="20"/>
                <w:szCs w:val="20"/>
              </w:rPr>
            </w:pPr>
          </w:p>
        </w:tc>
        <w:tc>
          <w:tcPr>
            <w:tcW w:w="48" w:type="pct"/>
            <w:vAlign w:val="center"/>
            <w:hideMark/>
          </w:tcPr>
          <w:p w14:paraId="106F34E1" w14:textId="77777777" w:rsidR="00000000" w:rsidRDefault="0068293C">
            <w:pPr>
              <w:spacing w:after="100"/>
              <w:rPr>
                <w:rFonts w:eastAsia="Times New Roman"/>
                <w:sz w:val="20"/>
                <w:szCs w:val="20"/>
              </w:rPr>
            </w:pPr>
          </w:p>
        </w:tc>
        <w:tc>
          <w:tcPr>
            <w:tcW w:w="5" w:type="pct"/>
            <w:vAlign w:val="center"/>
            <w:hideMark/>
          </w:tcPr>
          <w:p w14:paraId="154C57AF" w14:textId="77777777" w:rsidR="00000000" w:rsidRDefault="0068293C">
            <w:pPr>
              <w:spacing w:after="100"/>
              <w:rPr>
                <w:rFonts w:eastAsia="Times New Roman"/>
                <w:sz w:val="20"/>
                <w:szCs w:val="20"/>
              </w:rPr>
            </w:pPr>
          </w:p>
        </w:tc>
        <w:tc>
          <w:tcPr>
            <w:tcW w:w="50" w:type="pct"/>
            <w:vAlign w:val="center"/>
            <w:hideMark/>
          </w:tcPr>
          <w:p w14:paraId="2CCC940A" w14:textId="77777777" w:rsidR="00000000" w:rsidRDefault="0068293C">
            <w:pPr>
              <w:spacing w:after="100"/>
              <w:rPr>
                <w:rFonts w:eastAsia="Times New Roman"/>
                <w:sz w:val="20"/>
                <w:szCs w:val="20"/>
              </w:rPr>
            </w:pPr>
          </w:p>
        </w:tc>
        <w:tc>
          <w:tcPr>
            <w:tcW w:w="638" w:type="pct"/>
            <w:vAlign w:val="center"/>
            <w:hideMark/>
          </w:tcPr>
          <w:p w14:paraId="3F5817B4" w14:textId="77777777" w:rsidR="00000000" w:rsidRDefault="0068293C">
            <w:pPr>
              <w:spacing w:after="100"/>
              <w:rPr>
                <w:rFonts w:eastAsia="Times New Roman"/>
                <w:sz w:val="20"/>
                <w:szCs w:val="20"/>
              </w:rPr>
            </w:pPr>
          </w:p>
        </w:tc>
        <w:tc>
          <w:tcPr>
            <w:tcW w:w="5" w:type="pct"/>
            <w:vAlign w:val="center"/>
            <w:hideMark/>
          </w:tcPr>
          <w:p w14:paraId="31922697" w14:textId="77777777" w:rsidR="00000000" w:rsidRDefault="0068293C">
            <w:pPr>
              <w:spacing w:after="100"/>
              <w:rPr>
                <w:rFonts w:eastAsia="Times New Roman"/>
                <w:sz w:val="20"/>
                <w:szCs w:val="20"/>
              </w:rPr>
            </w:pPr>
          </w:p>
        </w:tc>
      </w:tr>
      <w:tr w:rsidR="00000000" w14:paraId="470BEC41" w14:textId="77777777">
        <w:trPr>
          <w:divId w:val="1320842279"/>
        </w:trPr>
        <w:tc>
          <w:tcPr>
            <w:tcW w:w="0" w:type="auto"/>
            <w:gridSpan w:val="3"/>
            <w:tcMar>
              <w:top w:w="30" w:type="dxa"/>
              <w:left w:w="20" w:type="dxa"/>
              <w:bottom w:w="30" w:type="dxa"/>
              <w:right w:w="20" w:type="dxa"/>
            </w:tcMar>
            <w:vAlign w:val="bottom"/>
            <w:hideMark/>
          </w:tcPr>
          <w:p w14:paraId="62B33759" w14:textId="77777777" w:rsidR="00000000" w:rsidRDefault="0068293C">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14:paraId="105F4613" w14:textId="77777777" w:rsidR="00000000" w:rsidRDefault="0068293C">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320FFA3B"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FF6D2C"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06E44C85" w14:textId="77777777">
        <w:trPr>
          <w:divId w:val="1320842279"/>
        </w:trPr>
        <w:tc>
          <w:tcPr>
            <w:tcW w:w="0" w:type="auto"/>
            <w:gridSpan w:val="3"/>
            <w:shd w:val="clear" w:color="auto" w:fill="CCEEFF"/>
            <w:tcMar>
              <w:top w:w="30" w:type="dxa"/>
              <w:left w:w="20" w:type="dxa"/>
              <w:bottom w:w="30" w:type="dxa"/>
              <w:right w:w="20" w:type="dxa"/>
            </w:tcMar>
            <w:hideMark/>
          </w:tcPr>
          <w:p w14:paraId="2F734717" w14:textId="77777777" w:rsidR="00000000" w:rsidRDefault="0068293C">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7B1026"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776FE"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0CCB68" w14:textId="77777777" w:rsidR="00000000" w:rsidRDefault="0068293C">
            <w:pPr>
              <w:spacing w:after="100"/>
              <w:rPr>
                <w:rFonts w:eastAsia="Times New Roman"/>
                <w:sz w:val="20"/>
                <w:szCs w:val="20"/>
              </w:rPr>
            </w:pPr>
          </w:p>
        </w:tc>
      </w:tr>
      <w:tr w:rsidR="00000000" w14:paraId="211D8C44" w14:textId="77777777">
        <w:trPr>
          <w:divId w:val="1320842279"/>
        </w:trPr>
        <w:tc>
          <w:tcPr>
            <w:tcW w:w="0" w:type="auto"/>
            <w:gridSpan w:val="3"/>
            <w:shd w:val="clear" w:color="auto" w:fill="FFFFFF"/>
            <w:tcMar>
              <w:top w:w="30" w:type="dxa"/>
              <w:left w:w="20" w:type="dxa"/>
              <w:bottom w:w="30" w:type="dxa"/>
              <w:right w:w="20" w:type="dxa"/>
            </w:tcMar>
            <w:hideMark/>
          </w:tcPr>
          <w:p w14:paraId="7F5847FB" w14:textId="77777777" w:rsidR="00000000" w:rsidRDefault="0068293C">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78CE54D4"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9318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E63F4" w14:textId="77777777" w:rsidR="00000000" w:rsidRDefault="0068293C">
            <w:pPr>
              <w:spacing w:after="100"/>
              <w:rPr>
                <w:rFonts w:eastAsia="Times New Roman"/>
                <w:sz w:val="20"/>
                <w:szCs w:val="20"/>
              </w:rPr>
            </w:pPr>
          </w:p>
        </w:tc>
      </w:tr>
      <w:tr w:rsidR="00000000" w14:paraId="26DBD4CB" w14:textId="77777777">
        <w:trPr>
          <w:divId w:val="1320842279"/>
        </w:trPr>
        <w:tc>
          <w:tcPr>
            <w:tcW w:w="0" w:type="auto"/>
            <w:gridSpan w:val="3"/>
            <w:shd w:val="clear" w:color="auto" w:fill="CCEEFF"/>
            <w:tcMar>
              <w:top w:w="30" w:type="dxa"/>
              <w:left w:w="380" w:type="dxa"/>
              <w:bottom w:w="30" w:type="dxa"/>
              <w:right w:w="20" w:type="dxa"/>
            </w:tcMar>
            <w:hideMark/>
          </w:tcPr>
          <w:p w14:paraId="059AD3AA" w14:textId="77777777" w:rsidR="00000000" w:rsidRDefault="0068293C">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1FB6D4C3"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40CF290" w14:textId="77777777" w:rsidR="00000000" w:rsidRDefault="0068293C">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C2613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87232"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E19B45"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0E54E5" w14:textId="77777777" w:rsidR="00000000" w:rsidRDefault="0068293C">
            <w:pPr>
              <w:spacing w:after="100"/>
              <w:jc w:val="right"/>
              <w:rPr>
                <w:rFonts w:eastAsia="Times New Roman"/>
              </w:rPr>
            </w:pPr>
            <w:r>
              <w:rPr>
                <w:rFonts w:eastAsia="Times New Roman"/>
                <w:color w:val="000000"/>
                <w:sz w:val="20"/>
                <w:szCs w:val="20"/>
              </w:rPr>
              <w:t>447 </w:t>
            </w:r>
          </w:p>
        </w:tc>
        <w:tc>
          <w:tcPr>
            <w:tcW w:w="0" w:type="auto"/>
            <w:shd w:val="clear" w:color="auto" w:fill="CCEEFF"/>
            <w:tcMar>
              <w:top w:w="30" w:type="dxa"/>
              <w:left w:w="0" w:type="dxa"/>
              <w:bottom w:w="30" w:type="dxa"/>
              <w:right w:w="20" w:type="dxa"/>
            </w:tcMar>
            <w:vAlign w:val="bottom"/>
            <w:hideMark/>
          </w:tcPr>
          <w:p w14:paraId="41DBC330" w14:textId="77777777" w:rsidR="00000000" w:rsidRDefault="0068293C">
            <w:pPr>
              <w:spacing w:after="100"/>
              <w:jc w:val="right"/>
              <w:rPr>
                <w:rFonts w:eastAsia="Times New Roman"/>
              </w:rPr>
            </w:pPr>
          </w:p>
        </w:tc>
      </w:tr>
      <w:tr w:rsidR="00000000" w14:paraId="20481013" w14:textId="77777777">
        <w:trPr>
          <w:divId w:val="1320842279"/>
        </w:trPr>
        <w:tc>
          <w:tcPr>
            <w:tcW w:w="0" w:type="auto"/>
            <w:gridSpan w:val="3"/>
            <w:shd w:val="clear" w:color="auto" w:fill="FFFFFF"/>
            <w:tcMar>
              <w:top w:w="30" w:type="dxa"/>
              <w:left w:w="20" w:type="dxa"/>
              <w:bottom w:w="30" w:type="dxa"/>
              <w:right w:w="20" w:type="dxa"/>
            </w:tcMar>
            <w:hideMark/>
          </w:tcPr>
          <w:p w14:paraId="5A7F26BE" w14:textId="77777777" w:rsidR="00000000" w:rsidRDefault="0068293C">
            <w:pPr>
              <w:spacing w:after="100"/>
              <w:divId w:val="611088162"/>
              <w:rPr>
                <w:rFonts w:eastAsia="Times New Roman"/>
              </w:rPr>
            </w:pPr>
            <w:r>
              <w:rPr>
                <w:rFonts w:eastAsia="Times New Roman"/>
                <w:color w:val="000000"/>
                <w:sz w:val="20"/>
                <w:szCs w:val="20"/>
              </w:rPr>
              <w:t>Accounts receivable, net of allowances of $26 and $24 as of March 31, 2022 and December 31, 2021, respectively</w:t>
            </w:r>
          </w:p>
        </w:tc>
        <w:tc>
          <w:tcPr>
            <w:tcW w:w="0" w:type="auto"/>
            <w:gridSpan w:val="2"/>
            <w:shd w:val="clear" w:color="auto" w:fill="FFFFFF"/>
            <w:tcMar>
              <w:top w:w="30" w:type="dxa"/>
              <w:left w:w="20" w:type="dxa"/>
              <w:bottom w:w="30" w:type="dxa"/>
              <w:right w:w="0" w:type="dxa"/>
            </w:tcMar>
            <w:vAlign w:val="bottom"/>
            <w:hideMark/>
          </w:tcPr>
          <w:p w14:paraId="5AFE2D4D" w14:textId="77777777" w:rsidR="00000000" w:rsidRDefault="0068293C">
            <w:pPr>
              <w:spacing w:after="100"/>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1CBA7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B2D3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738994" w14:textId="77777777" w:rsidR="00000000" w:rsidRDefault="0068293C">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14:paraId="3771B561" w14:textId="77777777" w:rsidR="00000000" w:rsidRDefault="0068293C">
            <w:pPr>
              <w:spacing w:after="100"/>
              <w:jc w:val="right"/>
              <w:rPr>
                <w:rFonts w:eastAsia="Times New Roman"/>
              </w:rPr>
            </w:pPr>
          </w:p>
        </w:tc>
      </w:tr>
      <w:tr w:rsidR="00000000" w14:paraId="37A3F494" w14:textId="77777777">
        <w:trPr>
          <w:divId w:val="1320842279"/>
        </w:trPr>
        <w:tc>
          <w:tcPr>
            <w:tcW w:w="0" w:type="auto"/>
            <w:gridSpan w:val="3"/>
            <w:shd w:val="clear" w:color="auto" w:fill="CCEEFF"/>
            <w:tcMar>
              <w:top w:w="30" w:type="dxa"/>
              <w:left w:w="380" w:type="dxa"/>
              <w:bottom w:w="30" w:type="dxa"/>
              <w:right w:w="20" w:type="dxa"/>
            </w:tcMar>
            <w:hideMark/>
          </w:tcPr>
          <w:p w14:paraId="079D6779" w14:textId="77777777" w:rsidR="00000000" w:rsidRDefault="0068293C">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3C9733C5" w14:textId="77777777" w:rsidR="00000000" w:rsidRDefault="0068293C">
            <w:pPr>
              <w:spacing w:after="100"/>
              <w:jc w:val="right"/>
              <w:rPr>
                <w:rFonts w:eastAsia="Times New Roman"/>
              </w:rPr>
            </w:pPr>
            <w:r>
              <w:rPr>
                <w:rFonts w:eastAsia="Times New Roman"/>
                <w:b/>
                <w:bCs/>
                <w:color w:val="000000"/>
                <w:sz w:val="20"/>
                <w:szCs w:val="20"/>
              </w:rPr>
              <w:t>805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A9E9D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D2F82"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944380" w14:textId="77777777" w:rsidR="00000000" w:rsidRDefault="0068293C">
            <w:pPr>
              <w:spacing w:after="100"/>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14:paraId="3FEE64F5" w14:textId="77777777" w:rsidR="00000000" w:rsidRDefault="0068293C">
            <w:pPr>
              <w:spacing w:after="100"/>
              <w:jc w:val="right"/>
              <w:rPr>
                <w:rFonts w:eastAsia="Times New Roman"/>
              </w:rPr>
            </w:pPr>
          </w:p>
        </w:tc>
      </w:tr>
      <w:tr w:rsidR="00000000" w14:paraId="1B751563" w14:textId="77777777">
        <w:trPr>
          <w:divId w:val="1320842279"/>
        </w:trPr>
        <w:tc>
          <w:tcPr>
            <w:tcW w:w="0" w:type="auto"/>
            <w:gridSpan w:val="3"/>
            <w:shd w:val="clear" w:color="auto" w:fill="FFFFFF"/>
            <w:tcMar>
              <w:top w:w="30" w:type="dxa"/>
              <w:left w:w="380" w:type="dxa"/>
              <w:bottom w:w="30" w:type="dxa"/>
              <w:right w:w="20" w:type="dxa"/>
            </w:tcMar>
            <w:hideMark/>
          </w:tcPr>
          <w:p w14:paraId="27EAA8FC" w14:textId="77777777" w:rsidR="00000000" w:rsidRDefault="0068293C">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70618F81" w14:textId="77777777" w:rsidR="00000000" w:rsidRDefault="0068293C">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CB3E6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5B6A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E1312" w14:textId="77777777" w:rsidR="00000000" w:rsidRDefault="0068293C">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14:paraId="1C8E558F" w14:textId="77777777" w:rsidR="00000000" w:rsidRDefault="0068293C">
            <w:pPr>
              <w:spacing w:after="100"/>
              <w:jc w:val="right"/>
              <w:rPr>
                <w:rFonts w:eastAsia="Times New Roman"/>
              </w:rPr>
            </w:pPr>
          </w:p>
        </w:tc>
      </w:tr>
      <w:tr w:rsidR="00000000" w14:paraId="30CA2FD5" w14:textId="77777777">
        <w:trPr>
          <w:divId w:val="1320842279"/>
        </w:trPr>
        <w:tc>
          <w:tcPr>
            <w:tcW w:w="0" w:type="auto"/>
            <w:gridSpan w:val="3"/>
            <w:shd w:val="clear" w:color="auto" w:fill="CCEEFF"/>
            <w:tcMar>
              <w:top w:w="30" w:type="dxa"/>
              <w:left w:w="380" w:type="dxa"/>
              <w:bottom w:w="30" w:type="dxa"/>
              <w:right w:w="20" w:type="dxa"/>
            </w:tcMar>
            <w:hideMark/>
          </w:tcPr>
          <w:p w14:paraId="75C2378D" w14:textId="77777777" w:rsidR="00000000" w:rsidRDefault="0068293C">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14:paraId="36DA0C17" w14:textId="77777777" w:rsidR="00000000" w:rsidRDefault="0068293C">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0EAF8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710B2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C60F6A" w14:textId="77777777" w:rsidR="00000000" w:rsidRDefault="0068293C">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14:paraId="044A4874" w14:textId="77777777" w:rsidR="00000000" w:rsidRDefault="0068293C">
            <w:pPr>
              <w:spacing w:after="100"/>
              <w:jc w:val="right"/>
              <w:rPr>
                <w:rFonts w:eastAsia="Times New Roman"/>
              </w:rPr>
            </w:pPr>
          </w:p>
        </w:tc>
      </w:tr>
      <w:tr w:rsidR="00000000" w14:paraId="6D46B383" w14:textId="77777777">
        <w:trPr>
          <w:divId w:val="1320842279"/>
        </w:trPr>
        <w:tc>
          <w:tcPr>
            <w:tcW w:w="0" w:type="auto"/>
            <w:gridSpan w:val="3"/>
            <w:shd w:val="clear" w:color="auto" w:fill="FFFFFF"/>
            <w:tcMar>
              <w:top w:w="30" w:type="dxa"/>
              <w:left w:w="20" w:type="dxa"/>
              <w:bottom w:w="30" w:type="dxa"/>
              <w:right w:w="20" w:type="dxa"/>
            </w:tcMar>
            <w:hideMark/>
          </w:tcPr>
          <w:p w14:paraId="5799BFDD" w14:textId="77777777" w:rsidR="00000000" w:rsidRDefault="0068293C">
            <w:pPr>
              <w:spacing w:after="100"/>
              <w:rPr>
                <w:rFonts w:eastAsia="Times New Roman"/>
              </w:rPr>
            </w:pPr>
            <w:r>
              <w:rPr>
                <w:rFonts w:eastAsia="Times New Roman"/>
                <w:color w:val="000000"/>
                <w:sz w:val="20"/>
                <w:szCs w:val="20"/>
              </w:rPr>
              <w:lastRenderedPageBreak/>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62780C" w14:textId="77777777" w:rsidR="00000000" w:rsidRDefault="0068293C">
            <w:pPr>
              <w:spacing w:after="100"/>
              <w:jc w:val="right"/>
              <w:rPr>
                <w:rFonts w:eastAsia="Times New Roman"/>
              </w:rPr>
            </w:pPr>
            <w:r>
              <w:rPr>
                <w:rFonts w:eastAsia="Times New Roman"/>
                <w:b/>
                <w:bCs/>
                <w:color w:val="000000"/>
                <w:sz w:val="20"/>
                <w:szCs w:val="20"/>
              </w:rPr>
              <w:t>2,976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A43A6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062CB"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BAF17F" w14:textId="77777777" w:rsidR="00000000" w:rsidRDefault="0068293C">
            <w:pPr>
              <w:spacing w:after="100"/>
              <w:jc w:val="right"/>
              <w:rPr>
                <w:rFonts w:eastAsia="Times New Roman"/>
              </w:rPr>
            </w:pPr>
            <w:r>
              <w:rPr>
                <w:rFonts w:eastAsia="Times New Roman"/>
                <w:color w:val="000000"/>
                <w:sz w:val="20"/>
                <w:szCs w:val="20"/>
              </w:rPr>
              <w:t>2,876 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CF5042" w14:textId="77777777" w:rsidR="00000000" w:rsidRDefault="0068293C">
            <w:pPr>
              <w:spacing w:after="100"/>
              <w:jc w:val="right"/>
              <w:rPr>
                <w:rFonts w:eastAsia="Times New Roman"/>
              </w:rPr>
            </w:pPr>
          </w:p>
        </w:tc>
      </w:tr>
      <w:tr w:rsidR="00000000" w14:paraId="69AAB972" w14:textId="77777777">
        <w:trPr>
          <w:divId w:val="1320842279"/>
        </w:trPr>
        <w:tc>
          <w:tcPr>
            <w:tcW w:w="0" w:type="auto"/>
            <w:gridSpan w:val="3"/>
            <w:shd w:val="clear" w:color="auto" w:fill="CCEEFF"/>
            <w:tcMar>
              <w:top w:w="30" w:type="dxa"/>
              <w:left w:w="20" w:type="dxa"/>
              <w:bottom w:w="30" w:type="dxa"/>
              <w:right w:w="20" w:type="dxa"/>
            </w:tcMar>
            <w:hideMark/>
          </w:tcPr>
          <w:p w14:paraId="4C61A9FE" w14:textId="77777777" w:rsidR="00000000" w:rsidRDefault="0068293C">
            <w:pPr>
              <w:spacing w:after="100"/>
              <w:rPr>
                <w:rFonts w:eastAsia="Times New Roman"/>
              </w:rPr>
            </w:pPr>
            <w:r>
              <w:rPr>
                <w:rFonts w:eastAsia="Times New Roman"/>
                <w:color w:val="000000"/>
                <w:sz w:val="20"/>
                <w:szCs w:val="20"/>
              </w:rPr>
              <w:t>Property, plant and equipment,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C3436C" w14:textId="77777777" w:rsidR="00000000" w:rsidRDefault="0068293C">
            <w:pPr>
              <w:spacing w:after="100"/>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FE716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08CB3"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328F89" w14:textId="77777777" w:rsidR="00000000" w:rsidRDefault="0068293C">
            <w:pPr>
              <w:spacing w:after="100"/>
              <w:jc w:val="right"/>
              <w:rPr>
                <w:rFonts w:eastAsia="Times New Roman"/>
              </w:rPr>
            </w:pPr>
            <w:r>
              <w:rPr>
                <w:rFonts w:eastAsia="Times New Roman"/>
                <w:color w:val="000000"/>
                <w:sz w:val="20"/>
                <w:szCs w:val="20"/>
              </w:rPr>
              <w:t>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B952D0" w14:textId="77777777" w:rsidR="00000000" w:rsidRDefault="0068293C">
            <w:pPr>
              <w:spacing w:after="100"/>
              <w:jc w:val="right"/>
              <w:rPr>
                <w:rFonts w:eastAsia="Times New Roman"/>
              </w:rPr>
            </w:pPr>
          </w:p>
        </w:tc>
      </w:tr>
      <w:tr w:rsidR="00000000" w14:paraId="07CF5F98" w14:textId="77777777">
        <w:trPr>
          <w:divId w:val="1320842279"/>
        </w:trPr>
        <w:tc>
          <w:tcPr>
            <w:tcW w:w="0" w:type="auto"/>
            <w:gridSpan w:val="3"/>
            <w:shd w:val="clear" w:color="auto" w:fill="FFFFFF"/>
            <w:tcMar>
              <w:top w:w="30" w:type="dxa"/>
              <w:left w:w="20" w:type="dxa"/>
              <w:bottom w:w="30" w:type="dxa"/>
              <w:right w:w="20" w:type="dxa"/>
            </w:tcMar>
            <w:hideMark/>
          </w:tcPr>
          <w:p w14:paraId="559939FB" w14:textId="77777777" w:rsidR="00000000" w:rsidRDefault="0068293C">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72523DC7" w14:textId="77777777" w:rsidR="00000000" w:rsidRDefault="0068293C">
            <w:pPr>
              <w:spacing w:after="100"/>
              <w:jc w:val="right"/>
              <w:rPr>
                <w:rFonts w:eastAsia="Times New Roman"/>
              </w:rPr>
            </w:pPr>
            <w:r>
              <w:rPr>
                <w:rFonts w:eastAsia="Times New Roman"/>
                <w:b/>
                <w:bCs/>
                <w:color w:val="000000"/>
                <w:sz w:val="20"/>
                <w:szCs w:val="20"/>
              </w:rPr>
              <w:t>4,570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18F53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393B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7E7A4" w14:textId="77777777" w:rsidR="00000000" w:rsidRDefault="0068293C">
            <w:pPr>
              <w:spacing w:after="100"/>
              <w:jc w:val="right"/>
              <w:rPr>
                <w:rFonts w:eastAsia="Times New Roman"/>
              </w:rPr>
            </w:pPr>
            <w:r>
              <w:rPr>
                <w:rFonts w:eastAsia="Times New Roman"/>
                <w:color w:val="000000"/>
                <w:sz w:val="20"/>
                <w:szCs w:val="20"/>
              </w:rPr>
              <w:t>4,519 </w:t>
            </w:r>
          </w:p>
        </w:tc>
        <w:tc>
          <w:tcPr>
            <w:tcW w:w="0" w:type="auto"/>
            <w:shd w:val="clear" w:color="auto" w:fill="FFFFFF"/>
            <w:tcMar>
              <w:top w:w="30" w:type="dxa"/>
              <w:left w:w="0" w:type="dxa"/>
              <w:bottom w:w="30" w:type="dxa"/>
              <w:right w:w="20" w:type="dxa"/>
            </w:tcMar>
            <w:vAlign w:val="bottom"/>
            <w:hideMark/>
          </w:tcPr>
          <w:p w14:paraId="2A0E75F1" w14:textId="77777777" w:rsidR="00000000" w:rsidRDefault="0068293C">
            <w:pPr>
              <w:spacing w:after="100"/>
              <w:jc w:val="right"/>
              <w:rPr>
                <w:rFonts w:eastAsia="Times New Roman"/>
              </w:rPr>
            </w:pPr>
          </w:p>
        </w:tc>
      </w:tr>
      <w:tr w:rsidR="00000000" w14:paraId="2CD75410" w14:textId="77777777">
        <w:trPr>
          <w:divId w:val="1320842279"/>
        </w:trPr>
        <w:tc>
          <w:tcPr>
            <w:tcW w:w="0" w:type="auto"/>
            <w:gridSpan w:val="3"/>
            <w:shd w:val="clear" w:color="auto" w:fill="CCEEFF"/>
            <w:tcMar>
              <w:top w:w="30" w:type="dxa"/>
              <w:left w:w="20" w:type="dxa"/>
              <w:bottom w:w="30" w:type="dxa"/>
              <w:right w:w="20" w:type="dxa"/>
            </w:tcMar>
            <w:hideMark/>
          </w:tcPr>
          <w:p w14:paraId="3992F0CF" w14:textId="77777777" w:rsidR="00000000" w:rsidRDefault="0068293C">
            <w:pPr>
              <w:spacing w:after="100"/>
              <w:rPr>
                <w:rFonts w:eastAsia="Times New Roman"/>
              </w:rPr>
            </w:pPr>
            <w:r>
              <w:rPr>
                <w:rFonts w:eastAsia="Times New Roman"/>
                <w:color w:val="000000"/>
                <w:sz w:val="20"/>
                <w:szCs w:val="20"/>
              </w:rPr>
              <w:t>Intangibles, net</w:t>
            </w:r>
          </w:p>
        </w:tc>
        <w:tc>
          <w:tcPr>
            <w:tcW w:w="0" w:type="auto"/>
            <w:gridSpan w:val="2"/>
            <w:shd w:val="clear" w:color="auto" w:fill="CCEEFF"/>
            <w:tcMar>
              <w:top w:w="30" w:type="dxa"/>
              <w:left w:w="20" w:type="dxa"/>
              <w:bottom w:w="30" w:type="dxa"/>
              <w:right w:w="0" w:type="dxa"/>
            </w:tcMar>
            <w:vAlign w:val="bottom"/>
            <w:hideMark/>
          </w:tcPr>
          <w:p w14:paraId="552CFD94" w14:textId="77777777" w:rsidR="00000000" w:rsidRDefault="0068293C">
            <w:pPr>
              <w:spacing w:after="100"/>
              <w:jc w:val="right"/>
              <w:rPr>
                <w:rFonts w:eastAsia="Times New Roman"/>
              </w:rPr>
            </w:pPr>
            <w:r>
              <w:rPr>
                <w:rFonts w:eastAsia="Times New Roman"/>
                <w:b/>
                <w:bCs/>
                <w:color w:val="000000"/>
                <w:sz w:val="20"/>
                <w:szCs w:val="20"/>
              </w:rPr>
              <w:t>1,309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09027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F5D3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97578E" w14:textId="77777777" w:rsidR="00000000" w:rsidRDefault="0068293C">
            <w:pPr>
              <w:spacing w:after="100"/>
              <w:jc w:val="right"/>
              <w:rPr>
                <w:rFonts w:eastAsia="Times New Roman"/>
              </w:rPr>
            </w:pPr>
            <w:r>
              <w:rPr>
                <w:rFonts w:eastAsia="Times New Roman"/>
                <w:color w:val="000000"/>
                <w:sz w:val="20"/>
                <w:szCs w:val="20"/>
              </w:rPr>
              <w:t>1,316 </w:t>
            </w:r>
          </w:p>
        </w:tc>
        <w:tc>
          <w:tcPr>
            <w:tcW w:w="0" w:type="auto"/>
            <w:shd w:val="clear" w:color="auto" w:fill="CCEEFF"/>
            <w:tcMar>
              <w:top w:w="30" w:type="dxa"/>
              <w:left w:w="0" w:type="dxa"/>
              <w:bottom w:w="30" w:type="dxa"/>
              <w:right w:w="20" w:type="dxa"/>
            </w:tcMar>
            <w:vAlign w:val="bottom"/>
            <w:hideMark/>
          </w:tcPr>
          <w:p w14:paraId="190696E3" w14:textId="77777777" w:rsidR="00000000" w:rsidRDefault="0068293C">
            <w:pPr>
              <w:spacing w:after="100"/>
              <w:jc w:val="right"/>
              <w:rPr>
                <w:rFonts w:eastAsia="Times New Roman"/>
              </w:rPr>
            </w:pPr>
          </w:p>
        </w:tc>
      </w:tr>
      <w:tr w:rsidR="00000000" w14:paraId="615A8456" w14:textId="77777777">
        <w:trPr>
          <w:divId w:val="1320842279"/>
        </w:trPr>
        <w:tc>
          <w:tcPr>
            <w:tcW w:w="0" w:type="auto"/>
            <w:gridSpan w:val="3"/>
            <w:shd w:val="clear" w:color="auto" w:fill="FFFFFF"/>
            <w:tcMar>
              <w:top w:w="30" w:type="dxa"/>
              <w:left w:w="20" w:type="dxa"/>
              <w:bottom w:w="30" w:type="dxa"/>
              <w:right w:w="20" w:type="dxa"/>
            </w:tcMar>
            <w:hideMark/>
          </w:tcPr>
          <w:p w14:paraId="5BC0BC3B" w14:textId="77777777" w:rsidR="00000000" w:rsidRDefault="0068293C">
            <w:pPr>
              <w:spacing w:after="100"/>
              <w:rPr>
                <w:rFonts w:eastAsia="Times New Roman"/>
              </w:rPr>
            </w:pPr>
            <w:r>
              <w:rPr>
                <w:rFonts w:eastAsia="Times New Roman"/>
                <w:color w:val="000000"/>
                <w:sz w:val="20"/>
                <w:szCs w:val="20"/>
              </w:rPr>
              <w:t>Operating lease assets</w:t>
            </w:r>
          </w:p>
        </w:tc>
        <w:tc>
          <w:tcPr>
            <w:tcW w:w="0" w:type="auto"/>
            <w:gridSpan w:val="2"/>
            <w:shd w:val="clear" w:color="auto" w:fill="FFFFFF"/>
            <w:tcMar>
              <w:top w:w="30" w:type="dxa"/>
              <w:left w:w="20" w:type="dxa"/>
              <w:bottom w:w="30" w:type="dxa"/>
              <w:right w:w="0" w:type="dxa"/>
            </w:tcMar>
            <w:vAlign w:val="bottom"/>
            <w:hideMark/>
          </w:tcPr>
          <w:p w14:paraId="0C021C26" w14:textId="77777777" w:rsidR="00000000" w:rsidRDefault="0068293C">
            <w:pPr>
              <w:spacing w:after="100"/>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FE82D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D81C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98F181" w14:textId="77777777" w:rsidR="00000000" w:rsidRDefault="0068293C">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14:paraId="4175DADF" w14:textId="77777777" w:rsidR="00000000" w:rsidRDefault="0068293C">
            <w:pPr>
              <w:spacing w:after="100"/>
              <w:jc w:val="right"/>
              <w:rPr>
                <w:rFonts w:eastAsia="Times New Roman"/>
              </w:rPr>
            </w:pPr>
          </w:p>
        </w:tc>
      </w:tr>
      <w:tr w:rsidR="00000000" w14:paraId="5F0EC985" w14:textId="77777777">
        <w:trPr>
          <w:divId w:val="1320842279"/>
        </w:trPr>
        <w:tc>
          <w:tcPr>
            <w:tcW w:w="0" w:type="auto"/>
            <w:gridSpan w:val="3"/>
            <w:shd w:val="clear" w:color="auto" w:fill="CCEEFF"/>
            <w:tcMar>
              <w:top w:w="30" w:type="dxa"/>
              <w:left w:w="20" w:type="dxa"/>
              <w:bottom w:w="30" w:type="dxa"/>
              <w:right w:w="20" w:type="dxa"/>
            </w:tcMar>
            <w:hideMark/>
          </w:tcPr>
          <w:p w14:paraId="6893C396" w14:textId="77777777" w:rsidR="00000000" w:rsidRDefault="0068293C">
            <w:pPr>
              <w:spacing w:after="100"/>
              <w:rPr>
                <w:rFonts w:eastAsia="Times New Roman"/>
              </w:rPr>
            </w:pPr>
            <w:r>
              <w:rPr>
                <w:rFonts w:eastAsia="Times New Roman"/>
                <w:color w:val="000000"/>
                <w:sz w:val="20"/>
                <w:szCs w:val="20"/>
              </w:rPr>
              <w:t>Prepaid pension cost</w:t>
            </w:r>
          </w:p>
        </w:tc>
        <w:tc>
          <w:tcPr>
            <w:tcW w:w="0" w:type="auto"/>
            <w:gridSpan w:val="2"/>
            <w:shd w:val="clear" w:color="auto" w:fill="CCEEFF"/>
            <w:tcMar>
              <w:top w:w="30" w:type="dxa"/>
              <w:left w:w="20" w:type="dxa"/>
              <w:bottom w:w="30" w:type="dxa"/>
              <w:right w:w="0" w:type="dxa"/>
            </w:tcMar>
            <w:vAlign w:val="bottom"/>
            <w:hideMark/>
          </w:tcPr>
          <w:p w14:paraId="07C3445C" w14:textId="77777777" w:rsidR="00000000" w:rsidRDefault="0068293C">
            <w:pPr>
              <w:spacing w:after="100"/>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22425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87B1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771FFB" w14:textId="77777777" w:rsidR="00000000" w:rsidRDefault="0068293C">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3012DF57" w14:textId="77777777" w:rsidR="00000000" w:rsidRDefault="0068293C">
            <w:pPr>
              <w:spacing w:after="100"/>
              <w:jc w:val="right"/>
              <w:rPr>
                <w:rFonts w:eastAsia="Times New Roman"/>
              </w:rPr>
            </w:pPr>
          </w:p>
        </w:tc>
      </w:tr>
      <w:tr w:rsidR="00000000" w14:paraId="0CA38671" w14:textId="77777777">
        <w:trPr>
          <w:divId w:val="1320842279"/>
        </w:trPr>
        <w:tc>
          <w:tcPr>
            <w:tcW w:w="0" w:type="auto"/>
            <w:gridSpan w:val="3"/>
            <w:shd w:val="clear" w:color="auto" w:fill="FFFFFF"/>
            <w:tcMar>
              <w:top w:w="30" w:type="dxa"/>
              <w:left w:w="20" w:type="dxa"/>
              <w:bottom w:w="30" w:type="dxa"/>
              <w:right w:w="20" w:type="dxa"/>
            </w:tcMar>
            <w:hideMark/>
          </w:tcPr>
          <w:p w14:paraId="5555E701" w14:textId="77777777" w:rsidR="00000000" w:rsidRDefault="0068293C">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5B8BFC96" w14:textId="77777777" w:rsidR="00000000" w:rsidRDefault="0068293C">
            <w:pPr>
              <w:spacing w:after="100"/>
              <w:jc w:val="right"/>
              <w:rPr>
                <w:rFonts w:eastAsia="Times New Roman"/>
              </w:rPr>
            </w:pPr>
            <w:r>
              <w:rPr>
                <w:rFonts w:eastAsia="Times New Roman"/>
                <w:b/>
                <w:bCs/>
                <w:color w:val="000000"/>
                <w:sz w:val="20"/>
                <w:szCs w:val="20"/>
              </w:rPr>
              <w:t>716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65DD9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1935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E22A9" w14:textId="77777777" w:rsidR="00000000" w:rsidRDefault="0068293C">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14:paraId="0B746DC3" w14:textId="77777777" w:rsidR="00000000" w:rsidRDefault="0068293C">
            <w:pPr>
              <w:spacing w:after="100"/>
              <w:jc w:val="right"/>
              <w:rPr>
                <w:rFonts w:eastAsia="Times New Roman"/>
              </w:rPr>
            </w:pPr>
          </w:p>
        </w:tc>
      </w:tr>
      <w:tr w:rsidR="00000000" w14:paraId="64358E19" w14:textId="77777777">
        <w:trPr>
          <w:divId w:val="1320842279"/>
        </w:trPr>
        <w:tc>
          <w:tcPr>
            <w:tcW w:w="0" w:type="auto"/>
            <w:gridSpan w:val="3"/>
            <w:shd w:val="clear" w:color="auto" w:fill="CCEEFF"/>
            <w:tcMar>
              <w:top w:w="30" w:type="dxa"/>
              <w:left w:w="20" w:type="dxa"/>
              <w:bottom w:w="30" w:type="dxa"/>
              <w:right w:w="20" w:type="dxa"/>
            </w:tcMar>
            <w:hideMark/>
          </w:tcPr>
          <w:p w14:paraId="78696428" w14:textId="77777777" w:rsidR="00000000" w:rsidRDefault="0068293C">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7E343AD4" w14:textId="77777777" w:rsidR="00000000" w:rsidRDefault="0068293C">
            <w:pPr>
              <w:spacing w:after="100"/>
              <w:jc w:val="right"/>
              <w:rPr>
                <w:rFonts w:eastAsia="Times New Roman"/>
              </w:rPr>
            </w:pPr>
            <w:r>
              <w:rPr>
                <w:rFonts w:eastAsia="Times New Roman"/>
                <w:b/>
                <w:bCs/>
                <w:color w:val="000000"/>
                <w:sz w:val="20"/>
                <w:szCs w:val="20"/>
              </w:rPr>
              <w:t>775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C1D13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45B7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4A877" w14:textId="77777777" w:rsidR="00000000" w:rsidRDefault="0068293C">
            <w:pPr>
              <w:spacing w:after="100"/>
              <w:jc w:val="right"/>
              <w:rPr>
                <w:rFonts w:eastAsia="Times New Roman"/>
              </w:rPr>
            </w:pPr>
            <w:r>
              <w:rPr>
                <w:rFonts w:eastAsia="Times New Roman"/>
                <w:color w:val="000000"/>
                <w:sz w:val="20"/>
                <w:szCs w:val="20"/>
              </w:rPr>
              <w:t>776 </w:t>
            </w:r>
          </w:p>
        </w:tc>
        <w:tc>
          <w:tcPr>
            <w:tcW w:w="0" w:type="auto"/>
            <w:shd w:val="clear" w:color="auto" w:fill="CCEEFF"/>
            <w:tcMar>
              <w:top w:w="30" w:type="dxa"/>
              <w:left w:w="0" w:type="dxa"/>
              <w:bottom w:w="30" w:type="dxa"/>
              <w:right w:w="20" w:type="dxa"/>
            </w:tcMar>
            <w:vAlign w:val="bottom"/>
            <w:hideMark/>
          </w:tcPr>
          <w:p w14:paraId="37AF895D" w14:textId="77777777" w:rsidR="00000000" w:rsidRDefault="0068293C">
            <w:pPr>
              <w:spacing w:after="100"/>
              <w:jc w:val="right"/>
              <w:rPr>
                <w:rFonts w:eastAsia="Times New Roman"/>
              </w:rPr>
            </w:pPr>
          </w:p>
        </w:tc>
      </w:tr>
      <w:tr w:rsidR="00000000" w14:paraId="204731FD" w14:textId="77777777">
        <w:trPr>
          <w:divId w:val="1320842279"/>
        </w:trPr>
        <w:tc>
          <w:tcPr>
            <w:tcW w:w="0" w:type="auto"/>
            <w:gridSpan w:val="3"/>
            <w:shd w:val="clear" w:color="auto" w:fill="FFFFFF"/>
            <w:tcMar>
              <w:top w:w="30" w:type="dxa"/>
              <w:left w:w="20" w:type="dxa"/>
              <w:bottom w:w="30" w:type="dxa"/>
              <w:right w:w="20" w:type="dxa"/>
            </w:tcMar>
            <w:hideMark/>
          </w:tcPr>
          <w:p w14:paraId="759942B3" w14:textId="77777777" w:rsidR="00000000" w:rsidRDefault="0068293C">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A0C344"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6FD375" w14:textId="77777777" w:rsidR="00000000" w:rsidRDefault="0068293C">
            <w:pPr>
              <w:spacing w:after="100"/>
              <w:jc w:val="right"/>
              <w:rPr>
                <w:rFonts w:eastAsia="Times New Roman"/>
              </w:rPr>
            </w:pPr>
            <w:r>
              <w:rPr>
                <w:rFonts w:eastAsia="Times New Roman"/>
                <w:b/>
                <w:bCs/>
                <w:color w:val="000000"/>
                <w:sz w:val="20"/>
                <w:szCs w:val="20"/>
              </w:rPr>
              <w:t>11,715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0FFB7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F7E90"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17554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2F14AE" w14:textId="77777777" w:rsidR="00000000" w:rsidRDefault="0068293C">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391E2A" w14:textId="77777777" w:rsidR="00000000" w:rsidRDefault="0068293C">
            <w:pPr>
              <w:spacing w:after="100"/>
              <w:jc w:val="right"/>
              <w:rPr>
                <w:rFonts w:eastAsia="Times New Roman"/>
              </w:rPr>
            </w:pPr>
          </w:p>
        </w:tc>
      </w:tr>
      <w:tr w:rsidR="00000000" w14:paraId="23DBCA34" w14:textId="77777777">
        <w:trPr>
          <w:divId w:val="1320842279"/>
        </w:trPr>
        <w:tc>
          <w:tcPr>
            <w:tcW w:w="0" w:type="auto"/>
            <w:gridSpan w:val="3"/>
            <w:shd w:val="clear" w:color="auto" w:fill="CCEEFF"/>
            <w:tcMar>
              <w:top w:w="30" w:type="dxa"/>
              <w:left w:w="20" w:type="dxa"/>
              <w:bottom w:w="30" w:type="dxa"/>
              <w:right w:w="20" w:type="dxa"/>
            </w:tcMar>
            <w:hideMark/>
          </w:tcPr>
          <w:p w14:paraId="66556CC8" w14:textId="77777777" w:rsidR="00000000" w:rsidRDefault="0068293C">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3B257F"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A681B"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18AE19" w14:textId="77777777" w:rsidR="00000000" w:rsidRDefault="0068293C">
            <w:pPr>
              <w:spacing w:after="100"/>
              <w:rPr>
                <w:rFonts w:eastAsia="Times New Roman"/>
                <w:sz w:val="20"/>
                <w:szCs w:val="20"/>
              </w:rPr>
            </w:pPr>
          </w:p>
        </w:tc>
      </w:tr>
      <w:tr w:rsidR="00000000" w14:paraId="3B0D5E62" w14:textId="77777777">
        <w:trPr>
          <w:divId w:val="1320842279"/>
        </w:trPr>
        <w:tc>
          <w:tcPr>
            <w:tcW w:w="0" w:type="auto"/>
            <w:gridSpan w:val="3"/>
            <w:shd w:val="clear" w:color="auto" w:fill="FFFFFF"/>
            <w:tcMar>
              <w:top w:w="30" w:type="dxa"/>
              <w:left w:w="20" w:type="dxa"/>
              <w:bottom w:w="30" w:type="dxa"/>
              <w:right w:w="20" w:type="dxa"/>
            </w:tcMar>
            <w:hideMark/>
          </w:tcPr>
          <w:p w14:paraId="41E8ED8E" w14:textId="77777777" w:rsidR="00000000" w:rsidRDefault="0068293C">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1FEE3110"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CE970"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F43120" w14:textId="77777777" w:rsidR="00000000" w:rsidRDefault="0068293C">
            <w:pPr>
              <w:spacing w:after="100"/>
              <w:rPr>
                <w:rFonts w:eastAsia="Times New Roman"/>
                <w:sz w:val="20"/>
                <w:szCs w:val="20"/>
              </w:rPr>
            </w:pPr>
          </w:p>
        </w:tc>
      </w:tr>
      <w:tr w:rsidR="00000000" w14:paraId="5EC396E4" w14:textId="77777777">
        <w:trPr>
          <w:divId w:val="1320842279"/>
        </w:trPr>
        <w:tc>
          <w:tcPr>
            <w:tcW w:w="0" w:type="auto"/>
            <w:gridSpan w:val="3"/>
            <w:shd w:val="clear" w:color="auto" w:fill="CCEEFF"/>
            <w:tcMar>
              <w:top w:w="30" w:type="dxa"/>
              <w:left w:w="380" w:type="dxa"/>
              <w:bottom w:w="30" w:type="dxa"/>
              <w:right w:w="20" w:type="dxa"/>
            </w:tcMar>
            <w:hideMark/>
          </w:tcPr>
          <w:p w14:paraId="0AEAB391" w14:textId="77777777" w:rsidR="00000000" w:rsidRDefault="0068293C">
            <w:pPr>
              <w:spacing w:after="100"/>
              <w:rPr>
                <w:rFonts w:eastAsia="Times New Roman"/>
              </w:rPr>
            </w:pPr>
            <w:r>
              <w:rPr>
                <w:rFonts w:eastAsia="Times New Roman"/>
                <w:color w:val="000000"/>
                <w:sz w:val="20"/>
                <w:szCs w:val="20"/>
              </w:rPr>
              <w:t>Short-term borrowings</w:t>
            </w:r>
          </w:p>
        </w:tc>
        <w:tc>
          <w:tcPr>
            <w:tcW w:w="0" w:type="auto"/>
            <w:shd w:val="clear" w:color="auto" w:fill="CCEEFF"/>
            <w:tcMar>
              <w:top w:w="30" w:type="dxa"/>
              <w:left w:w="20" w:type="dxa"/>
              <w:bottom w:w="30" w:type="dxa"/>
              <w:right w:w="0" w:type="dxa"/>
            </w:tcMar>
            <w:vAlign w:val="bottom"/>
            <w:hideMark/>
          </w:tcPr>
          <w:p w14:paraId="68F76C9C"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70E7994" w14:textId="77777777" w:rsidR="00000000" w:rsidRDefault="0068293C">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5B2BF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24653"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409C58"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BAB82A" w14:textId="77777777" w:rsidR="00000000" w:rsidRDefault="0068293C">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223823D6" w14:textId="77777777" w:rsidR="00000000" w:rsidRDefault="0068293C">
            <w:pPr>
              <w:spacing w:after="100"/>
              <w:jc w:val="right"/>
              <w:rPr>
                <w:rFonts w:eastAsia="Times New Roman"/>
              </w:rPr>
            </w:pPr>
          </w:p>
        </w:tc>
      </w:tr>
      <w:tr w:rsidR="00000000" w14:paraId="6AD2EAFC" w14:textId="77777777">
        <w:trPr>
          <w:divId w:val="1320842279"/>
        </w:trPr>
        <w:tc>
          <w:tcPr>
            <w:tcW w:w="0" w:type="auto"/>
            <w:gridSpan w:val="3"/>
            <w:shd w:val="clear" w:color="auto" w:fill="FFFFFF"/>
            <w:tcMar>
              <w:top w:w="30" w:type="dxa"/>
              <w:left w:w="380" w:type="dxa"/>
              <w:bottom w:w="30" w:type="dxa"/>
              <w:right w:w="20" w:type="dxa"/>
            </w:tcMar>
            <w:hideMark/>
          </w:tcPr>
          <w:p w14:paraId="108093FB" w14:textId="77777777" w:rsidR="00000000" w:rsidRDefault="0068293C">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2FB9ADEC" w14:textId="77777777" w:rsidR="00000000" w:rsidRDefault="0068293C">
            <w:pPr>
              <w:spacing w:after="100"/>
              <w:jc w:val="right"/>
              <w:rPr>
                <w:rFonts w:eastAsia="Times New Roman"/>
              </w:rPr>
            </w:pPr>
            <w:r>
              <w:rPr>
                <w:rFonts w:eastAsia="Times New Roman"/>
                <w:b/>
                <w:bCs/>
                <w:color w:val="000000"/>
                <w:sz w:val="20"/>
                <w:szCs w:val="20"/>
              </w:rPr>
              <w:t>901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51F0E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2BFC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41F8A" w14:textId="77777777" w:rsidR="00000000" w:rsidRDefault="0068293C">
            <w:pPr>
              <w:spacing w:after="100"/>
              <w:jc w:val="right"/>
              <w:rPr>
                <w:rFonts w:eastAsia="Times New Roman"/>
              </w:rPr>
            </w:pPr>
            <w:r>
              <w:rPr>
                <w:rFonts w:eastAsia="Times New Roman"/>
                <w:color w:val="000000"/>
                <w:sz w:val="20"/>
                <w:szCs w:val="20"/>
              </w:rPr>
              <w:t>826 </w:t>
            </w:r>
          </w:p>
        </w:tc>
        <w:tc>
          <w:tcPr>
            <w:tcW w:w="0" w:type="auto"/>
            <w:shd w:val="clear" w:color="auto" w:fill="FFFFFF"/>
            <w:tcMar>
              <w:top w:w="30" w:type="dxa"/>
              <w:left w:w="0" w:type="dxa"/>
              <w:bottom w:w="30" w:type="dxa"/>
              <w:right w:w="20" w:type="dxa"/>
            </w:tcMar>
            <w:vAlign w:val="bottom"/>
            <w:hideMark/>
          </w:tcPr>
          <w:p w14:paraId="13CAEC2B" w14:textId="77777777" w:rsidR="00000000" w:rsidRDefault="0068293C">
            <w:pPr>
              <w:spacing w:after="100"/>
              <w:jc w:val="right"/>
              <w:rPr>
                <w:rFonts w:eastAsia="Times New Roman"/>
              </w:rPr>
            </w:pPr>
          </w:p>
        </w:tc>
      </w:tr>
      <w:tr w:rsidR="00000000" w14:paraId="03150B20" w14:textId="77777777">
        <w:trPr>
          <w:divId w:val="1320842279"/>
        </w:trPr>
        <w:tc>
          <w:tcPr>
            <w:tcW w:w="0" w:type="auto"/>
            <w:gridSpan w:val="3"/>
            <w:shd w:val="clear" w:color="auto" w:fill="CCEEFF"/>
            <w:tcMar>
              <w:top w:w="30" w:type="dxa"/>
              <w:left w:w="380" w:type="dxa"/>
              <w:bottom w:w="30" w:type="dxa"/>
              <w:right w:w="20" w:type="dxa"/>
            </w:tcMar>
            <w:hideMark/>
          </w:tcPr>
          <w:p w14:paraId="388DBCAF" w14:textId="77777777" w:rsidR="00000000" w:rsidRDefault="0068293C">
            <w:pPr>
              <w:spacing w:after="100"/>
              <w:rPr>
                <w:rFonts w:eastAsia="Times New Roman"/>
              </w:rPr>
            </w:pPr>
            <w:r>
              <w:rPr>
                <w:rFonts w:eastAsia="Times New Roman"/>
                <w:color w:val="000000"/>
                <w:sz w:val="20"/>
                <w:szCs w:val="20"/>
              </w:rPr>
              <w:t>Payroll and benefits liabilities</w:t>
            </w:r>
          </w:p>
        </w:tc>
        <w:tc>
          <w:tcPr>
            <w:tcW w:w="0" w:type="auto"/>
            <w:gridSpan w:val="2"/>
            <w:shd w:val="clear" w:color="auto" w:fill="CCEEFF"/>
            <w:tcMar>
              <w:top w:w="30" w:type="dxa"/>
              <w:left w:w="20" w:type="dxa"/>
              <w:bottom w:w="30" w:type="dxa"/>
              <w:right w:w="0" w:type="dxa"/>
            </w:tcMar>
            <w:vAlign w:val="bottom"/>
            <w:hideMark/>
          </w:tcPr>
          <w:p w14:paraId="308C5839" w14:textId="77777777" w:rsidR="00000000" w:rsidRDefault="0068293C">
            <w:pPr>
              <w:spacing w:after="100"/>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21439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B039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35D534" w14:textId="77777777" w:rsidR="00000000" w:rsidRDefault="0068293C">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14:paraId="534116D0" w14:textId="77777777" w:rsidR="00000000" w:rsidRDefault="0068293C">
            <w:pPr>
              <w:spacing w:after="100"/>
              <w:jc w:val="right"/>
              <w:rPr>
                <w:rFonts w:eastAsia="Times New Roman"/>
              </w:rPr>
            </w:pPr>
          </w:p>
        </w:tc>
      </w:tr>
      <w:tr w:rsidR="00000000" w14:paraId="6F67174A" w14:textId="77777777">
        <w:trPr>
          <w:divId w:val="1320842279"/>
        </w:trPr>
        <w:tc>
          <w:tcPr>
            <w:tcW w:w="0" w:type="auto"/>
            <w:gridSpan w:val="3"/>
            <w:shd w:val="clear" w:color="auto" w:fill="FFFFFF"/>
            <w:tcMar>
              <w:top w:w="30" w:type="dxa"/>
              <w:left w:w="380" w:type="dxa"/>
              <w:bottom w:w="30" w:type="dxa"/>
              <w:right w:w="20" w:type="dxa"/>
            </w:tcMar>
            <w:hideMark/>
          </w:tcPr>
          <w:p w14:paraId="59586AC5" w14:textId="77777777" w:rsidR="00000000" w:rsidRDefault="0068293C">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3004DE7D" w14:textId="77777777" w:rsidR="00000000" w:rsidRDefault="0068293C">
            <w:pPr>
              <w:spacing w:after="100"/>
              <w:jc w:val="right"/>
              <w:rPr>
                <w:rFonts w:eastAsia="Times New Roman"/>
              </w:rPr>
            </w:pPr>
            <w:r>
              <w:rPr>
                <w:rFonts w:eastAsia="Times New Roman"/>
                <w:b/>
                <w:bCs/>
                <w:color w:val="000000"/>
                <w:sz w:val="20"/>
                <w:szCs w:val="20"/>
              </w:rPr>
              <w:t>625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D8208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3A61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7A727" w14:textId="77777777" w:rsidR="00000000" w:rsidRDefault="0068293C">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14:paraId="5E048B76" w14:textId="77777777" w:rsidR="00000000" w:rsidRDefault="0068293C">
            <w:pPr>
              <w:spacing w:after="100"/>
              <w:jc w:val="right"/>
              <w:rPr>
                <w:rFonts w:eastAsia="Times New Roman"/>
              </w:rPr>
            </w:pPr>
          </w:p>
        </w:tc>
      </w:tr>
      <w:tr w:rsidR="00000000" w14:paraId="2DCDB013" w14:textId="77777777">
        <w:trPr>
          <w:divId w:val="1320842279"/>
        </w:trPr>
        <w:tc>
          <w:tcPr>
            <w:tcW w:w="0" w:type="auto"/>
            <w:gridSpan w:val="3"/>
            <w:shd w:val="clear" w:color="auto" w:fill="CCEEFF"/>
            <w:tcMar>
              <w:top w:w="30" w:type="dxa"/>
              <w:left w:w="380" w:type="dxa"/>
              <w:bottom w:w="30" w:type="dxa"/>
              <w:right w:w="20" w:type="dxa"/>
            </w:tcMar>
            <w:hideMark/>
          </w:tcPr>
          <w:p w14:paraId="60F56186" w14:textId="77777777" w:rsidR="00000000" w:rsidRDefault="0068293C">
            <w:pPr>
              <w:spacing w:after="100"/>
              <w:rPr>
                <w:rFonts w:eastAsia="Times New Roman"/>
              </w:rPr>
            </w:pPr>
            <w:r>
              <w:rPr>
                <w:rFonts w:eastAsia="Times New Roman"/>
                <w:color w:val="000000"/>
                <w:sz w:val="20"/>
                <w:szCs w:val="20"/>
              </w:rPr>
              <w:t>Settlement liabilities</w:t>
            </w:r>
          </w:p>
        </w:tc>
        <w:tc>
          <w:tcPr>
            <w:tcW w:w="0" w:type="auto"/>
            <w:gridSpan w:val="2"/>
            <w:shd w:val="clear" w:color="auto" w:fill="CCEEFF"/>
            <w:tcMar>
              <w:top w:w="30" w:type="dxa"/>
              <w:left w:w="20" w:type="dxa"/>
              <w:bottom w:w="30" w:type="dxa"/>
              <w:right w:w="0" w:type="dxa"/>
            </w:tcMar>
            <w:vAlign w:val="bottom"/>
            <w:hideMark/>
          </w:tcPr>
          <w:p w14:paraId="40AB4465" w14:textId="77777777" w:rsidR="00000000" w:rsidRDefault="0068293C">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6BB40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73D0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1C0084" w14:textId="77777777" w:rsidR="00000000" w:rsidRDefault="0068293C">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14:paraId="0E4CA7CA" w14:textId="77777777" w:rsidR="00000000" w:rsidRDefault="0068293C">
            <w:pPr>
              <w:spacing w:after="100"/>
              <w:jc w:val="right"/>
              <w:rPr>
                <w:rFonts w:eastAsia="Times New Roman"/>
              </w:rPr>
            </w:pPr>
          </w:p>
        </w:tc>
      </w:tr>
      <w:tr w:rsidR="00000000" w14:paraId="065A9CEC" w14:textId="77777777">
        <w:trPr>
          <w:divId w:val="1320842279"/>
        </w:trPr>
        <w:tc>
          <w:tcPr>
            <w:tcW w:w="0" w:type="auto"/>
            <w:gridSpan w:val="3"/>
            <w:shd w:val="clear" w:color="auto" w:fill="FFFFFF"/>
            <w:tcMar>
              <w:top w:w="30" w:type="dxa"/>
              <w:left w:w="380" w:type="dxa"/>
              <w:bottom w:w="30" w:type="dxa"/>
              <w:right w:w="20" w:type="dxa"/>
            </w:tcMar>
            <w:hideMark/>
          </w:tcPr>
          <w:p w14:paraId="46E88B83" w14:textId="77777777" w:rsidR="00000000" w:rsidRDefault="0068293C">
            <w:pPr>
              <w:spacing w:after="100"/>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14:paraId="623D0CC9" w14:textId="77777777" w:rsidR="00000000" w:rsidRDefault="0068293C">
            <w:pPr>
              <w:spacing w:after="100"/>
              <w:jc w:val="right"/>
              <w:rPr>
                <w:rFonts w:eastAsia="Times New Roman"/>
              </w:rPr>
            </w:pPr>
            <w:r>
              <w:rPr>
                <w:rFonts w:eastAsia="Times New Roman"/>
                <w:b/>
                <w:bCs/>
                <w:color w:val="000000"/>
                <w:sz w:val="20"/>
                <w:szCs w:val="20"/>
              </w:rPr>
              <w:t>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205FF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DBA7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6D16E" w14:textId="77777777" w:rsidR="00000000" w:rsidRDefault="0068293C">
            <w:pPr>
              <w:spacing w:after="100"/>
              <w:jc w:val="right"/>
              <w:rPr>
                <w:rFonts w:eastAsia="Times New Roman"/>
              </w:rPr>
            </w:pPr>
            <w:r>
              <w:rPr>
                <w:rFonts w:eastAsia="Times New Roman"/>
                <w:color w:val="000000"/>
                <w:sz w:val="20"/>
                <w:szCs w:val="20"/>
              </w:rPr>
              <w:t>757 </w:t>
            </w:r>
          </w:p>
        </w:tc>
        <w:tc>
          <w:tcPr>
            <w:tcW w:w="0" w:type="auto"/>
            <w:shd w:val="clear" w:color="auto" w:fill="FFFFFF"/>
            <w:tcMar>
              <w:top w:w="30" w:type="dxa"/>
              <w:left w:w="0" w:type="dxa"/>
              <w:bottom w:w="30" w:type="dxa"/>
              <w:right w:w="20" w:type="dxa"/>
            </w:tcMar>
            <w:vAlign w:val="bottom"/>
            <w:hideMark/>
          </w:tcPr>
          <w:p w14:paraId="098D21E9" w14:textId="77777777" w:rsidR="00000000" w:rsidRDefault="0068293C">
            <w:pPr>
              <w:spacing w:after="100"/>
              <w:jc w:val="right"/>
              <w:rPr>
                <w:rFonts w:eastAsia="Times New Roman"/>
              </w:rPr>
            </w:pPr>
          </w:p>
        </w:tc>
      </w:tr>
      <w:tr w:rsidR="00000000" w14:paraId="6535AE1A" w14:textId="77777777">
        <w:trPr>
          <w:divId w:val="1320842279"/>
        </w:trPr>
        <w:tc>
          <w:tcPr>
            <w:tcW w:w="0" w:type="auto"/>
            <w:gridSpan w:val="3"/>
            <w:shd w:val="clear" w:color="auto" w:fill="CCEEFF"/>
            <w:tcMar>
              <w:top w:w="30" w:type="dxa"/>
              <w:left w:w="20" w:type="dxa"/>
              <w:bottom w:w="30" w:type="dxa"/>
              <w:right w:w="20" w:type="dxa"/>
            </w:tcMar>
            <w:hideMark/>
          </w:tcPr>
          <w:p w14:paraId="5D42C2D4" w14:textId="77777777" w:rsidR="00000000" w:rsidRDefault="0068293C">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392896" w14:textId="77777777" w:rsidR="00000000" w:rsidRDefault="0068293C">
            <w:pPr>
              <w:spacing w:after="100"/>
              <w:jc w:val="right"/>
              <w:rPr>
                <w:rFonts w:eastAsia="Times New Roman"/>
              </w:rPr>
            </w:pPr>
            <w:r>
              <w:rPr>
                <w:rFonts w:eastAsia="Times New Roman"/>
                <w:b/>
                <w:bCs/>
                <w:color w:val="000000"/>
                <w:sz w:val="20"/>
                <w:szCs w:val="20"/>
              </w:rPr>
              <w:t>2,830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D7001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A9CDD"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D09A75" w14:textId="77777777" w:rsidR="00000000" w:rsidRDefault="0068293C">
            <w:pPr>
              <w:spacing w:after="100"/>
              <w:jc w:val="right"/>
              <w:rPr>
                <w:rFonts w:eastAsia="Times New Roman"/>
              </w:rPr>
            </w:pPr>
            <w:r>
              <w:rPr>
                <w:rFonts w:eastAsia="Times New Roman"/>
                <w:color w:val="000000"/>
                <w:sz w:val="20"/>
                <w:szCs w:val="20"/>
              </w:rPr>
              <w:t>2,808 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C261FB" w14:textId="77777777" w:rsidR="00000000" w:rsidRDefault="0068293C">
            <w:pPr>
              <w:spacing w:after="100"/>
              <w:jc w:val="right"/>
              <w:rPr>
                <w:rFonts w:eastAsia="Times New Roman"/>
              </w:rPr>
            </w:pPr>
          </w:p>
        </w:tc>
      </w:tr>
      <w:tr w:rsidR="00000000" w14:paraId="090F6EFA" w14:textId="77777777">
        <w:trPr>
          <w:divId w:val="1320842279"/>
        </w:trPr>
        <w:tc>
          <w:tcPr>
            <w:tcW w:w="0" w:type="auto"/>
            <w:gridSpan w:val="3"/>
            <w:shd w:val="clear" w:color="auto" w:fill="FFFFFF"/>
            <w:tcMar>
              <w:top w:w="30" w:type="dxa"/>
              <w:left w:w="20" w:type="dxa"/>
              <w:bottom w:w="30" w:type="dxa"/>
              <w:right w:w="20" w:type="dxa"/>
            </w:tcMar>
            <w:hideMark/>
          </w:tcPr>
          <w:p w14:paraId="57650611" w14:textId="77777777" w:rsidR="00000000" w:rsidRDefault="0068293C">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A6A639" w14:textId="77777777" w:rsidR="00000000" w:rsidRDefault="0068293C">
            <w:pPr>
              <w:spacing w:after="100"/>
              <w:jc w:val="right"/>
              <w:rPr>
                <w:rFonts w:eastAsia="Times New Roman"/>
              </w:rPr>
            </w:pPr>
            <w:r>
              <w:rPr>
                <w:rFonts w:eastAsia="Times New Roman"/>
                <w:b/>
                <w:bCs/>
                <w:color w:val="000000"/>
                <w:sz w:val="20"/>
                <w:szCs w:val="20"/>
              </w:rPr>
              <w:t>5,516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43AFB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83B72"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CD60F4" w14:textId="77777777" w:rsidR="00000000" w:rsidRDefault="0068293C">
            <w:pPr>
              <w:spacing w:after="100"/>
              <w:jc w:val="right"/>
              <w:rPr>
                <w:rFonts w:eastAsia="Times New Roman"/>
              </w:rPr>
            </w:pPr>
            <w:r>
              <w:rPr>
                <w:rFonts w:eastAsia="Times New Roman"/>
                <w:color w:val="000000"/>
                <w:sz w:val="20"/>
                <w:szCs w:val="20"/>
              </w:rPr>
              <w:t>5,505 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0D30A2" w14:textId="77777777" w:rsidR="00000000" w:rsidRDefault="0068293C">
            <w:pPr>
              <w:spacing w:after="100"/>
              <w:jc w:val="right"/>
              <w:rPr>
                <w:rFonts w:eastAsia="Times New Roman"/>
              </w:rPr>
            </w:pPr>
          </w:p>
        </w:tc>
      </w:tr>
      <w:tr w:rsidR="00000000" w14:paraId="6440AFF6" w14:textId="77777777">
        <w:trPr>
          <w:divId w:val="1320842279"/>
        </w:trPr>
        <w:tc>
          <w:tcPr>
            <w:tcW w:w="0" w:type="auto"/>
            <w:gridSpan w:val="3"/>
            <w:shd w:val="clear" w:color="auto" w:fill="CCEEFF"/>
            <w:tcMar>
              <w:top w:w="30" w:type="dxa"/>
              <w:left w:w="20" w:type="dxa"/>
              <w:bottom w:w="30" w:type="dxa"/>
              <w:right w:w="20" w:type="dxa"/>
            </w:tcMar>
            <w:hideMark/>
          </w:tcPr>
          <w:p w14:paraId="3021222C" w14:textId="77777777" w:rsidR="00000000" w:rsidRDefault="0068293C">
            <w:pPr>
              <w:spacing w:after="100"/>
              <w:rPr>
                <w:rFonts w:eastAsia="Times New Roman"/>
              </w:rPr>
            </w:pPr>
            <w:r>
              <w:rPr>
                <w:rFonts w:eastAsia="Times New Roman"/>
                <w:color w:val="000000"/>
                <w:sz w:val="20"/>
                <w:szCs w:val="20"/>
              </w:rPr>
              <w:t>Pension and indemnity plan liabilities</w:t>
            </w:r>
          </w:p>
        </w:tc>
        <w:tc>
          <w:tcPr>
            <w:tcW w:w="0" w:type="auto"/>
            <w:gridSpan w:val="2"/>
            <w:shd w:val="clear" w:color="auto" w:fill="CCEEFF"/>
            <w:tcMar>
              <w:top w:w="30" w:type="dxa"/>
              <w:left w:w="20" w:type="dxa"/>
              <w:bottom w:w="30" w:type="dxa"/>
              <w:right w:w="0" w:type="dxa"/>
            </w:tcMar>
            <w:vAlign w:val="bottom"/>
            <w:hideMark/>
          </w:tcPr>
          <w:p w14:paraId="0228B20D" w14:textId="77777777" w:rsidR="00000000" w:rsidRDefault="0068293C">
            <w:pPr>
              <w:spacing w:after="100"/>
              <w:jc w:val="right"/>
              <w:rPr>
                <w:rFonts w:eastAsia="Times New Roman"/>
              </w:rPr>
            </w:pPr>
            <w:r>
              <w:rPr>
                <w:rFonts w:eastAsia="Times New Roman"/>
                <w:b/>
                <w:bCs/>
                <w:color w:val="000000"/>
                <w:sz w:val="20"/>
                <w:szCs w:val="20"/>
              </w:rPr>
              <w:t>773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435BC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6122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35FF9" w14:textId="77777777" w:rsidR="00000000" w:rsidRDefault="0068293C">
            <w:pPr>
              <w:spacing w:after="100"/>
              <w:jc w:val="right"/>
              <w:rPr>
                <w:rFonts w:eastAsia="Times New Roman"/>
              </w:rPr>
            </w:pPr>
            <w:r>
              <w:rPr>
                <w:rFonts w:eastAsia="Times New Roman"/>
                <w:color w:val="000000"/>
                <w:sz w:val="20"/>
                <w:szCs w:val="20"/>
              </w:rPr>
              <w:t>789 </w:t>
            </w:r>
          </w:p>
        </w:tc>
        <w:tc>
          <w:tcPr>
            <w:tcW w:w="0" w:type="auto"/>
            <w:shd w:val="clear" w:color="auto" w:fill="CCEEFF"/>
            <w:tcMar>
              <w:top w:w="30" w:type="dxa"/>
              <w:left w:w="0" w:type="dxa"/>
              <w:bottom w:w="30" w:type="dxa"/>
              <w:right w:w="20" w:type="dxa"/>
            </w:tcMar>
            <w:vAlign w:val="bottom"/>
            <w:hideMark/>
          </w:tcPr>
          <w:p w14:paraId="14D5AC53" w14:textId="77777777" w:rsidR="00000000" w:rsidRDefault="0068293C">
            <w:pPr>
              <w:spacing w:after="100"/>
              <w:jc w:val="right"/>
              <w:rPr>
                <w:rFonts w:eastAsia="Times New Roman"/>
              </w:rPr>
            </w:pPr>
          </w:p>
        </w:tc>
      </w:tr>
      <w:tr w:rsidR="00000000" w14:paraId="095935DA" w14:textId="77777777">
        <w:trPr>
          <w:divId w:val="1320842279"/>
        </w:trPr>
        <w:tc>
          <w:tcPr>
            <w:tcW w:w="0" w:type="auto"/>
            <w:gridSpan w:val="3"/>
            <w:shd w:val="clear" w:color="auto" w:fill="FFFFFF"/>
            <w:tcMar>
              <w:top w:w="30" w:type="dxa"/>
              <w:left w:w="20" w:type="dxa"/>
              <w:bottom w:w="30" w:type="dxa"/>
              <w:right w:w="20" w:type="dxa"/>
            </w:tcMar>
            <w:hideMark/>
          </w:tcPr>
          <w:p w14:paraId="20AB58F8" w14:textId="77777777" w:rsidR="00000000" w:rsidRDefault="0068293C">
            <w:pPr>
              <w:spacing w:after="100"/>
              <w:rPr>
                <w:rFonts w:eastAsia="Times New Roman"/>
              </w:rPr>
            </w:pPr>
            <w:r>
              <w:rPr>
                <w:rFonts w:eastAsia="Times New Roman"/>
                <w:color w:val="000000"/>
                <w:sz w:val="20"/>
                <w:szCs w:val="20"/>
              </w:rPr>
              <w:t>Postretirement and postemployment benefits liabilities</w:t>
            </w:r>
          </w:p>
        </w:tc>
        <w:tc>
          <w:tcPr>
            <w:tcW w:w="0" w:type="auto"/>
            <w:gridSpan w:val="2"/>
            <w:shd w:val="clear" w:color="auto" w:fill="FFFFFF"/>
            <w:tcMar>
              <w:top w:w="30" w:type="dxa"/>
              <w:left w:w="20" w:type="dxa"/>
              <w:bottom w:w="30" w:type="dxa"/>
              <w:right w:w="0" w:type="dxa"/>
            </w:tcMar>
            <w:vAlign w:val="bottom"/>
            <w:hideMark/>
          </w:tcPr>
          <w:p w14:paraId="6880EB72" w14:textId="77777777" w:rsidR="00000000" w:rsidRDefault="0068293C">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D56DF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7CE94"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CF2A9" w14:textId="77777777" w:rsidR="00000000" w:rsidRDefault="0068293C">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14:paraId="022610A5" w14:textId="77777777" w:rsidR="00000000" w:rsidRDefault="0068293C">
            <w:pPr>
              <w:spacing w:after="100"/>
              <w:jc w:val="right"/>
              <w:rPr>
                <w:rFonts w:eastAsia="Times New Roman"/>
              </w:rPr>
            </w:pPr>
          </w:p>
        </w:tc>
      </w:tr>
      <w:tr w:rsidR="00000000" w14:paraId="7138C681" w14:textId="77777777">
        <w:trPr>
          <w:divId w:val="1320842279"/>
        </w:trPr>
        <w:tc>
          <w:tcPr>
            <w:tcW w:w="0" w:type="auto"/>
            <w:gridSpan w:val="3"/>
            <w:shd w:val="clear" w:color="auto" w:fill="CCEEFF"/>
            <w:tcMar>
              <w:top w:w="30" w:type="dxa"/>
              <w:left w:w="20" w:type="dxa"/>
              <w:bottom w:w="30" w:type="dxa"/>
              <w:right w:w="20" w:type="dxa"/>
            </w:tcMar>
            <w:hideMark/>
          </w:tcPr>
          <w:p w14:paraId="3E73B09C" w14:textId="77777777" w:rsidR="00000000" w:rsidRDefault="0068293C">
            <w:pPr>
              <w:spacing w:after="100"/>
              <w:rPr>
                <w:rFonts w:eastAsia="Times New Roman"/>
              </w:rPr>
            </w:pPr>
            <w:r>
              <w:rPr>
                <w:rFonts w:eastAsia="Times New Roman"/>
                <w:color w:val="000000"/>
                <w:sz w:val="20"/>
                <w:szCs w:val="20"/>
              </w:rPr>
              <w:t>Income tax accruals</w:t>
            </w:r>
          </w:p>
        </w:tc>
        <w:tc>
          <w:tcPr>
            <w:tcW w:w="0" w:type="auto"/>
            <w:gridSpan w:val="2"/>
            <w:shd w:val="clear" w:color="auto" w:fill="CCEEFF"/>
            <w:tcMar>
              <w:top w:w="30" w:type="dxa"/>
              <w:left w:w="20" w:type="dxa"/>
              <w:bottom w:w="30" w:type="dxa"/>
              <w:right w:w="0" w:type="dxa"/>
            </w:tcMar>
            <w:vAlign w:val="bottom"/>
            <w:hideMark/>
          </w:tcPr>
          <w:p w14:paraId="774B14EB" w14:textId="77777777" w:rsidR="00000000" w:rsidRDefault="0068293C">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6E7E8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7A32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3BFBC4" w14:textId="77777777" w:rsidR="00000000" w:rsidRDefault="0068293C">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14:paraId="32368929" w14:textId="77777777" w:rsidR="00000000" w:rsidRDefault="0068293C">
            <w:pPr>
              <w:spacing w:after="100"/>
              <w:jc w:val="right"/>
              <w:rPr>
                <w:rFonts w:eastAsia="Times New Roman"/>
              </w:rPr>
            </w:pPr>
          </w:p>
        </w:tc>
      </w:tr>
      <w:tr w:rsidR="00000000" w14:paraId="471BF930" w14:textId="77777777">
        <w:trPr>
          <w:divId w:val="1320842279"/>
        </w:trPr>
        <w:tc>
          <w:tcPr>
            <w:tcW w:w="0" w:type="auto"/>
            <w:gridSpan w:val="3"/>
            <w:shd w:val="clear" w:color="auto" w:fill="FFFFFF"/>
            <w:tcMar>
              <w:top w:w="30" w:type="dxa"/>
              <w:left w:w="20" w:type="dxa"/>
              <w:bottom w:w="30" w:type="dxa"/>
              <w:right w:w="20" w:type="dxa"/>
            </w:tcMar>
            <w:hideMark/>
          </w:tcPr>
          <w:p w14:paraId="2A24302F" w14:textId="77777777" w:rsidR="00000000" w:rsidRDefault="0068293C">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14:paraId="49595583" w14:textId="77777777" w:rsidR="00000000" w:rsidRDefault="0068293C">
            <w:pPr>
              <w:spacing w:after="100"/>
              <w:jc w:val="right"/>
              <w:rPr>
                <w:rFonts w:eastAsia="Times New Roman"/>
              </w:rPr>
            </w:pPr>
            <w:r>
              <w:rPr>
                <w:rFonts w:eastAsia="Times New Roman"/>
                <w:b/>
                <w:bCs/>
                <w:color w:val="000000"/>
                <w:sz w:val="20"/>
                <w:szCs w:val="20"/>
              </w:rPr>
              <w:t>375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3265A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249B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8335CC" w14:textId="77777777" w:rsidR="00000000" w:rsidRDefault="0068293C">
            <w:pPr>
              <w:spacing w:after="100"/>
              <w:jc w:val="right"/>
              <w:rPr>
                <w:rFonts w:eastAsia="Times New Roman"/>
              </w:rPr>
            </w:pPr>
            <w:r>
              <w:rPr>
                <w:rFonts w:eastAsia="Times New Roman"/>
                <w:color w:val="000000"/>
                <w:sz w:val="20"/>
                <w:szCs w:val="20"/>
              </w:rPr>
              <w:t>388 </w:t>
            </w:r>
          </w:p>
        </w:tc>
        <w:tc>
          <w:tcPr>
            <w:tcW w:w="0" w:type="auto"/>
            <w:shd w:val="clear" w:color="auto" w:fill="FFFFFF"/>
            <w:tcMar>
              <w:top w:w="30" w:type="dxa"/>
              <w:left w:w="0" w:type="dxa"/>
              <w:bottom w:w="30" w:type="dxa"/>
              <w:right w:w="20" w:type="dxa"/>
            </w:tcMar>
            <w:vAlign w:val="bottom"/>
            <w:hideMark/>
          </w:tcPr>
          <w:p w14:paraId="2AB399B2" w14:textId="77777777" w:rsidR="00000000" w:rsidRDefault="0068293C">
            <w:pPr>
              <w:spacing w:after="100"/>
              <w:jc w:val="right"/>
              <w:rPr>
                <w:rFonts w:eastAsia="Times New Roman"/>
              </w:rPr>
            </w:pPr>
          </w:p>
        </w:tc>
      </w:tr>
      <w:tr w:rsidR="00000000" w14:paraId="7D43A747" w14:textId="77777777">
        <w:trPr>
          <w:divId w:val="1320842279"/>
        </w:trPr>
        <w:tc>
          <w:tcPr>
            <w:tcW w:w="0" w:type="auto"/>
            <w:gridSpan w:val="3"/>
            <w:shd w:val="clear" w:color="auto" w:fill="CCEEFF"/>
            <w:tcMar>
              <w:top w:w="30" w:type="dxa"/>
              <w:left w:w="20" w:type="dxa"/>
              <w:bottom w:w="30" w:type="dxa"/>
              <w:right w:w="20" w:type="dxa"/>
            </w:tcMar>
            <w:hideMark/>
          </w:tcPr>
          <w:p w14:paraId="173370C5" w14:textId="77777777" w:rsidR="00000000" w:rsidRDefault="0068293C">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2B79F03D" w14:textId="77777777" w:rsidR="00000000" w:rsidRDefault="0068293C">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02104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65B03"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E7448" w14:textId="77777777" w:rsidR="00000000" w:rsidRDefault="0068293C">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14:paraId="56CFCEF6" w14:textId="77777777" w:rsidR="00000000" w:rsidRDefault="0068293C">
            <w:pPr>
              <w:spacing w:after="100"/>
              <w:jc w:val="right"/>
              <w:rPr>
                <w:rFonts w:eastAsia="Times New Roman"/>
              </w:rPr>
            </w:pPr>
          </w:p>
        </w:tc>
      </w:tr>
      <w:tr w:rsidR="00000000" w14:paraId="2AA9B4CF" w14:textId="77777777">
        <w:trPr>
          <w:divId w:val="1320842279"/>
        </w:trPr>
        <w:tc>
          <w:tcPr>
            <w:tcW w:w="0" w:type="auto"/>
            <w:gridSpan w:val="3"/>
            <w:shd w:val="clear" w:color="auto" w:fill="FFFFFF"/>
            <w:tcMar>
              <w:top w:w="30" w:type="dxa"/>
              <w:left w:w="20" w:type="dxa"/>
              <w:bottom w:w="30" w:type="dxa"/>
              <w:right w:w="20" w:type="dxa"/>
            </w:tcMar>
            <w:hideMark/>
          </w:tcPr>
          <w:p w14:paraId="27754EEC" w14:textId="77777777" w:rsidR="00000000" w:rsidRDefault="0068293C">
            <w:pPr>
              <w:spacing w:after="100"/>
              <w:rPr>
                <w:rFonts w:eastAsia="Times New Roman"/>
              </w:rPr>
            </w:pPr>
            <w:r>
              <w:rPr>
                <w:rFonts w:eastAsia="Times New Roman"/>
                <w:b/>
                <w:bCs/>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617E96" w14:textId="77777777" w:rsidR="00000000" w:rsidRDefault="0068293C">
            <w:pPr>
              <w:spacing w:after="100"/>
              <w:jc w:val="right"/>
              <w:rPr>
                <w:rFonts w:eastAsia="Times New Roman"/>
              </w:rPr>
            </w:pPr>
            <w:r>
              <w:rPr>
                <w:rFonts w:eastAsia="Times New Roman"/>
                <w:b/>
                <w:bCs/>
                <w:color w:val="000000"/>
                <w:sz w:val="20"/>
                <w:szCs w:val="20"/>
              </w:rPr>
              <w:t>10,116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422BF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C8229"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3A2EEB" w14:textId="77777777" w:rsidR="00000000" w:rsidRDefault="0068293C">
            <w:pPr>
              <w:spacing w:after="100"/>
              <w:jc w:val="right"/>
              <w:rPr>
                <w:rFonts w:eastAsia="Times New Roman"/>
              </w:rPr>
            </w:pPr>
            <w:r>
              <w:rPr>
                <w:rFonts w:eastAsia="Times New Roman"/>
                <w:color w:val="000000"/>
                <w:sz w:val="20"/>
                <w:szCs w:val="20"/>
              </w:rPr>
              <w:t>10,108 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26C6E9" w14:textId="77777777" w:rsidR="00000000" w:rsidRDefault="0068293C">
            <w:pPr>
              <w:spacing w:after="100"/>
              <w:jc w:val="right"/>
              <w:rPr>
                <w:rFonts w:eastAsia="Times New Roman"/>
              </w:rPr>
            </w:pPr>
          </w:p>
        </w:tc>
      </w:tr>
      <w:tr w:rsidR="00000000" w14:paraId="0C335BE8" w14:textId="77777777">
        <w:trPr>
          <w:divId w:val="1320842279"/>
        </w:trPr>
        <w:tc>
          <w:tcPr>
            <w:tcW w:w="0" w:type="auto"/>
            <w:gridSpan w:val="3"/>
            <w:shd w:val="clear" w:color="auto" w:fill="CCEEFF"/>
            <w:tcMar>
              <w:top w:w="30" w:type="dxa"/>
              <w:left w:w="20" w:type="dxa"/>
              <w:bottom w:w="30" w:type="dxa"/>
              <w:right w:w="20" w:type="dxa"/>
            </w:tcMar>
            <w:hideMark/>
          </w:tcPr>
          <w:p w14:paraId="4B8A2CB6" w14:textId="77777777" w:rsidR="00000000" w:rsidRDefault="0068293C">
            <w:pPr>
              <w:spacing w:after="100"/>
              <w:rPr>
                <w:rFonts w:eastAsia="Times New Roman"/>
              </w:rPr>
            </w:pPr>
            <w:r>
              <w:rPr>
                <w:rFonts w:eastAsia="Times New Roman"/>
                <w:b/>
                <w:bCs/>
                <w:color w:val="000000"/>
                <w:sz w:val="20"/>
                <w:szCs w:val="20"/>
              </w:rPr>
              <w:t>Commitments and Contingencies (Note 10)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E20ED9"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04E50"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A8FE5F" w14:textId="77777777" w:rsidR="00000000" w:rsidRDefault="0068293C">
            <w:pPr>
              <w:spacing w:after="100"/>
              <w:rPr>
                <w:rFonts w:eastAsia="Times New Roman"/>
                <w:sz w:val="20"/>
                <w:szCs w:val="20"/>
              </w:rPr>
            </w:pPr>
          </w:p>
        </w:tc>
      </w:tr>
      <w:tr w:rsidR="00000000" w14:paraId="4D80FAF6" w14:textId="77777777">
        <w:trPr>
          <w:divId w:val="1320842279"/>
        </w:trPr>
        <w:tc>
          <w:tcPr>
            <w:tcW w:w="0" w:type="auto"/>
            <w:gridSpan w:val="3"/>
            <w:vAlign w:val="center"/>
            <w:hideMark/>
          </w:tcPr>
          <w:p w14:paraId="29597B25" w14:textId="77777777" w:rsidR="00000000" w:rsidRDefault="0068293C">
            <w:pPr>
              <w:spacing w:after="100"/>
              <w:rPr>
                <w:rFonts w:eastAsia="Times New Roman"/>
                <w:sz w:val="20"/>
                <w:szCs w:val="20"/>
              </w:rPr>
            </w:pPr>
          </w:p>
        </w:tc>
        <w:tc>
          <w:tcPr>
            <w:tcW w:w="0" w:type="auto"/>
            <w:gridSpan w:val="3"/>
            <w:vAlign w:val="center"/>
            <w:hideMark/>
          </w:tcPr>
          <w:p w14:paraId="68D60631" w14:textId="77777777" w:rsidR="00000000" w:rsidRDefault="0068293C">
            <w:pPr>
              <w:spacing w:after="100"/>
              <w:rPr>
                <w:rFonts w:eastAsia="Times New Roman"/>
                <w:sz w:val="20"/>
                <w:szCs w:val="20"/>
              </w:rPr>
            </w:pPr>
          </w:p>
        </w:tc>
        <w:tc>
          <w:tcPr>
            <w:tcW w:w="0" w:type="auto"/>
            <w:gridSpan w:val="3"/>
            <w:vAlign w:val="center"/>
            <w:hideMark/>
          </w:tcPr>
          <w:p w14:paraId="75B87823" w14:textId="77777777" w:rsidR="00000000" w:rsidRDefault="0068293C">
            <w:pPr>
              <w:spacing w:after="100"/>
              <w:rPr>
                <w:rFonts w:eastAsia="Times New Roman"/>
                <w:sz w:val="20"/>
                <w:szCs w:val="20"/>
              </w:rPr>
            </w:pPr>
          </w:p>
        </w:tc>
        <w:tc>
          <w:tcPr>
            <w:tcW w:w="0" w:type="auto"/>
            <w:gridSpan w:val="3"/>
            <w:vAlign w:val="center"/>
            <w:hideMark/>
          </w:tcPr>
          <w:p w14:paraId="40E5DDF6" w14:textId="77777777" w:rsidR="00000000" w:rsidRDefault="0068293C">
            <w:pPr>
              <w:spacing w:after="100"/>
              <w:rPr>
                <w:rFonts w:eastAsia="Times New Roman"/>
                <w:sz w:val="20"/>
                <w:szCs w:val="20"/>
              </w:rPr>
            </w:pPr>
          </w:p>
        </w:tc>
      </w:tr>
      <w:tr w:rsidR="00000000" w14:paraId="1C64E48B" w14:textId="77777777">
        <w:trPr>
          <w:divId w:val="1320842279"/>
        </w:trPr>
        <w:tc>
          <w:tcPr>
            <w:tcW w:w="0" w:type="auto"/>
            <w:gridSpan w:val="3"/>
            <w:shd w:val="clear" w:color="auto" w:fill="FFFFFF"/>
            <w:tcMar>
              <w:top w:w="30" w:type="dxa"/>
              <w:left w:w="20" w:type="dxa"/>
              <w:bottom w:w="30" w:type="dxa"/>
              <w:right w:w="20" w:type="dxa"/>
            </w:tcMar>
            <w:hideMark/>
          </w:tcPr>
          <w:p w14:paraId="68288BFA" w14:textId="77777777" w:rsidR="00000000" w:rsidRDefault="0068293C">
            <w:pPr>
              <w:spacing w:after="100"/>
              <w:divId w:val="2081177070"/>
              <w:rPr>
                <w:rFonts w:eastAsia="Times New Roman"/>
              </w:rPr>
            </w:pPr>
            <w:r>
              <w:rPr>
                <w:rFonts w:eastAsia="Times New Roman"/>
                <w:color w:val="000000"/>
                <w:sz w:val="20"/>
                <w:szCs w:val="20"/>
              </w:rPr>
              <w:t xml:space="preserve">Series A convertible preferred stock: par value $0.01 per share, 3.0 shares authorized, 0.3 </w:t>
            </w:r>
            <w:r>
              <w:rPr>
                <w:rFonts w:eastAsia="Times New Roman"/>
                <w:color w:val="000000"/>
                <w:sz w:val="20"/>
                <w:szCs w:val="20"/>
              </w:rPr>
              <w:t>shares issued and outstanding as of March 31, 2022 and December 31, 2021, respectively; redemption amount and liquidation preference of $276 as of March 31, 2022 and December 31, 2021, respectively</w:t>
            </w:r>
          </w:p>
        </w:tc>
        <w:tc>
          <w:tcPr>
            <w:tcW w:w="0" w:type="auto"/>
            <w:gridSpan w:val="2"/>
            <w:shd w:val="clear" w:color="auto" w:fill="FFFFFF"/>
            <w:tcMar>
              <w:top w:w="30" w:type="dxa"/>
              <w:left w:w="20" w:type="dxa"/>
              <w:bottom w:w="30" w:type="dxa"/>
              <w:right w:w="0" w:type="dxa"/>
            </w:tcMar>
            <w:vAlign w:val="bottom"/>
            <w:hideMark/>
          </w:tcPr>
          <w:p w14:paraId="768EE323" w14:textId="77777777" w:rsidR="00000000" w:rsidRDefault="0068293C">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ACB67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FE94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05865D" w14:textId="77777777" w:rsidR="00000000" w:rsidRDefault="0068293C">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14:paraId="1A006665" w14:textId="77777777" w:rsidR="00000000" w:rsidRDefault="0068293C">
            <w:pPr>
              <w:spacing w:after="100"/>
              <w:jc w:val="right"/>
              <w:rPr>
                <w:rFonts w:eastAsia="Times New Roman"/>
              </w:rPr>
            </w:pPr>
          </w:p>
        </w:tc>
      </w:tr>
      <w:tr w:rsidR="00000000" w14:paraId="288C1359" w14:textId="77777777">
        <w:trPr>
          <w:divId w:val="1320842279"/>
        </w:trPr>
        <w:tc>
          <w:tcPr>
            <w:tcW w:w="0" w:type="auto"/>
            <w:gridSpan w:val="3"/>
            <w:shd w:val="clear" w:color="auto" w:fill="CCEEFF"/>
            <w:tcMar>
              <w:top w:w="30" w:type="dxa"/>
              <w:left w:w="20" w:type="dxa"/>
              <w:bottom w:w="30" w:type="dxa"/>
              <w:right w:w="20" w:type="dxa"/>
            </w:tcMar>
            <w:hideMark/>
          </w:tcPr>
          <w:p w14:paraId="65A076A5" w14:textId="77777777" w:rsidR="00000000" w:rsidRDefault="0068293C">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57F48316"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5D97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8417A6" w14:textId="77777777" w:rsidR="00000000" w:rsidRDefault="0068293C">
            <w:pPr>
              <w:spacing w:after="100"/>
              <w:rPr>
                <w:rFonts w:eastAsia="Times New Roman"/>
                <w:sz w:val="20"/>
                <w:szCs w:val="20"/>
              </w:rPr>
            </w:pPr>
          </w:p>
        </w:tc>
      </w:tr>
      <w:tr w:rsidR="00000000" w14:paraId="41226E94" w14:textId="77777777">
        <w:trPr>
          <w:divId w:val="1320842279"/>
        </w:trPr>
        <w:tc>
          <w:tcPr>
            <w:tcW w:w="0" w:type="auto"/>
            <w:gridSpan w:val="3"/>
            <w:shd w:val="clear" w:color="auto" w:fill="FFFFFF"/>
            <w:tcMar>
              <w:top w:w="30" w:type="dxa"/>
              <w:left w:w="20" w:type="dxa"/>
              <w:bottom w:w="30" w:type="dxa"/>
              <w:right w:w="20" w:type="dxa"/>
            </w:tcMar>
            <w:hideMark/>
          </w:tcPr>
          <w:p w14:paraId="20CF0138" w14:textId="77777777" w:rsidR="00000000" w:rsidRDefault="0068293C">
            <w:pPr>
              <w:spacing w:after="100"/>
              <w:rPr>
                <w:rFonts w:eastAsia="Times New Roman"/>
              </w:rPr>
            </w:pPr>
            <w:r>
              <w:rPr>
                <w:rFonts w:eastAsia="Times New Roman"/>
                <w:color w:val="000000"/>
                <w:sz w:val="20"/>
                <w:szCs w:val="20"/>
              </w:rPr>
              <w:t>NCR stockholders’ equity</w:t>
            </w:r>
          </w:p>
        </w:tc>
        <w:tc>
          <w:tcPr>
            <w:tcW w:w="0" w:type="auto"/>
            <w:gridSpan w:val="3"/>
            <w:shd w:val="clear" w:color="auto" w:fill="FFFFFF"/>
            <w:tcMar>
              <w:top w:w="0" w:type="dxa"/>
              <w:left w:w="20" w:type="dxa"/>
              <w:bottom w:w="0" w:type="dxa"/>
              <w:right w:w="20" w:type="dxa"/>
            </w:tcMar>
            <w:vAlign w:val="center"/>
            <w:hideMark/>
          </w:tcPr>
          <w:p w14:paraId="406E8A8D"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60874"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3F440D" w14:textId="77777777" w:rsidR="00000000" w:rsidRDefault="0068293C">
            <w:pPr>
              <w:spacing w:after="100"/>
              <w:rPr>
                <w:rFonts w:eastAsia="Times New Roman"/>
                <w:sz w:val="20"/>
                <w:szCs w:val="20"/>
              </w:rPr>
            </w:pPr>
          </w:p>
        </w:tc>
      </w:tr>
      <w:tr w:rsidR="00000000" w14:paraId="50BF0BAC" w14:textId="77777777">
        <w:trPr>
          <w:divId w:val="1320842279"/>
        </w:trPr>
        <w:tc>
          <w:tcPr>
            <w:tcW w:w="0" w:type="auto"/>
            <w:gridSpan w:val="3"/>
            <w:shd w:val="clear" w:color="auto" w:fill="CCEEFF"/>
            <w:tcMar>
              <w:top w:w="30" w:type="dxa"/>
              <w:left w:w="20" w:type="dxa"/>
              <w:bottom w:w="30" w:type="dxa"/>
              <w:right w:w="20" w:type="dxa"/>
            </w:tcMar>
            <w:hideMark/>
          </w:tcPr>
          <w:p w14:paraId="60F90505" w14:textId="77777777" w:rsidR="00000000" w:rsidRDefault="0068293C">
            <w:pPr>
              <w:spacing w:after="100"/>
              <w:jc w:val="both"/>
              <w:rPr>
                <w:rFonts w:eastAsia="Times New Roman"/>
              </w:rPr>
            </w:pPr>
            <w:r>
              <w:rPr>
                <w:rFonts w:eastAsia="Times New Roman"/>
                <w:color w:val="000000"/>
                <w:sz w:val="20"/>
                <w:szCs w:val="20"/>
              </w:rPr>
              <w:t xml:space="preserve">Preferred stock: par value $0.01 per share, 100.0 shares authorized, no </w:t>
            </w:r>
            <w:r>
              <w:rPr>
                <w:rFonts w:eastAsia="Times New Roman"/>
                <w:color w:val="000000"/>
                <w:sz w:val="20"/>
                <w:szCs w:val="20"/>
              </w:rPr>
              <w:t>shares issued and outstanding as of March 31, 2022 and December 31, 2021, respectively</w:t>
            </w:r>
          </w:p>
        </w:tc>
        <w:tc>
          <w:tcPr>
            <w:tcW w:w="0" w:type="auto"/>
            <w:gridSpan w:val="2"/>
            <w:shd w:val="clear" w:color="auto" w:fill="CCEEFF"/>
            <w:tcMar>
              <w:top w:w="30" w:type="dxa"/>
              <w:left w:w="20" w:type="dxa"/>
              <w:bottom w:w="30" w:type="dxa"/>
              <w:right w:w="0" w:type="dxa"/>
            </w:tcMar>
            <w:vAlign w:val="bottom"/>
            <w:hideMark/>
          </w:tcPr>
          <w:p w14:paraId="4C42882D"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6F0DC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F4BB3"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800C6"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02713D" w14:textId="77777777" w:rsidR="00000000" w:rsidRDefault="0068293C">
            <w:pPr>
              <w:spacing w:after="100"/>
              <w:jc w:val="right"/>
              <w:rPr>
                <w:rFonts w:eastAsia="Times New Roman"/>
              </w:rPr>
            </w:pPr>
          </w:p>
        </w:tc>
      </w:tr>
      <w:tr w:rsidR="00000000" w14:paraId="118E28DE" w14:textId="77777777">
        <w:trPr>
          <w:divId w:val="1320842279"/>
        </w:trPr>
        <w:tc>
          <w:tcPr>
            <w:tcW w:w="0" w:type="auto"/>
            <w:gridSpan w:val="3"/>
            <w:shd w:val="clear" w:color="auto" w:fill="FFFFFF"/>
            <w:tcMar>
              <w:top w:w="30" w:type="dxa"/>
              <w:left w:w="20" w:type="dxa"/>
              <w:bottom w:w="30" w:type="dxa"/>
              <w:right w:w="20" w:type="dxa"/>
            </w:tcMar>
            <w:hideMark/>
          </w:tcPr>
          <w:p w14:paraId="4C2FAF82" w14:textId="77777777" w:rsidR="00000000" w:rsidRDefault="0068293C">
            <w:pPr>
              <w:spacing w:after="100"/>
              <w:jc w:val="both"/>
              <w:rPr>
                <w:rFonts w:eastAsia="Times New Roman"/>
              </w:rPr>
            </w:pPr>
            <w:r>
              <w:rPr>
                <w:rFonts w:eastAsia="Times New Roman"/>
                <w:color w:val="000000"/>
                <w:sz w:val="20"/>
                <w:szCs w:val="20"/>
              </w:rPr>
              <w:t>Common stock: par value $0.01 per share, 500.0 shares authorized, 136.3 and 132.2 shares issued and outstanding as of March 31, 2022 and December 31, 202</w:t>
            </w:r>
            <w:r>
              <w:rPr>
                <w:rFonts w:eastAsia="Times New Roman"/>
                <w:color w:val="000000"/>
                <w:sz w:val="20"/>
                <w:szCs w:val="20"/>
              </w:rPr>
              <w:t>1, respectively</w:t>
            </w:r>
          </w:p>
        </w:tc>
        <w:tc>
          <w:tcPr>
            <w:tcW w:w="0" w:type="auto"/>
            <w:gridSpan w:val="2"/>
            <w:shd w:val="clear" w:color="auto" w:fill="FFFFFF"/>
            <w:tcMar>
              <w:top w:w="30" w:type="dxa"/>
              <w:left w:w="20" w:type="dxa"/>
              <w:bottom w:w="30" w:type="dxa"/>
              <w:right w:w="0" w:type="dxa"/>
            </w:tcMar>
            <w:vAlign w:val="bottom"/>
            <w:hideMark/>
          </w:tcPr>
          <w:p w14:paraId="5C6CE8E3"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2F446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0DC0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57E29"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225DCA3" w14:textId="77777777" w:rsidR="00000000" w:rsidRDefault="0068293C">
            <w:pPr>
              <w:spacing w:after="100"/>
              <w:jc w:val="right"/>
              <w:rPr>
                <w:rFonts w:eastAsia="Times New Roman"/>
              </w:rPr>
            </w:pPr>
          </w:p>
        </w:tc>
      </w:tr>
      <w:tr w:rsidR="00000000" w14:paraId="1107D204" w14:textId="77777777">
        <w:trPr>
          <w:divId w:val="1320842279"/>
        </w:trPr>
        <w:tc>
          <w:tcPr>
            <w:tcW w:w="0" w:type="auto"/>
            <w:gridSpan w:val="3"/>
            <w:shd w:val="clear" w:color="auto" w:fill="CCEEFF"/>
            <w:tcMar>
              <w:top w:w="30" w:type="dxa"/>
              <w:left w:w="380" w:type="dxa"/>
              <w:bottom w:w="30" w:type="dxa"/>
              <w:right w:w="20" w:type="dxa"/>
            </w:tcMar>
            <w:hideMark/>
          </w:tcPr>
          <w:p w14:paraId="15C28359" w14:textId="77777777" w:rsidR="00000000" w:rsidRDefault="0068293C">
            <w:pPr>
              <w:spacing w:after="100"/>
              <w:rPr>
                <w:rFonts w:eastAsia="Times New Roman"/>
              </w:rPr>
            </w:pPr>
            <w:r>
              <w:rPr>
                <w:rFonts w:eastAsia="Times New Roman"/>
                <w:color w:val="000000"/>
                <w:sz w:val="20"/>
                <w:szCs w:val="20"/>
              </w:rPr>
              <w:t>Paid-in capital</w:t>
            </w:r>
          </w:p>
        </w:tc>
        <w:tc>
          <w:tcPr>
            <w:tcW w:w="0" w:type="auto"/>
            <w:gridSpan w:val="2"/>
            <w:shd w:val="clear" w:color="auto" w:fill="CCEEFF"/>
            <w:tcMar>
              <w:top w:w="30" w:type="dxa"/>
              <w:left w:w="20" w:type="dxa"/>
              <w:bottom w:w="30" w:type="dxa"/>
              <w:right w:w="0" w:type="dxa"/>
            </w:tcMar>
            <w:vAlign w:val="bottom"/>
            <w:hideMark/>
          </w:tcPr>
          <w:p w14:paraId="6235B7BC" w14:textId="77777777" w:rsidR="00000000" w:rsidRDefault="0068293C">
            <w:pPr>
              <w:spacing w:after="100"/>
              <w:jc w:val="right"/>
              <w:rPr>
                <w:rFonts w:eastAsia="Times New Roman"/>
              </w:rPr>
            </w:pPr>
            <w:r>
              <w:rPr>
                <w:rFonts w:eastAsia="Times New Roman"/>
                <w:b/>
                <w:bCs/>
                <w:color w:val="000000"/>
                <w:sz w:val="20"/>
                <w:szCs w:val="20"/>
              </w:rPr>
              <w:t>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D68F4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434F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FF5B0" w14:textId="77777777" w:rsidR="00000000" w:rsidRDefault="0068293C">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14:paraId="37714F9C" w14:textId="77777777" w:rsidR="00000000" w:rsidRDefault="0068293C">
            <w:pPr>
              <w:spacing w:after="100"/>
              <w:jc w:val="right"/>
              <w:rPr>
                <w:rFonts w:eastAsia="Times New Roman"/>
              </w:rPr>
            </w:pPr>
          </w:p>
        </w:tc>
      </w:tr>
      <w:tr w:rsidR="00000000" w14:paraId="602DBDFB" w14:textId="77777777">
        <w:trPr>
          <w:divId w:val="1320842279"/>
        </w:trPr>
        <w:tc>
          <w:tcPr>
            <w:tcW w:w="0" w:type="auto"/>
            <w:gridSpan w:val="3"/>
            <w:shd w:val="clear" w:color="auto" w:fill="FFFFFF"/>
            <w:tcMar>
              <w:top w:w="30" w:type="dxa"/>
              <w:left w:w="380" w:type="dxa"/>
              <w:bottom w:w="30" w:type="dxa"/>
              <w:right w:w="20" w:type="dxa"/>
            </w:tcMar>
            <w:hideMark/>
          </w:tcPr>
          <w:p w14:paraId="74109BB9" w14:textId="77777777" w:rsidR="00000000" w:rsidRDefault="0068293C">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3C32F1DB" w14:textId="77777777" w:rsidR="00000000" w:rsidRDefault="0068293C">
            <w:pPr>
              <w:spacing w:after="100"/>
              <w:jc w:val="right"/>
              <w:rPr>
                <w:rFonts w:eastAsia="Times New Roman"/>
              </w:rPr>
            </w:pPr>
            <w:r>
              <w:rPr>
                <w:rFonts w:eastAsia="Times New Roman"/>
                <w:b/>
                <w:bCs/>
                <w:color w:val="000000"/>
                <w:sz w:val="20"/>
                <w:szCs w:val="20"/>
              </w:rPr>
              <w:t>993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753CE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DEAF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BF466" w14:textId="77777777" w:rsidR="00000000" w:rsidRDefault="0068293C">
            <w:pPr>
              <w:spacing w:after="100"/>
              <w:jc w:val="right"/>
              <w:rPr>
                <w:rFonts w:eastAsia="Times New Roman"/>
              </w:rPr>
            </w:pPr>
            <w:r>
              <w:rPr>
                <w:rFonts w:eastAsia="Times New Roman"/>
                <w:color w:val="000000"/>
                <w:sz w:val="20"/>
                <w:szCs w:val="20"/>
              </w:rPr>
              <w:t>1,031 </w:t>
            </w:r>
          </w:p>
        </w:tc>
        <w:tc>
          <w:tcPr>
            <w:tcW w:w="0" w:type="auto"/>
            <w:shd w:val="clear" w:color="auto" w:fill="FFFFFF"/>
            <w:tcMar>
              <w:top w:w="30" w:type="dxa"/>
              <w:left w:w="0" w:type="dxa"/>
              <w:bottom w:w="30" w:type="dxa"/>
              <w:right w:w="20" w:type="dxa"/>
            </w:tcMar>
            <w:vAlign w:val="bottom"/>
            <w:hideMark/>
          </w:tcPr>
          <w:p w14:paraId="237BD1D6" w14:textId="77777777" w:rsidR="00000000" w:rsidRDefault="0068293C">
            <w:pPr>
              <w:spacing w:after="100"/>
              <w:jc w:val="right"/>
              <w:rPr>
                <w:rFonts w:eastAsia="Times New Roman"/>
              </w:rPr>
            </w:pPr>
          </w:p>
        </w:tc>
      </w:tr>
      <w:tr w:rsidR="00000000" w14:paraId="744C20ED" w14:textId="77777777">
        <w:trPr>
          <w:divId w:val="1320842279"/>
        </w:trPr>
        <w:tc>
          <w:tcPr>
            <w:tcW w:w="0" w:type="auto"/>
            <w:gridSpan w:val="3"/>
            <w:shd w:val="clear" w:color="auto" w:fill="CCEEFF"/>
            <w:tcMar>
              <w:top w:w="30" w:type="dxa"/>
              <w:left w:w="380" w:type="dxa"/>
              <w:bottom w:w="30" w:type="dxa"/>
              <w:right w:w="20" w:type="dxa"/>
            </w:tcMar>
            <w:hideMark/>
          </w:tcPr>
          <w:p w14:paraId="55DE2BB6" w14:textId="77777777" w:rsidR="00000000" w:rsidRDefault="0068293C">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473FC3AD" w14:textId="77777777" w:rsidR="00000000" w:rsidRDefault="0068293C">
            <w:pPr>
              <w:spacing w:after="100"/>
              <w:jc w:val="right"/>
              <w:rPr>
                <w:rFonts w:eastAsia="Times New Roman"/>
              </w:rPr>
            </w:pPr>
            <w:r>
              <w:rPr>
                <w:rFonts w:eastAsia="Times New Roman"/>
                <w:b/>
                <w:bCs/>
                <w:color w:val="000000"/>
                <w:sz w:val="20"/>
                <w:szCs w:val="20"/>
              </w:rPr>
              <w:t>(273)</w:t>
            </w:r>
          </w:p>
        </w:tc>
        <w:tc>
          <w:tcPr>
            <w:tcW w:w="0" w:type="auto"/>
            <w:shd w:val="clear" w:color="auto" w:fill="CCEEFF"/>
            <w:tcMar>
              <w:top w:w="30" w:type="dxa"/>
              <w:left w:w="0" w:type="dxa"/>
              <w:bottom w:w="30" w:type="dxa"/>
              <w:right w:w="20" w:type="dxa"/>
            </w:tcMar>
            <w:vAlign w:val="bottom"/>
            <w:hideMark/>
          </w:tcPr>
          <w:p w14:paraId="7442A68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B6B5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521B29" w14:textId="77777777" w:rsidR="00000000" w:rsidRDefault="0068293C">
            <w:pPr>
              <w:spacing w:after="100"/>
              <w:jc w:val="right"/>
              <w:rPr>
                <w:rFonts w:eastAsia="Times New Roman"/>
              </w:rPr>
            </w:pPr>
            <w:r>
              <w:rPr>
                <w:rFonts w:eastAsia="Times New Roman"/>
                <w:color w:val="000000"/>
                <w:sz w:val="20"/>
                <w:szCs w:val="20"/>
              </w:rPr>
              <w:t>(291)</w:t>
            </w:r>
          </w:p>
        </w:tc>
        <w:tc>
          <w:tcPr>
            <w:tcW w:w="0" w:type="auto"/>
            <w:shd w:val="clear" w:color="auto" w:fill="CCEEFF"/>
            <w:tcMar>
              <w:top w:w="30" w:type="dxa"/>
              <w:left w:w="0" w:type="dxa"/>
              <w:bottom w:w="30" w:type="dxa"/>
              <w:right w:w="20" w:type="dxa"/>
            </w:tcMar>
            <w:vAlign w:val="bottom"/>
            <w:hideMark/>
          </w:tcPr>
          <w:p w14:paraId="63E8C7F6" w14:textId="77777777" w:rsidR="00000000" w:rsidRDefault="0068293C">
            <w:pPr>
              <w:spacing w:after="100"/>
              <w:jc w:val="right"/>
              <w:rPr>
                <w:rFonts w:eastAsia="Times New Roman"/>
              </w:rPr>
            </w:pPr>
          </w:p>
        </w:tc>
      </w:tr>
      <w:tr w:rsidR="00000000" w14:paraId="2775A93A" w14:textId="77777777">
        <w:trPr>
          <w:divId w:val="1320842279"/>
        </w:trPr>
        <w:tc>
          <w:tcPr>
            <w:tcW w:w="0" w:type="auto"/>
            <w:gridSpan w:val="3"/>
            <w:shd w:val="clear" w:color="auto" w:fill="FFFFFF"/>
            <w:tcMar>
              <w:top w:w="30" w:type="dxa"/>
              <w:left w:w="20" w:type="dxa"/>
              <w:bottom w:w="30" w:type="dxa"/>
              <w:right w:w="20" w:type="dxa"/>
            </w:tcMar>
            <w:hideMark/>
          </w:tcPr>
          <w:p w14:paraId="279807E7" w14:textId="77777777" w:rsidR="00000000" w:rsidRDefault="0068293C">
            <w:pPr>
              <w:spacing w:after="100"/>
              <w:rPr>
                <w:rFonts w:eastAsia="Times New Roman"/>
              </w:rPr>
            </w:pPr>
            <w:r>
              <w:rPr>
                <w:rFonts w:eastAsia="Times New Roman"/>
                <w:b/>
                <w:bCs/>
                <w:color w:val="000000"/>
                <w:sz w:val="20"/>
                <w:szCs w:val="20"/>
              </w:rPr>
              <w:t>Total NCR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7400AA" w14:textId="77777777" w:rsidR="00000000" w:rsidRDefault="0068293C">
            <w:pPr>
              <w:spacing w:after="100"/>
              <w:jc w:val="right"/>
              <w:rPr>
                <w:rFonts w:eastAsia="Times New Roman"/>
              </w:rPr>
            </w:pPr>
            <w:r>
              <w:rPr>
                <w:rFonts w:eastAsia="Times New Roman"/>
                <w:b/>
                <w:bCs/>
                <w:color w:val="000000"/>
                <w:sz w:val="20"/>
                <w:szCs w:val="20"/>
              </w:rPr>
              <w:t>1,323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4A21C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E5C42"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2613B6" w14:textId="77777777" w:rsidR="00000000" w:rsidRDefault="0068293C">
            <w:pPr>
              <w:spacing w:after="100"/>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CF0EC0" w14:textId="77777777" w:rsidR="00000000" w:rsidRDefault="0068293C">
            <w:pPr>
              <w:spacing w:after="100"/>
              <w:jc w:val="right"/>
              <w:rPr>
                <w:rFonts w:eastAsia="Times New Roman"/>
              </w:rPr>
            </w:pPr>
          </w:p>
        </w:tc>
      </w:tr>
      <w:tr w:rsidR="00000000" w14:paraId="0307377C" w14:textId="77777777">
        <w:trPr>
          <w:divId w:val="1320842279"/>
        </w:trPr>
        <w:tc>
          <w:tcPr>
            <w:tcW w:w="0" w:type="auto"/>
            <w:gridSpan w:val="3"/>
            <w:shd w:val="clear" w:color="auto" w:fill="CCEEFF"/>
            <w:tcMar>
              <w:top w:w="30" w:type="dxa"/>
              <w:left w:w="20" w:type="dxa"/>
              <w:bottom w:w="30" w:type="dxa"/>
              <w:right w:w="20" w:type="dxa"/>
            </w:tcMar>
            <w:hideMark/>
          </w:tcPr>
          <w:p w14:paraId="67E9E8DD" w14:textId="77777777" w:rsidR="00000000" w:rsidRDefault="0068293C">
            <w:pPr>
              <w:spacing w:after="100"/>
              <w:rPr>
                <w:rFonts w:eastAsia="Times New Roman"/>
              </w:rPr>
            </w:pPr>
            <w:r>
              <w:rPr>
                <w:rFonts w:eastAsia="Times New Roman"/>
                <w:color w:val="000000"/>
                <w:sz w:val="20"/>
                <w:szCs w:val="20"/>
              </w:rPr>
              <w:t>Noncontrolling interests in subsidiaries</w:t>
            </w:r>
          </w:p>
        </w:tc>
        <w:tc>
          <w:tcPr>
            <w:tcW w:w="0" w:type="auto"/>
            <w:gridSpan w:val="2"/>
            <w:shd w:val="clear" w:color="auto" w:fill="CCEEFF"/>
            <w:tcMar>
              <w:top w:w="30" w:type="dxa"/>
              <w:left w:w="20" w:type="dxa"/>
              <w:bottom w:w="30" w:type="dxa"/>
              <w:right w:w="0" w:type="dxa"/>
            </w:tcMar>
            <w:vAlign w:val="bottom"/>
            <w:hideMark/>
          </w:tcPr>
          <w:p w14:paraId="13975B7A" w14:textId="77777777" w:rsidR="00000000" w:rsidRDefault="0068293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9D0E1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2801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68D63B" w14:textId="77777777" w:rsidR="00000000" w:rsidRDefault="0068293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0EF9A83" w14:textId="77777777" w:rsidR="00000000" w:rsidRDefault="0068293C">
            <w:pPr>
              <w:spacing w:after="100"/>
              <w:jc w:val="right"/>
              <w:rPr>
                <w:rFonts w:eastAsia="Times New Roman"/>
              </w:rPr>
            </w:pPr>
          </w:p>
        </w:tc>
      </w:tr>
      <w:tr w:rsidR="00000000" w14:paraId="16FA0457" w14:textId="77777777">
        <w:trPr>
          <w:divId w:val="1320842279"/>
        </w:trPr>
        <w:tc>
          <w:tcPr>
            <w:tcW w:w="0" w:type="auto"/>
            <w:gridSpan w:val="3"/>
            <w:shd w:val="clear" w:color="auto" w:fill="FFFFFF"/>
            <w:tcMar>
              <w:top w:w="30" w:type="dxa"/>
              <w:left w:w="20" w:type="dxa"/>
              <w:bottom w:w="30" w:type="dxa"/>
              <w:right w:w="20" w:type="dxa"/>
            </w:tcMar>
            <w:hideMark/>
          </w:tcPr>
          <w:p w14:paraId="46E843C0" w14:textId="77777777" w:rsidR="00000000" w:rsidRDefault="0068293C">
            <w:pPr>
              <w:spacing w:after="100"/>
              <w:rPr>
                <w:rFonts w:eastAsia="Times New Roman"/>
              </w:rPr>
            </w:pPr>
            <w:r>
              <w:rPr>
                <w:rFonts w:eastAsia="Times New Roman"/>
                <w:b/>
                <w:bCs/>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7BE876" w14:textId="77777777" w:rsidR="00000000" w:rsidRDefault="0068293C">
            <w:pPr>
              <w:spacing w:after="100"/>
              <w:jc w:val="right"/>
              <w:rPr>
                <w:rFonts w:eastAsia="Times New Roman"/>
              </w:rPr>
            </w:pPr>
            <w:r>
              <w:rPr>
                <w:rFonts w:eastAsia="Times New Roman"/>
                <w:b/>
                <w:bCs/>
                <w:color w:val="000000"/>
                <w:sz w:val="20"/>
                <w:szCs w:val="20"/>
              </w:rPr>
              <w:t>1,325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91E1F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5A3AE"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B52ED8" w14:textId="77777777" w:rsidR="00000000" w:rsidRDefault="0068293C">
            <w:pPr>
              <w:spacing w:after="100"/>
              <w:jc w:val="right"/>
              <w:rPr>
                <w:rFonts w:eastAsia="Times New Roman"/>
              </w:rPr>
            </w:pPr>
            <w:r>
              <w:rPr>
                <w:rFonts w:eastAsia="Times New Roman"/>
                <w:color w:val="000000"/>
                <w:sz w:val="20"/>
                <w:szCs w:val="20"/>
              </w:rPr>
              <w:t>1,259 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D2C5C6" w14:textId="77777777" w:rsidR="00000000" w:rsidRDefault="0068293C">
            <w:pPr>
              <w:spacing w:after="100"/>
              <w:jc w:val="right"/>
              <w:rPr>
                <w:rFonts w:eastAsia="Times New Roman"/>
              </w:rPr>
            </w:pPr>
          </w:p>
        </w:tc>
      </w:tr>
      <w:tr w:rsidR="00000000" w14:paraId="112B61B9" w14:textId="77777777">
        <w:trPr>
          <w:divId w:val="1320842279"/>
        </w:trPr>
        <w:tc>
          <w:tcPr>
            <w:tcW w:w="0" w:type="auto"/>
            <w:gridSpan w:val="3"/>
            <w:shd w:val="clear" w:color="auto" w:fill="CCEEFF"/>
            <w:tcMar>
              <w:top w:w="30" w:type="dxa"/>
              <w:left w:w="20" w:type="dxa"/>
              <w:bottom w:w="30" w:type="dxa"/>
              <w:right w:w="20" w:type="dxa"/>
            </w:tcMar>
            <w:hideMark/>
          </w:tcPr>
          <w:p w14:paraId="10854C0F" w14:textId="77777777" w:rsidR="00000000" w:rsidRDefault="0068293C">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C395BE"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548000" w14:textId="77777777" w:rsidR="00000000" w:rsidRDefault="0068293C">
            <w:pPr>
              <w:spacing w:after="100"/>
              <w:jc w:val="right"/>
              <w:rPr>
                <w:rFonts w:eastAsia="Times New Roman"/>
              </w:rPr>
            </w:pPr>
            <w:r>
              <w:rPr>
                <w:rFonts w:eastAsia="Times New Roman"/>
                <w:b/>
                <w:bCs/>
                <w:color w:val="000000"/>
                <w:sz w:val="20"/>
                <w:szCs w:val="20"/>
              </w:rPr>
              <w:t>11,715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BF620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FB0AF"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C9E7C3"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CD1AE6" w14:textId="77777777" w:rsidR="00000000" w:rsidRDefault="0068293C">
            <w:pPr>
              <w:spacing w:after="100"/>
              <w:jc w:val="right"/>
              <w:rPr>
                <w:rFonts w:eastAsia="Times New Roman"/>
              </w:rPr>
            </w:pPr>
            <w:r>
              <w:rPr>
                <w:rFonts w:eastAsia="Times New Roman"/>
                <w:color w:val="000000"/>
                <w:sz w:val="20"/>
                <w:szCs w:val="20"/>
              </w:rPr>
              <w:t>11,641 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8DDB85" w14:textId="77777777" w:rsidR="00000000" w:rsidRDefault="0068293C">
            <w:pPr>
              <w:spacing w:after="100"/>
              <w:jc w:val="right"/>
              <w:rPr>
                <w:rFonts w:eastAsia="Times New Roman"/>
              </w:rPr>
            </w:pPr>
          </w:p>
        </w:tc>
      </w:tr>
    </w:tbl>
    <w:p w14:paraId="4850B8F8" w14:textId="77777777" w:rsidR="00000000" w:rsidRDefault="0068293C">
      <w:pPr>
        <w:jc w:val="center"/>
        <w:divId w:val="387580033"/>
        <w:rPr>
          <w:rFonts w:eastAsia="Times New Roman"/>
        </w:rPr>
      </w:pPr>
      <w:r>
        <w:rPr>
          <w:rFonts w:eastAsia="Times New Roman"/>
          <w:color w:val="000000"/>
          <w:sz w:val="20"/>
          <w:szCs w:val="20"/>
        </w:rPr>
        <w:t>See Notes to Condensed Consolidated Financial Statements.</w:t>
      </w:r>
    </w:p>
    <w:p w14:paraId="5BD4D5DD" w14:textId="77777777" w:rsidR="00000000" w:rsidRDefault="0068293C">
      <w:pPr>
        <w:jc w:val="center"/>
        <w:divId w:val="1461415410"/>
        <w:rPr>
          <w:rFonts w:eastAsia="Times New Roman"/>
        </w:rPr>
      </w:pPr>
      <w:r>
        <w:rPr>
          <w:rFonts w:eastAsia="Times New Roman"/>
          <w:color w:val="000000"/>
          <w:sz w:val="20"/>
          <w:szCs w:val="20"/>
        </w:rPr>
        <w:t>5</w:t>
      </w:r>
    </w:p>
    <w:p w14:paraId="0F1D5BFA" w14:textId="77777777" w:rsidR="00000000" w:rsidRDefault="0068293C">
      <w:pPr>
        <w:rPr>
          <w:rFonts w:eastAsia="Times New Roman"/>
        </w:rPr>
      </w:pPr>
      <w:r>
        <w:rPr>
          <w:rFonts w:eastAsia="Times New Roman"/>
        </w:rPr>
        <w:pict w14:anchorId="31D90F71">
          <v:rect id="_x0000_i1030" style="width:0;height:1.5pt" o:hralign="center" o:hrstd="t" o:hr="t" fillcolor="#a0a0a0" stroked="f"/>
        </w:pict>
      </w:r>
    </w:p>
    <w:p w14:paraId="745E2D61" w14:textId="77777777" w:rsidR="00000000" w:rsidRDefault="0068293C">
      <w:pPr>
        <w:divId w:val="605692694"/>
        <w:rPr>
          <w:rFonts w:eastAsia="Times New Roman"/>
        </w:rPr>
      </w:pPr>
      <w:hyperlink w:anchor="i78484f3d0d8e4e36a7c87ddd6ea9d725_7" w:history="1">
        <w:r>
          <w:rPr>
            <w:rStyle w:val="a3"/>
            <w:rFonts w:eastAsia="Times New Roman"/>
            <w:sz w:val="16"/>
            <w:szCs w:val="16"/>
          </w:rPr>
          <w:t>Table of Contents</w:t>
        </w:r>
      </w:hyperlink>
    </w:p>
    <w:p w14:paraId="5BFFDED8" w14:textId="77777777" w:rsidR="00000000" w:rsidRDefault="0068293C">
      <w:pPr>
        <w:jc w:val="center"/>
        <w:rPr>
          <w:rFonts w:eastAsia="Times New Roman"/>
        </w:rPr>
      </w:pPr>
      <w:r>
        <w:rPr>
          <w:rFonts w:eastAsia="Times New Roman"/>
          <w:b/>
          <w:bCs/>
          <w:color w:val="000000"/>
          <w:sz w:val="18"/>
          <w:szCs w:val="18"/>
        </w:rPr>
        <w:t>NCR Corporation</w:t>
      </w:r>
    </w:p>
    <w:p w14:paraId="0214E102" w14:textId="77777777" w:rsidR="00000000" w:rsidRDefault="0068293C">
      <w:pPr>
        <w:jc w:val="center"/>
        <w:rPr>
          <w:rFonts w:eastAsia="Times New Roman"/>
        </w:rPr>
      </w:pPr>
      <w:r>
        <w:rPr>
          <w:rFonts w:eastAsia="Times New Roman"/>
          <w:b/>
          <w:bCs/>
          <w:color w:val="000000"/>
          <w:sz w:val="18"/>
          <w:szCs w:val="18"/>
        </w:rPr>
        <w:t>Condensed 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648"/>
        <w:gridCol w:w="40"/>
        <w:gridCol w:w="120"/>
        <w:gridCol w:w="1073"/>
        <w:gridCol w:w="36"/>
        <w:gridCol w:w="36"/>
        <w:gridCol w:w="45"/>
        <w:gridCol w:w="36"/>
        <w:gridCol w:w="120"/>
        <w:gridCol w:w="1074"/>
        <w:gridCol w:w="36"/>
      </w:tblGrid>
      <w:tr w:rsidR="00000000" w14:paraId="54BFEAF6" w14:textId="77777777">
        <w:trPr>
          <w:divId w:val="1760639883"/>
        </w:trPr>
        <w:tc>
          <w:tcPr>
            <w:tcW w:w="50" w:type="pct"/>
            <w:vAlign w:val="center"/>
            <w:hideMark/>
          </w:tcPr>
          <w:p w14:paraId="7608C9B6" w14:textId="77777777" w:rsidR="00000000" w:rsidRDefault="0068293C">
            <w:pPr>
              <w:jc w:val="center"/>
              <w:rPr>
                <w:rFonts w:eastAsia="Times New Roman"/>
              </w:rPr>
            </w:pPr>
          </w:p>
        </w:tc>
        <w:tc>
          <w:tcPr>
            <w:tcW w:w="3426" w:type="pct"/>
            <w:vAlign w:val="center"/>
            <w:hideMark/>
          </w:tcPr>
          <w:p w14:paraId="4A2F4FF8" w14:textId="77777777" w:rsidR="00000000" w:rsidRDefault="0068293C">
            <w:pPr>
              <w:spacing w:after="100"/>
              <w:rPr>
                <w:rFonts w:eastAsia="Times New Roman"/>
                <w:sz w:val="20"/>
                <w:szCs w:val="20"/>
              </w:rPr>
            </w:pPr>
          </w:p>
        </w:tc>
        <w:tc>
          <w:tcPr>
            <w:tcW w:w="5" w:type="pct"/>
            <w:vAlign w:val="center"/>
            <w:hideMark/>
          </w:tcPr>
          <w:p w14:paraId="141BA973" w14:textId="77777777" w:rsidR="00000000" w:rsidRDefault="0068293C">
            <w:pPr>
              <w:spacing w:after="100"/>
              <w:rPr>
                <w:rFonts w:eastAsia="Times New Roman"/>
                <w:sz w:val="20"/>
                <w:szCs w:val="20"/>
              </w:rPr>
            </w:pPr>
          </w:p>
        </w:tc>
        <w:tc>
          <w:tcPr>
            <w:tcW w:w="50" w:type="pct"/>
            <w:vAlign w:val="center"/>
            <w:hideMark/>
          </w:tcPr>
          <w:p w14:paraId="044057C7" w14:textId="77777777" w:rsidR="00000000" w:rsidRDefault="0068293C">
            <w:pPr>
              <w:spacing w:after="100"/>
              <w:rPr>
                <w:rFonts w:eastAsia="Times New Roman"/>
                <w:sz w:val="20"/>
                <w:szCs w:val="20"/>
              </w:rPr>
            </w:pPr>
          </w:p>
        </w:tc>
        <w:tc>
          <w:tcPr>
            <w:tcW w:w="672" w:type="pct"/>
            <w:vAlign w:val="center"/>
            <w:hideMark/>
          </w:tcPr>
          <w:p w14:paraId="33742D35" w14:textId="77777777" w:rsidR="00000000" w:rsidRDefault="0068293C">
            <w:pPr>
              <w:spacing w:after="100"/>
              <w:rPr>
                <w:rFonts w:eastAsia="Times New Roman"/>
                <w:sz w:val="20"/>
                <w:szCs w:val="20"/>
              </w:rPr>
            </w:pPr>
          </w:p>
        </w:tc>
        <w:tc>
          <w:tcPr>
            <w:tcW w:w="5" w:type="pct"/>
            <w:vAlign w:val="center"/>
            <w:hideMark/>
          </w:tcPr>
          <w:p w14:paraId="0AF721C6" w14:textId="77777777" w:rsidR="00000000" w:rsidRDefault="0068293C">
            <w:pPr>
              <w:spacing w:after="100"/>
              <w:rPr>
                <w:rFonts w:eastAsia="Times New Roman"/>
                <w:sz w:val="20"/>
                <w:szCs w:val="20"/>
              </w:rPr>
            </w:pPr>
          </w:p>
        </w:tc>
        <w:tc>
          <w:tcPr>
            <w:tcW w:w="5" w:type="pct"/>
            <w:vAlign w:val="center"/>
            <w:hideMark/>
          </w:tcPr>
          <w:p w14:paraId="45D76266" w14:textId="77777777" w:rsidR="00000000" w:rsidRDefault="0068293C">
            <w:pPr>
              <w:spacing w:after="100"/>
              <w:rPr>
                <w:rFonts w:eastAsia="Times New Roman"/>
                <w:sz w:val="20"/>
                <w:szCs w:val="20"/>
              </w:rPr>
            </w:pPr>
          </w:p>
        </w:tc>
        <w:tc>
          <w:tcPr>
            <w:tcW w:w="53" w:type="pct"/>
            <w:vAlign w:val="center"/>
            <w:hideMark/>
          </w:tcPr>
          <w:p w14:paraId="72E6C91B" w14:textId="77777777" w:rsidR="00000000" w:rsidRDefault="0068293C">
            <w:pPr>
              <w:spacing w:after="100"/>
              <w:rPr>
                <w:rFonts w:eastAsia="Times New Roman"/>
                <w:sz w:val="20"/>
                <w:szCs w:val="20"/>
              </w:rPr>
            </w:pPr>
          </w:p>
        </w:tc>
        <w:tc>
          <w:tcPr>
            <w:tcW w:w="5" w:type="pct"/>
            <w:vAlign w:val="center"/>
            <w:hideMark/>
          </w:tcPr>
          <w:p w14:paraId="1ABDF9C9" w14:textId="77777777" w:rsidR="00000000" w:rsidRDefault="0068293C">
            <w:pPr>
              <w:spacing w:after="100"/>
              <w:rPr>
                <w:rFonts w:eastAsia="Times New Roman"/>
                <w:sz w:val="20"/>
                <w:szCs w:val="20"/>
              </w:rPr>
            </w:pPr>
          </w:p>
        </w:tc>
        <w:tc>
          <w:tcPr>
            <w:tcW w:w="50" w:type="pct"/>
            <w:vAlign w:val="center"/>
            <w:hideMark/>
          </w:tcPr>
          <w:p w14:paraId="052459EE" w14:textId="77777777" w:rsidR="00000000" w:rsidRDefault="0068293C">
            <w:pPr>
              <w:spacing w:after="100"/>
              <w:rPr>
                <w:rFonts w:eastAsia="Times New Roman"/>
                <w:sz w:val="20"/>
                <w:szCs w:val="20"/>
              </w:rPr>
            </w:pPr>
          </w:p>
        </w:tc>
        <w:tc>
          <w:tcPr>
            <w:tcW w:w="672" w:type="pct"/>
            <w:vAlign w:val="center"/>
            <w:hideMark/>
          </w:tcPr>
          <w:p w14:paraId="5E9AC4FE" w14:textId="77777777" w:rsidR="00000000" w:rsidRDefault="0068293C">
            <w:pPr>
              <w:spacing w:after="100"/>
              <w:rPr>
                <w:rFonts w:eastAsia="Times New Roman"/>
                <w:sz w:val="20"/>
                <w:szCs w:val="20"/>
              </w:rPr>
            </w:pPr>
          </w:p>
        </w:tc>
        <w:tc>
          <w:tcPr>
            <w:tcW w:w="5" w:type="pct"/>
            <w:vAlign w:val="center"/>
            <w:hideMark/>
          </w:tcPr>
          <w:p w14:paraId="728433B0" w14:textId="77777777" w:rsidR="00000000" w:rsidRDefault="0068293C">
            <w:pPr>
              <w:spacing w:after="100"/>
              <w:rPr>
                <w:rFonts w:eastAsia="Times New Roman"/>
                <w:sz w:val="20"/>
                <w:szCs w:val="20"/>
              </w:rPr>
            </w:pPr>
          </w:p>
        </w:tc>
      </w:tr>
      <w:tr w:rsidR="00000000" w14:paraId="21EDAD6E" w14:textId="77777777">
        <w:trPr>
          <w:divId w:val="1760639883"/>
          <w:trHeight w:val="240"/>
        </w:trPr>
        <w:tc>
          <w:tcPr>
            <w:tcW w:w="0" w:type="auto"/>
            <w:gridSpan w:val="3"/>
            <w:vMerge w:val="restart"/>
            <w:tcMar>
              <w:top w:w="30" w:type="dxa"/>
              <w:left w:w="20" w:type="dxa"/>
              <w:bottom w:w="30" w:type="dxa"/>
              <w:right w:w="20" w:type="dxa"/>
            </w:tcMar>
            <w:vAlign w:val="bottom"/>
            <w:hideMark/>
          </w:tcPr>
          <w:p w14:paraId="61A5BB4D"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2E0F744E"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4DEC6357" w14:textId="77777777">
        <w:trPr>
          <w:divId w:val="1760639883"/>
          <w:trHeight w:val="240"/>
        </w:trPr>
        <w:tc>
          <w:tcPr>
            <w:tcW w:w="0" w:type="auto"/>
            <w:gridSpan w:val="3"/>
            <w:vMerge/>
            <w:vAlign w:val="center"/>
            <w:hideMark/>
          </w:tcPr>
          <w:p w14:paraId="36230750"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DC644C"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A00A87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4B32E5"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690C44C1" w14:textId="77777777">
        <w:trPr>
          <w:divId w:val="1760639883"/>
        </w:trPr>
        <w:tc>
          <w:tcPr>
            <w:tcW w:w="0" w:type="auto"/>
            <w:gridSpan w:val="3"/>
            <w:shd w:val="clear" w:color="auto" w:fill="CCEEFF"/>
            <w:tcMar>
              <w:top w:w="30" w:type="dxa"/>
              <w:left w:w="20" w:type="dxa"/>
              <w:bottom w:w="30" w:type="dxa"/>
              <w:right w:w="20" w:type="dxa"/>
            </w:tcMar>
            <w:hideMark/>
          </w:tcPr>
          <w:p w14:paraId="00ABECE2" w14:textId="77777777" w:rsidR="00000000" w:rsidRDefault="0068293C">
            <w:pPr>
              <w:spacing w:after="100"/>
              <w:rPr>
                <w:rFonts w:eastAsia="Times New Roman"/>
              </w:rPr>
            </w:pPr>
            <w:r>
              <w:rPr>
                <w:rFonts w:eastAsia="Times New Roman"/>
                <w:b/>
                <w:bCs/>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AB3945"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0FB7C"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7CAD2C" w14:textId="77777777" w:rsidR="00000000" w:rsidRDefault="0068293C">
            <w:pPr>
              <w:spacing w:after="100"/>
              <w:rPr>
                <w:rFonts w:eastAsia="Times New Roman"/>
                <w:sz w:val="20"/>
                <w:szCs w:val="20"/>
              </w:rPr>
            </w:pPr>
          </w:p>
        </w:tc>
      </w:tr>
      <w:tr w:rsidR="00000000" w14:paraId="7A3EC438" w14:textId="77777777">
        <w:trPr>
          <w:divId w:val="1760639883"/>
        </w:trPr>
        <w:tc>
          <w:tcPr>
            <w:tcW w:w="0" w:type="auto"/>
            <w:gridSpan w:val="3"/>
            <w:shd w:val="clear" w:color="auto" w:fill="FFFFFF"/>
            <w:tcMar>
              <w:top w:w="30" w:type="dxa"/>
              <w:left w:w="20" w:type="dxa"/>
              <w:bottom w:w="30" w:type="dxa"/>
              <w:right w:w="20" w:type="dxa"/>
            </w:tcMar>
            <w:hideMark/>
          </w:tcPr>
          <w:p w14:paraId="16B67CCD" w14:textId="77777777" w:rsidR="00000000" w:rsidRDefault="0068293C">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14:paraId="71DE9265"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2A3294D" w14:textId="77777777" w:rsidR="00000000" w:rsidRDefault="0068293C">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14:paraId="4874252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1E2CC"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267B3B"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527F71" w14:textId="77777777" w:rsidR="00000000" w:rsidRDefault="0068293C">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7DEFF960" w14:textId="77777777" w:rsidR="00000000" w:rsidRDefault="0068293C">
            <w:pPr>
              <w:spacing w:after="100"/>
              <w:jc w:val="right"/>
              <w:rPr>
                <w:rFonts w:eastAsia="Times New Roman"/>
              </w:rPr>
            </w:pPr>
          </w:p>
        </w:tc>
      </w:tr>
      <w:tr w:rsidR="00000000" w14:paraId="40836C41" w14:textId="77777777">
        <w:trPr>
          <w:divId w:val="1760639883"/>
        </w:trPr>
        <w:tc>
          <w:tcPr>
            <w:tcW w:w="0" w:type="auto"/>
            <w:gridSpan w:val="3"/>
            <w:shd w:val="clear" w:color="auto" w:fill="CCEEFF"/>
            <w:tcMar>
              <w:top w:w="30" w:type="dxa"/>
              <w:left w:w="20" w:type="dxa"/>
              <w:bottom w:w="30" w:type="dxa"/>
              <w:right w:w="20" w:type="dxa"/>
            </w:tcMar>
            <w:hideMark/>
          </w:tcPr>
          <w:p w14:paraId="54FA8B5C" w14:textId="77777777" w:rsidR="00000000" w:rsidRDefault="0068293C">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2AC11B5E"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3C1E9"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72DC8A" w14:textId="77777777" w:rsidR="00000000" w:rsidRDefault="0068293C">
            <w:pPr>
              <w:spacing w:after="100"/>
              <w:rPr>
                <w:rFonts w:eastAsia="Times New Roman"/>
                <w:sz w:val="20"/>
                <w:szCs w:val="20"/>
              </w:rPr>
            </w:pPr>
          </w:p>
        </w:tc>
      </w:tr>
      <w:tr w:rsidR="00000000" w14:paraId="5FB3F4C0" w14:textId="77777777">
        <w:trPr>
          <w:divId w:val="1760639883"/>
        </w:trPr>
        <w:tc>
          <w:tcPr>
            <w:tcW w:w="0" w:type="auto"/>
            <w:gridSpan w:val="3"/>
            <w:shd w:val="clear" w:color="auto" w:fill="FFFFFF"/>
            <w:tcMar>
              <w:top w:w="30" w:type="dxa"/>
              <w:left w:w="20" w:type="dxa"/>
              <w:bottom w:w="30" w:type="dxa"/>
              <w:right w:w="20" w:type="dxa"/>
            </w:tcMar>
            <w:hideMark/>
          </w:tcPr>
          <w:p w14:paraId="0CDCD674" w14:textId="77777777" w:rsidR="00000000" w:rsidRDefault="0068293C">
            <w:pPr>
              <w:spacing w:after="100"/>
              <w:rPr>
                <w:rFonts w:eastAsia="Times New Roman"/>
              </w:rPr>
            </w:pPr>
            <w:r>
              <w:rPr>
                <w:rFonts w:eastAsia="Times New Roman"/>
                <w:color w:val="000000"/>
                <w:sz w:val="20"/>
                <w:szCs w:val="20"/>
              </w:rPr>
              <w:t>     Loss from discontinued operations</w:t>
            </w:r>
          </w:p>
        </w:tc>
        <w:tc>
          <w:tcPr>
            <w:tcW w:w="0" w:type="auto"/>
            <w:gridSpan w:val="2"/>
            <w:shd w:val="clear" w:color="auto" w:fill="FFFFFF"/>
            <w:tcMar>
              <w:top w:w="30" w:type="dxa"/>
              <w:left w:w="20" w:type="dxa"/>
              <w:bottom w:w="30" w:type="dxa"/>
              <w:right w:w="0" w:type="dxa"/>
            </w:tcMar>
            <w:vAlign w:val="bottom"/>
            <w:hideMark/>
          </w:tcPr>
          <w:p w14:paraId="0F1BD5A5"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DFC29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884F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52432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E75BA7" w14:textId="77777777" w:rsidR="00000000" w:rsidRDefault="0068293C">
            <w:pPr>
              <w:spacing w:after="100"/>
              <w:jc w:val="right"/>
              <w:rPr>
                <w:rFonts w:eastAsia="Times New Roman"/>
              </w:rPr>
            </w:pPr>
          </w:p>
        </w:tc>
      </w:tr>
      <w:tr w:rsidR="00000000" w14:paraId="39C74B2D" w14:textId="77777777">
        <w:trPr>
          <w:divId w:val="1760639883"/>
        </w:trPr>
        <w:tc>
          <w:tcPr>
            <w:tcW w:w="0" w:type="auto"/>
            <w:gridSpan w:val="3"/>
            <w:vAlign w:val="center"/>
            <w:hideMark/>
          </w:tcPr>
          <w:p w14:paraId="15C156EC" w14:textId="77777777" w:rsidR="00000000" w:rsidRDefault="0068293C">
            <w:pPr>
              <w:spacing w:after="100"/>
              <w:jc w:val="right"/>
              <w:rPr>
                <w:rFonts w:eastAsia="Times New Roman"/>
                <w:sz w:val="20"/>
                <w:szCs w:val="20"/>
              </w:rPr>
            </w:pPr>
          </w:p>
        </w:tc>
        <w:tc>
          <w:tcPr>
            <w:tcW w:w="0" w:type="auto"/>
            <w:gridSpan w:val="3"/>
            <w:vAlign w:val="center"/>
            <w:hideMark/>
          </w:tcPr>
          <w:p w14:paraId="3530682A" w14:textId="77777777" w:rsidR="00000000" w:rsidRDefault="0068293C">
            <w:pPr>
              <w:spacing w:after="100"/>
              <w:rPr>
                <w:rFonts w:eastAsia="Times New Roman"/>
                <w:sz w:val="20"/>
                <w:szCs w:val="20"/>
              </w:rPr>
            </w:pPr>
          </w:p>
        </w:tc>
        <w:tc>
          <w:tcPr>
            <w:tcW w:w="0" w:type="auto"/>
            <w:gridSpan w:val="3"/>
            <w:vAlign w:val="center"/>
            <w:hideMark/>
          </w:tcPr>
          <w:p w14:paraId="1D18D13A" w14:textId="77777777" w:rsidR="00000000" w:rsidRDefault="0068293C">
            <w:pPr>
              <w:spacing w:after="100"/>
              <w:rPr>
                <w:rFonts w:eastAsia="Times New Roman"/>
                <w:sz w:val="20"/>
                <w:szCs w:val="20"/>
              </w:rPr>
            </w:pPr>
          </w:p>
        </w:tc>
        <w:tc>
          <w:tcPr>
            <w:tcW w:w="0" w:type="auto"/>
            <w:gridSpan w:val="3"/>
            <w:vAlign w:val="center"/>
            <w:hideMark/>
          </w:tcPr>
          <w:p w14:paraId="5C1F59DD" w14:textId="77777777" w:rsidR="00000000" w:rsidRDefault="0068293C">
            <w:pPr>
              <w:spacing w:after="100"/>
              <w:rPr>
                <w:rFonts w:eastAsia="Times New Roman"/>
                <w:sz w:val="20"/>
                <w:szCs w:val="20"/>
              </w:rPr>
            </w:pPr>
          </w:p>
        </w:tc>
      </w:tr>
      <w:tr w:rsidR="00000000" w14:paraId="287ED108" w14:textId="77777777">
        <w:trPr>
          <w:divId w:val="1760639883"/>
        </w:trPr>
        <w:tc>
          <w:tcPr>
            <w:tcW w:w="0" w:type="auto"/>
            <w:gridSpan w:val="3"/>
            <w:shd w:val="clear" w:color="auto" w:fill="CCEEFF"/>
            <w:tcMar>
              <w:top w:w="30" w:type="dxa"/>
              <w:left w:w="245" w:type="dxa"/>
              <w:bottom w:w="30" w:type="dxa"/>
              <w:right w:w="20" w:type="dxa"/>
            </w:tcMar>
            <w:hideMark/>
          </w:tcPr>
          <w:p w14:paraId="2D9BD9A9" w14:textId="77777777" w:rsidR="00000000" w:rsidRDefault="0068293C">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4EF9F9D7" w14:textId="77777777" w:rsidR="00000000" w:rsidRDefault="0068293C">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F297F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C463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F100F" w14:textId="77777777" w:rsidR="00000000" w:rsidRDefault="0068293C">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50780C5B" w14:textId="77777777" w:rsidR="00000000" w:rsidRDefault="0068293C">
            <w:pPr>
              <w:spacing w:after="100"/>
              <w:jc w:val="right"/>
              <w:rPr>
                <w:rFonts w:eastAsia="Times New Roman"/>
              </w:rPr>
            </w:pPr>
          </w:p>
        </w:tc>
      </w:tr>
      <w:tr w:rsidR="00000000" w14:paraId="2D65D921" w14:textId="77777777">
        <w:trPr>
          <w:divId w:val="1760639883"/>
        </w:trPr>
        <w:tc>
          <w:tcPr>
            <w:tcW w:w="0" w:type="auto"/>
            <w:gridSpan w:val="3"/>
            <w:shd w:val="clear" w:color="auto" w:fill="FFFFFF"/>
            <w:tcMar>
              <w:top w:w="30" w:type="dxa"/>
              <w:left w:w="245" w:type="dxa"/>
              <w:bottom w:w="30" w:type="dxa"/>
              <w:right w:w="20" w:type="dxa"/>
            </w:tcMar>
            <w:hideMark/>
          </w:tcPr>
          <w:p w14:paraId="2425EECF" w14:textId="77777777" w:rsidR="00000000" w:rsidRDefault="0068293C">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5E4738F0" w14:textId="77777777" w:rsidR="00000000" w:rsidRDefault="0068293C">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6042C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F96B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7638E9" w14:textId="77777777" w:rsidR="00000000" w:rsidRDefault="0068293C">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2C72063B" w14:textId="77777777" w:rsidR="00000000" w:rsidRDefault="0068293C">
            <w:pPr>
              <w:spacing w:after="100"/>
              <w:jc w:val="right"/>
              <w:rPr>
                <w:rFonts w:eastAsia="Times New Roman"/>
              </w:rPr>
            </w:pPr>
          </w:p>
        </w:tc>
      </w:tr>
      <w:tr w:rsidR="00000000" w14:paraId="512CB474" w14:textId="77777777">
        <w:trPr>
          <w:divId w:val="1760639883"/>
        </w:trPr>
        <w:tc>
          <w:tcPr>
            <w:tcW w:w="0" w:type="auto"/>
            <w:gridSpan w:val="3"/>
            <w:shd w:val="clear" w:color="auto" w:fill="CCEEFF"/>
            <w:tcMar>
              <w:top w:w="30" w:type="dxa"/>
              <w:left w:w="245" w:type="dxa"/>
              <w:bottom w:w="30" w:type="dxa"/>
              <w:right w:w="20" w:type="dxa"/>
            </w:tcMar>
            <w:hideMark/>
          </w:tcPr>
          <w:p w14:paraId="37479CB5" w14:textId="77777777" w:rsidR="00000000" w:rsidRDefault="0068293C">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51539DCD" w14:textId="77777777" w:rsidR="00000000" w:rsidRDefault="0068293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D9975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FC49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5A27C" w14:textId="77777777" w:rsidR="00000000" w:rsidRDefault="0068293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3AE7296B" w14:textId="77777777" w:rsidR="00000000" w:rsidRDefault="0068293C">
            <w:pPr>
              <w:spacing w:after="100"/>
              <w:jc w:val="right"/>
              <w:rPr>
                <w:rFonts w:eastAsia="Times New Roman"/>
              </w:rPr>
            </w:pPr>
          </w:p>
        </w:tc>
      </w:tr>
      <w:tr w:rsidR="00000000" w14:paraId="2B88356A" w14:textId="77777777">
        <w:trPr>
          <w:divId w:val="1760639883"/>
        </w:trPr>
        <w:tc>
          <w:tcPr>
            <w:tcW w:w="0" w:type="auto"/>
            <w:gridSpan w:val="3"/>
            <w:vAlign w:val="center"/>
            <w:hideMark/>
          </w:tcPr>
          <w:p w14:paraId="3B13A407" w14:textId="77777777" w:rsidR="00000000" w:rsidRDefault="0068293C">
            <w:pPr>
              <w:spacing w:after="100"/>
              <w:jc w:val="right"/>
              <w:rPr>
                <w:rFonts w:eastAsia="Times New Roman"/>
                <w:sz w:val="20"/>
                <w:szCs w:val="20"/>
              </w:rPr>
            </w:pPr>
          </w:p>
        </w:tc>
        <w:tc>
          <w:tcPr>
            <w:tcW w:w="0" w:type="auto"/>
            <w:gridSpan w:val="3"/>
            <w:vAlign w:val="center"/>
            <w:hideMark/>
          </w:tcPr>
          <w:p w14:paraId="7B886ADE" w14:textId="77777777" w:rsidR="00000000" w:rsidRDefault="0068293C">
            <w:pPr>
              <w:spacing w:after="100"/>
              <w:rPr>
                <w:rFonts w:eastAsia="Times New Roman"/>
                <w:sz w:val="20"/>
                <w:szCs w:val="20"/>
              </w:rPr>
            </w:pPr>
          </w:p>
        </w:tc>
        <w:tc>
          <w:tcPr>
            <w:tcW w:w="0" w:type="auto"/>
            <w:gridSpan w:val="3"/>
            <w:vAlign w:val="center"/>
            <w:hideMark/>
          </w:tcPr>
          <w:p w14:paraId="3B78CE0B" w14:textId="77777777" w:rsidR="00000000" w:rsidRDefault="0068293C">
            <w:pPr>
              <w:spacing w:after="100"/>
              <w:rPr>
                <w:rFonts w:eastAsia="Times New Roman"/>
                <w:sz w:val="20"/>
                <w:szCs w:val="20"/>
              </w:rPr>
            </w:pPr>
          </w:p>
        </w:tc>
        <w:tc>
          <w:tcPr>
            <w:tcW w:w="0" w:type="auto"/>
            <w:gridSpan w:val="3"/>
            <w:vAlign w:val="center"/>
            <w:hideMark/>
          </w:tcPr>
          <w:p w14:paraId="24855E87" w14:textId="77777777" w:rsidR="00000000" w:rsidRDefault="0068293C">
            <w:pPr>
              <w:spacing w:after="100"/>
              <w:rPr>
                <w:rFonts w:eastAsia="Times New Roman"/>
                <w:sz w:val="20"/>
                <w:szCs w:val="20"/>
              </w:rPr>
            </w:pPr>
          </w:p>
        </w:tc>
      </w:tr>
      <w:tr w:rsidR="00000000" w14:paraId="351CC0D6" w14:textId="77777777">
        <w:trPr>
          <w:divId w:val="1760639883"/>
        </w:trPr>
        <w:tc>
          <w:tcPr>
            <w:tcW w:w="0" w:type="auto"/>
            <w:gridSpan w:val="3"/>
            <w:shd w:val="clear" w:color="auto" w:fill="FFFFFF"/>
            <w:tcMar>
              <w:top w:w="30" w:type="dxa"/>
              <w:left w:w="245" w:type="dxa"/>
              <w:bottom w:w="30" w:type="dxa"/>
              <w:right w:w="20" w:type="dxa"/>
            </w:tcMar>
            <w:hideMark/>
          </w:tcPr>
          <w:p w14:paraId="2375EB37" w14:textId="77777777" w:rsidR="00000000" w:rsidRDefault="0068293C">
            <w:pPr>
              <w:spacing w:after="100"/>
              <w:rPr>
                <w:rFonts w:eastAsia="Times New Roman"/>
              </w:rPr>
            </w:pPr>
            <w:r>
              <w:rPr>
                <w:rFonts w:eastAsia="Times New Roman"/>
                <w:color w:val="000000"/>
                <w:sz w:val="20"/>
                <w:szCs w:val="20"/>
              </w:rPr>
              <w:t>Loss (gain) on disposal of property, plant and equipment</w:t>
            </w:r>
          </w:p>
        </w:tc>
        <w:tc>
          <w:tcPr>
            <w:tcW w:w="0" w:type="auto"/>
            <w:gridSpan w:val="2"/>
            <w:shd w:val="clear" w:color="auto" w:fill="FFFFFF"/>
            <w:tcMar>
              <w:top w:w="30" w:type="dxa"/>
              <w:left w:w="20" w:type="dxa"/>
              <w:bottom w:w="30" w:type="dxa"/>
              <w:right w:w="0" w:type="dxa"/>
            </w:tcMar>
            <w:vAlign w:val="bottom"/>
            <w:hideMark/>
          </w:tcPr>
          <w:p w14:paraId="7DCD704C" w14:textId="77777777" w:rsidR="00000000" w:rsidRDefault="0068293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5A133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FE55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2E3BEE"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BE06EF" w14:textId="77777777" w:rsidR="00000000" w:rsidRDefault="0068293C">
            <w:pPr>
              <w:spacing w:after="100"/>
              <w:jc w:val="right"/>
              <w:rPr>
                <w:rFonts w:eastAsia="Times New Roman"/>
              </w:rPr>
            </w:pPr>
          </w:p>
        </w:tc>
      </w:tr>
      <w:tr w:rsidR="00000000" w14:paraId="36B24624" w14:textId="77777777">
        <w:trPr>
          <w:divId w:val="1760639883"/>
        </w:trPr>
        <w:tc>
          <w:tcPr>
            <w:tcW w:w="0" w:type="auto"/>
            <w:gridSpan w:val="3"/>
            <w:shd w:val="clear" w:color="auto" w:fill="CCEEFF"/>
            <w:tcMar>
              <w:top w:w="30" w:type="dxa"/>
              <w:left w:w="245" w:type="dxa"/>
              <w:bottom w:w="30" w:type="dxa"/>
              <w:right w:w="20" w:type="dxa"/>
            </w:tcMar>
            <w:hideMark/>
          </w:tcPr>
          <w:p w14:paraId="2B1EAC8F" w14:textId="77777777" w:rsidR="00000000" w:rsidRDefault="0068293C">
            <w:pPr>
              <w:spacing w:after="100"/>
              <w:rPr>
                <w:rFonts w:eastAsia="Times New Roman"/>
              </w:rPr>
            </w:pPr>
            <w:r>
              <w:rPr>
                <w:rFonts w:eastAsia="Times New Roman"/>
                <w:color w:val="000000"/>
                <w:sz w:val="20"/>
                <w:szCs w:val="20"/>
              </w:rPr>
              <w:t>Changes in assets and liabilities, net of effects of business acquired:</w:t>
            </w:r>
          </w:p>
        </w:tc>
        <w:tc>
          <w:tcPr>
            <w:tcW w:w="0" w:type="auto"/>
            <w:gridSpan w:val="3"/>
            <w:shd w:val="clear" w:color="auto" w:fill="CCEEFF"/>
            <w:tcMar>
              <w:top w:w="0" w:type="dxa"/>
              <w:left w:w="20" w:type="dxa"/>
              <w:bottom w:w="0" w:type="dxa"/>
              <w:right w:w="20" w:type="dxa"/>
            </w:tcMar>
            <w:vAlign w:val="center"/>
            <w:hideMark/>
          </w:tcPr>
          <w:p w14:paraId="52CEA31E"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4A670"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821026" w14:textId="77777777" w:rsidR="00000000" w:rsidRDefault="0068293C">
            <w:pPr>
              <w:spacing w:after="100"/>
              <w:rPr>
                <w:rFonts w:eastAsia="Times New Roman"/>
                <w:sz w:val="20"/>
                <w:szCs w:val="20"/>
              </w:rPr>
            </w:pPr>
          </w:p>
        </w:tc>
      </w:tr>
      <w:tr w:rsidR="00000000" w14:paraId="0A54BEF4" w14:textId="77777777">
        <w:trPr>
          <w:divId w:val="1760639883"/>
        </w:trPr>
        <w:tc>
          <w:tcPr>
            <w:tcW w:w="0" w:type="auto"/>
            <w:gridSpan w:val="3"/>
            <w:shd w:val="clear" w:color="auto" w:fill="FFFFFF"/>
            <w:tcMar>
              <w:top w:w="30" w:type="dxa"/>
              <w:left w:w="605" w:type="dxa"/>
              <w:bottom w:w="30" w:type="dxa"/>
              <w:right w:w="20" w:type="dxa"/>
            </w:tcMar>
            <w:hideMark/>
          </w:tcPr>
          <w:p w14:paraId="70399FBA" w14:textId="77777777" w:rsidR="00000000" w:rsidRDefault="0068293C">
            <w:pPr>
              <w:spacing w:after="100"/>
              <w:rPr>
                <w:rFonts w:eastAsia="Times New Roman"/>
              </w:rPr>
            </w:pPr>
            <w:r>
              <w:rPr>
                <w:rFonts w:eastAsia="Times New Roman"/>
                <w:color w:val="000000"/>
                <w:sz w:val="20"/>
                <w:szCs w:val="20"/>
              </w:rPr>
              <w:t>Receivables</w:t>
            </w:r>
          </w:p>
        </w:tc>
        <w:tc>
          <w:tcPr>
            <w:tcW w:w="0" w:type="auto"/>
            <w:gridSpan w:val="2"/>
            <w:shd w:val="clear" w:color="auto" w:fill="FFFFFF"/>
            <w:tcMar>
              <w:top w:w="30" w:type="dxa"/>
              <w:left w:w="20" w:type="dxa"/>
              <w:bottom w:w="30" w:type="dxa"/>
              <w:right w:w="0" w:type="dxa"/>
            </w:tcMar>
            <w:vAlign w:val="bottom"/>
            <w:hideMark/>
          </w:tcPr>
          <w:p w14:paraId="6DB19BCD" w14:textId="77777777" w:rsidR="00000000" w:rsidRDefault="0068293C">
            <w:pPr>
              <w:spacing w:after="100"/>
              <w:jc w:val="right"/>
              <w:rPr>
                <w:rFonts w:eastAsia="Times New Roman"/>
              </w:rPr>
            </w:pPr>
            <w:r>
              <w:rPr>
                <w:rFonts w:eastAsia="Times New Roman"/>
                <w:b/>
                <w:bCs/>
                <w:color w:val="000000"/>
                <w:sz w:val="20"/>
                <w:szCs w:val="20"/>
              </w:rPr>
              <w:t>(129)</w:t>
            </w:r>
          </w:p>
        </w:tc>
        <w:tc>
          <w:tcPr>
            <w:tcW w:w="0" w:type="auto"/>
            <w:shd w:val="clear" w:color="auto" w:fill="FFFFFF"/>
            <w:tcMar>
              <w:top w:w="30" w:type="dxa"/>
              <w:left w:w="0" w:type="dxa"/>
              <w:bottom w:w="30" w:type="dxa"/>
              <w:right w:w="20" w:type="dxa"/>
            </w:tcMar>
            <w:vAlign w:val="bottom"/>
            <w:hideMark/>
          </w:tcPr>
          <w:p w14:paraId="51B303C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4D051"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D8AA43" w14:textId="77777777" w:rsidR="00000000" w:rsidRDefault="0068293C">
            <w:pPr>
              <w:spacing w:after="100"/>
              <w:jc w:val="right"/>
              <w:rPr>
                <w:rFonts w:eastAsia="Times New Roman"/>
              </w:rPr>
            </w:pPr>
            <w:r>
              <w:rPr>
                <w:rFonts w:eastAsia="Times New Roman"/>
                <w:color w:val="000000"/>
                <w:sz w:val="20"/>
                <w:szCs w:val="20"/>
              </w:rPr>
              <w:t>(91)</w:t>
            </w:r>
          </w:p>
        </w:tc>
        <w:tc>
          <w:tcPr>
            <w:tcW w:w="0" w:type="auto"/>
            <w:shd w:val="clear" w:color="auto" w:fill="FFFFFF"/>
            <w:tcMar>
              <w:top w:w="30" w:type="dxa"/>
              <w:left w:w="0" w:type="dxa"/>
              <w:bottom w:w="30" w:type="dxa"/>
              <w:right w:w="20" w:type="dxa"/>
            </w:tcMar>
            <w:vAlign w:val="bottom"/>
            <w:hideMark/>
          </w:tcPr>
          <w:p w14:paraId="7F08A953" w14:textId="77777777" w:rsidR="00000000" w:rsidRDefault="0068293C">
            <w:pPr>
              <w:spacing w:after="100"/>
              <w:jc w:val="right"/>
              <w:rPr>
                <w:rFonts w:eastAsia="Times New Roman"/>
              </w:rPr>
            </w:pPr>
          </w:p>
        </w:tc>
      </w:tr>
      <w:tr w:rsidR="00000000" w14:paraId="032F799B" w14:textId="77777777">
        <w:trPr>
          <w:divId w:val="1760639883"/>
        </w:trPr>
        <w:tc>
          <w:tcPr>
            <w:tcW w:w="0" w:type="auto"/>
            <w:gridSpan w:val="3"/>
            <w:shd w:val="clear" w:color="auto" w:fill="CCEEFF"/>
            <w:tcMar>
              <w:top w:w="30" w:type="dxa"/>
              <w:left w:w="605" w:type="dxa"/>
              <w:bottom w:w="30" w:type="dxa"/>
              <w:right w:w="20" w:type="dxa"/>
            </w:tcMar>
            <w:hideMark/>
          </w:tcPr>
          <w:p w14:paraId="702E5C65" w14:textId="77777777" w:rsidR="00000000" w:rsidRDefault="0068293C">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3D9B9304" w14:textId="77777777" w:rsidR="00000000" w:rsidRDefault="0068293C">
            <w:pPr>
              <w:spacing w:after="100"/>
              <w:jc w:val="right"/>
              <w:rPr>
                <w:rFonts w:eastAsia="Times New Roman"/>
              </w:rPr>
            </w:pPr>
            <w:r>
              <w:rPr>
                <w:rFonts w:eastAsia="Times New Roman"/>
                <w:b/>
                <w:bCs/>
                <w:color w:val="000000"/>
                <w:sz w:val="20"/>
                <w:szCs w:val="20"/>
              </w:rPr>
              <w:t>(77)</w:t>
            </w:r>
          </w:p>
        </w:tc>
        <w:tc>
          <w:tcPr>
            <w:tcW w:w="0" w:type="auto"/>
            <w:shd w:val="clear" w:color="auto" w:fill="CCEEFF"/>
            <w:tcMar>
              <w:top w:w="30" w:type="dxa"/>
              <w:left w:w="0" w:type="dxa"/>
              <w:bottom w:w="30" w:type="dxa"/>
              <w:right w:w="20" w:type="dxa"/>
            </w:tcMar>
            <w:vAlign w:val="bottom"/>
            <w:hideMark/>
          </w:tcPr>
          <w:p w14:paraId="1463D1E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84F6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8AFD02" w14:textId="77777777" w:rsidR="00000000" w:rsidRDefault="0068293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14:paraId="3D19005B" w14:textId="77777777" w:rsidR="00000000" w:rsidRDefault="0068293C">
            <w:pPr>
              <w:spacing w:after="100"/>
              <w:jc w:val="right"/>
              <w:rPr>
                <w:rFonts w:eastAsia="Times New Roman"/>
              </w:rPr>
            </w:pPr>
          </w:p>
        </w:tc>
      </w:tr>
      <w:tr w:rsidR="00000000" w14:paraId="1990F3F1" w14:textId="77777777">
        <w:trPr>
          <w:divId w:val="1760639883"/>
        </w:trPr>
        <w:tc>
          <w:tcPr>
            <w:tcW w:w="0" w:type="auto"/>
            <w:gridSpan w:val="3"/>
            <w:shd w:val="clear" w:color="auto" w:fill="FFFFFF"/>
            <w:tcMar>
              <w:top w:w="30" w:type="dxa"/>
              <w:left w:w="605" w:type="dxa"/>
              <w:bottom w:w="30" w:type="dxa"/>
              <w:right w:w="20" w:type="dxa"/>
            </w:tcMar>
            <w:hideMark/>
          </w:tcPr>
          <w:p w14:paraId="4F58DAEB" w14:textId="77777777" w:rsidR="00000000" w:rsidRDefault="0068293C">
            <w:pPr>
              <w:spacing w:after="100"/>
              <w:rPr>
                <w:rFonts w:eastAsia="Times New Roman"/>
              </w:rPr>
            </w:pPr>
            <w:r>
              <w:rPr>
                <w:rFonts w:eastAsia="Times New Roman"/>
                <w:color w:val="000000"/>
                <w:sz w:val="20"/>
                <w:szCs w:val="20"/>
              </w:rPr>
              <w:t>Current payables and accrued expenses</w:t>
            </w:r>
          </w:p>
        </w:tc>
        <w:tc>
          <w:tcPr>
            <w:tcW w:w="0" w:type="auto"/>
            <w:gridSpan w:val="2"/>
            <w:shd w:val="clear" w:color="auto" w:fill="FFFFFF"/>
            <w:tcMar>
              <w:top w:w="30" w:type="dxa"/>
              <w:left w:w="20" w:type="dxa"/>
              <w:bottom w:w="30" w:type="dxa"/>
              <w:right w:w="0" w:type="dxa"/>
            </w:tcMar>
            <w:vAlign w:val="bottom"/>
            <w:hideMark/>
          </w:tcPr>
          <w:p w14:paraId="1ED33846" w14:textId="77777777" w:rsidR="00000000" w:rsidRDefault="0068293C">
            <w:pPr>
              <w:spacing w:after="100"/>
              <w:jc w:val="right"/>
              <w:rPr>
                <w:rFonts w:eastAsia="Times New Roman"/>
              </w:rPr>
            </w:pPr>
            <w:r>
              <w:rPr>
                <w:rFonts w:eastAsia="Times New Roman"/>
                <w:b/>
                <w:bCs/>
                <w:color w:val="000000"/>
                <w:sz w:val="20"/>
                <w:szCs w:val="20"/>
              </w:rPr>
              <w:t>(63)</w:t>
            </w:r>
          </w:p>
        </w:tc>
        <w:tc>
          <w:tcPr>
            <w:tcW w:w="0" w:type="auto"/>
            <w:shd w:val="clear" w:color="auto" w:fill="FFFFFF"/>
            <w:tcMar>
              <w:top w:w="30" w:type="dxa"/>
              <w:left w:w="0" w:type="dxa"/>
              <w:bottom w:w="30" w:type="dxa"/>
              <w:right w:w="20" w:type="dxa"/>
            </w:tcMar>
            <w:vAlign w:val="bottom"/>
            <w:hideMark/>
          </w:tcPr>
          <w:p w14:paraId="2822AA2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7448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3CFA7C" w14:textId="77777777" w:rsidR="00000000" w:rsidRDefault="0068293C">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0962422A" w14:textId="77777777" w:rsidR="00000000" w:rsidRDefault="0068293C">
            <w:pPr>
              <w:spacing w:after="100"/>
              <w:jc w:val="right"/>
              <w:rPr>
                <w:rFonts w:eastAsia="Times New Roman"/>
              </w:rPr>
            </w:pPr>
          </w:p>
        </w:tc>
      </w:tr>
      <w:tr w:rsidR="00000000" w14:paraId="65AB5DBF" w14:textId="77777777">
        <w:trPr>
          <w:divId w:val="1760639883"/>
        </w:trPr>
        <w:tc>
          <w:tcPr>
            <w:tcW w:w="0" w:type="auto"/>
            <w:gridSpan w:val="3"/>
            <w:shd w:val="clear" w:color="auto" w:fill="CCEEFF"/>
            <w:tcMar>
              <w:top w:w="30" w:type="dxa"/>
              <w:left w:w="605" w:type="dxa"/>
              <w:bottom w:w="30" w:type="dxa"/>
              <w:right w:w="20" w:type="dxa"/>
            </w:tcMar>
            <w:hideMark/>
          </w:tcPr>
          <w:p w14:paraId="68EB1E3E" w14:textId="77777777" w:rsidR="00000000" w:rsidRDefault="0068293C">
            <w:pPr>
              <w:spacing w:after="100"/>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14:paraId="1EF42B7C" w14:textId="77777777" w:rsidR="00000000" w:rsidRDefault="0068293C">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34EA4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D2C9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3910A" w14:textId="77777777" w:rsidR="00000000" w:rsidRDefault="0068293C">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399008B8" w14:textId="77777777" w:rsidR="00000000" w:rsidRDefault="0068293C">
            <w:pPr>
              <w:spacing w:after="100"/>
              <w:jc w:val="right"/>
              <w:rPr>
                <w:rFonts w:eastAsia="Times New Roman"/>
              </w:rPr>
            </w:pPr>
          </w:p>
        </w:tc>
      </w:tr>
      <w:tr w:rsidR="00000000" w14:paraId="764A8B31" w14:textId="77777777">
        <w:trPr>
          <w:divId w:val="1760639883"/>
        </w:trPr>
        <w:tc>
          <w:tcPr>
            <w:tcW w:w="0" w:type="auto"/>
            <w:gridSpan w:val="3"/>
            <w:shd w:val="clear" w:color="auto" w:fill="FFFFFF"/>
            <w:tcMar>
              <w:top w:w="30" w:type="dxa"/>
              <w:left w:w="605" w:type="dxa"/>
              <w:bottom w:w="30" w:type="dxa"/>
              <w:right w:w="20" w:type="dxa"/>
            </w:tcMar>
            <w:hideMark/>
          </w:tcPr>
          <w:p w14:paraId="7A385F98" w14:textId="77777777" w:rsidR="00000000" w:rsidRDefault="0068293C">
            <w:pPr>
              <w:spacing w:after="100"/>
              <w:rPr>
                <w:rFonts w:eastAsia="Times New Roman"/>
              </w:rPr>
            </w:pPr>
            <w:r>
              <w:rPr>
                <w:rFonts w:eastAsia="Times New Roman"/>
                <w:color w:val="000000"/>
                <w:sz w:val="20"/>
                <w:szCs w:val="20"/>
              </w:rPr>
              <w:t>Employee benefit plans</w:t>
            </w:r>
          </w:p>
        </w:tc>
        <w:tc>
          <w:tcPr>
            <w:tcW w:w="0" w:type="auto"/>
            <w:gridSpan w:val="2"/>
            <w:shd w:val="clear" w:color="auto" w:fill="FFFFFF"/>
            <w:tcMar>
              <w:top w:w="30" w:type="dxa"/>
              <w:left w:w="20" w:type="dxa"/>
              <w:bottom w:w="30" w:type="dxa"/>
              <w:right w:w="0" w:type="dxa"/>
            </w:tcMar>
            <w:vAlign w:val="bottom"/>
            <w:hideMark/>
          </w:tcPr>
          <w:p w14:paraId="5FB84A0B" w14:textId="77777777" w:rsidR="00000000" w:rsidRDefault="0068293C">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14:paraId="3BFD83B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265F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FE527A" w14:textId="77777777" w:rsidR="00000000" w:rsidRDefault="0068293C">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74AEF06D" w14:textId="77777777" w:rsidR="00000000" w:rsidRDefault="0068293C">
            <w:pPr>
              <w:spacing w:after="100"/>
              <w:jc w:val="right"/>
              <w:rPr>
                <w:rFonts w:eastAsia="Times New Roman"/>
              </w:rPr>
            </w:pPr>
          </w:p>
        </w:tc>
      </w:tr>
      <w:tr w:rsidR="00000000" w14:paraId="28BB0FD3" w14:textId="77777777">
        <w:trPr>
          <w:divId w:val="1760639883"/>
        </w:trPr>
        <w:tc>
          <w:tcPr>
            <w:tcW w:w="0" w:type="auto"/>
            <w:gridSpan w:val="3"/>
            <w:shd w:val="clear" w:color="auto" w:fill="CCEEFF"/>
            <w:tcMar>
              <w:top w:w="30" w:type="dxa"/>
              <w:left w:w="605" w:type="dxa"/>
              <w:bottom w:w="30" w:type="dxa"/>
              <w:right w:w="20" w:type="dxa"/>
            </w:tcMar>
            <w:hideMark/>
          </w:tcPr>
          <w:p w14:paraId="24CAD1E9" w14:textId="77777777" w:rsidR="00000000" w:rsidRDefault="0068293C">
            <w:pPr>
              <w:spacing w:after="100"/>
              <w:rPr>
                <w:rFonts w:eastAsia="Times New Roman"/>
              </w:rPr>
            </w:pPr>
            <w:r>
              <w:rPr>
                <w:rFonts w:eastAsia="Times New Roman"/>
                <w:color w:val="000000"/>
                <w:sz w:val="20"/>
                <w:szCs w:val="20"/>
              </w:rPr>
              <w:t>Other assets and liabilities</w:t>
            </w:r>
          </w:p>
        </w:tc>
        <w:tc>
          <w:tcPr>
            <w:tcW w:w="0" w:type="auto"/>
            <w:gridSpan w:val="2"/>
            <w:shd w:val="clear" w:color="auto" w:fill="CCEEFF"/>
            <w:tcMar>
              <w:top w:w="30" w:type="dxa"/>
              <w:left w:w="20" w:type="dxa"/>
              <w:bottom w:w="30" w:type="dxa"/>
              <w:right w:w="0" w:type="dxa"/>
            </w:tcMar>
            <w:vAlign w:val="bottom"/>
            <w:hideMark/>
          </w:tcPr>
          <w:p w14:paraId="13E39BE8" w14:textId="77777777" w:rsidR="00000000" w:rsidRDefault="0068293C">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E0D8F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052B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A2589F" w14:textId="77777777" w:rsidR="00000000" w:rsidRDefault="0068293C">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122ECEAA" w14:textId="77777777" w:rsidR="00000000" w:rsidRDefault="0068293C">
            <w:pPr>
              <w:spacing w:after="100"/>
              <w:jc w:val="right"/>
              <w:rPr>
                <w:rFonts w:eastAsia="Times New Roman"/>
              </w:rPr>
            </w:pPr>
          </w:p>
        </w:tc>
      </w:tr>
      <w:tr w:rsidR="00000000" w14:paraId="102CB8D8" w14:textId="77777777">
        <w:trPr>
          <w:divId w:val="1760639883"/>
        </w:trPr>
        <w:tc>
          <w:tcPr>
            <w:tcW w:w="0" w:type="auto"/>
            <w:gridSpan w:val="3"/>
            <w:shd w:val="clear" w:color="auto" w:fill="FFFFFF"/>
            <w:tcMar>
              <w:top w:w="30" w:type="dxa"/>
              <w:left w:w="20" w:type="dxa"/>
              <w:bottom w:w="30" w:type="dxa"/>
              <w:right w:w="20" w:type="dxa"/>
            </w:tcMar>
            <w:hideMark/>
          </w:tcPr>
          <w:p w14:paraId="2B5AD0BE" w14:textId="77777777" w:rsidR="00000000" w:rsidRDefault="0068293C">
            <w:pPr>
              <w:spacing w:after="100"/>
              <w:rPr>
                <w:rFonts w:eastAsia="Times New Roman"/>
              </w:rPr>
            </w:pPr>
            <w:r>
              <w:rPr>
                <w:rFonts w:eastAsia="Times New Roman"/>
                <w:b/>
                <w:bCs/>
                <w:color w:val="000000"/>
                <w:sz w:val="20"/>
                <w:szCs w:val="20"/>
              </w:rPr>
              <w:t>Net cash provided by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06E09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E3CDD6" w14:textId="77777777" w:rsidR="00000000" w:rsidRDefault="0068293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5C6CA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1EBD5"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81330D"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907068" w14:textId="77777777" w:rsidR="00000000" w:rsidRDefault="0068293C">
            <w:pPr>
              <w:spacing w:after="100"/>
              <w:jc w:val="right"/>
              <w:rPr>
                <w:rFonts w:eastAsia="Times New Roman"/>
              </w:rPr>
            </w:pPr>
            <w:r>
              <w:rPr>
                <w:rFonts w:eastAsia="Times New Roman"/>
                <w:color w:val="000000"/>
                <w:sz w:val="20"/>
                <w:szCs w:val="20"/>
              </w:rPr>
              <w:t>155 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353B32" w14:textId="77777777" w:rsidR="00000000" w:rsidRDefault="0068293C">
            <w:pPr>
              <w:spacing w:after="100"/>
              <w:jc w:val="right"/>
              <w:rPr>
                <w:rFonts w:eastAsia="Times New Roman"/>
              </w:rPr>
            </w:pPr>
          </w:p>
        </w:tc>
      </w:tr>
      <w:tr w:rsidR="00000000" w14:paraId="4923879D" w14:textId="77777777">
        <w:trPr>
          <w:divId w:val="1760639883"/>
        </w:trPr>
        <w:tc>
          <w:tcPr>
            <w:tcW w:w="0" w:type="auto"/>
            <w:gridSpan w:val="3"/>
            <w:shd w:val="clear" w:color="auto" w:fill="CCEEFF"/>
            <w:tcMar>
              <w:top w:w="30" w:type="dxa"/>
              <w:left w:w="20" w:type="dxa"/>
              <w:bottom w:w="30" w:type="dxa"/>
              <w:right w:w="20" w:type="dxa"/>
            </w:tcMar>
            <w:hideMark/>
          </w:tcPr>
          <w:p w14:paraId="1EBBFB7B" w14:textId="77777777" w:rsidR="00000000" w:rsidRDefault="0068293C">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AB5C53"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1B04C"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D52CC6" w14:textId="77777777" w:rsidR="00000000" w:rsidRDefault="0068293C">
            <w:pPr>
              <w:spacing w:after="100"/>
              <w:rPr>
                <w:rFonts w:eastAsia="Times New Roman"/>
                <w:sz w:val="20"/>
                <w:szCs w:val="20"/>
              </w:rPr>
            </w:pPr>
          </w:p>
        </w:tc>
      </w:tr>
      <w:tr w:rsidR="00000000" w14:paraId="430DDCBF" w14:textId="77777777">
        <w:trPr>
          <w:divId w:val="1760639883"/>
        </w:trPr>
        <w:tc>
          <w:tcPr>
            <w:tcW w:w="0" w:type="auto"/>
            <w:gridSpan w:val="3"/>
            <w:shd w:val="clear" w:color="auto" w:fill="FFFFFF"/>
            <w:tcMar>
              <w:top w:w="30" w:type="dxa"/>
              <w:left w:w="245" w:type="dxa"/>
              <w:bottom w:w="30" w:type="dxa"/>
              <w:right w:w="20" w:type="dxa"/>
            </w:tcMar>
            <w:hideMark/>
          </w:tcPr>
          <w:p w14:paraId="73166A39" w14:textId="77777777" w:rsidR="00000000" w:rsidRDefault="0068293C">
            <w:pPr>
              <w:spacing w:after="100"/>
              <w:rPr>
                <w:rFonts w:eastAsia="Times New Roman"/>
              </w:rPr>
            </w:pPr>
            <w:r>
              <w:rPr>
                <w:rFonts w:eastAsia="Times New Roman"/>
                <w:color w:val="000000"/>
                <w:sz w:val="20"/>
                <w:szCs w:val="20"/>
              </w:rPr>
              <w:t>Expenditures for property, plant and equipment</w:t>
            </w:r>
          </w:p>
        </w:tc>
        <w:tc>
          <w:tcPr>
            <w:tcW w:w="0" w:type="auto"/>
            <w:shd w:val="clear" w:color="auto" w:fill="FFFFFF"/>
            <w:tcMar>
              <w:top w:w="30" w:type="dxa"/>
              <w:left w:w="20" w:type="dxa"/>
              <w:bottom w:w="30" w:type="dxa"/>
              <w:right w:w="0" w:type="dxa"/>
            </w:tcMar>
            <w:vAlign w:val="bottom"/>
            <w:hideMark/>
          </w:tcPr>
          <w:p w14:paraId="3DF604E4"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2268628" w14:textId="77777777" w:rsidR="00000000" w:rsidRDefault="0068293C">
            <w:pPr>
              <w:spacing w:after="100"/>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14:paraId="3AF5728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6FE74"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CC9370"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410DBA" w14:textId="77777777" w:rsidR="00000000" w:rsidRDefault="0068293C">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12B84A7A" w14:textId="77777777" w:rsidR="00000000" w:rsidRDefault="0068293C">
            <w:pPr>
              <w:spacing w:after="100"/>
              <w:jc w:val="right"/>
              <w:rPr>
                <w:rFonts w:eastAsia="Times New Roman"/>
              </w:rPr>
            </w:pPr>
          </w:p>
        </w:tc>
      </w:tr>
      <w:tr w:rsidR="00000000" w14:paraId="3724722D" w14:textId="77777777">
        <w:trPr>
          <w:divId w:val="1760639883"/>
        </w:trPr>
        <w:tc>
          <w:tcPr>
            <w:tcW w:w="0" w:type="auto"/>
            <w:gridSpan w:val="3"/>
            <w:vAlign w:val="center"/>
            <w:hideMark/>
          </w:tcPr>
          <w:p w14:paraId="05DA6E98" w14:textId="77777777" w:rsidR="00000000" w:rsidRDefault="0068293C">
            <w:pPr>
              <w:spacing w:after="100"/>
              <w:jc w:val="right"/>
              <w:rPr>
                <w:rFonts w:eastAsia="Times New Roman"/>
                <w:sz w:val="20"/>
                <w:szCs w:val="20"/>
              </w:rPr>
            </w:pPr>
          </w:p>
        </w:tc>
        <w:tc>
          <w:tcPr>
            <w:tcW w:w="0" w:type="auto"/>
            <w:gridSpan w:val="3"/>
            <w:vAlign w:val="center"/>
            <w:hideMark/>
          </w:tcPr>
          <w:p w14:paraId="27D18394" w14:textId="77777777" w:rsidR="00000000" w:rsidRDefault="0068293C">
            <w:pPr>
              <w:spacing w:after="100"/>
              <w:rPr>
                <w:rFonts w:eastAsia="Times New Roman"/>
                <w:sz w:val="20"/>
                <w:szCs w:val="20"/>
              </w:rPr>
            </w:pPr>
          </w:p>
        </w:tc>
        <w:tc>
          <w:tcPr>
            <w:tcW w:w="0" w:type="auto"/>
            <w:gridSpan w:val="3"/>
            <w:vAlign w:val="center"/>
            <w:hideMark/>
          </w:tcPr>
          <w:p w14:paraId="2BB18DBF" w14:textId="77777777" w:rsidR="00000000" w:rsidRDefault="0068293C">
            <w:pPr>
              <w:spacing w:after="100"/>
              <w:rPr>
                <w:rFonts w:eastAsia="Times New Roman"/>
                <w:sz w:val="20"/>
                <w:szCs w:val="20"/>
              </w:rPr>
            </w:pPr>
          </w:p>
        </w:tc>
        <w:tc>
          <w:tcPr>
            <w:tcW w:w="0" w:type="auto"/>
            <w:gridSpan w:val="3"/>
            <w:vAlign w:val="center"/>
            <w:hideMark/>
          </w:tcPr>
          <w:p w14:paraId="5597AF14" w14:textId="77777777" w:rsidR="00000000" w:rsidRDefault="0068293C">
            <w:pPr>
              <w:spacing w:after="100"/>
              <w:rPr>
                <w:rFonts w:eastAsia="Times New Roman"/>
                <w:sz w:val="20"/>
                <w:szCs w:val="20"/>
              </w:rPr>
            </w:pPr>
          </w:p>
        </w:tc>
      </w:tr>
      <w:tr w:rsidR="00000000" w14:paraId="3DC1F743" w14:textId="77777777">
        <w:trPr>
          <w:divId w:val="1760639883"/>
        </w:trPr>
        <w:tc>
          <w:tcPr>
            <w:tcW w:w="0" w:type="auto"/>
            <w:gridSpan w:val="3"/>
            <w:shd w:val="clear" w:color="auto" w:fill="CCEEFF"/>
            <w:tcMar>
              <w:top w:w="30" w:type="dxa"/>
              <w:left w:w="245" w:type="dxa"/>
              <w:bottom w:w="30" w:type="dxa"/>
              <w:right w:w="20" w:type="dxa"/>
            </w:tcMar>
            <w:hideMark/>
          </w:tcPr>
          <w:p w14:paraId="0C3CEF02" w14:textId="77777777" w:rsidR="00000000" w:rsidRDefault="0068293C">
            <w:pPr>
              <w:spacing w:after="100"/>
              <w:rPr>
                <w:rFonts w:eastAsia="Times New Roman"/>
              </w:rPr>
            </w:pPr>
            <w:r>
              <w:rPr>
                <w:rFonts w:eastAsia="Times New Roman"/>
                <w:color w:val="000000"/>
                <w:sz w:val="20"/>
                <w:szCs w:val="20"/>
              </w:rPr>
              <w:t>Additions to capitalized software</w:t>
            </w:r>
          </w:p>
        </w:tc>
        <w:tc>
          <w:tcPr>
            <w:tcW w:w="0" w:type="auto"/>
            <w:gridSpan w:val="2"/>
            <w:shd w:val="clear" w:color="auto" w:fill="CCEEFF"/>
            <w:tcMar>
              <w:top w:w="30" w:type="dxa"/>
              <w:left w:w="20" w:type="dxa"/>
              <w:bottom w:w="30" w:type="dxa"/>
              <w:right w:w="0" w:type="dxa"/>
            </w:tcMar>
            <w:vAlign w:val="bottom"/>
            <w:hideMark/>
          </w:tcPr>
          <w:p w14:paraId="18A9DE38" w14:textId="77777777" w:rsidR="00000000" w:rsidRDefault="0068293C">
            <w:pPr>
              <w:spacing w:after="100"/>
              <w:jc w:val="right"/>
              <w:rPr>
                <w:rFonts w:eastAsia="Times New Roman"/>
              </w:rPr>
            </w:pPr>
            <w:r>
              <w:rPr>
                <w:rFonts w:eastAsia="Times New Roman"/>
                <w:b/>
                <w:bCs/>
                <w:color w:val="000000"/>
                <w:sz w:val="20"/>
                <w:szCs w:val="20"/>
              </w:rPr>
              <w:t>(65)</w:t>
            </w:r>
          </w:p>
        </w:tc>
        <w:tc>
          <w:tcPr>
            <w:tcW w:w="0" w:type="auto"/>
            <w:shd w:val="clear" w:color="auto" w:fill="CCEEFF"/>
            <w:tcMar>
              <w:top w:w="30" w:type="dxa"/>
              <w:left w:w="0" w:type="dxa"/>
              <w:bottom w:w="30" w:type="dxa"/>
              <w:right w:w="20" w:type="dxa"/>
            </w:tcMar>
            <w:vAlign w:val="bottom"/>
            <w:hideMark/>
          </w:tcPr>
          <w:p w14:paraId="47BED08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392A0"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D096C" w14:textId="77777777" w:rsidR="00000000" w:rsidRDefault="0068293C">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45CF5378" w14:textId="77777777" w:rsidR="00000000" w:rsidRDefault="0068293C">
            <w:pPr>
              <w:spacing w:after="100"/>
              <w:jc w:val="right"/>
              <w:rPr>
                <w:rFonts w:eastAsia="Times New Roman"/>
              </w:rPr>
            </w:pPr>
          </w:p>
        </w:tc>
      </w:tr>
      <w:tr w:rsidR="00000000" w14:paraId="67963B78" w14:textId="77777777">
        <w:trPr>
          <w:divId w:val="1760639883"/>
        </w:trPr>
        <w:tc>
          <w:tcPr>
            <w:tcW w:w="0" w:type="auto"/>
            <w:gridSpan w:val="3"/>
            <w:shd w:val="clear" w:color="auto" w:fill="FFFFFF"/>
            <w:tcMar>
              <w:top w:w="30" w:type="dxa"/>
              <w:left w:w="245" w:type="dxa"/>
              <w:bottom w:w="30" w:type="dxa"/>
              <w:right w:w="20" w:type="dxa"/>
            </w:tcMar>
            <w:hideMark/>
          </w:tcPr>
          <w:p w14:paraId="5537A8EB" w14:textId="77777777" w:rsidR="00000000" w:rsidRDefault="0068293C">
            <w:pPr>
              <w:spacing w:after="100"/>
              <w:rPr>
                <w:rFonts w:eastAsia="Times New Roman"/>
              </w:rPr>
            </w:pPr>
            <w:r>
              <w:rPr>
                <w:rFonts w:eastAsia="Times New Roman"/>
                <w:color w:val="000000"/>
                <w:sz w:val="20"/>
                <w:szCs w:val="20"/>
              </w:rPr>
              <w:t xml:space="preserve">Business acquisitions, net of cash acquired </w:t>
            </w:r>
          </w:p>
        </w:tc>
        <w:tc>
          <w:tcPr>
            <w:tcW w:w="0" w:type="auto"/>
            <w:gridSpan w:val="2"/>
            <w:shd w:val="clear" w:color="auto" w:fill="FFFFFF"/>
            <w:tcMar>
              <w:top w:w="30" w:type="dxa"/>
              <w:left w:w="20" w:type="dxa"/>
              <w:bottom w:w="30" w:type="dxa"/>
              <w:right w:w="0" w:type="dxa"/>
            </w:tcMar>
            <w:vAlign w:val="bottom"/>
            <w:hideMark/>
          </w:tcPr>
          <w:p w14:paraId="53582892"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781943C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A01D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6235F" w14:textId="77777777" w:rsidR="00000000" w:rsidRDefault="0068293C">
            <w:pPr>
              <w:spacing w:after="100"/>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14:paraId="3DF7D43F" w14:textId="77777777" w:rsidR="00000000" w:rsidRDefault="0068293C">
            <w:pPr>
              <w:spacing w:after="100"/>
              <w:jc w:val="right"/>
              <w:rPr>
                <w:rFonts w:eastAsia="Times New Roman"/>
              </w:rPr>
            </w:pPr>
          </w:p>
        </w:tc>
      </w:tr>
      <w:tr w:rsidR="00000000" w14:paraId="07D36F6E" w14:textId="77777777">
        <w:trPr>
          <w:divId w:val="1760639883"/>
        </w:trPr>
        <w:tc>
          <w:tcPr>
            <w:tcW w:w="0" w:type="auto"/>
            <w:gridSpan w:val="3"/>
            <w:shd w:val="clear" w:color="auto" w:fill="CCEEFF"/>
            <w:tcMar>
              <w:top w:w="30" w:type="dxa"/>
              <w:left w:w="245" w:type="dxa"/>
              <w:bottom w:w="30" w:type="dxa"/>
              <w:right w:w="20" w:type="dxa"/>
            </w:tcMar>
            <w:hideMark/>
          </w:tcPr>
          <w:p w14:paraId="0974487C" w14:textId="77777777" w:rsidR="00000000" w:rsidRDefault="0068293C">
            <w:pPr>
              <w:spacing w:after="100"/>
              <w:rPr>
                <w:rFonts w:eastAsia="Times New Roman"/>
              </w:rPr>
            </w:pPr>
            <w:r>
              <w:rPr>
                <w:rFonts w:eastAsia="Times New Roman"/>
                <w:color w:val="000000"/>
                <w:sz w:val="20"/>
                <w:szCs w:val="20"/>
              </w:rPr>
              <w:t>Purchases of short-term investments</w:t>
            </w:r>
          </w:p>
        </w:tc>
        <w:tc>
          <w:tcPr>
            <w:tcW w:w="0" w:type="auto"/>
            <w:gridSpan w:val="2"/>
            <w:shd w:val="clear" w:color="auto" w:fill="CCEEFF"/>
            <w:tcMar>
              <w:top w:w="30" w:type="dxa"/>
              <w:left w:w="20" w:type="dxa"/>
              <w:bottom w:w="30" w:type="dxa"/>
              <w:right w:w="0" w:type="dxa"/>
            </w:tcMar>
            <w:vAlign w:val="bottom"/>
            <w:hideMark/>
          </w:tcPr>
          <w:p w14:paraId="4D0D6103"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4F912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F34B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16443F" w14:textId="77777777" w:rsidR="00000000" w:rsidRDefault="0068293C">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7844F0B6" w14:textId="77777777" w:rsidR="00000000" w:rsidRDefault="0068293C">
            <w:pPr>
              <w:spacing w:after="100"/>
              <w:jc w:val="right"/>
              <w:rPr>
                <w:rFonts w:eastAsia="Times New Roman"/>
              </w:rPr>
            </w:pPr>
          </w:p>
        </w:tc>
      </w:tr>
      <w:tr w:rsidR="00000000" w14:paraId="0C3ECB5D" w14:textId="77777777">
        <w:trPr>
          <w:divId w:val="1760639883"/>
        </w:trPr>
        <w:tc>
          <w:tcPr>
            <w:tcW w:w="0" w:type="auto"/>
            <w:gridSpan w:val="3"/>
            <w:shd w:val="clear" w:color="auto" w:fill="FFFFFF"/>
            <w:tcMar>
              <w:top w:w="30" w:type="dxa"/>
              <w:left w:w="245" w:type="dxa"/>
              <w:bottom w:w="30" w:type="dxa"/>
              <w:right w:w="20" w:type="dxa"/>
            </w:tcMar>
            <w:hideMark/>
          </w:tcPr>
          <w:p w14:paraId="5566856F" w14:textId="77777777" w:rsidR="00000000" w:rsidRDefault="0068293C">
            <w:pPr>
              <w:spacing w:after="100"/>
              <w:rPr>
                <w:rFonts w:eastAsia="Times New Roman"/>
              </w:rPr>
            </w:pPr>
            <w:r>
              <w:rPr>
                <w:rFonts w:eastAsia="Times New Roman"/>
                <w:color w:val="000000"/>
                <w:sz w:val="20"/>
                <w:szCs w:val="20"/>
              </w:rPr>
              <w:t>Proceeds from sales of short-term investments</w:t>
            </w:r>
          </w:p>
        </w:tc>
        <w:tc>
          <w:tcPr>
            <w:tcW w:w="0" w:type="auto"/>
            <w:gridSpan w:val="2"/>
            <w:shd w:val="clear" w:color="auto" w:fill="FFFFFF"/>
            <w:tcMar>
              <w:top w:w="30" w:type="dxa"/>
              <w:left w:w="20" w:type="dxa"/>
              <w:bottom w:w="30" w:type="dxa"/>
              <w:right w:w="0" w:type="dxa"/>
            </w:tcMar>
            <w:vAlign w:val="bottom"/>
            <w:hideMark/>
          </w:tcPr>
          <w:p w14:paraId="5919CF2F"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2E327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1CFE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A182E6" w14:textId="77777777" w:rsidR="00000000" w:rsidRDefault="0068293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1D276AF4" w14:textId="77777777" w:rsidR="00000000" w:rsidRDefault="0068293C">
            <w:pPr>
              <w:spacing w:after="100"/>
              <w:jc w:val="right"/>
              <w:rPr>
                <w:rFonts w:eastAsia="Times New Roman"/>
              </w:rPr>
            </w:pPr>
          </w:p>
        </w:tc>
      </w:tr>
      <w:tr w:rsidR="00000000" w14:paraId="1D82F87D" w14:textId="77777777">
        <w:trPr>
          <w:divId w:val="1760639883"/>
        </w:trPr>
        <w:tc>
          <w:tcPr>
            <w:tcW w:w="0" w:type="auto"/>
            <w:gridSpan w:val="3"/>
            <w:shd w:val="clear" w:color="auto" w:fill="CCEEFF"/>
            <w:tcMar>
              <w:top w:w="30" w:type="dxa"/>
              <w:left w:w="245" w:type="dxa"/>
              <w:bottom w:w="30" w:type="dxa"/>
              <w:right w:w="20" w:type="dxa"/>
            </w:tcMar>
            <w:hideMark/>
          </w:tcPr>
          <w:p w14:paraId="600C7584" w14:textId="77777777" w:rsidR="00000000" w:rsidRDefault="0068293C">
            <w:pPr>
              <w:spacing w:after="100"/>
              <w:rPr>
                <w:rFonts w:eastAsia="Times New Roman"/>
              </w:rPr>
            </w:pPr>
            <w:r>
              <w:rPr>
                <w:rFonts w:eastAsia="Times New Roman"/>
                <w:color w:val="000000"/>
                <w:sz w:val="20"/>
                <w:szCs w:val="20"/>
              </w:rPr>
              <w:t>Other investing activities, net</w:t>
            </w:r>
          </w:p>
        </w:tc>
        <w:tc>
          <w:tcPr>
            <w:tcW w:w="0" w:type="auto"/>
            <w:gridSpan w:val="2"/>
            <w:shd w:val="clear" w:color="auto" w:fill="CCEEFF"/>
            <w:tcMar>
              <w:top w:w="30" w:type="dxa"/>
              <w:left w:w="20" w:type="dxa"/>
              <w:bottom w:w="30" w:type="dxa"/>
              <w:right w:w="0" w:type="dxa"/>
            </w:tcMar>
            <w:vAlign w:val="bottom"/>
            <w:hideMark/>
          </w:tcPr>
          <w:p w14:paraId="590534C6" w14:textId="77777777" w:rsidR="00000000" w:rsidRDefault="0068293C">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14:paraId="37C6786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50305"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1B23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2F4BFC" w14:textId="77777777" w:rsidR="00000000" w:rsidRDefault="0068293C">
            <w:pPr>
              <w:spacing w:after="100"/>
              <w:jc w:val="right"/>
              <w:rPr>
                <w:rFonts w:eastAsia="Times New Roman"/>
              </w:rPr>
            </w:pPr>
          </w:p>
        </w:tc>
      </w:tr>
      <w:tr w:rsidR="00000000" w14:paraId="1E583F4C" w14:textId="77777777">
        <w:trPr>
          <w:divId w:val="1760639883"/>
        </w:trPr>
        <w:tc>
          <w:tcPr>
            <w:tcW w:w="0" w:type="auto"/>
            <w:gridSpan w:val="3"/>
            <w:shd w:val="clear" w:color="auto" w:fill="FFFFFF"/>
            <w:tcMar>
              <w:top w:w="30" w:type="dxa"/>
              <w:left w:w="20" w:type="dxa"/>
              <w:bottom w:w="30" w:type="dxa"/>
              <w:right w:w="20" w:type="dxa"/>
            </w:tcMar>
            <w:hideMark/>
          </w:tcPr>
          <w:p w14:paraId="44838324" w14:textId="77777777" w:rsidR="00000000" w:rsidRDefault="0068293C">
            <w:pPr>
              <w:spacing w:after="100"/>
              <w:rPr>
                <w:rFonts w:eastAsia="Times New Roman"/>
              </w:rPr>
            </w:pPr>
            <w:r>
              <w:rPr>
                <w:rFonts w:eastAsia="Times New Roman"/>
                <w:b/>
                <w:bCs/>
                <w:color w:val="000000"/>
                <w:sz w:val="20"/>
                <w:szCs w:val="20"/>
              </w:rPr>
              <w:t>Net cash used in investing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4ACA9B"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4B5D92" w14:textId="77777777" w:rsidR="00000000" w:rsidRDefault="0068293C">
            <w:pPr>
              <w:spacing w:after="100"/>
              <w:jc w:val="right"/>
              <w:rPr>
                <w:rFonts w:eastAsia="Times New Roman"/>
              </w:rPr>
            </w:pPr>
            <w:r>
              <w:rPr>
                <w:rFonts w:eastAsia="Times New Roman"/>
                <w:b/>
                <w:bCs/>
                <w:color w:val="000000"/>
                <w:sz w:val="20"/>
                <w:szCs w:val="20"/>
              </w:rPr>
              <w:t>(86)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518BE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0B292"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7F77D7"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251CB1" w14:textId="77777777" w:rsidR="00000000" w:rsidRDefault="0068293C">
            <w:pPr>
              <w:spacing w:after="100"/>
              <w:jc w:val="right"/>
              <w:rPr>
                <w:rFonts w:eastAsia="Times New Roman"/>
              </w:rPr>
            </w:pPr>
            <w:r>
              <w:rPr>
                <w:rFonts w:eastAsia="Times New Roman"/>
                <w:color w:val="000000"/>
                <w:sz w:val="20"/>
                <w:szCs w:val="20"/>
              </w:rPr>
              <w:t>(218)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CA84DF" w14:textId="77777777" w:rsidR="00000000" w:rsidRDefault="0068293C">
            <w:pPr>
              <w:spacing w:after="100"/>
              <w:jc w:val="right"/>
              <w:rPr>
                <w:rFonts w:eastAsia="Times New Roman"/>
              </w:rPr>
            </w:pPr>
          </w:p>
        </w:tc>
      </w:tr>
      <w:tr w:rsidR="00000000" w14:paraId="0F4F28C8" w14:textId="77777777">
        <w:trPr>
          <w:divId w:val="1760639883"/>
        </w:trPr>
        <w:tc>
          <w:tcPr>
            <w:tcW w:w="0" w:type="auto"/>
            <w:gridSpan w:val="3"/>
            <w:shd w:val="clear" w:color="auto" w:fill="CCEEFF"/>
            <w:tcMar>
              <w:top w:w="30" w:type="dxa"/>
              <w:left w:w="20" w:type="dxa"/>
              <w:bottom w:w="30" w:type="dxa"/>
              <w:right w:w="20" w:type="dxa"/>
            </w:tcMar>
            <w:hideMark/>
          </w:tcPr>
          <w:p w14:paraId="3A8109BF" w14:textId="77777777" w:rsidR="00000000" w:rsidRDefault="0068293C">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5FB4A4"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1994D"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82C869" w14:textId="77777777" w:rsidR="00000000" w:rsidRDefault="0068293C">
            <w:pPr>
              <w:spacing w:after="100"/>
              <w:rPr>
                <w:rFonts w:eastAsia="Times New Roman"/>
                <w:sz w:val="20"/>
                <w:szCs w:val="20"/>
              </w:rPr>
            </w:pPr>
          </w:p>
        </w:tc>
      </w:tr>
      <w:tr w:rsidR="00000000" w14:paraId="499FAEA4" w14:textId="77777777">
        <w:trPr>
          <w:divId w:val="1760639883"/>
        </w:trPr>
        <w:tc>
          <w:tcPr>
            <w:tcW w:w="0" w:type="auto"/>
            <w:gridSpan w:val="3"/>
            <w:shd w:val="clear" w:color="auto" w:fill="FFFFFF"/>
            <w:tcMar>
              <w:top w:w="30" w:type="dxa"/>
              <w:left w:w="245" w:type="dxa"/>
              <w:bottom w:w="30" w:type="dxa"/>
              <w:right w:w="20" w:type="dxa"/>
            </w:tcMar>
            <w:hideMark/>
          </w:tcPr>
          <w:p w14:paraId="6ADC42D1" w14:textId="77777777" w:rsidR="00000000" w:rsidRDefault="0068293C">
            <w:pPr>
              <w:spacing w:after="100"/>
              <w:rPr>
                <w:rFonts w:eastAsia="Times New Roman"/>
              </w:rPr>
            </w:pPr>
            <w:r>
              <w:rPr>
                <w:rFonts w:eastAsia="Times New Roman"/>
                <w:color w:val="000000"/>
                <w:sz w:val="20"/>
                <w:szCs w:val="20"/>
              </w:rPr>
              <w:t>Short term borrowings, net</w:t>
            </w:r>
          </w:p>
        </w:tc>
        <w:tc>
          <w:tcPr>
            <w:tcW w:w="0" w:type="auto"/>
            <w:shd w:val="clear" w:color="auto" w:fill="FFFFFF"/>
            <w:tcMar>
              <w:top w:w="30" w:type="dxa"/>
              <w:left w:w="20" w:type="dxa"/>
              <w:bottom w:w="30" w:type="dxa"/>
              <w:right w:w="0" w:type="dxa"/>
            </w:tcMar>
            <w:vAlign w:val="bottom"/>
            <w:hideMark/>
          </w:tcPr>
          <w:p w14:paraId="1EFC34AE"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C7DA84A" w14:textId="77777777" w:rsidR="00000000" w:rsidRDefault="0068293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ADF7C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64490"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810A8E"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7E8C93"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E3DCF0" w14:textId="77777777" w:rsidR="00000000" w:rsidRDefault="0068293C">
            <w:pPr>
              <w:spacing w:after="100"/>
              <w:jc w:val="right"/>
              <w:rPr>
                <w:rFonts w:eastAsia="Times New Roman"/>
              </w:rPr>
            </w:pPr>
          </w:p>
        </w:tc>
      </w:tr>
      <w:tr w:rsidR="00000000" w14:paraId="061E26C0" w14:textId="77777777">
        <w:trPr>
          <w:divId w:val="1760639883"/>
        </w:trPr>
        <w:tc>
          <w:tcPr>
            <w:tcW w:w="0" w:type="auto"/>
            <w:gridSpan w:val="3"/>
            <w:shd w:val="clear" w:color="auto" w:fill="CCEEFF"/>
            <w:tcMar>
              <w:top w:w="30" w:type="dxa"/>
              <w:left w:w="245" w:type="dxa"/>
              <w:bottom w:w="30" w:type="dxa"/>
              <w:right w:w="20" w:type="dxa"/>
            </w:tcMar>
            <w:hideMark/>
          </w:tcPr>
          <w:p w14:paraId="0DFBA00C" w14:textId="77777777" w:rsidR="00000000" w:rsidRDefault="0068293C">
            <w:pPr>
              <w:spacing w:after="100"/>
              <w:rPr>
                <w:rFonts w:eastAsia="Times New Roman"/>
              </w:rPr>
            </w:pPr>
            <w:r>
              <w:rPr>
                <w:rFonts w:eastAsia="Times New Roman"/>
                <w:color w:val="000000"/>
                <w:sz w:val="20"/>
                <w:szCs w:val="20"/>
              </w:rPr>
              <w:t>Payments on term credit facilities</w:t>
            </w:r>
          </w:p>
        </w:tc>
        <w:tc>
          <w:tcPr>
            <w:tcW w:w="0" w:type="auto"/>
            <w:gridSpan w:val="2"/>
            <w:shd w:val="clear" w:color="auto" w:fill="CCEEFF"/>
            <w:tcMar>
              <w:top w:w="30" w:type="dxa"/>
              <w:left w:w="20" w:type="dxa"/>
              <w:bottom w:w="30" w:type="dxa"/>
              <w:right w:w="0" w:type="dxa"/>
            </w:tcMar>
            <w:vAlign w:val="bottom"/>
            <w:hideMark/>
          </w:tcPr>
          <w:p w14:paraId="0937B75E" w14:textId="77777777" w:rsidR="00000000" w:rsidRDefault="0068293C">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14:paraId="39823DC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9EB9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EEA73" w14:textId="77777777" w:rsidR="00000000" w:rsidRDefault="0068293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1F151047" w14:textId="77777777" w:rsidR="00000000" w:rsidRDefault="0068293C">
            <w:pPr>
              <w:spacing w:after="100"/>
              <w:jc w:val="right"/>
              <w:rPr>
                <w:rFonts w:eastAsia="Times New Roman"/>
              </w:rPr>
            </w:pPr>
          </w:p>
        </w:tc>
      </w:tr>
      <w:tr w:rsidR="00000000" w14:paraId="4A99F69B" w14:textId="77777777">
        <w:trPr>
          <w:divId w:val="1760639883"/>
        </w:trPr>
        <w:tc>
          <w:tcPr>
            <w:tcW w:w="0" w:type="auto"/>
            <w:gridSpan w:val="3"/>
            <w:shd w:val="clear" w:color="auto" w:fill="FFFFFF"/>
            <w:tcMar>
              <w:top w:w="30" w:type="dxa"/>
              <w:left w:w="245" w:type="dxa"/>
              <w:bottom w:w="30" w:type="dxa"/>
              <w:right w:w="20" w:type="dxa"/>
            </w:tcMar>
            <w:hideMark/>
          </w:tcPr>
          <w:p w14:paraId="4DC134A5" w14:textId="77777777" w:rsidR="00000000" w:rsidRDefault="0068293C">
            <w:pPr>
              <w:spacing w:after="100"/>
              <w:rPr>
                <w:rFonts w:eastAsia="Times New Roman"/>
              </w:rPr>
            </w:pPr>
            <w:r>
              <w:rPr>
                <w:rFonts w:eastAsia="Times New Roman"/>
                <w:color w:val="000000"/>
                <w:sz w:val="20"/>
                <w:szCs w:val="20"/>
              </w:rPr>
              <w:t>Payments on revolving credit facilities</w:t>
            </w:r>
          </w:p>
        </w:tc>
        <w:tc>
          <w:tcPr>
            <w:tcW w:w="0" w:type="auto"/>
            <w:gridSpan w:val="2"/>
            <w:shd w:val="clear" w:color="auto" w:fill="FFFFFF"/>
            <w:tcMar>
              <w:top w:w="30" w:type="dxa"/>
              <w:left w:w="20" w:type="dxa"/>
              <w:bottom w:w="30" w:type="dxa"/>
              <w:right w:w="0" w:type="dxa"/>
            </w:tcMar>
            <w:vAlign w:val="bottom"/>
            <w:hideMark/>
          </w:tcPr>
          <w:p w14:paraId="080D6DD2" w14:textId="77777777" w:rsidR="00000000" w:rsidRDefault="0068293C">
            <w:pPr>
              <w:spacing w:after="100"/>
              <w:jc w:val="right"/>
              <w:rPr>
                <w:rFonts w:eastAsia="Times New Roman"/>
              </w:rPr>
            </w:pPr>
            <w:r>
              <w:rPr>
                <w:rFonts w:eastAsia="Times New Roman"/>
                <w:b/>
                <w:bCs/>
                <w:color w:val="000000"/>
                <w:sz w:val="20"/>
                <w:szCs w:val="20"/>
              </w:rPr>
              <w:t>(279)</w:t>
            </w:r>
          </w:p>
        </w:tc>
        <w:tc>
          <w:tcPr>
            <w:tcW w:w="0" w:type="auto"/>
            <w:shd w:val="clear" w:color="auto" w:fill="FFFFFF"/>
            <w:tcMar>
              <w:top w:w="30" w:type="dxa"/>
              <w:left w:w="0" w:type="dxa"/>
              <w:bottom w:w="30" w:type="dxa"/>
              <w:right w:w="20" w:type="dxa"/>
            </w:tcMar>
            <w:vAlign w:val="bottom"/>
            <w:hideMark/>
          </w:tcPr>
          <w:p w14:paraId="063AB68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93D7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372789" w14:textId="77777777" w:rsidR="00000000" w:rsidRDefault="0068293C">
            <w:pPr>
              <w:spacing w:after="100"/>
              <w:jc w:val="right"/>
              <w:rPr>
                <w:rFonts w:eastAsia="Times New Roman"/>
              </w:rPr>
            </w:pPr>
            <w:r>
              <w:rPr>
                <w:rFonts w:eastAsia="Times New Roman"/>
                <w:color w:val="000000"/>
                <w:sz w:val="20"/>
                <w:szCs w:val="20"/>
              </w:rPr>
              <w:t>(318)</w:t>
            </w:r>
          </w:p>
        </w:tc>
        <w:tc>
          <w:tcPr>
            <w:tcW w:w="0" w:type="auto"/>
            <w:shd w:val="clear" w:color="auto" w:fill="FFFFFF"/>
            <w:tcMar>
              <w:top w:w="30" w:type="dxa"/>
              <w:left w:w="0" w:type="dxa"/>
              <w:bottom w:w="30" w:type="dxa"/>
              <w:right w:w="20" w:type="dxa"/>
            </w:tcMar>
            <w:vAlign w:val="bottom"/>
            <w:hideMark/>
          </w:tcPr>
          <w:p w14:paraId="49F4ACE7" w14:textId="77777777" w:rsidR="00000000" w:rsidRDefault="0068293C">
            <w:pPr>
              <w:spacing w:after="100"/>
              <w:jc w:val="right"/>
              <w:rPr>
                <w:rFonts w:eastAsia="Times New Roman"/>
              </w:rPr>
            </w:pPr>
          </w:p>
        </w:tc>
      </w:tr>
      <w:tr w:rsidR="00000000" w14:paraId="2BEF060D" w14:textId="77777777">
        <w:trPr>
          <w:divId w:val="1760639883"/>
        </w:trPr>
        <w:tc>
          <w:tcPr>
            <w:tcW w:w="0" w:type="auto"/>
            <w:gridSpan w:val="3"/>
            <w:vAlign w:val="center"/>
            <w:hideMark/>
          </w:tcPr>
          <w:p w14:paraId="0F96663D" w14:textId="77777777" w:rsidR="00000000" w:rsidRDefault="0068293C">
            <w:pPr>
              <w:spacing w:after="100"/>
              <w:jc w:val="right"/>
              <w:rPr>
                <w:rFonts w:eastAsia="Times New Roman"/>
                <w:sz w:val="20"/>
                <w:szCs w:val="20"/>
              </w:rPr>
            </w:pPr>
          </w:p>
        </w:tc>
        <w:tc>
          <w:tcPr>
            <w:tcW w:w="0" w:type="auto"/>
            <w:gridSpan w:val="3"/>
            <w:vAlign w:val="center"/>
            <w:hideMark/>
          </w:tcPr>
          <w:p w14:paraId="17DCE20B" w14:textId="77777777" w:rsidR="00000000" w:rsidRDefault="0068293C">
            <w:pPr>
              <w:spacing w:after="100"/>
              <w:rPr>
                <w:rFonts w:eastAsia="Times New Roman"/>
                <w:sz w:val="20"/>
                <w:szCs w:val="20"/>
              </w:rPr>
            </w:pPr>
          </w:p>
        </w:tc>
        <w:tc>
          <w:tcPr>
            <w:tcW w:w="0" w:type="auto"/>
            <w:gridSpan w:val="3"/>
            <w:vAlign w:val="center"/>
            <w:hideMark/>
          </w:tcPr>
          <w:p w14:paraId="0FD87619" w14:textId="77777777" w:rsidR="00000000" w:rsidRDefault="0068293C">
            <w:pPr>
              <w:spacing w:after="100"/>
              <w:rPr>
                <w:rFonts w:eastAsia="Times New Roman"/>
                <w:sz w:val="20"/>
                <w:szCs w:val="20"/>
              </w:rPr>
            </w:pPr>
          </w:p>
        </w:tc>
        <w:tc>
          <w:tcPr>
            <w:tcW w:w="0" w:type="auto"/>
            <w:gridSpan w:val="3"/>
            <w:vAlign w:val="center"/>
            <w:hideMark/>
          </w:tcPr>
          <w:p w14:paraId="7E375619" w14:textId="77777777" w:rsidR="00000000" w:rsidRDefault="0068293C">
            <w:pPr>
              <w:spacing w:after="100"/>
              <w:rPr>
                <w:rFonts w:eastAsia="Times New Roman"/>
                <w:sz w:val="20"/>
                <w:szCs w:val="20"/>
              </w:rPr>
            </w:pPr>
          </w:p>
        </w:tc>
      </w:tr>
      <w:tr w:rsidR="00000000" w14:paraId="52F8A1A4" w14:textId="77777777">
        <w:trPr>
          <w:divId w:val="1760639883"/>
        </w:trPr>
        <w:tc>
          <w:tcPr>
            <w:tcW w:w="0" w:type="auto"/>
            <w:gridSpan w:val="3"/>
            <w:vAlign w:val="center"/>
            <w:hideMark/>
          </w:tcPr>
          <w:p w14:paraId="0BC7FC10" w14:textId="77777777" w:rsidR="00000000" w:rsidRDefault="0068293C">
            <w:pPr>
              <w:spacing w:after="100"/>
              <w:rPr>
                <w:rFonts w:eastAsia="Times New Roman"/>
                <w:sz w:val="20"/>
                <w:szCs w:val="20"/>
              </w:rPr>
            </w:pPr>
          </w:p>
        </w:tc>
        <w:tc>
          <w:tcPr>
            <w:tcW w:w="0" w:type="auto"/>
            <w:gridSpan w:val="3"/>
            <w:vAlign w:val="center"/>
            <w:hideMark/>
          </w:tcPr>
          <w:p w14:paraId="121DB567" w14:textId="77777777" w:rsidR="00000000" w:rsidRDefault="0068293C">
            <w:pPr>
              <w:spacing w:after="100"/>
              <w:rPr>
                <w:rFonts w:eastAsia="Times New Roman"/>
                <w:sz w:val="20"/>
                <w:szCs w:val="20"/>
              </w:rPr>
            </w:pPr>
          </w:p>
        </w:tc>
        <w:tc>
          <w:tcPr>
            <w:tcW w:w="0" w:type="auto"/>
            <w:gridSpan w:val="3"/>
            <w:vAlign w:val="center"/>
            <w:hideMark/>
          </w:tcPr>
          <w:p w14:paraId="18C4DDC1" w14:textId="77777777" w:rsidR="00000000" w:rsidRDefault="0068293C">
            <w:pPr>
              <w:spacing w:after="100"/>
              <w:rPr>
                <w:rFonts w:eastAsia="Times New Roman"/>
                <w:sz w:val="20"/>
                <w:szCs w:val="20"/>
              </w:rPr>
            </w:pPr>
          </w:p>
        </w:tc>
        <w:tc>
          <w:tcPr>
            <w:tcW w:w="0" w:type="auto"/>
            <w:gridSpan w:val="3"/>
            <w:vAlign w:val="center"/>
            <w:hideMark/>
          </w:tcPr>
          <w:p w14:paraId="537BE478" w14:textId="77777777" w:rsidR="00000000" w:rsidRDefault="0068293C">
            <w:pPr>
              <w:spacing w:after="100"/>
              <w:rPr>
                <w:rFonts w:eastAsia="Times New Roman"/>
                <w:sz w:val="20"/>
                <w:szCs w:val="20"/>
              </w:rPr>
            </w:pPr>
          </w:p>
        </w:tc>
      </w:tr>
      <w:tr w:rsidR="00000000" w14:paraId="64C11482" w14:textId="77777777">
        <w:trPr>
          <w:divId w:val="1760639883"/>
        </w:trPr>
        <w:tc>
          <w:tcPr>
            <w:tcW w:w="0" w:type="auto"/>
            <w:gridSpan w:val="3"/>
            <w:shd w:val="clear" w:color="auto" w:fill="CCEEFF"/>
            <w:tcMar>
              <w:top w:w="30" w:type="dxa"/>
              <w:left w:w="245" w:type="dxa"/>
              <w:bottom w:w="30" w:type="dxa"/>
              <w:right w:w="20" w:type="dxa"/>
            </w:tcMar>
            <w:hideMark/>
          </w:tcPr>
          <w:p w14:paraId="275DE673" w14:textId="77777777" w:rsidR="00000000" w:rsidRDefault="0068293C">
            <w:pPr>
              <w:spacing w:after="100"/>
              <w:rPr>
                <w:rFonts w:eastAsia="Times New Roman"/>
              </w:rPr>
            </w:pPr>
            <w:r>
              <w:rPr>
                <w:rFonts w:eastAsia="Times New Roman"/>
                <w:color w:val="000000"/>
                <w:sz w:val="20"/>
                <w:szCs w:val="20"/>
              </w:rPr>
              <w:t>Borrowings on revolving credit facilities</w:t>
            </w:r>
          </w:p>
        </w:tc>
        <w:tc>
          <w:tcPr>
            <w:tcW w:w="0" w:type="auto"/>
            <w:gridSpan w:val="2"/>
            <w:shd w:val="clear" w:color="auto" w:fill="CCEEFF"/>
            <w:tcMar>
              <w:top w:w="30" w:type="dxa"/>
              <w:left w:w="20" w:type="dxa"/>
              <w:bottom w:w="30" w:type="dxa"/>
              <w:right w:w="0" w:type="dxa"/>
            </w:tcMar>
            <w:vAlign w:val="bottom"/>
            <w:hideMark/>
          </w:tcPr>
          <w:p w14:paraId="585E8365" w14:textId="77777777" w:rsidR="00000000" w:rsidRDefault="0068293C">
            <w:pPr>
              <w:spacing w:after="100"/>
              <w:jc w:val="right"/>
              <w:rPr>
                <w:rFonts w:eastAsia="Times New Roman"/>
              </w:rPr>
            </w:pPr>
            <w:r>
              <w:rPr>
                <w:rFonts w:eastAsia="Times New Roman"/>
                <w:b/>
                <w:bCs/>
                <w:color w:val="000000"/>
                <w:sz w:val="20"/>
                <w:szCs w:val="20"/>
              </w:rPr>
              <w:t>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E3ADA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ACCF2"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E5267F" w14:textId="77777777" w:rsidR="00000000" w:rsidRDefault="0068293C">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14:paraId="4A02B406" w14:textId="77777777" w:rsidR="00000000" w:rsidRDefault="0068293C">
            <w:pPr>
              <w:spacing w:after="100"/>
              <w:jc w:val="right"/>
              <w:rPr>
                <w:rFonts w:eastAsia="Times New Roman"/>
              </w:rPr>
            </w:pPr>
          </w:p>
        </w:tc>
      </w:tr>
      <w:tr w:rsidR="00000000" w14:paraId="3053E000" w14:textId="77777777">
        <w:trPr>
          <w:divId w:val="1760639883"/>
        </w:trPr>
        <w:tc>
          <w:tcPr>
            <w:tcW w:w="0" w:type="auto"/>
            <w:gridSpan w:val="3"/>
            <w:vAlign w:val="center"/>
            <w:hideMark/>
          </w:tcPr>
          <w:p w14:paraId="5E3CA042" w14:textId="77777777" w:rsidR="00000000" w:rsidRDefault="0068293C">
            <w:pPr>
              <w:spacing w:after="100"/>
              <w:jc w:val="right"/>
              <w:rPr>
                <w:rFonts w:eastAsia="Times New Roman"/>
                <w:sz w:val="20"/>
                <w:szCs w:val="20"/>
              </w:rPr>
            </w:pPr>
          </w:p>
        </w:tc>
        <w:tc>
          <w:tcPr>
            <w:tcW w:w="0" w:type="auto"/>
            <w:gridSpan w:val="3"/>
            <w:vAlign w:val="center"/>
            <w:hideMark/>
          </w:tcPr>
          <w:p w14:paraId="56DCE66E" w14:textId="77777777" w:rsidR="00000000" w:rsidRDefault="0068293C">
            <w:pPr>
              <w:spacing w:after="100"/>
              <w:rPr>
                <w:rFonts w:eastAsia="Times New Roman"/>
                <w:sz w:val="20"/>
                <w:szCs w:val="20"/>
              </w:rPr>
            </w:pPr>
          </w:p>
        </w:tc>
        <w:tc>
          <w:tcPr>
            <w:tcW w:w="0" w:type="auto"/>
            <w:gridSpan w:val="3"/>
            <w:vAlign w:val="center"/>
            <w:hideMark/>
          </w:tcPr>
          <w:p w14:paraId="7380FDB9" w14:textId="77777777" w:rsidR="00000000" w:rsidRDefault="0068293C">
            <w:pPr>
              <w:spacing w:after="100"/>
              <w:rPr>
                <w:rFonts w:eastAsia="Times New Roman"/>
                <w:sz w:val="20"/>
                <w:szCs w:val="20"/>
              </w:rPr>
            </w:pPr>
          </w:p>
        </w:tc>
        <w:tc>
          <w:tcPr>
            <w:tcW w:w="0" w:type="auto"/>
            <w:gridSpan w:val="3"/>
            <w:vAlign w:val="center"/>
            <w:hideMark/>
          </w:tcPr>
          <w:p w14:paraId="36929466" w14:textId="77777777" w:rsidR="00000000" w:rsidRDefault="0068293C">
            <w:pPr>
              <w:spacing w:after="100"/>
              <w:rPr>
                <w:rFonts w:eastAsia="Times New Roman"/>
                <w:sz w:val="20"/>
                <w:szCs w:val="20"/>
              </w:rPr>
            </w:pPr>
          </w:p>
        </w:tc>
      </w:tr>
      <w:tr w:rsidR="00000000" w14:paraId="5AF0A444" w14:textId="77777777">
        <w:trPr>
          <w:divId w:val="1760639883"/>
        </w:trPr>
        <w:tc>
          <w:tcPr>
            <w:tcW w:w="0" w:type="auto"/>
            <w:gridSpan w:val="3"/>
            <w:shd w:val="clear" w:color="auto" w:fill="FFFFFF"/>
            <w:tcMar>
              <w:top w:w="30" w:type="dxa"/>
              <w:left w:w="245" w:type="dxa"/>
              <w:bottom w:w="30" w:type="dxa"/>
              <w:right w:w="20" w:type="dxa"/>
            </w:tcMar>
            <w:hideMark/>
          </w:tcPr>
          <w:p w14:paraId="1CC53CC4" w14:textId="77777777" w:rsidR="00000000" w:rsidRDefault="0068293C">
            <w:pPr>
              <w:spacing w:after="100"/>
              <w:rPr>
                <w:rFonts w:eastAsia="Times New Roman"/>
              </w:rPr>
            </w:pPr>
            <w:r>
              <w:rPr>
                <w:rFonts w:eastAsia="Times New Roman"/>
                <w:color w:val="000000"/>
                <w:sz w:val="20"/>
                <w:szCs w:val="20"/>
              </w:rPr>
              <w:t>Debt issuance costs and bridge commitment fees</w:t>
            </w:r>
          </w:p>
        </w:tc>
        <w:tc>
          <w:tcPr>
            <w:tcW w:w="0" w:type="auto"/>
            <w:gridSpan w:val="2"/>
            <w:shd w:val="clear" w:color="auto" w:fill="FFFFFF"/>
            <w:tcMar>
              <w:top w:w="30" w:type="dxa"/>
              <w:left w:w="20" w:type="dxa"/>
              <w:bottom w:w="30" w:type="dxa"/>
              <w:right w:w="0" w:type="dxa"/>
            </w:tcMar>
            <w:vAlign w:val="bottom"/>
            <w:hideMark/>
          </w:tcPr>
          <w:p w14:paraId="55B8D9BC"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85D36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C8CB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7ED79E"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45229666" w14:textId="77777777" w:rsidR="00000000" w:rsidRDefault="0068293C">
            <w:pPr>
              <w:spacing w:after="100"/>
              <w:jc w:val="right"/>
              <w:rPr>
                <w:rFonts w:eastAsia="Times New Roman"/>
              </w:rPr>
            </w:pPr>
          </w:p>
        </w:tc>
      </w:tr>
      <w:tr w:rsidR="00000000" w14:paraId="7EE8D7CB" w14:textId="77777777">
        <w:trPr>
          <w:divId w:val="1760639883"/>
        </w:trPr>
        <w:tc>
          <w:tcPr>
            <w:tcW w:w="0" w:type="auto"/>
            <w:gridSpan w:val="3"/>
            <w:vAlign w:val="center"/>
            <w:hideMark/>
          </w:tcPr>
          <w:p w14:paraId="5CDA9D0B" w14:textId="77777777" w:rsidR="00000000" w:rsidRDefault="0068293C">
            <w:pPr>
              <w:spacing w:after="100"/>
              <w:jc w:val="right"/>
              <w:rPr>
                <w:rFonts w:eastAsia="Times New Roman"/>
                <w:sz w:val="20"/>
                <w:szCs w:val="20"/>
              </w:rPr>
            </w:pPr>
          </w:p>
        </w:tc>
        <w:tc>
          <w:tcPr>
            <w:tcW w:w="0" w:type="auto"/>
            <w:gridSpan w:val="3"/>
            <w:vAlign w:val="center"/>
            <w:hideMark/>
          </w:tcPr>
          <w:p w14:paraId="49C78EC1" w14:textId="77777777" w:rsidR="00000000" w:rsidRDefault="0068293C">
            <w:pPr>
              <w:spacing w:after="100"/>
              <w:rPr>
                <w:rFonts w:eastAsia="Times New Roman"/>
                <w:sz w:val="20"/>
                <w:szCs w:val="20"/>
              </w:rPr>
            </w:pPr>
          </w:p>
        </w:tc>
        <w:tc>
          <w:tcPr>
            <w:tcW w:w="0" w:type="auto"/>
            <w:gridSpan w:val="3"/>
            <w:vAlign w:val="center"/>
            <w:hideMark/>
          </w:tcPr>
          <w:p w14:paraId="07BC6133" w14:textId="77777777" w:rsidR="00000000" w:rsidRDefault="0068293C">
            <w:pPr>
              <w:spacing w:after="100"/>
              <w:rPr>
                <w:rFonts w:eastAsia="Times New Roman"/>
                <w:sz w:val="20"/>
                <w:szCs w:val="20"/>
              </w:rPr>
            </w:pPr>
          </w:p>
        </w:tc>
        <w:tc>
          <w:tcPr>
            <w:tcW w:w="0" w:type="auto"/>
            <w:gridSpan w:val="3"/>
            <w:vAlign w:val="center"/>
            <w:hideMark/>
          </w:tcPr>
          <w:p w14:paraId="60E9A842" w14:textId="77777777" w:rsidR="00000000" w:rsidRDefault="0068293C">
            <w:pPr>
              <w:spacing w:after="100"/>
              <w:rPr>
                <w:rFonts w:eastAsia="Times New Roman"/>
                <w:sz w:val="20"/>
                <w:szCs w:val="20"/>
              </w:rPr>
            </w:pPr>
          </w:p>
        </w:tc>
      </w:tr>
      <w:tr w:rsidR="00000000" w14:paraId="691289E8" w14:textId="77777777">
        <w:trPr>
          <w:divId w:val="1760639883"/>
        </w:trPr>
        <w:tc>
          <w:tcPr>
            <w:tcW w:w="0" w:type="auto"/>
            <w:gridSpan w:val="3"/>
            <w:shd w:val="clear" w:color="auto" w:fill="CCEEFF"/>
            <w:tcMar>
              <w:top w:w="30" w:type="dxa"/>
              <w:left w:w="245" w:type="dxa"/>
              <w:bottom w:w="30" w:type="dxa"/>
              <w:right w:w="20" w:type="dxa"/>
            </w:tcMar>
            <w:hideMark/>
          </w:tcPr>
          <w:p w14:paraId="45AB958F" w14:textId="77777777" w:rsidR="00000000" w:rsidRDefault="0068293C">
            <w:pPr>
              <w:spacing w:after="100"/>
              <w:rPr>
                <w:rFonts w:eastAsia="Times New Roman"/>
              </w:rPr>
            </w:pPr>
            <w:r>
              <w:rPr>
                <w:rFonts w:eastAsia="Times New Roman"/>
                <w:color w:val="000000"/>
                <w:sz w:val="20"/>
                <w:szCs w:val="20"/>
              </w:rPr>
              <w:t xml:space="preserve">Cash dividend paid for Series A preferred shares dividends </w:t>
            </w:r>
          </w:p>
        </w:tc>
        <w:tc>
          <w:tcPr>
            <w:tcW w:w="0" w:type="auto"/>
            <w:gridSpan w:val="2"/>
            <w:shd w:val="clear" w:color="auto" w:fill="CCEEFF"/>
            <w:tcMar>
              <w:top w:w="30" w:type="dxa"/>
              <w:left w:w="20" w:type="dxa"/>
              <w:bottom w:w="30" w:type="dxa"/>
              <w:right w:w="0" w:type="dxa"/>
            </w:tcMar>
            <w:vAlign w:val="bottom"/>
            <w:hideMark/>
          </w:tcPr>
          <w:p w14:paraId="629570E1" w14:textId="77777777" w:rsidR="00000000" w:rsidRDefault="0068293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1A18511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BA1A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A5ED72" w14:textId="77777777" w:rsidR="00000000" w:rsidRDefault="0068293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7392FD76" w14:textId="77777777" w:rsidR="00000000" w:rsidRDefault="0068293C">
            <w:pPr>
              <w:spacing w:after="100"/>
              <w:jc w:val="right"/>
              <w:rPr>
                <w:rFonts w:eastAsia="Times New Roman"/>
              </w:rPr>
            </w:pPr>
          </w:p>
        </w:tc>
      </w:tr>
      <w:tr w:rsidR="00000000" w14:paraId="53411EF6" w14:textId="77777777">
        <w:trPr>
          <w:divId w:val="1760639883"/>
        </w:trPr>
        <w:tc>
          <w:tcPr>
            <w:tcW w:w="0" w:type="auto"/>
            <w:gridSpan w:val="3"/>
            <w:vAlign w:val="center"/>
            <w:hideMark/>
          </w:tcPr>
          <w:p w14:paraId="074174CF" w14:textId="77777777" w:rsidR="00000000" w:rsidRDefault="0068293C">
            <w:pPr>
              <w:spacing w:after="100"/>
              <w:jc w:val="right"/>
              <w:rPr>
                <w:rFonts w:eastAsia="Times New Roman"/>
                <w:sz w:val="20"/>
                <w:szCs w:val="20"/>
              </w:rPr>
            </w:pPr>
          </w:p>
        </w:tc>
        <w:tc>
          <w:tcPr>
            <w:tcW w:w="0" w:type="auto"/>
            <w:gridSpan w:val="3"/>
            <w:vAlign w:val="center"/>
            <w:hideMark/>
          </w:tcPr>
          <w:p w14:paraId="752ACF69" w14:textId="77777777" w:rsidR="00000000" w:rsidRDefault="0068293C">
            <w:pPr>
              <w:spacing w:after="100"/>
              <w:rPr>
                <w:rFonts w:eastAsia="Times New Roman"/>
                <w:sz w:val="20"/>
                <w:szCs w:val="20"/>
              </w:rPr>
            </w:pPr>
          </w:p>
        </w:tc>
        <w:tc>
          <w:tcPr>
            <w:tcW w:w="0" w:type="auto"/>
            <w:gridSpan w:val="3"/>
            <w:vAlign w:val="center"/>
            <w:hideMark/>
          </w:tcPr>
          <w:p w14:paraId="0663E16A" w14:textId="77777777" w:rsidR="00000000" w:rsidRDefault="0068293C">
            <w:pPr>
              <w:spacing w:after="100"/>
              <w:rPr>
                <w:rFonts w:eastAsia="Times New Roman"/>
                <w:sz w:val="20"/>
                <w:szCs w:val="20"/>
              </w:rPr>
            </w:pPr>
          </w:p>
        </w:tc>
        <w:tc>
          <w:tcPr>
            <w:tcW w:w="0" w:type="auto"/>
            <w:gridSpan w:val="3"/>
            <w:vAlign w:val="center"/>
            <w:hideMark/>
          </w:tcPr>
          <w:p w14:paraId="40CB5322" w14:textId="77777777" w:rsidR="00000000" w:rsidRDefault="0068293C">
            <w:pPr>
              <w:spacing w:after="100"/>
              <w:rPr>
                <w:rFonts w:eastAsia="Times New Roman"/>
                <w:sz w:val="20"/>
                <w:szCs w:val="20"/>
              </w:rPr>
            </w:pPr>
          </w:p>
        </w:tc>
      </w:tr>
      <w:tr w:rsidR="00000000" w14:paraId="4A446081" w14:textId="77777777">
        <w:trPr>
          <w:divId w:val="1760639883"/>
        </w:trPr>
        <w:tc>
          <w:tcPr>
            <w:tcW w:w="0" w:type="auto"/>
            <w:gridSpan w:val="3"/>
            <w:shd w:val="clear" w:color="auto" w:fill="FFFFFF"/>
            <w:tcMar>
              <w:top w:w="30" w:type="dxa"/>
              <w:left w:w="245" w:type="dxa"/>
              <w:bottom w:w="30" w:type="dxa"/>
              <w:right w:w="20" w:type="dxa"/>
            </w:tcMar>
            <w:hideMark/>
          </w:tcPr>
          <w:p w14:paraId="044D9485" w14:textId="77777777" w:rsidR="00000000" w:rsidRDefault="0068293C">
            <w:pPr>
              <w:spacing w:after="100"/>
              <w:rPr>
                <w:rFonts w:eastAsia="Times New Roman"/>
              </w:rPr>
            </w:pPr>
            <w:r>
              <w:rPr>
                <w:rFonts w:eastAsia="Times New Roman"/>
                <w:color w:val="000000"/>
                <w:sz w:val="20"/>
                <w:szCs w:val="20"/>
              </w:rPr>
              <w:t>Proceeds from employee stock plans</w:t>
            </w:r>
          </w:p>
        </w:tc>
        <w:tc>
          <w:tcPr>
            <w:tcW w:w="0" w:type="auto"/>
            <w:gridSpan w:val="2"/>
            <w:shd w:val="clear" w:color="auto" w:fill="FFFFFF"/>
            <w:tcMar>
              <w:top w:w="30" w:type="dxa"/>
              <w:left w:w="20" w:type="dxa"/>
              <w:bottom w:w="30" w:type="dxa"/>
              <w:right w:w="0" w:type="dxa"/>
            </w:tcMar>
            <w:vAlign w:val="bottom"/>
            <w:hideMark/>
          </w:tcPr>
          <w:p w14:paraId="2F475AEE" w14:textId="77777777" w:rsidR="00000000" w:rsidRDefault="0068293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78212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D5E1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0632B" w14:textId="77777777" w:rsidR="00000000" w:rsidRDefault="0068293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595919EC" w14:textId="77777777" w:rsidR="00000000" w:rsidRDefault="0068293C">
            <w:pPr>
              <w:spacing w:after="100"/>
              <w:jc w:val="right"/>
              <w:rPr>
                <w:rFonts w:eastAsia="Times New Roman"/>
              </w:rPr>
            </w:pPr>
          </w:p>
        </w:tc>
      </w:tr>
      <w:tr w:rsidR="00000000" w14:paraId="57F58002" w14:textId="77777777">
        <w:trPr>
          <w:divId w:val="1760639883"/>
        </w:trPr>
        <w:tc>
          <w:tcPr>
            <w:tcW w:w="0" w:type="auto"/>
            <w:gridSpan w:val="3"/>
            <w:shd w:val="clear" w:color="auto" w:fill="CCEEFF"/>
            <w:tcMar>
              <w:top w:w="30" w:type="dxa"/>
              <w:left w:w="245" w:type="dxa"/>
              <w:bottom w:w="30" w:type="dxa"/>
              <w:right w:w="20" w:type="dxa"/>
            </w:tcMar>
            <w:hideMark/>
          </w:tcPr>
          <w:p w14:paraId="3C3712AD" w14:textId="77777777" w:rsidR="00000000" w:rsidRDefault="0068293C">
            <w:pPr>
              <w:spacing w:after="100"/>
              <w:rPr>
                <w:rFonts w:eastAsia="Times New Roman"/>
              </w:rPr>
            </w:pPr>
            <w:r>
              <w:rPr>
                <w:rFonts w:eastAsia="Times New Roman"/>
                <w:color w:val="000000"/>
                <w:sz w:val="20"/>
                <w:szCs w:val="20"/>
              </w:rPr>
              <w:t>Tax withholding payments on behalf of employees</w:t>
            </w:r>
          </w:p>
        </w:tc>
        <w:tc>
          <w:tcPr>
            <w:tcW w:w="0" w:type="auto"/>
            <w:gridSpan w:val="2"/>
            <w:shd w:val="clear" w:color="auto" w:fill="CCEEFF"/>
            <w:tcMar>
              <w:top w:w="30" w:type="dxa"/>
              <w:left w:w="20" w:type="dxa"/>
              <w:bottom w:w="30" w:type="dxa"/>
              <w:right w:w="0" w:type="dxa"/>
            </w:tcMar>
            <w:vAlign w:val="bottom"/>
            <w:hideMark/>
          </w:tcPr>
          <w:p w14:paraId="27D43A36" w14:textId="77777777" w:rsidR="00000000" w:rsidRDefault="0068293C">
            <w:pPr>
              <w:spacing w:after="100"/>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14:paraId="13C9E86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5BFDD"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FE5235" w14:textId="77777777" w:rsidR="00000000" w:rsidRDefault="0068293C">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14:paraId="3AA49BB0" w14:textId="77777777" w:rsidR="00000000" w:rsidRDefault="0068293C">
            <w:pPr>
              <w:spacing w:after="100"/>
              <w:jc w:val="right"/>
              <w:rPr>
                <w:rFonts w:eastAsia="Times New Roman"/>
              </w:rPr>
            </w:pPr>
          </w:p>
        </w:tc>
      </w:tr>
      <w:tr w:rsidR="00000000" w14:paraId="2068C171" w14:textId="77777777">
        <w:trPr>
          <w:divId w:val="1760639883"/>
        </w:trPr>
        <w:tc>
          <w:tcPr>
            <w:tcW w:w="0" w:type="auto"/>
            <w:gridSpan w:val="3"/>
            <w:shd w:val="clear" w:color="auto" w:fill="FFFFFF"/>
            <w:tcMar>
              <w:top w:w="30" w:type="dxa"/>
              <w:left w:w="245" w:type="dxa"/>
              <w:bottom w:w="30" w:type="dxa"/>
              <w:right w:w="20" w:type="dxa"/>
            </w:tcMar>
            <w:hideMark/>
          </w:tcPr>
          <w:p w14:paraId="003CBB1A" w14:textId="77777777" w:rsidR="00000000" w:rsidRDefault="0068293C">
            <w:pPr>
              <w:spacing w:after="100"/>
              <w:rPr>
                <w:rFonts w:eastAsia="Times New Roman"/>
              </w:rPr>
            </w:pPr>
            <w:r>
              <w:rPr>
                <w:rFonts w:eastAsia="Times New Roman"/>
                <w:color w:val="000000"/>
                <w:sz w:val="20"/>
                <w:szCs w:val="20"/>
              </w:rPr>
              <w:t>Net change in client funds obligations</w:t>
            </w:r>
          </w:p>
        </w:tc>
        <w:tc>
          <w:tcPr>
            <w:tcW w:w="0" w:type="auto"/>
            <w:gridSpan w:val="2"/>
            <w:shd w:val="clear" w:color="auto" w:fill="FFFFFF"/>
            <w:tcMar>
              <w:top w:w="30" w:type="dxa"/>
              <w:left w:w="20" w:type="dxa"/>
              <w:bottom w:w="30" w:type="dxa"/>
              <w:right w:w="0" w:type="dxa"/>
            </w:tcMar>
            <w:vAlign w:val="bottom"/>
            <w:hideMark/>
          </w:tcPr>
          <w:p w14:paraId="34E276EA" w14:textId="77777777" w:rsidR="00000000" w:rsidRDefault="0068293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F8B7C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EAA6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CB0C81"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AB6C5B" w14:textId="77777777" w:rsidR="00000000" w:rsidRDefault="0068293C">
            <w:pPr>
              <w:spacing w:after="100"/>
              <w:jc w:val="right"/>
              <w:rPr>
                <w:rFonts w:eastAsia="Times New Roman"/>
              </w:rPr>
            </w:pPr>
          </w:p>
        </w:tc>
      </w:tr>
      <w:tr w:rsidR="00000000" w14:paraId="6CBEFEA8" w14:textId="77777777">
        <w:trPr>
          <w:divId w:val="1760639883"/>
        </w:trPr>
        <w:tc>
          <w:tcPr>
            <w:tcW w:w="0" w:type="auto"/>
            <w:gridSpan w:val="3"/>
            <w:shd w:val="clear" w:color="auto" w:fill="CCEEFF"/>
            <w:tcMar>
              <w:top w:w="30" w:type="dxa"/>
              <w:left w:w="245" w:type="dxa"/>
              <w:bottom w:w="30" w:type="dxa"/>
              <w:right w:w="20" w:type="dxa"/>
            </w:tcMar>
            <w:hideMark/>
          </w:tcPr>
          <w:p w14:paraId="6DD1D27B" w14:textId="77777777" w:rsidR="00000000" w:rsidRDefault="0068293C">
            <w:pPr>
              <w:spacing w:after="100"/>
              <w:rPr>
                <w:rFonts w:eastAsia="Times New Roman"/>
              </w:rPr>
            </w:pPr>
            <w:r>
              <w:rPr>
                <w:rFonts w:eastAsia="Times New Roman"/>
                <w:color w:val="000000"/>
                <w:sz w:val="20"/>
                <w:szCs w:val="20"/>
              </w:rPr>
              <w:t>Principal payments for finance lease obligations</w:t>
            </w:r>
          </w:p>
        </w:tc>
        <w:tc>
          <w:tcPr>
            <w:tcW w:w="0" w:type="auto"/>
            <w:gridSpan w:val="2"/>
            <w:shd w:val="clear" w:color="auto" w:fill="CCEEFF"/>
            <w:tcMar>
              <w:top w:w="30" w:type="dxa"/>
              <w:left w:w="20" w:type="dxa"/>
              <w:bottom w:w="30" w:type="dxa"/>
              <w:right w:w="0" w:type="dxa"/>
            </w:tcMar>
            <w:vAlign w:val="bottom"/>
            <w:hideMark/>
          </w:tcPr>
          <w:p w14:paraId="2584AEFF" w14:textId="77777777" w:rsidR="00000000" w:rsidRDefault="0068293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6E3A3F4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A946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3C3F50" w14:textId="77777777" w:rsidR="00000000" w:rsidRDefault="0068293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16559843" w14:textId="77777777" w:rsidR="00000000" w:rsidRDefault="0068293C">
            <w:pPr>
              <w:spacing w:after="100"/>
              <w:jc w:val="right"/>
              <w:rPr>
                <w:rFonts w:eastAsia="Times New Roman"/>
              </w:rPr>
            </w:pPr>
          </w:p>
        </w:tc>
      </w:tr>
      <w:tr w:rsidR="00000000" w14:paraId="34D062D9" w14:textId="77777777">
        <w:trPr>
          <w:divId w:val="1760639883"/>
        </w:trPr>
        <w:tc>
          <w:tcPr>
            <w:tcW w:w="0" w:type="auto"/>
            <w:gridSpan w:val="3"/>
            <w:shd w:val="clear" w:color="auto" w:fill="FFFFFF"/>
            <w:tcMar>
              <w:top w:w="30" w:type="dxa"/>
              <w:left w:w="245" w:type="dxa"/>
              <w:bottom w:w="30" w:type="dxa"/>
              <w:right w:w="20" w:type="dxa"/>
            </w:tcMar>
            <w:hideMark/>
          </w:tcPr>
          <w:p w14:paraId="763C5556" w14:textId="77777777" w:rsidR="00000000" w:rsidRDefault="0068293C">
            <w:pPr>
              <w:spacing w:after="100"/>
              <w:rPr>
                <w:rFonts w:eastAsia="Times New Roman"/>
              </w:rPr>
            </w:pPr>
            <w:r>
              <w:rPr>
                <w:rFonts w:eastAsia="Times New Roman"/>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14:paraId="03A2AA13"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6348B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83AB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24458"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2A4BC15" w14:textId="77777777" w:rsidR="00000000" w:rsidRDefault="0068293C">
            <w:pPr>
              <w:spacing w:after="100"/>
              <w:jc w:val="right"/>
              <w:rPr>
                <w:rFonts w:eastAsia="Times New Roman"/>
              </w:rPr>
            </w:pPr>
          </w:p>
        </w:tc>
      </w:tr>
      <w:tr w:rsidR="00000000" w14:paraId="01088866" w14:textId="77777777">
        <w:trPr>
          <w:divId w:val="1760639883"/>
        </w:trPr>
        <w:tc>
          <w:tcPr>
            <w:tcW w:w="0" w:type="auto"/>
            <w:gridSpan w:val="3"/>
            <w:shd w:val="clear" w:color="auto" w:fill="CCEEFF"/>
            <w:tcMar>
              <w:top w:w="30" w:type="dxa"/>
              <w:left w:w="20" w:type="dxa"/>
              <w:bottom w:w="30" w:type="dxa"/>
              <w:right w:w="20" w:type="dxa"/>
            </w:tcMar>
            <w:vAlign w:val="bottom"/>
            <w:hideMark/>
          </w:tcPr>
          <w:p w14:paraId="396CE3FE" w14:textId="77777777" w:rsidR="00000000" w:rsidRDefault="0068293C">
            <w:pPr>
              <w:spacing w:after="100"/>
              <w:rPr>
                <w:rFonts w:eastAsia="Times New Roman"/>
              </w:rPr>
            </w:pPr>
            <w:r>
              <w:rPr>
                <w:rFonts w:eastAsia="Times New Roman"/>
                <w:b/>
                <w:bCs/>
                <w:color w:val="000000"/>
                <w:sz w:val="20"/>
                <w:szCs w:val="20"/>
              </w:rPr>
              <w:t>Net cash provided by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7353DA"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649E19"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11FF0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05547"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845A1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7FE669" w14:textId="77777777" w:rsidR="00000000" w:rsidRDefault="0068293C">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B738BE" w14:textId="77777777" w:rsidR="00000000" w:rsidRDefault="0068293C">
            <w:pPr>
              <w:spacing w:after="100"/>
              <w:jc w:val="right"/>
              <w:rPr>
                <w:rFonts w:eastAsia="Times New Roman"/>
              </w:rPr>
            </w:pPr>
          </w:p>
        </w:tc>
      </w:tr>
      <w:tr w:rsidR="00000000" w14:paraId="3F677FE9" w14:textId="77777777">
        <w:trPr>
          <w:divId w:val="1760639883"/>
        </w:trPr>
        <w:tc>
          <w:tcPr>
            <w:tcW w:w="0" w:type="auto"/>
            <w:gridSpan w:val="3"/>
            <w:shd w:val="clear" w:color="auto" w:fill="FFFFFF"/>
            <w:tcMar>
              <w:top w:w="30" w:type="dxa"/>
              <w:left w:w="20" w:type="dxa"/>
              <w:bottom w:w="30" w:type="dxa"/>
              <w:right w:w="20" w:type="dxa"/>
            </w:tcMar>
            <w:vAlign w:val="bottom"/>
            <w:hideMark/>
          </w:tcPr>
          <w:p w14:paraId="3F656D72" w14:textId="77777777" w:rsidR="00000000" w:rsidRDefault="0068293C">
            <w:pPr>
              <w:spacing w:after="100"/>
              <w:rPr>
                <w:rFonts w:eastAsia="Times New Roman"/>
              </w:rPr>
            </w:pPr>
            <w:r>
              <w:rPr>
                <w:rFonts w:eastAsia="Times New Roman"/>
                <w:b/>
                <w:bCs/>
                <w:color w:val="000000"/>
                <w:sz w:val="20"/>
                <w:szCs w:val="20"/>
              </w:rPr>
              <w:t>Cash flows from discontinued operations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2497B1"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C281B"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FB869A" w14:textId="77777777" w:rsidR="00000000" w:rsidRDefault="0068293C">
            <w:pPr>
              <w:spacing w:after="100"/>
              <w:rPr>
                <w:rFonts w:eastAsia="Times New Roman"/>
                <w:sz w:val="20"/>
                <w:szCs w:val="20"/>
              </w:rPr>
            </w:pPr>
          </w:p>
        </w:tc>
      </w:tr>
      <w:tr w:rsidR="00000000" w14:paraId="622E2532" w14:textId="77777777">
        <w:trPr>
          <w:divId w:val="1760639883"/>
        </w:trPr>
        <w:tc>
          <w:tcPr>
            <w:tcW w:w="0" w:type="auto"/>
            <w:gridSpan w:val="3"/>
            <w:shd w:val="clear" w:color="auto" w:fill="CCEEFF"/>
            <w:tcMar>
              <w:top w:w="30" w:type="dxa"/>
              <w:left w:w="245" w:type="dxa"/>
              <w:bottom w:w="30" w:type="dxa"/>
              <w:right w:w="20" w:type="dxa"/>
            </w:tcMar>
            <w:hideMark/>
          </w:tcPr>
          <w:p w14:paraId="00A2EFCE" w14:textId="77777777" w:rsidR="00000000" w:rsidRDefault="0068293C">
            <w:pPr>
              <w:spacing w:after="100"/>
              <w:rPr>
                <w:rFonts w:eastAsia="Times New Roman"/>
              </w:rPr>
            </w:pPr>
            <w:r>
              <w:rPr>
                <w:rFonts w:eastAsia="Times New Roman"/>
                <w:color w:val="000000"/>
                <w:sz w:val="20"/>
                <w:szCs w:val="20"/>
              </w:rPr>
              <w:t>Net cash provided by (used in) operating activities of discontinued operations</w:t>
            </w:r>
          </w:p>
        </w:tc>
        <w:tc>
          <w:tcPr>
            <w:tcW w:w="0" w:type="auto"/>
            <w:gridSpan w:val="2"/>
            <w:shd w:val="clear" w:color="auto" w:fill="CCEEFF"/>
            <w:tcMar>
              <w:top w:w="30" w:type="dxa"/>
              <w:left w:w="20" w:type="dxa"/>
              <w:bottom w:w="30" w:type="dxa"/>
              <w:right w:w="0" w:type="dxa"/>
            </w:tcMar>
            <w:vAlign w:val="bottom"/>
            <w:hideMark/>
          </w:tcPr>
          <w:p w14:paraId="05D6635E" w14:textId="77777777" w:rsidR="00000000" w:rsidRDefault="0068293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0CAEC31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F730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C9F0D" w14:textId="77777777" w:rsidR="00000000" w:rsidRDefault="0068293C">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14:paraId="651E9B06" w14:textId="77777777" w:rsidR="00000000" w:rsidRDefault="0068293C">
            <w:pPr>
              <w:spacing w:after="100"/>
              <w:jc w:val="right"/>
              <w:rPr>
                <w:rFonts w:eastAsia="Times New Roman"/>
              </w:rPr>
            </w:pPr>
          </w:p>
        </w:tc>
      </w:tr>
      <w:tr w:rsidR="00000000" w14:paraId="37F9E50E" w14:textId="77777777">
        <w:trPr>
          <w:divId w:val="1760639883"/>
        </w:trPr>
        <w:tc>
          <w:tcPr>
            <w:tcW w:w="0" w:type="auto"/>
            <w:gridSpan w:val="3"/>
            <w:shd w:val="clear" w:color="auto" w:fill="FFFFFF"/>
            <w:tcMar>
              <w:top w:w="30" w:type="dxa"/>
              <w:left w:w="20" w:type="dxa"/>
              <w:bottom w:w="30" w:type="dxa"/>
              <w:right w:w="20" w:type="dxa"/>
            </w:tcMar>
            <w:hideMark/>
          </w:tcPr>
          <w:p w14:paraId="1F55DE36" w14:textId="77777777" w:rsidR="00000000" w:rsidRDefault="0068293C">
            <w:pPr>
              <w:spacing w:after="100"/>
              <w:rPr>
                <w:rFonts w:eastAsia="Times New Roman"/>
              </w:rPr>
            </w:pPr>
            <w:r>
              <w:rPr>
                <w:rFonts w:eastAsia="Times New Roman"/>
                <w:color w:val="000000"/>
                <w:sz w:val="20"/>
                <w:szCs w:val="20"/>
              </w:rPr>
              <w:t>Effect of exchange rate chan</w:t>
            </w:r>
            <w:r>
              <w:rPr>
                <w:rFonts w:eastAsia="Times New Roman"/>
                <w:color w:val="000000"/>
                <w:sz w:val="20"/>
                <w:szCs w:val="20"/>
              </w:rPr>
              <w:t>ges on cash, cash equivalents and restricted cash</w:t>
            </w:r>
          </w:p>
        </w:tc>
        <w:tc>
          <w:tcPr>
            <w:tcW w:w="0" w:type="auto"/>
            <w:gridSpan w:val="2"/>
            <w:shd w:val="clear" w:color="auto" w:fill="FFFFFF"/>
            <w:tcMar>
              <w:top w:w="30" w:type="dxa"/>
              <w:left w:w="20" w:type="dxa"/>
              <w:bottom w:w="30" w:type="dxa"/>
              <w:right w:w="0" w:type="dxa"/>
            </w:tcMar>
            <w:vAlign w:val="bottom"/>
            <w:hideMark/>
          </w:tcPr>
          <w:p w14:paraId="3C3A7870" w14:textId="77777777" w:rsidR="00000000" w:rsidRDefault="0068293C">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14:paraId="2A2B2AB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29A0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AE4F1" w14:textId="77777777" w:rsidR="00000000" w:rsidRDefault="0068293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481DBD74" w14:textId="77777777" w:rsidR="00000000" w:rsidRDefault="0068293C">
            <w:pPr>
              <w:spacing w:after="100"/>
              <w:jc w:val="right"/>
              <w:rPr>
                <w:rFonts w:eastAsia="Times New Roman"/>
              </w:rPr>
            </w:pPr>
          </w:p>
        </w:tc>
      </w:tr>
      <w:tr w:rsidR="00000000" w14:paraId="0DF56820" w14:textId="77777777">
        <w:trPr>
          <w:divId w:val="1760639883"/>
        </w:trPr>
        <w:tc>
          <w:tcPr>
            <w:tcW w:w="0" w:type="auto"/>
            <w:gridSpan w:val="3"/>
            <w:shd w:val="clear" w:color="auto" w:fill="CCEEFF"/>
            <w:tcMar>
              <w:top w:w="30" w:type="dxa"/>
              <w:left w:w="20" w:type="dxa"/>
              <w:bottom w:w="30" w:type="dxa"/>
              <w:right w:w="20" w:type="dxa"/>
            </w:tcMar>
            <w:hideMark/>
          </w:tcPr>
          <w:p w14:paraId="08D522BB" w14:textId="77777777" w:rsidR="00000000" w:rsidRDefault="0068293C">
            <w:pPr>
              <w:spacing w:after="100"/>
              <w:rPr>
                <w:rFonts w:eastAsia="Times New Roman"/>
              </w:rPr>
            </w:pPr>
            <w:r>
              <w:rPr>
                <w:rFonts w:eastAsia="Times New Roman"/>
                <w:color w:val="000000"/>
                <w:sz w:val="20"/>
                <w:szCs w:val="20"/>
              </w:rPr>
              <w:t>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A20ED6" w14:textId="77777777" w:rsidR="00000000" w:rsidRDefault="0068293C">
            <w:pPr>
              <w:spacing w:after="100"/>
              <w:jc w:val="right"/>
              <w:rPr>
                <w:rFonts w:eastAsia="Times New Roman"/>
              </w:rPr>
            </w:pPr>
            <w:r>
              <w:rPr>
                <w:rFonts w:eastAsia="Times New Roman"/>
                <w:b/>
                <w:bCs/>
                <w:color w:val="000000"/>
                <w:sz w:val="20"/>
                <w:szCs w:val="20"/>
              </w:rPr>
              <w:t>(57)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201CB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A1410"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E06827" w14:textId="77777777" w:rsidR="00000000" w:rsidRDefault="0068293C">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087ECE" w14:textId="77777777" w:rsidR="00000000" w:rsidRDefault="0068293C">
            <w:pPr>
              <w:spacing w:after="100"/>
              <w:jc w:val="right"/>
              <w:rPr>
                <w:rFonts w:eastAsia="Times New Roman"/>
              </w:rPr>
            </w:pPr>
          </w:p>
        </w:tc>
      </w:tr>
      <w:tr w:rsidR="00000000" w14:paraId="0B3CA2BF" w14:textId="77777777">
        <w:trPr>
          <w:divId w:val="1760639883"/>
        </w:trPr>
        <w:tc>
          <w:tcPr>
            <w:tcW w:w="0" w:type="auto"/>
            <w:gridSpan w:val="3"/>
            <w:shd w:val="clear" w:color="auto" w:fill="FFFFFF"/>
            <w:tcMar>
              <w:top w:w="30" w:type="dxa"/>
              <w:left w:w="20" w:type="dxa"/>
              <w:bottom w:w="30" w:type="dxa"/>
              <w:right w:w="20" w:type="dxa"/>
            </w:tcMar>
            <w:hideMark/>
          </w:tcPr>
          <w:p w14:paraId="1AA84B73" w14:textId="77777777" w:rsidR="00000000" w:rsidRDefault="0068293C">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14:paraId="45633A9E" w14:textId="77777777" w:rsidR="00000000" w:rsidRDefault="0068293C">
            <w:pPr>
              <w:spacing w:after="100"/>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CC8FF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B1AD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29C53" w14:textId="77777777" w:rsidR="00000000" w:rsidRDefault="0068293C">
            <w:pPr>
              <w:spacing w:after="100"/>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14:paraId="743408A5" w14:textId="77777777" w:rsidR="00000000" w:rsidRDefault="0068293C">
            <w:pPr>
              <w:spacing w:after="100"/>
              <w:jc w:val="right"/>
              <w:rPr>
                <w:rFonts w:eastAsia="Times New Roman"/>
              </w:rPr>
            </w:pPr>
          </w:p>
        </w:tc>
      </w:tr>
      <w:tr w:rsidR="00000000" w14:paraId="3291C258" w14:textId="77777777">
        <w:trPr>
          <w:divId w:val="1760639883"/>
        </w:trPr>
        <w:tc>
          <w:tcPr>
            <w:tcW w:w="0" w:type="auto"/>
            <w:gridSpan w:val="3"/>
            <w:shd w:val="clear" w:color="auto" w:fill="CCEEFF"/>
            <w:tcMar>
              <w:top w:w="30" w:type="dxa"/>
              <w:left w:w="20" w:type="dxa"/>
              <w:bottom w:w="30" w:type="dxa"/>
              <w:right w:w="20" w:type="dxa"/>
            </w:tcMar>
            <w:hideMark/>
          </w:tcPr>
          <w:p w14:paraId="303C3628" w14:textId="77777777" w:rsidR="00000000" w:rsidRDefault="0068293C">
            <w:pPr>
              <w:spacing w:after="100"/>
              <w:rPr>
                <w:rFonts w:eastAsia="Times New Roman"/>
              </w:rPr>
            </w:pPr>
            <w:r>
              <w:rPr>
                <w:rFonts w:eastAsia="Times New Roman"/>
                <w:b/>
                <w:bCs/>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F65BE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3139D6" w14:textId="77777777" w:rsidR="00000000" w:rsidRDefault="0068293C">
            <w:pPr>
              <w:spacing w:after="100"/>
              <w:jc w:val="right"/>
              <w:rPr>
                <w:rFonts w:eastAsia="Times New Roman"/>
              </w:rPr>
            </w:pPr>
            <w:r>
              <w:rPr>
                <w:rFonts w:eastAsia="Times New Roman"/>
                <w:b/>
                <w:bCs/>
                <w:color w:val="000000"/>
                <w:sz w:val="20"/>
                <w:szCs w:val="20"/>
              </w:rPr>
              <w:t>692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49D0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A2BE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C2320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050CFB" w14:textId="77777777" w:rsidR="00000000" w:rsidRDefault="0068293C">
            <w:pPr>
              <w:spacing w:after="100"/>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CFD101" w14:textId="77777777" w:rsidR="00000000" w:rsidRDefault="0068293C">
            <w:pPr>
              <w:spacing w:after="100"/>
              <w:jc w:val="right"/>
              <w:rPr>
                <w:rFonts w:eastAsia="Times New Roman"/>
              </w:rPr>
            </w:pPr>
          </w:p>
        </w:tc>
      </w:tr>
      <w:tr w:rsidR="00000000" w14:paraId="01813FAA" w14:textId="77777777">
        <w:trPr>
          <w:divId w:val="1760639883"/>
          <w:trHeight w:val="60"/>
        </w:trPr>
        <w:tc>
          <w:tcPr>
            <w:tcW w:w="0" w:type="auto"/>
            <w:gridSpan w:val="3"/>
            <w:tcMar>
              <w:top w:w="0" w:type="dxa"/>
              <w:left w:w="20" w:type="dxa"/>
              <w:bottom w:w="0" w:type="dxa"/>
              <w:right w:w="20" w:type="dxa"/>
            </w:tcMar>
            <w:vAlign w:val="center"/>
            <w:hideMark/>
          </w:tcPr>
          <w:p w14:paraId="1CD97F8A" w14:textId="77777777" w:rsidR="00000000" w:rsidRDefault="0068293C">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EFE953E"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B049A2" w14:textId="77777777" w:rsidR="00000000" w:rsidRDefault="0068293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105AB15" w14:textId="77777777" w:rsidR="00000000" w:rsidRDefault="0068293C">
            <w:pPr>
              <w:spacing w:after="100"/>
              <w:rPr>
                <w:rFonts w:eastAsia="Times New Roman"/>
                <w:sz w:val="20"/>
                <w:szCs w:val="20"/>
              </w:rPr>
            </w:pPr>
          </w:p>
        </w:tc>
      </w:tr>
      <w:tr w:rsidR="00000000" w14:paraId="002209AA" w14:textId="77777777">
        <w:trPr>
          <w:divId w:val="1760639883"/>
        </w:trPr>
        <w:tc>
          <w:tcPr>
            <w:tcW w:w="0" w:type="auto"/>
            <w:gridSpan w:val="3"/>
            <w:vAlign w:val="center"/>
            <w:hideMark/>
          </w:tcPr>
          <w:p w14:paraId="56741A1F" w14:textId="77777777" w:rsidR="00000000" w:rsidRDefault="0068293C">
            <w:pPr>
              <w:spacing w:after="100"/>
              <w:rPr>
                <w:rFonts w:eastAsia="Times New Roman"/>
                <w:sz w:val="20"/>
                <w:szCs w:val="20"/>
              </w:rPr>
            </w:pPr>
          </w:p>
        </w:tc>
        <w:tc>
          <w:tcPr>
            <w:tcW w:w="0" w:type="auto"/>
            <w:gridSpan w:val="3"/>
            <w:vAlign w:val="center"/>
            <w:hideMark/>
          </w:tcPr>
          <w:p w14:paraId="3F1B0E66" w14:textId="77777777" w:rsidR="00000000" w:rsidRDefault="0068293C">
            <w:pPr>
              <w:spacing w:after="100"/>
              <w:rPr>
                <w:rFonts w:eastAsia="Times New Roman"/>
                <w:sz w:val="20"/>
                <w:szCs w:val="20"/>
              </w:rPr>
            </w:pPr>
          </w:p>
        </w:tc>
        <w:tc>
          <w:tcPr>
            <w:tcW w:w="0" w:type="auto"/>
            <w:gridSpan w:val="3"/>
            <w:vAlign w:val="center"/>
            <w:hideMark/>
          </w:tcPr>
          <w:p w14:paraId="0C043D05" w14:textId="77777777" w:rsidR="00000000" w:rsidRDefault="0068293C">
            <w:pPr>
              <w:spacing w:after="100"/>
              <w:rPr>
                <w:rFonts w:eastAsia="Times New Roman"/>
                <w:sz w:val="20"/>
                <w:szCs w:val="20"/>
              </w:rPr>
            </w:pPr>
          </w:p>
        </w:tc>
        <w:tc>
          <w:tcPr>
            <w:tcW w:w="0" w:type="auto"/>
            <w:gridSpan w:val="3"/>
            <w:vAlign w:val="center"/>
            <w:hideMark/>
          </w:tcPr>
          <w:p w14:paraId="19A593C1" w14:textId="77777777" w:rsidR="00000000" w:rsidRDefault="0068293C">
            <w:pPr>
              <w:spacing w:after="100"/>
              <w:rPr>
                <w:rFonts w:eastAsia="Times New Roman"/>
                <w:sz w:val="20"/>
                <w:szCs w:val="20"/>
              </w:rPr>
            </w:pPr>
          </w:p>
        </w:tc>
      </w:tr>
      <w:tr w:rsidR="00000000" w14:paraId="188514F9" w14:textId="77777777">
        <w:trPr>
          <w:divId w:val="1760639883"/>
        </w:trPr>
        <w:tc>
          <w:tcPr>
            <w:tcW w:w="0" w:type="auto"/>
            <w:gridSpan w:val="3"/>
            <w:vAlign w:val="center"/>
            <w:hideMark/>
          </w:tcPr>
          <w:p w14:paraId="34D97B3A" w14:textId="77777777" w:rsidR="00000000" w:rsidRDefault="0068293C">
            <w:pPr>
              <w:spacing w:after="100"/>
              <w:rPr>
                <w:rFonts w:eastAsia="Times New Roman"/>
                <w:sz w:val="20"/>
                <w:szCs w:val="20"/>
              </w:rPr>
            </w:pPr>
          </w:p>
        </w:tc>
        <w:tc>
          <w:tcPr>
            <w:tcW w:w="0" w:type="auto"/>
            <w:gridSpan w:val="3"/>
            <w:vAlign w:val="center"/>
            <w:hideMark/>
          </w:tcPr>
          <w:p w14:paraId="165929F4" w14:textId="77777777" w:rsidR="00000000" w:rsidRDefault="0068293C">
            <w:pPr>
              <w:spacing w:after="100"/>
              <w:rPr>
                <w:rFonts w:eastAsia="Times New Roman"/>
                <w:sz w:val="20"/>
                <w:szCs w:val="20"/>
              </w:rPr>
            </w:pPr>
          </w:p>
        </w:tc>
        <w:tc>
          <w:tcPr>
            <w:tcW w:w="0" w:type="auto"/>
            <w:gridSpan w:val="3"/>
            <w:vAlign w:val="center"/>
            <w:hideMark/>
          </w:tcPr>
          <w:p w14:paraId="75AB3B3F" w14:textId="77777777" w:rsidR="00000000" w:rsidRDefault="0068293C">
            <w:pPr>
              <w:spacing w:after="100"/>
              <w:rPr>
                <w:rFonts w:eastAsia="Times New Roman"/>
                <w:sz w:val="20"/>
                <w:szCs w:val="20"/>
              </w:rPr>
            </w:pPr>
          </w:p>
        </w:tc>
        <w:tc>
          <w:tcPr>
            <w:tcW w:w="0" w:type="auto"/>
            <w:gridSpan w:val="3"/>
            <w:vAlign w:val="center"/>
            <w:hideMark/>
          </w:tcPr>
          <w:p w14:paraId="450CD646" w14:textId="77777777" w:rsidR="00000000" w:rsidRDefault="0068293C">
            <w:pPr>
              <w:spacing w:after="100"/>
              <w:rPr>
                <w:rFonts w:eastAsia="Times New Roman"/>
                <w:sz w:val="20"/>
                <w:szCs w:val="20"/>
              </w:rPr>
            </w:pPr>
          </w:p>
        </w:tc>
      </w:tr>
      <w:tr w:rsidR="00000000" w14:paraId="247C4643" w14:textId="77777777">
        <w:trPr>
          <w:divId w:val="1760639883"/>
        </w:trPr>
        <w:tc>
          <w:tcPr>
            <w:tcW w:w="0" w:type="auto"/>
            <w:gridSpan w:val="3"/>
            <w:vAlign w:val="center"/>
            <w:hideMark/>
          </w:tcPr>
          <w:p w14:paraId="44824A41" w14:textId="77777777" w:rsidR="00000000" w:rsidRDefault="0068293C">
            <w:pPr>
              <w:spacing w:after="100"/>
              <w:rPr>
                <w:rFonts w:eastAsia="Times New Roman"/>
                <w:sz w:val="20"/>
                <w:szCs w:val="20"/>
              </w:rPr>
            </w:pPr>
          </w:p>
        </w:tc>
        <w:tc>
          <w:tcPr>
            <w:tcW w:w="0" w:type="auto"/>
            <w:gridSpan w:val="3"/>
            <w:vAlign w:val="center"/>
            <w:hideMark/>
          </w:tcPr>
          <w:p w14:paraId="5567897C" w14:textId="77777777" w:rsidR="00000000" w:rsidRDefault="0068293C">
            <w:pPr>
              <w:spacing w:after="100"/>
              <w:rPr>
                <w:rFonts w:eastAsia="Times New Roman"/>
                <w:sz w:val="20"/>
                <w:szCs w:val="20"/>
              </w:rPr>
            </w:pPr>
          </w:p>
        </w:tc>
        <w:tc>
          <w:tcPr>
            <w:tcW w:w="0" w:type="auto"/>
            <w:gridSpan w:val="3"/>
            <w:vAlign w:val="center"/>
            <w:hideMark/>
          </w:tcPr>
          <w:p w14:paraId="00124D24" w14:textId="77777777" w:rsidR="00000000" w:rsidRDefault="0068293C">
            <w:pPr>
              <w:spacing w:after="100"/>
              <w:rPr>
                <w:rFonts w:eastAsia="Times New Roman"/>
                <w:sz w:val="20"/>
                <w:szCs w:val="20"/>
              </w:rPr>
            </w:pPr>
          </w:p>
        </w:tc>
        <w:tc>
          <w:tcPr>
            <w:tcW w:w="0" w:type="auto"/>
            <w:gridSpan w:val="3"/>
            <w:vAlign w:val="center"/>
            <w:hideMark/>
          </w:tcPr>
          <w:p w14:paraId="5926118D" w14:textId="77777777" w:rsidR="00000000" w:rsidRDefault="0068293C">
            <w:pPr>
              <w:spacing w:after="100"/>
              <w:rPr>
                <w:rFonts w:eastAsia="Times New Roman"/>
                <w:sz w:val="20"/>
                <w:szCs w:val="20"/>
              </w:rPr>
            </w:pPr>
          </w:p>
        </w:tc>
      </w:tr>
      <w:tr w:rsidR="00000000" w14:paraId="4BF01C24" w14:textId="77777777">
        <w:trPr>
          <w:divId w:val="1760639883"/>
        </w:trPr>
        <w:tc>
          <w:tcPr>
            <w:tcW w:w="0" w:type="auto"/>
            <w:gridSpan w:val="3"/>
            <w:vAlign w:val="center"/>
            <w:hideMark/>
          </w:tcPr>
          <w:p w14:paraId="4EA03901" w14:textId="77777777" w:rsidR="00000000" w:rsidRDefault="0068293C">
            <w:pPr>
              <w:spacing w:after="100"/>
              <w:rPr>
                <w:rFonts w:eastAsia="Times New Roman"/>
                <w:sz w:val="20"/>
                <w:szCs w:val="20"/>
              </w:rPr>
            </w:pPr>
          </w:p>
        </w:tc>
        <w:tc>
          <w:tcPr>
            <w:tcW w:w="0" w:type="auto"/>
            <w:gridSpan w:val="3"/>
            <w:vAlign w:val="center"/>
            <w:hideMark/>
          </w:tcPr>
          <w:p w14:paraId="73B7ABD5" w14:textId="77777777" w:rsidR="00000000" w:rsidRDefault="0068293C">
            <w:pPr>
              <w:spacing w:after="100"/>
              <w:rPr>
                <w:rFonts w:eastAsia="Times New Roman"/>
                <w:sz w:val="20"/>
                <w:szCs w:val="20"/>
              </w:rPr>
            </w:pPr>
          </w:p>
        </w:tc>
        <w:tc>
          <w:tcPr>
            <w:tcW w:w="0" w:type="auto"/>
            <w:gridSpan w:val="3"/>
            <w:vAlign w:val="center"/>
            <w:hideMark/>
          </w:tcPr>
          <w:p w14:paraId="68480DBA" w14:textId="77777777" w:rsidR="00000000" w:rsidRDefault="0068293C">
            <w:pPr>
              <w:spacing w:after="100"/>
              <w:rPr>
                <w:rFonts w:eastAsia="Times New Roman"/>
                <w:sz w:val="20"/>
                <w:szCs w:val="20"/>
              </w:rPr>
            </w:pPr>
          </w:p>
        </w:tc>
        <w:tc>
          <w:tcPr>
            <w:tcW w:w="0" w:type="auto"/>
            <w:gridSpan w:val="3"/>
            <w:vAlign w:val="center"/>
            <w:hideMark/>
          </w:tcPr>
          <w:p w14:paraId="2F438272" w14:textId="77777777" w:rsidR="00000000" w:rsidRDefault="0068293C">
            <w:pPr>
              <w:spacing w:after="100"/>
              <w:rPr>
                <w:rFonts w:eastAsia="Times New Roman"/>
                <w:sz w:val="20"/>
                <w:szCs w:val="20"/>
              </w:rPr>
            </w:pPr>
          </w:p>
        </w:tc>
      </w:tr>
    </w:tbl>
    <w:p w14:paraId="55746AEB" w14:textId="77777777" w:rsidR="00000000" w:rsidRDefault="0068293C">
      <w:pPr>
        <w:jc w:val="center"/>
        <w:divId w:val="1838642982"/>
        <w:rPr>
          <w:rFonts w:eastAsia="Times New Roman"/>
        </w:rPr>
      </w:pPr>
    </w:p>
    <w:p w14:paraId="6E368B0A" w14:textId="77777777" w:rsidR="00000000" w:rsidRDefault="0068293C">
      <w:pPr>
        <w:jc w:val="both"/>
        <w:divId w:val="382296805"/>
        <w:rPr>
          <w:rFonts w:eastAsia="Times New Roman"/>
        </w:rPr>
      </w:pPr>
      <w:r>
        <w:rPr>
          <w:rFonts w:eastAsia="Times New Roman"/>
          <w:b/>
          <w:bCs/>
          <w:i/>
          <w:iCs/>
          <w:color w:val="000000"/>
          <w:sz w:val="20"/>
          <w:szCs w:val="20"/>
        </w:rPr>
        <w:t>Supplemental disclosures of noncash investing and financing activities</w:t>
      </w:r>
      <w:r>
        <w:rPr>
          <w:rFonts w:eastAsia="Times New Roman"/>
          <w:color w:val="000000"/>
          <w:sz w:val="20"/>
          <w:szCs w:val="20"/>
        </w:rPr>
        <w:t xml:space="preserve"> </w:t>
      </w:r>
      <w:r>
        <w:rPr>
          <w:rFonts w:eastAsia="Times New Roman"/>
          <w:color w:val="000000"/>
          <w:sz w:val="20"/>
          <w:szCs w:val="20"/>
        </w:rPr>
        <w:t>During the three months ended March 31, 2022, we issued shares of the Company's common stock and assumed unvested outstanding option awards in the acquisition of Moon Inc., dba LibertyX, for total non-cash consideration of $68 million. In connection with t</w:t>
      </w:r>
      <w:r>
        <w:rPr>
          <w:rFonts w:eastAsia="Times New Roman"/>
          <w:color w:val="000000"/>
          <w:sz w:val="20"/>
          <w:szCs w:val="20"/>
        </w:rPr>
        <w:t>he acquisition, we also assumed debt of $2 million. Refer to Note 2, “Business Combinations”, for additional information on the LibertyX acquisition.</w:t>
      </w:r>
    </w:p>
    <w:p w14:paraId="3D80FE63" w14:textId="77777777" w:rsidR="00000000" w:rsidRDefault="0068293C">
      <w:pPr>
        <w:jc w:val="center"/>
        <w:divId w:val="543831174"/>
        <w:rPr>
          <w:rFonts w:eastAsia="Times New Roman"/>
        </w:rPr>
      </w:pPr>
    </w:p>
    <w:p w14:paraId="18ABEA45" w14:textId="77777777" w:rsidR="00000000" w:rsidRDefault="0068293C">
      <w:pPr>
        <w:jc w:val="center"/>
        <w:divId w:val="515078697"/>
        <w:rPr>
          <w:rFonts w:eastAsia="Times New Roman"/>
        </w:rPr>
      </w:pPr>
    </w:p>
    <w:p w14:paraId="1647056D" w14:textId="77777777" w:rsidR="00000000" w:rsidRDefault="0068293C">
      <w:pPr>
        <w:jc w:val="center"/>
        <w:divId w:val="899291013"/>
        <w:rPr>
          <w:rFonts w:eastAsia="Times New Roman"/>
        </w:rPr>
      </w:pPr>
      <w:r>
        <w:rPr>
          <w:rFonts w:eastAsia="Times New Roman"/>
          <w:color w:val="000000"/>
          <w:sz w:val="20"/>
          <w:szCs w:val="20"/>
        </w:rPr>
        <w:t>See Notes to Condensed Consolidated Financial Statements.</w:t>
      </w:r>
    </w:p>
    <w:p w14:paraId="3DA7EE74" w14:textId="77777777" w:rsidR="00000000" w:rsidRDefault="0068293C">
      <w:pPr>
        <w:jc w:val="center"/>
        <w:divId w:val="1249146991"/>
        <w:rPr>
          <w:rFonts w:eastAsia="Times New Roman"/>
        </w:rPr>
      </w:pPr>
      <w:r>
        <w:rPr>
          <w:rFonts w:eastAsia="Times New Roman"/>
          <w:color w:val="000000"/>
          <w:sz w:val="20"/>
          <w:szCs w:val="20"/>
        </w:rPr>
        <w:t>6</w:t>
      </w:r>
    </w:p>
    <w:p w14:paraId="6E73B965" w14:textId="77777777" w:rsidR="00000000" w:rsidRDefault="0068293C">
      <w:pPr>
        <w:rPr>
          <w:rFonts w:eastAsia="Times New Roman"/>
        </w:rPr>
      </w:pPr>
      <w:r>
        <w:rPr>
          <w:rFonts w:eastAsia="Times New Roman"/>
        </w:rPr>
        <w:pict w14:anchorId="6F322170">
          <v:rect id="_x0000_i1031" style="width:0;height:1.5pt" o:hralign="center" o:hrstd="t" o:hr="t" fillcolor="#a0a0a0" stroked="f"/>
        </w:pict>
      </w:r>
    </w:p>
    <w:p w14:paraId="689C4F0D" w14:textId="77777777" w:rsidR="00000000" w:rsidRDefault="0068293C">
      <w:pPr>
        <w:divId w:val="1538548166"/>
        <w:rPr>
          <w:rFonts w:eastAsia="Times New Roman"/>
        </w:rPr>
      </w:pPr>
      <w:hyperlink w:anchor="i78484f3d0d8e4e36a7c87ddd6ea9d725_7" w:history="1">
        <w:r>
          <w:rPr>
            <w:rStyle w:val="a3"/>
            <w:rFonts w:eastAsia="Times New Roman"/>
            <w:sz w:val="16"/>
            <w:szCs w:val="16"/>
          </w:rPr>
          <w:t>Table of Contents</w:t>
        </w:r>
      </w:hyperlink>
    </w:p>
    <w:p w14:paraId="4F918D33" w14:textId="77777777" w:rsidR="00000000" w:rsidRDefault="0068293C">
      <w:pPr>
        <w:ind w:firstLine="720"/>
        <w:jc w:val="center"/>
        <w:rPr>
          <w:rFonts w:eastAsia="Times New Roman"/>
        </w:rPr>
      </w:pPr>
      <w:r>
        <w:rPr>
          <w:rFonts w:eastAsia="Times New Roman"/>
          <w:b/>
          <w:bCs/>
          <w:color w:val="000000"/>
          <w:sz w:val="20"/>
          <w:szCs w:val="20"/>
        </w:rPr>
        <w:t>NCR Corporation</w:t>
      </w:r>
    </w:p>
    <w:p w14:paraId="1DE2B173" w14:textId="77777777" w:rsidR="00000000" w:rsidRDefault="0068293C">
      <w:pPr>
        <w:jc w:val="center"/>
        <w:rPr>
          <w:rFonts w:eastAsia="Times New Roman"/>
        </w:rPr>
      </w:pPr>
      <w:r>
        <w:rPr>
          <w:rFonts w:eastAsia="Times New Roman"/>
          <w:b/>
          <w:bCs/>
          <w:color w:val="000000"/>
          <w:sz w:val="20"/>
          <w:szCs w:val="20"/>
        </w:rPr>
        <w:t>Condensed Consolidated Statements of Changes in Stockholder's Equity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206"/>
        <w:gridCol w:w="39"/>
        <w:gridCol w:w="36"/>
        <w:gridCol w:w="36"/>
        <w:gridCol w:w="36"/>
        <w:gridCol w:w="72"/>
        <w:gridCol w:w="424"/>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400"/>
        <w:gridCol w:w="36"/>
      </w:tblGrid>
      <w:tr w:rsidR="00000000" w14:paraId="0FDCC569" w14:textId="77777777">
        <w:trPr>
          <w:divId w:val="657198638"/>
          <w:jc w:val="center"/>
        </w:trPr>
        <w:tc>
          <w:tcPr>
            <w:tcW w:w="50" w:type="pct"/>
            <w:vAlign w:val="center"/>
            <w:hideMark/>
          </w:tcPr>
          <w:p w14:paraId="1CBE4D0A" w14:textId="77777777" w:rsidR="00000000" w:rsidRDefault="0068293C">
            <w:pPr>
              <w:jc w:val="center"/>
              <w:rPr>
                <w:rFonts w:eastAsia="Times New Roman"/>
              </w:rPr>
            </w:pPr>
          </w:p>
        </w:tc>
        <w:tc>
          <w:tcPr>
            <w:tcW w:w="1714" w:type="pct"/>
            <w:vAlign w:val="center"/>
            <w:hideMark/>
          </w:tcPr>
          <w:p w14:paraId="4B9E3E51" w14:textId="77777777" w:rsidR="00000000" w:rsidRDefault="0068293C">
            <w:pPr>
              <w:spacing w:after="100"/>
              <w:rPr>
                <w:rFonts w:eastAsia="Times New Roman"/>
                <w:sz w:val="20"/>
                <w:szCs w:val="20"/>
              </w:rPr>
            </w:pPr>
          </w:p>
        </w:tc>
        <w:tc>
          <w:tcPr>
            <w:tcW w:w="5" w:type="pct"/>
            <w:vAlign w:val="center"/>
            <w:hideMark/>
          </w:tcPr>
          <w:p w14:paraId="10C9806C" w14:textId="77777777" w:rsidR="00000000" w:rsidRDefault="0068293C">
            <w:pPr>
              <w:spacing w:after="100"/>
              <w:rPr>
                <w:rFonts w:eastAsia="Times New Roman"/>
                <w:sz w:val="20"/>
                <w:szCs w:val="20"/>
              </w:rPr>
            </w:pPr>
          </w:p>
        </w:tc>
        <w:tc>
          <w:tcPr>
            <w:tcW w:w="5" w:type="pct"/>
            <w:vAlign w:val="center"/>
            <w:hideMark/>
          </w:tcPr>
          <w:p w14:paraId="1D505E4B" w14:textId="77777777" w:rsidR="00000000" w:rsidRDefault="0068293C">
            <w:pPr>
              <w:spacing w:after="100"/>
              <w:rPr>
                <w:rFonts w:eastAsia="Times New Roman"/>
                <w:sz w:val="20"/>
                <w:szCs w:val="20"/>
              </w:rPr>
            </w:pPr>
          </w:p>
        </w:tc>
        <w:tc>
          <w:tcPr>
            <w:tcW w:w="26" w:type="pct"/>
            <w:vAlign w:val="center"/>
            <w:hideMark/>
          </w:tcPr>
          <w:p w14:paraId="2F3E196C" w14:textId="77777777" w:rsidR="00000000" w:rsidRDefault="0068293C">
            <w:pPr>
              <w:spacing w:after="100"/>
              <w:rPr>
                <w:rFonts w:eastAsia="Times New Roman"/>
                <w:sz w:val="20"/>
                <w:szCs w:val="20"/>
              </w:rPr>
            </w:pPr>
          </w:p>
        </w:tc>
        <w:tc>
          <w:tcPr>
            <w:tcW w:w="5" w:type="pct"/>
            <w:vAlign w:val="center"/>
            <w:hideMark/>
          </w:tcPr>
          <w:p w14:paraId="7C620438" w14:textId="77777777" w:rsidR="00000000" w:rsidRDefault="0068293C">
            <w:pPr>
              <w:spacing w:after="100"/>
              <w:rPr>
                <w:rFonts w:eastAsia="Times New Roman"/>
                <w:sz w:val="20"/>
                <w:szCs w:val="20"/>
              </w:rPr>
            </w:pPr>
          </w:p>
        </w:tc>
        <w:tc>
          <w:tcPr>
            <w:tcW w:w="50" w:type="pct"/>
            <w:vAlign w:val="center"/>
            <w:hideMark/>
          </w:tcPr>
          <w:p w14:paraId="5748DD31" w14:textId="77777777" w:rsidR="00000000" w:rsidRDefault="0068293C">
            <w:pPr>
              <w:spacing w:after="100"/>
              <w:rPr>
                <w:rFonts w:eastAsia="Times New Roman"/>
                <w:sz w:val="20"/>
                <w:szCs w:val="20"/>
              </w:rPr>
            </w:pPr>
          </w:p>
        </w:tc>
        <w:tc>
          <w:tcPr>
            <w:tcW w:w="297" w:type="pct"/>
            <w:vAlign w:val="center"/>
            <w:hideMark/>
          </w:tcPr>
          <w:p w14:paraId="215A7C97" w14:textId="77777777" w:rsidR="00000000" w:rsidRDefault="0068293C">
            <w:pPr>
              <w:spacing w:after="100"/>
              <w:rPr>
                <w:rFonts w:eastAsia="Times New Roman"/>
                <w:sz w:val="20"/>
                <w:szCs w:val="20"/>
              </w:rPr>
            </w:pPr>
          </w:p>
        </w:tc>
        <w:tc>
          <w:tcPr>
            <w:tcW w:w="5" w:type="pct"/>
            <w:vAlign w:val="center"/>
            <w:hideMark/>
          </w:tcPr>
          <w:p w14:paraId="276A73E4" w14:textId="77777777" w:rsidR="00000000" w:rsidRDefault="0068293C">
            <w:pPr>
              <w:spacing w:after="100"/>
              <w:rPr>
                <w:rFonts w:eastAsia="Times New Roman"/>
                <w:sz w:val="20"/>
                <w:szCs w:val="20"/>
              </w:rPr>
            </w:pPr>
          </w:p>
        </w:tc>
        <w:tc>
          <w:tcPr>
            <w:tcW w:w="5" w:type="pct"/>
            <w:vAlign w:val="center"/>
            <w:hideMark/>
          </w:tcPr>
          <w:p w14:paraId="39ECACCC" w14:textId="77777777" w:rsidR="00000000" w:rsidRDefault="0068293C">
            <w:pPr>
              <w:spacing w:after="100"/>
              <w:rPr>
                <w:rFonts w:eastAsia="Times New Roman"/>
                <w:sz w:val="20"/>
                <w:szCs w:val="20"/>
              </w:rPr>
            </w:pPr>
          </w:p>
        </w:tc>
        <w:tc>
          <w:tcPr>
            <w:tcW w:w="26" w:type="pct"/>
            <w:vAlign w:val="center"/>
            <w:hideMark/>
          </w:tcPr>
          <w:p w14:paraId="47ADE613" w14:textId="77777777" w:rsidR="00000000" w:rsidRDefault="0068293C">
            <w:pPr>
              <w:spacing w:after="100"/>
              <w:rPr>
                <w:rFonts w:eastAsia="Times New Roman"/>
                <w:sz w:val="20"/>
                <w:szCs w:val="20"/>
              </w:rPr>
            </w:pPr>
          </w:p>
        </w:tc>
        <w:tc>
          <w:tcPr>
            <w:tcW w:w="5" w:type="pct"/>
            <w:vAlign w:val="center"/>
            <w:hideMark/>
          </w:tcPr>
          <w:p w14:paraId="75604A2E" w14:textId="77777777" w:rsidR="00000000" w:rsidRDefault="0068293C">
            <w:pPr>
              <w:spacing w:after="100"/>
              <w:rPr>
                <w:rFonts w:eastAsia="Times New Roman"/>
                <w:sz w:val="20"/>
                <w:szCs w:val="20"/>
              </w:rPr>
            </w:pPr>
          </w:p>
        </w:tc>
        <w:tc>
          <w:tcPr>
            <w:tcW w:w="50" w:type="pct"/>
            <w:vAlign w:val="center"/>
            <w:hideMark/>
          </w:tcPr>
          <w:p w14:paraId="0A0ABA67" w14:textId="77777777" w:rsidR="00000000" w:rsidRDefault="0068293C">
            <w:pPr>
              <w:spacing w:after="100"/>
              <w:rPr>
                <w:rFonts w:eastAsia="Times New Roman"/>
                <w:sz w:val="20"/>
                <w:szCs w:val="20"/>
              </w:rPr>
            </w:pPr>
          </w:p>
        </w:tc>
        <w:tc>
          <w:tcPr>
            <w:tcW w:w="304" w:type="pct"/>
            <w:vAlign w:val="center"/>
            <w:hideMark/>
          </w:tcPr>
          <w:p w14:paraId="589DC647" w14:textId="77777777" w:rsidR="00000000" w:rsidRDefault="0068293C">
            <w:pPr>
              <w:spacing w:after="100"/>
              <w:rPr>
                <w:rFonts w:eastAsia="Times New Roman"/>
                <w:sz w:val="20"/>
                <w:szCs w:val="20"/>
              </w:rPr>
            </w:pPr>
          </w:p>
        </w:tc>
        <w:tc>
          <w:tcPr>
            <w:tcW w:w="5" w:type="pct"/>
            <w:vAlign w:val="center"/>
            <w:hideMark/>
          </w:tcPr>
          <w:p w14:paraId="37CC68DC" w14:textId="77777777" w:rsidR="00000000" w:rsidRDefault="0068293C">
            <w:pPr>
              <w:spacing w:after="100"/>
              <w:rPr>
                <w:rFonts w:eastAsia="Times New Roman"/>
                <w:sz w:val="20"/>
                <w:szCs w:val="20"/>
              </w:rPr>
            </w:pPr>
          </w:p>
        </w:tc>
        <w:tc>
          <w:tcPr>
            <w:tcW w:w="5" w:type="pct"/>
            <w:vAlign w:val="center"/>
            <w:hideMark/>
          </w:tcPr>
          <w:p w14:paraId="37DF9C4F" w14:textId="77777777" w:rsidR="00000000" w:rsidRDefault="0068293C">
            <w:pPr>
              <w:spacing w:after="100"/>
              <w:rPr>
                <w:rFonts w:eastAsia="Times New Roman"/>
                <w:sz w:val="20"/>
                <w:szCs w:val="20"/>
              </w:rPr>
            </w:pPr>
          </w:p>
        </w:tc>
        <w:tc>
          <w:tcPr>
            <w:tcW w:w="26" w:type="pct"/>
            <w:vAlign w:val="center"/>
            <w:hideMark/>
          </w:tcPr>
          <w:p w14:paraId="187C5B1E" w14:textId="77777777" w:rsidR="00000000" w:rsidRDefault="0068293C">
            <w:pPr>
              <w:spacing w:after="100"/>
              <w:rPr>
                <w:rFonts w:eastAsia="Times New Roman"/>
                <w:sz w:val="20"/>
                <w:szCs w:val="20"/>
              </w:rPr>
            </w:pPr>
          </w:p>
        </w:tc>
        <w:tc>
          <w:tcPr>
            <w:tcW w:w="5" w:type="pct"/>
            <w:vAlign w:val="center"/>
            <w:hideMark/>
          </w:tcPr>
          <w:p w14:paraId="75C04E42" w14:textId="77777777" w:rsidR="00000000" w:rsidRDefault="0068293C">
            <w:pPr>
              <w:spacing w:after="100"/>
              <w:rPr>
                <w:rFonts w:eastAsia="Times New Roman"/>
                <w:sz w:val="20"/>
                <w:szCs w:val="20"/>
              </w:rPr>
            </w:pPr>
          </w:p>
        </w:tc>
        <w:tc>
          <w:tcPr>
            <w:tcW w:w="50" w:type="pct"/>
            <w:vAlign w:val="center"/>
            <w:hideMark/>
          </w:tcPr>
          <w:p w14:paraId="6D873B4D" w14:textId="77777777" w:rsidR="00000000" w:rsidRDefault="0068293C">
            <w:pPr>
              <w:spacing w:after="100"/>
              <w:rPr>
                <w:rFonts w:eastAsia="Times New Roman"/>
                <w:sz w:val="20"/>
                <w:szCs w:val="20"/>
              </w:rPr>
            </w:pPr>
          </w:p>
        </w:tc>
        <w:tc>
          <w:tcPr>
            <w:tcW w:w="275" w:type="pct"/>
            <w:vAlign w:val="center"/>
            <w:hideMark/>
          </w:tcPr>
          <w:p w14:paraId="77FAE697" w14:textId="77777777" w:rsidR="00000000" w:rsidRDefault="0068293C">
            <w:pPr>
              <w:spacing w:after="100"/>
              <w:rPr>
                <w:rFonts w:eastAsia="Times New Roman"/>
                <w:sz w:val="20"/>
                <w:szCs w:val="20"/>
              </w:rPr>
            </w:pPr>
          </w:p>
        </w:tc>
        <w:tc>
          <w:tcPr>
            <w:tcW w:w="5" w:type="pct"/>
            <w:vAlign w:val="center"/>
            <w:hideMark/>
          </w:tcPr>
          <w:p w14:paraId="6F6D252A" w14:textId="77777777" w:rsidR="00000000" w:rsidRDefault="0068293C">
            <w:pPr>
              <w:spacing w:after="100"/>
              <w:rPr>
                <w:rFonts w:eastAsia="Times New Roman"/>
                <w:sz w:val="20"/>
                <w:szCs w:val="20"/>
              </w:rPr>
            </w:pPr>
          </w:p>
        </w:tc>
        <w:tc>
          <w:tcPr>
            <w:tcW w:w="5" w:type="pct"/>
            <w:vAlign w:val="center"/>
            <w:hideMark/>
          </w:tcPr>
          <w:p w14:paraId="4937B544" w14:textId="77777777" w:rsidR="00000000" w:rsidRDefault="0068293C">
            <w:pPr>
              <w:spacing w:after="100"/>
              <w:rPr>
                <w:rFonts w:eastAsia="Times New Roman"/>
                <w:sz w:val="20"/>
                <w:szCs w:val="20"/>
              </w:rPr>
            </w:pPr>
          </w:p>
        </w:tc>
        <w:tc>
          <w:tcPr>
            <w:tcW w:w="26" w:type="pct"/>
            <w:vAlign w:val="center"/>
            <w:hideMark/>
          </w:tcPr>
          <w:p w14:paraId="7931D907" w14:textId="77777777" w:rsidR="00000000" w:rsidRDefault="0068293C">
            <w:pPr>
              <w:spacing w:after="100"/>
              <w:rPr>
                <w:rFonts w:eastAsia="Times New Roman"/>
                <w:sz w:val="20"/>
                <w:szCs w:val="20"/>
              </w:rPr>
            </w:pPr>
          </w:p>
        </w:tc>
        <w:tc>
          <w:tcPr>
            <w:tcW w:w="5" w:type="pct"/>
            <w:vAlign w:val="center"/>
            <w:hideMark/>
          </w:tcPr>
          <w:p w14:paraId="085FCDE5" w14:textId="77777777" w:rsidR="00000000" w:rsidRDefault="0068293C">
            <w:pPr>
              <w:spacing w:after="100"/>
              <w:rPr>
                <w:rFonts w:eastAsia="Times New Roman"/>
                <w:sz w:val="20"/>
                <w:szCs w:val="20"/>
              </w:rPr>
            </w:pPr>
          </w:p>
        </w:tc>
        <w:tc>
          <w:tcPr>
            <w:tcW w:w="50" w:type="pct"/>
            <w:vAlign w:val="center"/>
            <w:hideMark/>
          </w:tcPr>
          <w:p w14:paraId="5E6A707A" w14:textId="77777777" w:rsidR="00000000" w:rsidRDefault="0068293C">
            <w:pPr>
              <w:spacing w:after="100"/>
              <w:rPr>
                <w:rFonts w:eastAsia="Times New Roman"/>
                <w:sz w:val="20"/>
                <w:szCs w:val="20"/>
              </w:rPr>
            </w:pPr>
          </w:p>
        </w:tc>
        <w:tc>
          <w:tcPr>
            <w:tcW w:w="319" w:type="pct"/>
            <w:vAlign w:val="center"/>
            <w:hideMark/>
          </w:tcPr>
          <w:p w14:paraId="3469F18E" w14:textId="77777777" w:rsidR="00000000" w:rsidRDefault="0068293C">
            <w:pPr>
              <w:spacing w:after="100"/>
              <w:rPr>
                <w:rFonts w:eastAsia="Times New Roman"/>
                <w:sz w:val="20"/>
                <w:szCs w:val="20"/>
              </w:rPr>
            </w:pPr>
          </w:p>
        </w:tc>
        <w:tc>
          <w:tcPr>
            <w:tcW w:w="5" w:type="pct"/>
            <w:vAlign w:val="center"/>
            <w:hideMark/>
          </w:tcPr>
          <w:p w14:paraId="5F64AA61" w14:textId="77777777" w:rsidR="00000000" w:rsidRDefault="0068293C">
            <w:pPr>
              <w:spacing w:after="100"/>
              <w:rPr>
                <w:rFonts w:eastAsia="Times New Roman"/>
                <w:sz w:val="20"/>
                <w:szCs w:val="20"/>
              </w:rPr>
            </w:pPr>
          </w:p>
        </w:tc>
        <w:tc>
          <w:tcPr>
            <w:tcW w:w="5" w:type="pct"/>
            <w:vAlign w:val="center"/>
            <w:hideMark/>
          </w:tcPr>
          <w:p w14:paraId="33E92441" w14:textId="77777777" w:rsidR="00000000" w:rsidRDefault="0068293C">
            <w:pPr>
              <w:spacing w:after="100"/>
              <w:rPr>
                <w:rFonts w:eastAsia="Times New Roman"/>
                <w:sz w:val="20"/>
                <w:szCs w:val="20"/>
              </w:rPr>
            </w:pPr>
          </w:p>
        </w:tc>
        <w:tc>
          <w:tcPr>
            <w:tcW w:w="26" w:type="pct"/>
            <w:vAlign w:val="center"/>
            <w:hideMark/>
          </w:tcPr>
          <w:p w14:paraId="1220A35D" w14:textId="77777777" w:rsidR="00000000" w:rsidRDefault="0068293C">
            <w:pPr>
              <w:spacing w:after="100"/>
              <w:rPr>
                <w:rFonts w:eastAsia="Times New Roman"/>
                <w:sz w:val="20"/>
                <w:szCs w:val="20"/>
              </w:rPr>
            </w:pPr>
          </w:p>
        </w:tc>
        <w:tc>
          <w:tcPr>
            <w:tcW w:w="5" w:type="pct"/>
            <w:vAlign w:val="center"/>
            <w:hideMark/>
          </w:tcPr>
          <w:p w14:paraId="0927E0C9" w14:textId="77777777" w:rsidR="00000000" w:rsidRDefault="0068293C">
            <w:pPr>
              <w:spacing w:after="100"/>
              <w:rPr>
                <w:rFonts w:eastAsia="Times New Roman"/>
                <w:sz w:val="20"/>
                <w:szCs w:val="20"/>
              </w:rPr>
            </w:pPr>
          </w:p>
        </w:tc>
        <w:tc>
          <w:tcPr>
            <w:tcW w:w="50" w:type="pct"/>
            <w:vAlign w:val="center"/>
            <w:hideMark/>
          </w:tcPr>
          <w:p w14:paraId="59E722C2" w14:textId="77777777" w:rsidR="00000000" w:rsidRDefault="0068293C">
            <w:pPr>
              <w:spacing w:after="100"/>
              <w:rPr>
                <w:rFonts w:eastAsia="Times New Roman"/>
                <w:sz w:val="20"/>
                <w:szCs w:val="20"/>
              </w:rPr>
            </w:pPr>
          </w:p>
        </w:tc>
        <w:tc>
          <w:tcPr>
            <w:tcW w:w="532" w:type="pct"/>
            <w:vAlign w:val="center"/>
            <w:hideMark/>
          </w:tcPr>
          <w:p w14:paraId="132D5EF8" w14:textId="77777777" w:rsidR="00000000" w:rsidRDefault="0068293C">
            <w:pPr>
              <w:spacing w:after="100"/>
              <w:rPr>
                <w:rFonts w:eastAsia="Times New Roman"/>
                <w:sz w:val="20"/>
                <w:szCs w:val="20"/>
              </w:rPr>
            </w:pPr>
          </w:p>
        </w:tc>
        <w:tc>
          <w:tcPr>
            <w:tcW w:w="5" w:type="pct"/>
            <w:vAlign w:val="center"/>
            <w:hideMark/>
          </w:tcPr>
          <w:p w14:paraId="4EA1188D" w14:textId="77777777" w:rsidR="00000000" w:rsidRDefault="0068293C">
            <w:pPr>
              <w:spacing w:after="100"/>
              <w:rPr>
                <w:rFonts w:eastAsia="Times New Roman"/>
                <w:sz w:val="20"/>
                <w:szCs w:val="20"/>
              </w:rPr>
            </w:pPr>
          </w:p>
        </w:tc>
        <w:tc>
          <w:tcPr>
            <w:tcW w:w="5" w:type="pct"/>
            <w:vAlign w:val="center"/>
            <w:hideMark/>
          </w:tcPr>
          <w:p w14:paraId="1537A581" w14:textId="77777777" w:rsidR="00000000" w:rsidRDefault="0068293C">
            <w:pPr>
              <w:spacing w:after="100"/>
              <w:rPr>
                <w:rFonts w:eastAsia="Times New Roman"/>
                <w:sz w:val="20"/>
                <w:szCs w:val="20"/>
              </w:rPr>
            </w:pPr>
          </w:p>
        </w:tc>
        <w:tc>
          <w:tcPr>
            <w:tcW w:w="26" w:type="pct"/>
            <w:vAlign w:val="center"/>
            <w:hideMark/>
          </w:tcPr>
          <w:p w14:paraId="12D4F5E5" w14:textId="77777777" w:rsidR="00000000" w:rsidRDefault="0068293C">
            <w:pPr>
              <w:spacing w:after="100"/>
              <w:rPr>
                <w:rFonts w:eastAsia="Times New Roman"/>
                <w:sz w:val="20"/>
                <w:szCs w:val="20"/>
              </w:rPr>
            </w:pPr>
          </w:p>
        </w:tc>
        <w:tc>
          <w:tcPr>
            <w:tcW w:w="5" w:type="pct"/>
            <w:vAlign w:val="center"/>
            <w:hideMark/>
          </w:tcPr>
          <w:p w14:paraId="0EEA163B" w14:textId="77777777" w:rsidR="00000000" w:rsidRDefault="0068293C">
            <w:pPr>
              <w:spacing w:after="100"/>
              <w:rPr>
                <w:rFonts w:eastAsia="Times New Roman"/>
                <w:sz w:val="20"/>
                <w:szCs w:val="20"/>
              </w:rPr>
            </w:pPr>
          </w:p>
        </w:tc>
        <w:tc>
          <w:tcPr>
            <w:tcW w:w="50" w:type="pct"/>
            <w:vAlign w:val="center"/>
            <w:hideMark/>
          </w:tcPr>
          <w:p w14:paraId="45638636" w14:textId="77777777" w:rsidR="00000000" w:rsidRDefault="0068293C">
            <w:pPr>
              <w:spacing w:after="100"/>
              <w:rPr>
                <w:rFonts w:eastAsia="Times New Roman"/>
                <w:sz w:val="20"/>
                <w:szCs w:val="20"/>
              </w:rPr>
            </w:pPr>
          </w:p>
        </w:tc>
        <w:tc>
          <w:tcPr>
            <w:tcW w:w="554" w:type="pct"/>
            <w:vAlign w:val="center"/>
            <w:hideMark/>
          </w:tcPr>
          <w:p w14:paraId="1620A8FA" w14:textId="77777777" w:rsidR="00000000" w:rsidRDefault="0068293C">
            <w:pPr>
              <w:spacing w:after="100"/>
              <w:rPr>
                <w:rFonts w:eastAsia="Times New Roman"/>
                <w:sz w:val="20"/>
                <w:szCs w:val="20"/>
              </w:rPr>
            </w:pPr>
          </w:p>
        </w:tc>
        <w:tc>
          <w:tcPr>
            <w:tcW w:w="5" w:type="pct"/>
            <w:vAlign w:val="center"/>
            <w:hideMark/>
          </w:tcPr>
          <w:p w14:paraId="7DFF2CBF" w14:textId="77777777" w:rsidR="00000000" w:rsidRDefault="0068293C">
            <w:pPr>
              <w:spacing w:after="100"/>
              <w:rPr>
                <w:rFonts w:eastAsia="Times New Roman"/>
                <w:sz w:val="20"/>
                <w:szCs w:val="20"/>
              </w:rPr>
            </w:pPr>
          </w:p>
        </w:tc>
        <w:tc>
          <w:tcPr>
            <w:tcW w:w="5" w:type="pct"/>
            <w:vAlign w:val="center"/>
            <w:hideMark/>
          </w:tcPr>
          <w:p w14:paraId="4164A8DA" w14:textId="77777777" w:rsidR="00000000" w:rsidRDefault="0068293C">
            <w:pPr>
              <w:spacing w:after="100"/>
              <w:rPr>
                <w:rFonts w:eastAsia="Times New Roman"/>
                <w:sz w:val="20"/>
                <w:szCs w:val="20"/>
              </w:rPr>
            </w:pPr>
          </w:p>
        </w:tc>
        <w:tc>
          <w:tcPr>
            <w:tcW w:w="26" w:type="pct"/>
            <w:vAlign w:val="center"/>
            <w:hideMark/>
          </w:tcPr>
          <w:p w14:paraId="4DAE8AA3" w14:textId="77777777" w:rsidR="00000000" w:rsidRDefault="0068293C">
            <w:pPr>
              <w:spacing w:after="100"/>
              <w:rPr>
                <w:rFonts w:eastAsia="Times New Roman"/>
                <w:sz w:val="20"/>
                <w:szCs w:val="20"/>
              </w:rPr>
            </w:pPr>
          </w:p>
        </w:tc>
        <w:tc>
          <w:tcPr>
            <w:tcW w:w="5" w:type="pct"/>
            <w:vAlign w:val="center"/>
            <w:hideMark/>
          </w:tcPr>
          <w:p w14:paraId="3C096815" w14:textId="77777777" w:rsidR="00000000" w:rsidRDefault="0068293C">
            <w:pPr>
              <w:spacing w:after="100"/>
              <w:rPr>
                <w:rFonts w:eastAsia="Times New Roman"/>
                <w:sz w:val="20"/>
                <w:szCs w:val="20"/>
              </w:rPr>
            </w:pPr>
          </w:p>
        </w:tc>
        <w:tc>
          <w:tcPr>
            <w:tcW w:w="50" w:type="pct"/>
            <w:vAlign w:val="center"/>
            <w:hideMark/>
          </w:tcPr>
          <w:p w14:paraId="4FEAB170" w14:textId="77777777" w:rsidR="00000000" w:rsidRDefault="0068293C">
            <w:pPr>
              <w:spacing w:after="100"/>
              <w:rPr>
                <w:rFonts w:eastAsia="Times New Roman"/>
                <w:sz w:val="20"/>
                <w:szCs w:val="20"/>
              </w:rPr>
            </w:pPr>
          </w:p>
        </w:tc>
        <w:tc>
          <w:tcPr>
            <w:tcW w:w="305" w:type="pct"/>
            <w:vAlign w:val="center"/>
            <w:hideMark/>
          </w:tcPr>
          <w:p w14:paraId="79A5FE49" w14:textId="77777777" w:rsidR="00000000" w:rsidRDefault="0068293C">
            <w:pPr>
              <w:spacing w:after="100"/>
              <w:rPr>
                <w:rFonts w:eastAsia="Times New Roman"/>
                <w:sz w:val="20"/>
                <w:szCs w:val="20"/>
              </w:rPr>
            </w:pPr>
          </w:p>
        </w:tc>
        <w:tc>
          <w:tcPr>
            <w:tcW w:w="5" w:type="pct"/>
            <w:vAlign w:val="center"/>
            <w:hideMark/>
          </w:tcPr>
          <w:p w14:paraId="7019263C" w14:textId="77777777" w:rsidR="00000000" w:rsidRDefault="0068293C">
            <w:pPr>
              <w:spacing w:after="100"/>
              <w:rPr>
                <w:rFonts w:eastAsia="Times New Roman"/>
                <w:sz w:val="20"/>
                <w:szCs w:val="20"/>
              </w:rPr>
            </w:pPr>
          </w:p>
        </w:tc>
      </w:tr>
      <w:tr w:rsidR="00000000" w14:paraId="0B2D7EE2" w14:textId="77777777">
        <w:trPr>
          <w:divId w:val="657198638"/>
          <w:jc w:val="center"/>
        </w:trPr>
        <w:tc>
          <w:tcPr>
            <w:tcW w:w="0" w:type="auto"/>
            <w:gridSpan w:val="3"/>
            <w:tcMar>
              <w:top w:w="0" w:type="dxa"/>
              <w:left w:w="20" w:type="dxa"/>
              <w:bottom w:w="0" w:type="dxa"/>
              <w:right w:w="20" w:type="dxa"/>
            </w:tcMar>
            <w:vAlign w:val="center"/>
            <w:hideMark/>
          </w:tcPr>
          <w:p w14:paraId="238DF92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9B325E" w14:textId="77777777" w:rsidR="00000000" w:rsidRDefault="0068293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14E80FA6" w14:textId="77777777" w:rsidR="00000000" w:rsidRDefault="0068293C">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14:paraId="25AD226E"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E0EA89A"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672990"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B23879" w14:textId="77777777" w:rsidR="00000000" w:rsidRDefault="0068293C">
            <w:pPr>
              <w:spacing w:after="100"/>
              <w:rPr>
                <w:rFonts w:eastAsia="Times New Roman"/>
                <w:sz w:val="20"/>
                <w:szCs w:val="20"/>
              </w:rPr>
            </w:pPr>
          </w:p>
        </w:tc>
      </w:tr>
      <w:tr w:rsidR="00000000" w14:paraId="63DC505B" w14:textId="77777777">
        <w:trPr>
          <w:divId w:val="657198638"/>
          <w:trHeight w:val="240"/>
          <w:jc w:val="center"/>
        </w:trPr>
        <w:tc>
          <w:tcPr>
            <w:tcW w:w="0" w:type="auto"/>
            <w:gridSpan w:val="3"/>
            <w:tcMar>
              <w:top w:w="0" w:type="dxa"/>
              <w:left w:w="20" w:type="dxa"/>
              <w:bottom w:w="0" w:type="dxa"/>
              <w:right w:w="20" w:type="dxa"/>
            </w:tcMar>
            <w:vAlign w:val="center"/>
            <w:hideMark/>
          </w:tcPr>
          <w:p w14:paraId="6B69609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A8AEB" w14:textId="77777777" w:rsidR="00000000" w:rsidRDefault="0068293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DA0371B" w14:textId="77777777" w:rsidR="00000000" w:rsidRDefault="0068293C">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666EE990" w14:textId="77777777" w:rsidR="00000000" w:rsidRDefault="0068293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8032296"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52B633"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2496F8"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C09D21" w14:textId="77777777" w:rsidR="00000000" w:rsidRDefault="0068293C">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D58F0B4" w14:textId="77777777" w:rsidR="00000000" w:rsidRDefault="0068293C">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14:paraId="7816EA93" w14:textId="77777777" w:rsidR="00000000" w:rsidRDefault="0068293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2320AA8" w14:textId="77777777" w:rsidR="00000000" w:rsidRDefault="0068293C">
            <w:pPr>
              <w:spacing w:after="100"/>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14:paraId="74CF8F3E"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B730E9" w14:textId="77777777" w:rsidR="00000000" w:rsidRDefault="0068293C">
            <w:pPr>
              <w:spacing w:after="100"/>
              <w:rPr>
                <w:rFonts w:eastAsia="Times New Roman"/>
                <w:sz w:val="20"/>
                <w:szCs w:val="20"/>
              </w:rPr>
            </w:pPr>
          </w:p>
        </w:tc>
      </w:tr>
      <w:tr w:rsidR="00000000" w14:paraId="7AAB61F7" w14:textId="77777777">
        <w:trPr>
          <w:divId w:val="657198638"/>
          <w:trHeight w:val="660"/>
          <w:jc w:val="center"/>
        </w:trPr>
        <w:tc>
          <w:tcPr>
            <w:tcW w:w="0" w:type="auto"/>
            <w:gridSpan w:val="3"/>
            <w:tcMar>
              <w:top w:w="30" w:type="dxa"/>
              <w:left w:w="20" w:type="dxa"/>
              <w:bottom w:w="30" w:type="dxa"/>
              <w:right w:w="20" w:type="dxa"/>
            </w:tcMar>
            <w:vAlign w:val="bottom"/>
            <w:hideMark/>
          </w:tcPr>
          <w:p w14:paraId="16039A9D"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234F2D90"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93AD74" w14:textId="77777777" w:rsidR="00000000" w:rsidRDefault="0068293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F720133"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A4D4FF" w14:textId="77777777" w:rsidR="00000000" w:rsidRDefault="0068293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58C21D0"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FA06F9" w14:textId="77777777" w:rsidR="00000000" w:rsidRDefault="0068293C">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14:paraId="31EA5334"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86B614" w14:textId="77777777" w:rsidR="00000000" w:rsidRDefault="0068293C">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14:paraId="1C03DBFC" w14:textId="77777777" w:rsidR="00000000" w:rsidRDefault="0068293C">
            <w:pPr>
              <w:spacing w:after="100"/>
              <w:jc w:val="center"/>
              <w:rPr>
                <w:rFonts w:eastAsia="Times New Roman"/>
              </w:rPr>
            </w:pPr>
          </w:p>
        </w:tc>
        <w:tc>
          <w:tcPr>
            <w:tcW w:w="0" w:type="auto"/>
            <w:gridSpan w:val="3"/>
            <w:vMerge/>
            <w:tcBorders>
              <w:top w:val="single" w:sz="8" w:space="0" w:color="000000"/>
            </w:tcBorders>
            <w:vAlign w:val="center"/>
            <w:hideMark/>
          </w:tcPr>
          <w:p w14:paraId="5B1B074C"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36F3C3A7" w14:textId="77777777" w:rsidR="00000000" w:rsidRDefault="0068293C">
            <w:pPr>
              <w:spacing w:after="100"/>
              <w:rPr>
                <w:rFonts w:eastAsia="Times New Roman"/>
                <w:sz w:val="20"/>
                <w:szCs w:val="20"/>
              </w:rPr>
            </w:pPr>
          </w:p>
        </w:tc>
        <w:tc>
          <w:tcPr>
            <w:tcW w:w="0" w:type="auto"/>
            <w:gridSpan w:val="3"/>
            <w:vMerge/>
            <w:vAlign w:val="center"/>
            <w:hideMark/>
          </w:tcPr>
          <w:p w14:paraId="40A5BDBA"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316C5D2A"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3EF0DF" w14:textId="77777777" w:rsidR="00000000" w:rsidRDefault="0068293C">
            <w:pPr>
              <w:spacing w:after="100"/>
              <w:jc w:val="center"/>
              <w:rPr>
                <w:rFonts w:eastAsia="Times New Roman"/>
              </w:rPr>
            </w:pPr>
            <w:r>
              <w:rPr>
                <w:rFonts w:eastAsia="Times New Roman"/>
                <w:b/>
                <w:bCs/>
                <w:color w:val="000000"/>
                <w:sz w:val="16"/>
                <w:szCs w:val="16"/>
              </w:rPr>
              <w:t>Total</w:t>
            </w:r>
          </w:p>
        </w:tc>
      </w:tr>
      <w:tr w:rsidR="00000000" w14:paraId="361F4E4C" w14:textId="77777777">
        <w:trPr>
          <w:divId w:val="657198638"/>
          <w:jc w:val="center"/>
        </w:trPr>
        <w:tc>
          <w:tcPr>
            <w:tcW w:w="0" w:type="auto"/>
            <w:gridSpan w:val="3"/>
            <w:vAlign w:val="center"/>
            <w:hideMark/>
          </w:tcPr>
          <w:p w14:paraId="1BDA4176" w14:textId="77777777" w:rsidR="00000000" w:rsidRDefault="0068293C">
            <w:pPr>
              <w:spacing w:after="100"/>
              <w:jc w:val="center"/>
              <w:rPr>
                <w:rFonts w:eastAsia="Times New Roman"/>
              </w:rPr>
            </w:pPr>
          </w:p>
        </w:tc>
        <w:tc>
          <w:tcPr>
            <w:tcW w:w="0" w:type="auto"/>
            <w:gridSpan w:val="3"/>
            <w:vAlign w:val="center"/>
            <w:hideMark/>
          </w:tcPr>
          <w:p w14:paraId="1F0E01BE" w14:textId="77777777" w:rsidR="00000000" w:rsidRDefault="0068293C">
            <w:pPr>
              <w:spacing w:after="100"/>
              <w:rPr>
                <w:rFonts w:eastAsia="Times New Roman"/>
                <w:sz w:val="20"/>
                <w:szCs w:val="20"/>
              </w:rPr>
            </w:pPr>
          </w:p>
        </w:tc>
        <w:tc>
          <w:tcPr>
            <w:tcW w:w="0" w:type="auto"/>
            <w:gridSpan w:val="3"/>
            <w:vAlign w:val="center"/>
            <w:hideMark/>
          </w:tcPr>
          <w:p w14:paraId="7765A080" w14:textId="77777777" w:rsidR="00000000" w:rsidRDefault="0068293C">
            <w:pPr>
              <w:spacing w:after="100"/>
              <w:rPr>
                <w:rFonts w:eastAsia="Times New Roman"/>
                <w:sz w:val="20"/>
                <w:szCs w:val="20"/>
              </w:rPr>
            </w:pPr>
          </w:p>
        </w:tc>
        <w:tc>
          <w:tcPr>
            <w:tcW w:w="0" w:type="auto"/>
            <w:gridSpan w:val="3"/>
            <w:vAlign w:val="center"/>
            <w:hideMark/>
          </w:tcPr>
          <w:p w14:paraId="10CB3D79" w14:textId="77777777" w:rsidR="00000000" w:rsidRDefault="0068293C">
            <w:pPr>
              <w:spacing w:after="100"/>
              <w:rPr>
                <w:rFonts w:eastAsia="Times New Roman"/>
                <w:sz w:val="20"/>
                <w:szCs w:val="20"/>
              </w:rPr>
            </w:pPr>
          </w:p>
        </w:tc>
        <w:tc>
          <w:tcPr>
            <w:tcW w:w="0" w:type="auto"/>
            <w:gridSpan w:val="3"/>
            <w:vAlign w:val="center"/>
            <w:hideMark/>
          </w:tcPr>
          <w:p w14:paraId="6001FEE1" w14:textId="77777777" w:rsidR="00000000" w:rsidRDefault="0068293C">
            <w:pPr>
              <w:spacing w:after="100"/>
              <w:rPr>
                <w:rFonts w:eastAsia="Times New Roman"/>
                <w:sz w:val="20"/>
                <w:szCs w:val="20"/>
              </w:rPr>
            </w:pPr>
          </w:p>
        </w:tc>
        <w:tc>
          <w:tcPr>
            <w:tcW w:w="0" w:type="auto"/>
            <w:gridSpan w:val="3"/>
            <w:vAlign w:val="center"/>
            <w:hideMark/>
          </w:tcPr>
          <w:p w14:paraId="479BF938" w14:textId="77777777" w:rsidR="00000000" w:rsidRDefault="0068293C">
            <w:pPr>
              <w:spacing w:after="100"/>
              <w:rPr>
                <w:rFonts w:eastAsia="Times New Roman"/>
                <w:sz w:val="20"/>
                <w:szCs w:val="20"/>
              </w:rPr>
            </w:pPr>
          </w:p>
        </w:tc>
        <w:tc>
          <w:tcPr>
            <w:tcW w:w="0" w:type="auto"/>
            <w:gridSpan w:val="3"/>
            <w:vAlign w:val="center"/>
            <w:hideMark/>
          </w:tcPr>
          <w:p w14:paraId="45B4C05F" w14:textId="77777777" w:rsidR="00000000" w:rsidRDefault="0068293C">
            <w:pPr>
              <w:spacing w:after="100"/>
              <w:rPr>
                <w:rFonts w:eastAsia="Times New Roman"/>
                <w:sz w:val="20"/>
                <w:szCs w:val="20"/>
              </w:rPr>
            </w:pPr>
          </w:p>
        </w:tc>
        <w:tc>
          <w:tcPr>
            <w:tcW w:w="0" w:type="auto"/>
            <w:gridSpan w:val="3"/>
            <w:vAlign w:val="center"/>
            <w:hideMark/>
          </w:tcPr>
          <w:p w14:paraId="4244CCFC" w14:textId="77777777" w:rsidR="00000000" w:rsidRDefault="0068293C">
            <w:pPr>
              <w:spacing w:after="100"/>
              <w:rPr>
                <w:rFonts w:eastAsia="Times New Roman"/>
                <w:sz w:val="20"/>
                <w:szCs w:val="20"/>
              </w:rPr>
            </w:pPr>
          </w:p>
        </w:tc>
        <w:tc>
          <w:tcPr>
            <w:tcW w:w="0" w:type="auto"/>
            <w:gridSpan w:val="3"/>
            <w:vAlign w:val="center"/>
            <w:hideMark/>
          </w:tcPr>
          <w:p w14:paraId="6478BC88" w14:textId="77777777" w:rsidR="00000000" w:rsidRDefault="0068293C">
            <w:pPr>
              <w:spacing w:after="100"/>
              <w:rPr>
                <w:rFonts w:eastAsia="Times New Roman"/>
                <w:sz w:val="20"/>
                <w:szCs w:val="20"/>
              </w:rPr>
            </w:pPr>
          </w:p>
        </w:tc>
        <w:tc>
          <w:tcPr>
            <w:tcW w:w="0" w:type="auto"/>
            <w:gridSpan w:val="3"/>
            <w:vAlign w:val="center"/>
            <w:hideMark/>
          </w:tcPr>
          <w:p w14:paraId="06E59735" w14:textId="77777777" w:rsidR="00000000" w:rsidRDefault="0068293C">
            <w:pPr>
              <w:spacing w:after="100"/>
              <w:rPr>
                <w:rFonts w:eastAsia="Times New Roman"/>
                <w:sz w:val="20"/>
                <w:szCs w:val="20"/>
              </w:rPr>
            </w:pPr>
          </w:p>
        </w:tc>
        <w:tc>
          <w:tcPr>
            <w:tcW w:w="0" w:type="auto"/>
            <w:gridSpan w:val="3"/>
            <w:vAlign w:val="center"/>
            <w:hideMark/>
          </w:tcPr>
          <w:p w14:paraId="30E69203" w14:textId="77777777" w:rsidR="00000000" w:rsidRDefault="0068293C">
            <w:pPr>
              <w:spacing w:after="100"/>
              <w:rPr>
                <w:rFonts w:eastAsia="Times New Roman"/>
                <w:sz w:val="20"/>
                <w:szCs w:val="20"/>
              </w:rPr>
            </w:pPr>
          </w:p>
        </w:tc>
        <w:tc>
          <w:tcPr>
            <w:tcW w:w="0" w:type="auto"/>
            <w:gridSpan w:val="3"/>
            <w:vAlign w:val="center"/>
            <w:hideMark/>
          </w:tcPr>
          <w:p w14:paraId="187C5B0D" w14:textId="77777777" w:rsidR="00000000" w:rsidRDefault="0068293C">
            <w:pPr>
              <w:spacing w:after="100"/>
              <w:rPr>
                <w:rFonts w:eastAsia="Times New Roman"/>
                <w:sz w:val="20"/>
                <w:szCs w:val="20"/>
              </w:rPr>
            </w:pPr>
          </w:p>
        </w:tc>
        <w:tc>
          <w:tcPr>
            <w:tcW w:w="0" w:type="auto"/>
            <w:gridSpan w:val="3"/>
            <w:vAlign w:val="center"/>
            <w:hideMark/>
          </w:tcPr>
          <w:p w14:paraId="75BDD304" w14:textId="77777777" w:rsidR="00000000" w:rsidRDefault="0068293C">
            <w:pPr>
              <w:spacing w:after="100"/>
              <w:rPr>
                <w:rFonts w:eastAsia="Times New Roman"/>
                <w:sz w:val="20"/>
                <w:szCs w:val="20"/>
              </w:rPr>
            </w:pPr>
          </w:p>
        </w:tc>
        <w:tc>
          <w:tcPr>
            <w:tcW w:w="0" w:type="auto"/>
            <w:gridSpan w:val="3"/>
            <w:vAlign w:val="center"/>
            <w:hideMark/>
          </w:tcPr>
          <w:p w14:paraId="0E5543BB" w14:textId="77777777" w:rsidR="00000000" w:rsidRDefault="0068293C">
            <w:pPr>
              <w:spacing w:after="100"/>
              <w:rPr>
                <w:rFonts w:eastAsia="Times New Roman"/>
                <w:sz w:val="20"/>
                <w:szCs w:val="20"/>
              </w:rPr>
            </w:pPr>
          </w:p>
        </w:tc>
        <w:tc>
          <w:tcPr>
            <w:tcW w:w="0" w:type="auto"/>
            <w:gridSpan w:val="3"/>
            <w:vAlign w:val="center"/>
            <w:hideMark/>
          </w:tcPr>
          <w:p w14:paraId="78141966" w14:textId="77777777" w:rsidR="00000000" w:rsidRDefault="0068293C">
            <w:pPr>
              <w:spacing w:after="100"/>
              <w:rPr>
                <w:rFonts w:eastAsia="Times New Roman"/>
                <w:sz w:val="20"/>
                <w:szCs w:val="20"/>
              </w:rPr>
            </w:pPr>
          </w:p>
        </w:tc>
      </w:tr>
      <w:tr w:rsidR="00000000" w14:paraId="0DBDC790" w14:textId="77777777">
        <w:trPr>
          <w:divId w:val="657198638"/>
          <w:jc w:val="center"/>
        </w:trPr>
        <w:tc>
          <w:tcPr>
            <w:tcW w:w="0" w:type="auto"/>
            <w:gridSpan w:val="3"/>
            <w:vAlign w:val="center"/>
            <w:hideMark/>
          </w:tcPr>
          <w:p w14:paraId="6A0B9758" w14:textId="77777777" w:rsidR="00000000" w:rsidRDefault="0068293C">
            <w:pPr>
              <w:spacing w:after="100"/>
              <w:rPr>
                <w:rFonts w:eastAsia="Times New Roman"/>
                <w:sz w:val="20"/>
                <w:szCs w:val="20"/>
              </w:rPr>
            </w:pPr>
          </w:p>
        </w:tc>
        <w:tc>
          <w:tcPr>
            <w:tcW w:w="0" w:type="auto"/>
            <w:gridSpan w:val="3"/>
            <w:vAlign w:val="center"/>
            <w:hideMark/>
          </w:tcPr>
          <w:p w14:paraId="59B9EDB9" w14:textId="77777777" w:rsidR="00000000" w:rsidRDefault="0068293C">
            <w:pPr>
              <w:spacing w:after="100"/>
              <w:rPr>
                <w:rFonts w:eastAsia="Times New Roman"/>
                <w:sz w:val="20"/>
                <w:szCs w:val="20"/>
              </w:rPr>
            </w:pPr>
          </w:p>
        </w:tc>
        <w:tc>
          <w:tcPr>
            <w:tcW w:w="0" w:type="auto"/>
            <w:gridSpan w:val="3"/>
            <w:vAlign w:val="center"/>
            <w:hideMark/>
          </w:tcPr>
          <w:p w14:paraId="4CE1BB7B" w14:textId="77777777" w:rsidR="00000000" w:rsidRDefault="0068293C">
            <w:pPr>
              <w:spacing w:after="100"/>
              <w:rPr>
                <w:rFonts w:eastAsia="Times New Roman"/>
                <w:sz w:val="20"/>
                <w:szCs w:val="20"/>
              </w:rPr>
            </w:pPr>
          </w:p>
        </w:tc>
        <w:tc>
          <w:tcPr>
            <w:tcW w:w="0" w:type="auto"/>
            <w:gridSpan w:val="3"/>
            <w:vAlign w:val="center"/>
            <w:hideMark/>
          </w:tcPr>
          <w:p w14:paraId="0AE23F65" w14:textId="77777777" w:rsidR="00000000" w:rsidRDefault="0068293C">
            <w:pPr>
              <w:spacing w:after="100"/>
              <w:rPr>
                <w:rFonts w:eastAsia="Times New Roman"/>
                <w:sz w:val="20"/>
                <w:szCs w:val="20"/>
              </w:rPr>
            </w:pPr>
          </w:p>
        </w:tc>
        <w:tc>
          <w:tcPr>
            <w:tcW w:w="0" w:type="auto"/>
            <w:gridSpan w:val="3"/>
            <w:vAlign w:val="center"/>
            <w:hideMark/>
          </w:tcPr>
          <w:p w14:paraId="24A6B3C6" w14:textId="77777777" w:rsidR="00000000" w:rsidRDefault="0068293C">
            <w:pPr>
              <w:spacing w:after="100"/>
              <w:rPr>
                <w:rFonts w:eastAsia="Times New Roman"/>
                <w:sz w:val="20"/>
                <w:szCs w:val="20"/>
              </w:rPr>
            </w:pPr>
          </w:p>
        </w:tc>
        <w:tc>
          <w:tcPr>
            <w:tcW w:w="0" w:type="auto"/>
            <w:gridSpan w:val="3"/>
            <w:vAlign w:val="center"/>
            <w:hideMark/>
          </w:tcPr>
          <w:p w14:paraId="2A4B819B" w14:textId="77777777" w:rsidR="00000000" w:rsidRDefault="0068293C">
            <w:pPr>
              <w:spacing w:after="100"/>
              <w:rPr>
                <w:rFonts w:eastAsia="Times New Roman"/>
                <w:sz w:val="20"/>
                <w:szCs w:val="20"/>
              </w:rPr>
            </w:pPr>
          </w:p>
        </w:tc>
        <w:tc>
          <w:tcPr>
            <w:tcW w:w="0" w:type="auto"/>
            <w:gridSpan w:val="3"/>
            <w:vAlign w:val="center"/>
            <w:hideMark/>
          </w:tcPr>
          <w:p w14:paraId="2DB7E682" w14:textId="77777777" w:rsidR="00000000" w:rsidRDefault="0068293C">
            <w:pPr>
              <w:spacing w:after="100"/>
              <w:rPr>
                <w:rFonts w:eastAsia="Times New Roman"/>
                <w:sz w:val="20"/>
                <w:szCs w:val="20"/>
              </w:rPr>
            </w:pPr>
          </w:p>
        </w:tc>
        <w:tc>
          <w:tcPr>
            <w:tcW w:w="0" w:type="auto"/>
            <w:gridSpan w:val="3"/>
            <w:vAlign w:val="center"/>
            <w:hideMark/>
          </w:tcPr>
          <w:p w14:paraId="0312E2D8" w14:textId="77777777" w:rsidR="00000000" w:rsidRDefault="0068293C">
            <w:pPr>
              <w:spacing w:after="100"/>
              <w:rPr>
                <w:rFonts w:eastAsia="Times New Roman"/>
                <w:sz w:val="20"/>
                <w:szCs w:val="20"/>
              </w:rPr>
            </w:pPr>
          </w:p>
        </w:tc>
        <w:tc>
          <w:tcPr>
            <w:tcW w:w="0" w:type="auto"/>
            <w:gridSpan w:val="3"/>
            <w:vAlign w:val="center"/>
            <w:hideMark/>
          </w:tcPr>
          <w:p w14:paraId="0695353D" w14:textId="77777777" w:rsidR="00000000" w:rsidRDefault="0068293C">
            <w:pPr>
              <w:spacing w:after="100"/>
              <w:rPr>
                <w:rFonts w:eastAsia="Times New Roman"/>
                <w:sz w:val="20"/>
                <w:szCs w:val="20"/>
              </w:rPr>
            </w:pPr>
          </w:p>
        </w:tc>
        <w:tc>
          <w:tcPr>
            <w:tcW w:w="0" w:type="auto"/>
            <w:gridSpan w:val="3"/>
            <w:vAlign w:val="center"/>
            <w:hideMark/>
          </w:tcPr>
          <w:p w14:paraId="2528248E" w14:textId="77777777" w:rsidR="00000000" w:rsidRDefault="0068293C">
            <w:pPr>
              <w:spacing w:after="100"/>
              <w:rPr>
                <w:rFonts w:eastAsia="Times New Roman"/>
                <w:sz w:val="20"/>
                <w:szCs w:val="20"/>
              </w:rPr>
            </w:pPr>
          </w:p>
        </w:tc>
        <w:tc>
          <w:tcPr>
            <w:tcW w:w="0" w:type="auto"/>
            <w:gridSpan w:val="3"/>
            <w:vAlign w:val="center"/>
            <w:hideMark/>
          </w:tcPr>
          <w:p w14:paraId="100F1952" w14:textId="77777777" w:rsidR="00000000" w:rsidRDefault="0068293C">
            <w:pPr>
              <w:spacing w:after="100"/>
              <w:rPr>
                <w:rFonts w:eastAsia="Times New Roman"/>
                <w:sz w:val="20"/>
                <w:szCs w:val="20"/>
              </w:rPr>
            </w:pPr>
          </w:p>
        </w:tc>
        <w:tc>
          <w:tcPr>
            <w:tcW w:w="0" w:type="auto"/>
            <w:gridSpan w:val="3"/>
            <w:vAlign w:val="center"/>
            <w:hideMark/>
          </w:tcPr>
          <w:p w14:paraId="2E4B1CCB" w14:textId="77777777" w:rsidR="00000000" w:rsidRDefault="0068293C">
            <w:pPr>
              <w:spacing w:after="100"/>
              <w:rPr>
                <w:rFonts w:eastAsia="Times New Roman"/>
                <w:sz w:val="20"/>
                <w:szCs w:val="20"/>
              </w:rPr>
            </w:pPr>
          </w:p>
        </w:tc>
        <w:tc>
          <w:tcPr>
            <w:tcW w:w="0" w:type="auto"/>
            <w:gridSpan w:val="3"/>
            <w:vAlign w:val="center"/>
            <w:hideMark/>
          </w:tcPr>
          <w:p w14:paraId="129C6A35" w14:textId="77777777" w:rsidR="00000000" w:rsidRDefault="0068293C">
            <w:pPr>
              <w:spacing w:after="100"/>
              <w:rPr>
                <w:rFonts w:eastAsia="Times New Roman"/>
                <w:sz w:val="20"/>
                <w:szCs w:val="20"/>
              </w:rPr>
            </w:pPr>
          </w:p>
        </w:tc>
        <w:tc>
          <w:tcPr>
            <w:tcW w:w="0" w:type="auto"/>
            <w:gridSpan w:val="3"/>
            <w:vAlign w:val="center"/>
            <w:hideMark/>
          </w:tcPr>
          <w:p w14:paraId="15A335E8" w14:textId="77777777" w:rsidR="00000000" w:rsidRDefault="0068293C">
            <w:pPr>
              <w:spacing w:after="100"/>
              <w:rPr>
                <w:rFonts w:eastAsia="Times New Roman"/>
                <w:sz w:val="20"/>
                <w:szCs w:val="20"/>
              </w:rPr>
            </w:pPr>
          </w:p>
        </w:tc>
        <w:tc>
          <w:tcPr>
            <w:tcW w:w="0" w:type="auto"/>
            <w:gridSpan w:val="3"/>
            <w:vAlign w:val="center"/>
            <w:hideMark/>
          </w:tcPr>
          <w:p w14:paraId="3157BB6B" w14:textId="77777777" w:rsidR="00000000" w:rsidRDefault="0068293C">
            <w:pPr>
              <w:spacing w:after="100"/>
              <w:rPr>
                <w:rFonts w:eastAsia="Times New Roman"/>
                <w:sz w:val="20"/>
                <w:szCs w:val="20"/>
              </w:rPr>
            </w:pPr>
          </w:p>
        </w:tc>
      </w:tr>
      <w:tr w:rsidR="00000000" w14:paraId="6F137593" w14:textId="77777777">
        <w:trPr>
          <w:divId w:val="657198638"/>
          <w:jc w:val="center"/>
        </w:trPr>
        <w:tc>
          <w:tcPr>
            <w:tcW w:w="0" w:type="auto"/>
            <w:gridSpan w:val="3"/>
            <w:vAlign w:val="center"/>
            <w:hideMark/>
          </w:tcPr>
          <w:p w14:paraId="449D8650" w14:textId="77777777" w:rsidR="00000000" w:rsidRDefault="0068293C">
            <w:pPr>
              <w:spacing w:after="100"/>
              <w:rPr>
                <w:rFonts w:eastAsia="Times New Roman"/>
                <w:sz w:val="20"/>
                <w:szCs w:val="20"/>
              </w:rPr>
            </w:pPr>
          </w:p>
        </w:tc>
        <w:tc>
          <w:tcPr>
            <w:tcW w:w="0" w:type="auto"/>
            <w:gridSpan w:val="3"/>
            <w:vAlign w:val="center"/>
            <w:hideMark/>
          </w:tcPr>
          <w:p w14:paraId="6A368696" w14:textId="77777777" w:rsidR="00000000" w:rsidRDefault="0068293C">
            <w:pPr>
              <w:spacing w:after="100"/>
              <w:rPr>
                <w:rFonts w:eastAsia="Times New Roman"/>
                <w:sz w:val="20"/>
                <w:szCs w:val="20"/>
              </w:rPr>
            </w:pPr>
          </w:p>
        </w:tc>
        <w:tc>
          <w:tcPr>
            <w:tcW w:w="0" w:type="auto"/>
            <w:gridSpan w:val="3"/>
            <w:vAlign w:val="center"/>
            <w:hideMark/>
          </w:tcPr>
          <w:p w14:paraId="48D610A4" w14:textId="77777777" w:rsidR="00000000" w:rsidRDefault="0068293C">
            <w:pPr>
              <w:spacing w:after="100"/>
              <w:rPr>
                <w:rFonts w:eastAsia="Times New Roman"/>
                <w:sz w:val="20"/>
                <w:szCs w:val="20"/>
              </w:rPr>
            </w:pPr>
          </w:p>
        </w:tc>
        <w:tc>
          <w:tcPr>
            <w:tcW w:w="0" w:type="auto"/>
            <w:gridSpan w:val="3"/>
            <w:vAlign w:val="center"/>
            <w:hideMark/>
          </w:tcPr>
          <w:p w14:paraId="57494FD9" w14:textId="77777777" w:rsidR="00000000" w:rsidRDefault="0068293C">
            <w:pPr>
              <w:spacing w:after="100"/>
              <w:rPr>
                <w:rFonts w:eastAsia="Times New Roman"/>
                <w:sz w:val="20"/>
                <w:szCs w:val="20"/>
              </w:rPr>
            </w:pPr>
          </w:p>
        </w:tc>
        <w:tc>
          <w:tcPr>
            <w:tcW w:w="0" w:type="auto"/>
            <w:gridSpan w:val="3"/>
            <w:vAlign w:val="center"/>
            <w:hideMark/>
          </w:tcPr>
          <w:p w14:paraId="328923BB" w14:textId="77777777" w:rsidR="00000000" w:rsidRDefault="0068293C">
            <w:pPr>
              <w:spacing w:after="100"/>
              <w:rPr>
                <w:rFonts w:eastAsia="Times New Roman"/>
                <w:sz w:val="20"/>
                <w:szCs w:val="20"/>
              </w:rPr>
            </w:pPr>
          </w:p>
        </w:tc>
        <w:tc>
          <w:tcPr>
            <w:tcW w:w="0" w:type="auto"/>
            <w:gridSpan w:val="3"/>
            <w:vAlign w:val="center"/>
            <w:hideMark/>
          </w:tcPr>
          <w:p w14:paraId="522C85FD" w14:textId="77777777" w:rsidR="00000000" w:rsidRDefault="0068293C">
            <w:pPr>
              <w:spacing w:after="100"/>
              <w:rPr>
                <w:rFonts w:eastAsia="Times New Roman"/>
                <w:sz w:val="20"/>
                <w:szCs w:val="20"/>
              </w:rPr>
            </w:pPr>
          </w:p>
        </w:tc>
        <w:tc>
          <w:tcPr>
            <w:tcW w:w="0" w:type="auto"/>
            <w:gridSpan w:val="3"/>
            <w:vAlign w:val="center"/>
            <w:hideMark/>
          </w:tcPr>
          <w:p w14:paraId="111D1893" w14:textId="77777777" w:rsidR="00000000" w:rsidRDefault="0068293C">
            <w:pPr>
              <w:spacing w:after="100"/>
              <w:rPr>
                <w:rFonts w:eastAsia="Times New Roman"/>
                <w:sz w:val="20"/>
                <w:szCs w:val="20"/>
              </w:rPr>
            </w:pPr>
          </w:p>
        </w:tc>
        <w:tc>
          <w:tcPr>
            <w:tcW w:w="0" w:type="auto"/>
            <w:gridSpan w:val="3"/>
            <w:vAlign w:val="center"/>
            <w:hideMark/>
          </w:tcPr>
          <w:p w14:paraId="244474D4" w14:textId="77777777" w:rsidR="00000000" w:rsidRDefault="0068293C">
            <w:pPr>
              <w:spacing w:after="100"/>
              <w:rPr>
                <w:rFonts w:eastAsia="Times New Roman"/>
                <w:sz w:val="20"/>
                <w:szCs w:val="20"/>
              </w:rPr>
            </w:pPr>
          </w:p>
        </w:tc>
        <w:tc>
          <w:tcPr>
            <w:tcW w:w="0" w:type="auto"/>
            <w:gridSpan w:val="3"/>
            <w:vAlign w:val="center"/>
            <w:hideMark/>
          </w:tcPr>
          <w:p w14:paraId="7142B00C" w14:textId="77777777" w:rsidR="00000000" w:rsidRDefault="0068293C">
            <w:pPr>
              <w:spacing w:after="100"/>
              <w:rPr>
                <w:rFonts w:eastAsia="Times New Roman"/>
                <w:sz w:val="20"/>
                <w:szCs w:val="20"/>
              </w:rPr>
            </w:pPr>
          </w:p>
        </w:tc>
        <w:tc>
          <w:tcPr>
            <w:tcW w:w="0" w:type="auto"/>
            <w:gridSpan w:val="3"/>
            <w:vAlign w:val="center"/>
            <w:hideMark/>
          </w:tcPr>
          <w:p w14:paraId="26689DB1" w14:textId="77777777" w:rsidR="00000000" w:rsidRDefault="0068293C">
            <w:pPr>
              <w:spacing w:after="100"/>
              <w:rPr>
                <w:rFonts w:eastAsia="Times New Roman"/>
                <w:sz w:val="20"/>
                <w:szCs w:val="20"/>
              </w:rPr>
            </w:pPr>
          </w:p>
        </w:tc>
        <w:tc>
          <w:tcPr>
            <w:tcW w:w="0" w:type="auto"/>
            <w:gridSpan w:val="3"/>
            <w:vAlign w:val="center"/>
            <w:hideMark/>
          </w:tcPr>
          <w:p w14:paraId="16766758" w14:textId="77777777" w:rsidR="00000000" w:rsidRDefault="0068293C">
            <w:pPr>
              <w:spacing w:after="100"/>
              <w:rPr>
                <w:rFonts w:eastAsia="Times New Roman"/>
                <w:sz w:val="20"/>
                <w:szCs w:val="20"/>
              </w:rPr>
            </w:pPr>
          </w:p>
        </w:tc>
        <w:tc>
          <w:tcPr>
            <w:tcW w:w="0" w:type="auto"/>
            <w:gridSpan w:val="3"/>
            <w:vAlign w:val="center"/>
            <w:hideMark/>
          </w:tcPr>
          <w:p w14:paraId="57675EDA" w14:textId="77777777" w:rsidR="00000000" w:rsidRDefault="0068293C">
            <w:pPr>
              <w:spacing w:after="100"/>
              <w:rPr>
                <w:rFonts w:eastAsia="Times New Roman"/>
                <w:sz w:val="20"/>
                <w:szCs w:val="20"/>
              </w:rPr>
            </w:pPr>
          </w:p>
        </w:tc>
        <w:tc>
          <w:tcPr>
            <w:tcW w:w="0" w:type="auto"/>
            <w:gridSpan w:val="3"/>
            <w:vAlign w:val="center"/>
            <w:hideMark/>
          </w:tcPr>
          <w:p w14:paraId="33AEC0C4" w14:textId="77777777" w:rsidR="00000000" w:rsidRDefault="0068293C">
            <w:pPr>
              <w:spacing w:after="100"/>
              <w:rPr>
                <w:rFonts w:eastAsia="Times New Roman"/>
                <w:sz w:val="20"/>
                <w:szCs w:val="20"/>
              </w:rPr>
            </w:pPr>
          </w:p>
        </w:tc>
        <w:tc>
          <w:tcPr>
            <w:tcW w:w="0" w:type="auto"/>
            <w:gridSpan w:val="3"/>
            <w:vAlign w:val="center"/>
            <w:hideMark/>
          </w:tcPr>
          <w:p w14:paraId="5225E470" w14:textId="77777777" w:rsidR="00000000" w:rsidRDefault="0068293C">
            <w:pPr>
              <w:spacing w:after="100"/>
              <w:rPr>
                <w:rFonts w:eastAsia="Times New Roman"/>
                <w:sz w:val="20"/>
                <w:szCs w:val="20"/>
              </w:rPr>
            </w:pPr>
          </w:p>
        </w:tc>
        <w:tc>
          <w:tcPr>
            <w:tcW w:w="0" w:type="auto"/>
            <w:gridSpan w:val="3"/>
            <w:vAlign w:val="center"/>
            <w:hideMark/>
          </w:tcPr>
          <w:p w14:paraId="12B9703C" w14:textId="77777777" w:rsidR="00000000" w:rsidRDefault="0068293C">
            <w:pPr>
              <w:spacing w:after="100"/>
              <w:rPr>
                <w:rFonts w:eastAsia="Times New Roman"/>
                <w:sz w:val="20"/>
                <w:szCs w:val="20"/>
              </w:rPr>
            </w:pPr>
          </w:p>
        </w:tc>
      </w:tr>
      <w:tr w:rsidR="00000000" w14:paraId="71069289" w14:textId="77777777">
        <w:trPr>
          <w:divId w:val="657198638"/>
          <w:jc w:val="center"/>
        </w:trPr>
        <w:tc>
          <w:tcPr>
            <w:tcW w:w="0" w:type="auto"/>
            <w:gridSpan w:val="3"/>
            <w:vAlign w:val="center"/>
            <w:hideMark/>
          </w:tcPr>
          <w:p w14:paraId="5892890E" w14:textId="77777777" w:rsidR="00000000" w:rsidRDefault="0068293C">
            <w:pPr>
              <w:spacing w:after="100"/>
              <w:rPr>
                <w:rFonts w:eastAsia="Times New Roman"/>
                <w:sz w:val="20"/>
                <w:szCs w:val="20"/>
              </w:rPr>
            </w:pPr>
          </w:p>
        </w:tc>
        <w:tc>
          <w:tcPr>
            <w:tcW w:w="0" w:type="auto"/>
            <w:gridSpan w:val="3"/>
            <w:vAlign w:val="center"/>
            <w:hideMark/>
          </w:tcPr>
          <w:p w14:paraId="08A0B348" w14:textId="77777777" w:rsidR="00000000" w:rsidRDefault="0068293C">
            <w:pPr>
              <w:spacing w:after="100"/>
              <w:rPr>
                <w:rFonts w:eastAsia="Times New Roman"/>
                <w:sz w:val="20"/>
                <w:szCs w:val="20"/>
              </w:rPr>
            </w:pPr>
          </w:p>
        </w:tc>
        <w:tc>
          <w:tcPr>
            <w:tcW w:w="0" w:type="auto"/>
            <w:gridSpan w:val="3"/>
            <w:vAlign w:val="center"/>
            <w:hideMark/>
          </w:tcPr>
          <w:p w14:paraId="180A98CA" w14:textId="77777777" w:rsidR="00000000" w:rsidRDefault="0068293C">
            <w:pPr>
              <w:spacing w:after="100"/>
              <w:rPr>
                <w:rFonts w:eastAsia="Times New Roman"/>
                <w:sz w:val="20"/>
                <w:szCs w:val="20"/>
              </w:rPr>
            </w:pPr>
          </w:p>
        </w:tc>
        <w:tc>
          <w:tcPr>
            <w:tcW w:w="0" w:type="auto"/>
            <w:gridSpan w:val="3"/>
            <w:vAlign w:val="center"/>
            <w:hideMark/>
          </w:tcPr>
          <w:p w14:paraId="699449BC" w14:textId="77777777" w:rsidR="00000000" w:rsidRDefault="0068293C">
            <w:pPr>
              <w:spacing w:after="100"/>
              <w:rPr>
                <w:rFonts w:eastAsia="Times New Roman"/>
                <w:sz w:val="20"/>
                <w:szCs w:val="20"/>
              </w:rPr>
            </w:pPr>
          </w:p>
        </w:tc>
        <w:tc>
          <w:tcPr>
            <w:tcW w:w="0" w:type="auto"/>
            <w:gridSpan w:val="3"/>
            <w:vAlign w:val="center"/>
            <w:hideMark/>
          </w:tcPr>
          <w:p w14:paraId="78DD8EA8" w14:textId="77777777" w:rsidR="00000000" w:rsidRDefault="0068293C">
            <w:pPr>
              <w:spacing w:after="100"/>
              <w:rPr>
                <w:rFonts w:eastAsia="Times New Roman"/>
                <w:sz w:val="20"/>
                <w:szCs w:val="20"/>
              </w:rPr>
            </w:pPr>
          </w:p>
        </w:tc>
        <w:tc>
          <w:tcPr>
            <w:tcW w:w="0" w:type="auto"/>
            <w:gridSpan w:val="3"/>
            <w:vAlign w:val="center"/>
            <w:hideMark/>
          </w:tcPr>
          <w:p w14:paraId="66B6A94E" w14:textId="77777777" w:rsidR="00000000" w:rsidRDefault="0068293C">
            <w:pPr>
              <w:spacing w:after="100"/>
              <w:rPr>
                <w:rFonts w:eastAsia="Times New Roman"/>
                <w:sz w:val="20"/>
                <w:szCs w:val="20"/>
              </w:rPr>
            </w:pPr>
          </w:p>
        </w:tc>
        <w:tc>
          <w:tcPr>
            <w:tcW w:w="0" w:type="auto"/>
            <w:gridSpan w:val="3"/>
            <w:vAlign w:val="center"/>
            <w:hideMark/>
          </w:tcPr>
          <w:p w14:paraId="088A134B" w14:textId="77777777" w:rsidR="00000000" w:rsidRDefault="0068293C">
            <w:pPr>
              <w:spacing w:after="100"/>
              <w:rPr>
                <w:rFonts w:eastAsia="Times New Roman"/>
                <w:sz w:val="20"/>
                <w:szCs w:val="20"/>
              </w:rPr>
            </w:pPr>
          </w:p>
        </w:tc>
        <w:tc>
          <w:tcPr>
            <w:tcW w:w="0" w:type="auto"/>
            <w:gridSpan w:val="3"/>
            <w:vAlign w:val="center"/>
            <w:hideMark/>
          </w:tcPr>
          <w:p w14:paraId="3412E4AF" w14:textId="77777777" w:rsidR="00000000" w:rsidRDefault="0068293C">
            <w:pPr>
              <w:spacing w:after="100"/>
              <w:rPr>
                <w:rFonts w:eastAsia="Times New Roman"/>
                <w:sz w:val="20"/>
                <w:szCs w:val="20"/>
              </w:rPr>
            </w:pPr>
          </w:p>
        </w:tc>
        <w:tc>
          <w:tcPr>
            <w:tcW w:w="0" w:type="auto"/>
            <w:gridSpan w:val="3"/>
            <w:vAlign w:val="center"/>
            <w:hideMark/>
          </w:tcPr>
          <w:p w14:paraId="53DBEF81" w14:textId="77777777" w:rsidR="00000000" w:rsidRDefault="0068293C">
            <w:pPr>
              <w:spacing w:after="100"/>
              <w:rPr>
                <w:rFonts w:eastAsia="Times New Roman"/>
                <w:sz w:val="20"/>
                <w:szCs w:val="20"/>
              </w:rPr>
            </w:pPr>
          </w:p>
        </w:tc>
        <w:tc>
          <w:tcPr>
            <w:tcW w:w="0" w:type="auto"/>
            <w:gridSpan w:val="3"/>
            <w:vAlign w:val="center"/>
            <w:hideMark/>
          </w:tcPr>
          <w:p w14:paraId="37801137" w14:textId="77777777" w:rsidR="00000000" w:rsidRDefault="0068293C">
            <w:pPr>
              <w:spacing w:after="100"/>
              <w:rPr>
                <w:rFonts w:eastAsia="Times New Roman"/>
                <w:sz w:val="20"/>
                <w:szCs w:val="20"/>
              </w:rPr>
            </w:pPr>
          </w:p>
        </w:tc>
        <w:tc>
          <w:tcPr>
            <w:tcW w:w="0" w:type="auto"/>
            <w:gridSpan w:val="3"/>
            <w:vAlign w:val="center"/>
            <w:hideMark/>
          </w:tcPr>
          <w:p w14:paraId="47212D4B" w14:textId="77777777" w:rsidR="00000000" w:rsidRDefault="0068293C">
            <w:pPr>
              <w:spacing w:after="100"/>
              <w:rPr>
                <w:rFonts w:eastAsia="Times New Roman"/>
                <w:sz w:val="20"/>
                <w:szCs w:val="20"/>
              </w:rPr>
            </w:pPr>
          </w:p>
        </w:tc>
        <w:tc>
          <w:tcPr>
            <w:tcW w:w="0" w:type="auto"/>
            <w:gridSpan w:val="3"/>
            <w:vAlign w:val="center"/>
            <w:hideMark/>
          </w:tcPr>
          <w:p w14:paraId="5ED36691" w14:textId="77777777" w:rsidR="00000000" w:rsidRDefault="0068293C">
            <w:pPr>
              <w:spacing w:after="100"/>
              <w:rPr>
                <w:rFonts w:eastAsia="Times New Roman"/>
                <w:sz w:val="20"/>
                <w:szCs w:val="20"/>
              </w:rPr>
            </w:pPr>
          </w:p>
        </w:tc>
        <w:tc>
          <w:tcPr>
            <w:tcW w:w="0" w:type="auto"/>
            <w:gridSpan w:val="3"/>
            <w:vAlign w:val="center"/>
            <w:hideMark/>
          </w:tcPr>
          <w:p w14:paraId="6F12BE16" w14:textId="77777777" w:rsidR="00000000" w:rsidRDefault="0068293C">
            <w:pPr>
              <w:spacing w:after="100"/>
              <w:rPr>
                <w:rFonts w:eastAsia="Times New Roman"/>
                <w:sz w:val="20"/>
                <w:szCs w:val="20"/>
              </w:rPr>
            </w:pPr>
          </w:p>
        </w:tc>
        <w:tc>
          <w:tcPr>
            <w:tcW w:w="0" w:type="auto"/>
            <w:gridSpan w:val="3"/>
            <w:vAlign w:val="center"/>
            <w:hideMark/>
          </w:tcPr>
          <w:p w14:paraId="3D134409" w14:textId="77777777" w:rsidR="00000000" w:rsidRDefault="0068293C">
            <w:pPr>
              <w:spacing w:after="100"/>
              <w:rPr>
                <w:rFonts w:eastAsia="Times New Roman"/>
                <w:sz w:val="20"/>
                <w:szCs w:val="20"/>
              </w:rPr>
            </w:pPr>
          </w:p>
        </w:tc>
        <w:tc>
          <w:tcPr>
            <w:tcW w:w="0" w:type="auto"/>
            <w:gridSpan w:val="3"/>
            <w:vAlign w:val="center"/>
            <w:hideMark/>
          </w:tcPr>
          <w:p w14:paraId="2725D26E" w14:textId="77777777" w:rsidR="00000000" w:rsidRDefault="0068293C">
            <w:pPr>
              <w:spacing w:after="100"/>
              <w:rPr>
                <w:rFonts w:eastAsia="Times New Roman"/>
                <w:sz w:val="20"/>
                <w:szCs w:val="20"/>
              </w:rPr>
            </w:pPr>
          </w:p>
        </w:tc>
      </w:tr>
      <w:tr w:rsidR="00000000" w14:paraId="26BB7510" w14:textId="77777777">
        <w:trPr>
          <w:divId w:val="657198638"/>
          <w:jc w:val="center"/>
        </w:trPr>
        <w:tc>
          <w:tcPr>
            <w:tcW w:w="0" w:type="auto"/>
            <w:gridSpan w:val="3"/>
            <w:vAlign w:val="center"/>
            <w:hideMark/>
          </w:tcPr>
          <w:p w14:paraId="2430840A" w14:textId="77777777" w:rsidR="00000000" w:rsidRDefault="0068293C">
            <w:pPr>
              <w:spacing w:after="100"/>
              <w:rPr>
                <w:rFonts w:eastAsia="Times New Roman"/>
                <w:sz w:val="20"/>
                <w:szCs w:val="20"/>
              </w:rPr>
            </w:pPr>
          </w:p>
        </w:tc>
        <w:tc>
          <w:tcPr>
            <w:tcW w:w="0" w:type="auto"/>
            <w:gridSpan w:val="3"/>
            <w:vAlign w:val="center"/>
            <w:hideMark/>
          </w:tcPr>
          <w:p w14:paraId="74462741" w14:textId="77777777" w:rsidR="00000000" w:rsidRDefault="0068293C">
            <w:pPr>
              <w:spacing w:after="100"/>
              <w:rPr>
                <w:rFonts w:eastAsia="Times New Roman"/>
                <w:sz w:val="20"/>
                <w:szCs w:val="20"/>
              </w:rPr>
            </w:pPr>
          </w:p>
        </w:tc>
        <w:tc>
          <w:tcPr>
            <w:tcW w:w="0" w:type="auto"/>
            <w:gridSpan w:val="3"/>
            <w:vAlign w:val="center"/>
            <w:hideMark/>
          </w:tcPr>
          <w:p w14:paraId="425CEE96" w14:textId="77777777" w:rsidR="00000000" w:rsidRDefault="0068293C">
            <w:pPr>
              <w:spacing w:after="100"/>
              <w:rPr>
                <w:rFonts w:eastAsia="Times New Roman"/>
                <w:sz w:val="20"/>
                <w:szCs w:val="20"/>
              </w:rPr>
            </w:pPr>
          </w:p>
        </w:tc>
        <w:tc>
          <w:tcPr>
            <w:tcW w:w="0" w:type="auto"/>
            <w:gridSpan w:val="3"/>
            <w:vAlign w:val="center"/>
            <w:hideMark/>
          </w:tcPr>
          <w:p w14:paraId="0239C1A5" w14:textId="77777777" w:rsidR="00000000" w:rsidRDefault="0068293C">
            <w:pPr>
              <w:spacing w:after="100"/>
              <w:rPr>
                <w:rFonts w:eastAsia="Times New Roman"/>
                <w:sz w:val="20"/>
                <w:szCs w:val="20"/>
              </w:rPr>
            </w:pPr>
          </w:p>
        </w:tc>
        <w:tc>
          <w:tcPr>
            <w:tcW w:w="0" w:type="auto"/>
            <w:gridSpan w:val="3"/>
            <w:vAlign w:val="center"/>
            <w:hideMark/>
          </w:tcPr>
          <w:p w14:paraId="7CC67F8D" w14:textId="77777777" w:rsidR="00000000" w:rsidRDefault="0068293C">
            <w:pPr>
              <w:spacing w:after="100"/>
              <w:rPr>
                <w:rFonts w:eastAsia="Times New Roman"/>
                <w:sz w:val="20"/>
                <w:szCs w:val="20"/>
              </w:rPr>
            </w:pPr>
          </w:p>
        </w:tc>
        <w:tc>
          <w:tcPr>
            <w:tcW w:w="0" w:type="auto"/>
            <w:gridSpan w:val="3"/>
            <w:vAlign w:val="center"/>
            <w:hideMark/>
          </w:tcPr>
          <w:p w14:paraId="66182F4C" w14:textId="77777777" w:rsidR="00000000" w:rsidRDefault="0068293C">
            <w:pPr>
              <w:spacing w:after="100"/>
              <w:rPr>
                <w:rFonts w:eastAsia="Times New Roman"/>
                <w:sz w:val="20"/>
                <w:szCs w:val="20"/>
              </w:rPr>
            </w:pPr>
          </w:p>
        </w:tc>
        <w:tc>
          <w:tcPr>
            <w:tcW w:w="0" w:type="auto"/>
            <w:gridSpan w:val="3"/>
            <w:vAlign w:val="center"/>
            <w:hideMark/>
          </w:tcPr>
          <w:p w14:paraId="48DB56BE" w14:textId="77777777" w:rsidR="00000000" w:rsidRDefault="0068293C">
            <w:pPr>
              <w:spacing w:after="100"/>
              <w:rPr>
                <w:rFonts w:eastAsia="Times New Roman"/>
                <w:sz w:val="20"/>
                <w:szCs w:val="20"/>
              </w:rPr>
            </w:pPr>
          </w:p>
        </w:tc>
        <w:tc>
          <w:tcPr>
            <w:tcW w:w="0" w:type="auto"/>
            <w:gridSpan w:val="3"/>
            <w:vAlign w:val="center"/>
            <w:hideMark/>
          </w:tcPr>
          <w:p w14:paraId="219B9297" w14:textId="77777777" w:rsidR="00000000" w:rsidRDefault="0068293C">
            <w:pPr>
              <w:spacing w:after="100"/>
              <w:rPr>
                <w:rFonts w:eastAsia="Times New Roman"/>
                <w:sz w:val="20"/>
                <w:szCs w:val="20"/>
              </w:rPr>
            </w:pPr>
          </w:p>
        </w:tc>
        <w:tc>
          <w:tcPr>
            <w:tcW w:w="0" w:type="auto"/>
            <w:gridSpan w:val="3"/>
            <w:vAlign w:val="center"/>
            <w:hideMark/>
          </w:tcPr>
          <w:p w14:paraId="68535CFB" w14:textId="77777777" w:rsidR="00000000" w:rsidRDefault="0068293C">
            <w:pPr>
              <w:spacing w:after="100"/>
              <w:rPr>
                <w:rFonts w:eastAsia="Times New Roman"/>
                <w:sz w:val="20"/>
                <w:szCs w:val="20"/>
              </w:rPr>
            </w:pPr>
          </w:p>
        </w:tc>
        <w:tc>
          <w:tcPr>
            <w:tcW w:w="0" w:type="auto"/>
            <w:gridSpan w:val="3"/>
            <w:vAlign w:val="center"/>
            <w:hideMark/>
          </w:tcPr>
          <w:p w14:paraId="6122F6E0" w14:textId="77777777" w:rsidR="00000000" w:rsidRDefault="0068293C">
            <w:pPr>
              <w:spacing w:after="100"/>
              <w:rPr>
                <w:rFonts w:eastAsia="Times New Roman"/>
                <w:sz w:val="20"/>
                <w:szCs w:val="20"/>
              </w:rPr>
            </w:pPr>
          </w:p>
        </w:tc>
        <w:tc>
          <w:tcPr>
            <w:tcW w:w="0" w:type="auto"/>
            <w:gridSpan w:val="3"/>
            <w:vAlign w:val="center"/>
            <w:hideMark/>
          </w:tcPr>
          <w:p w14:paraId="1565EC95" w14:textId="77777777" w:rsidR="00000000" w:rsidRDefault="0068293C">
            <w:pPr>
              <w:spacing w:after="100"/>
              <w:rPr>
                <w:rFonts w:eastAsia="Times New Roman"/>
                <w:sz w:val="20"/>
                <w:szCs w:val="20"/>
              </w:rPr>
            </w:pPr>
          </w:p>
        </w:tc>
        <w:tc>
          <w:tcPr>
            <w:tcW w:w="0" w:type="auto"/>
            <w:gridSpan w:val="3"/>
            <w:vAlign w:val="center"/>
            <w:hideMark/>
          </w:tcPr>
          <w:p w14:paraId="0231D79D" w14:textId="77777777" w:rsidR="00000000" w:rsidRDefault="0068293C">
            <w:pPr>
              <w:spacing w:after="100"/>
              <w:rPr>
                <w:rFonts w:eastAsia="Times New Roman"/>
                <w:sz w:val="20"/>
                <w:szCs w:val="20"/>
              </w:rPr>
            </w:pPr>
          </w:p>
        </w:tc>
        <w:tc>
          <w:tcPr>
            <w:tcW w:w="0" w:type="auto"/>
            <w:gridSpan w:val="3"/>
            <w:vAlign w:val="center"/>
            <w:hideMark/>
          </w:tcPr>
          <w:p w14:paraId="4D296073" w14:textId="77777777" w:rsidR="00000000" w:rsidRDefault="0068293C">
            <w:pPr>
              <w:spacing w:after="100"/>
              <w:rPr>
                <w:rFonts w:eastAsia="Times New Roman"/>
                <w:sz w:val="20"/>
                <w:szCs w:val="20"/>
              </w:rPr>
            </w:pPr>
          </w:p>
        </w:tc>
        <w:tc>
          <w:tcPr>
            <w:tcW w:w="0" w:type="auto"/>
            <w:gridSpan w:val="3"/>
            <w:vAlign w:val="center"/>
            <w:hideMark/>
          </w:tcPr>
          <w:p w14:paraId="47660162" w14:textId="77777777" w:rsidR="00000000" w:rsidRDefault="0068293C">
            <w:pPr>
              <w:spacing w:after="100"/>
              <w:rPr>
                <w:rFonts w:eastAsia="Times New Roman"/>
                <w:sz w:val="20"/>
                <w:szCs w:val="20"/>
              </w:rPr>
            </w:pPr>
          </w:p>
        </w:tc>
        <w:tc>
          <w:tcPr>
            <w:tcW w:w="0" w:type="auto"/>
            <w:gridSpan w:val="3"/>
            <w:vAlign w:val="center"/>
            <w:hideMark/>
          </w:tcPr>
          <w:p w14:paraId="2F4FE2C5" w14:textId="77777777" w:rsidR="00000000" w:rsidRDefault="0068293C">
            <w:pPr>
              <w:spacing w:after="100"/>
              <w:rPr>
                <w:rFonts w:eastAsia="Times New Roman"/>
                <w:sz w:val="20"/>
                <w:szCs w:val="20"/>
              </w:rPr>
            </w:pPr>
          </w:p>
        </w:tc>
      </w:tr>
      <w:tr w:rsidR="00000000" w14:paraId="1BD1C06B" w14:textId="77777777">
        <w:trPr>
          <w:divId w:val="657198638"/>
          <w:jc w:val="center"/>
        </w:trPr>
        <w:tc>
          <w:tcPr>
            <w:tcW w:w="0" w:type="auto"/>
            <w:gridSpan w:val="3"/>
            <w:vAlign w:val="center"/>
            <w:hideMark/>
          </w:tcPr>
          <w:p w14:paraId="0086A3F5" w14:textId="77777777" w:rsidR="00000000" w:rsidRDefault="0068293C">
            <w:pPr>
              <w:spacing w:after="100"/>
              <w:rPr>
                <w:rFonts w:eastAsia="Times New Roman"/>
                <w:sz w:val="20"/>
                <w:szCs w:val="20"/>
              </w:rPr>
            </w:pPr>
          </w:p>
        </w:tc>
        <w:tc>
          <w:tcPr>
            <w:tcW w:w="0" w:type="auto"/>
            <w:gridSpan w:val="3"/>
            <w:vAlign w:val="center"/>
            <w:hideMark/>
          </w:tcPr>
          <w:p w14:paraId="484CA9DF" w14:textId="77777777" w:rsidR="00000000" w:rsidRDefault="0068293C">
            <w:pPr>
              <w:spacing w:after="100"/>
              <w:rPr>
                <w:rFonts w:eastAsia="Times New Roman"/>
                <w:sz w:val="20"/>
                <w:szCs w:val="20"/>
              </w:rPr>
            </w:pPr>
          </w:p>
        </w:tc>
        <w:tc>
          <w:tcPr>
            <w:tcW w:w="0" w:type="auto"/>
            <w:gridSpan w:val="3"/>
            <w:vAlign w:val="center"/>
            <w:hideMark/>
          </w:tcPr>
          <w:p w14:paraId="401DAEDF" w14:textId="77777777" w:rsidR="00000000" w:rsidRDefault="0068293C">
            <w:pPr>
              <w:spacing w:after="100"/>
              <w:rPr>
                <w:rFonts w:eastAsia="Times New Roman"/>
                <w:sz w:val="20"/>
                <w:szCs w:val="20"/>
              </w:rPr>
            </w:pPr>
          </w:p>
        </w:tc>
        <w:tc>
          <w:tcPr>
            <w:tcW w:w="0" w:type="auto"/>
            <w:gridSpan w:val="3"/>
            <w:vAlign w:val="center"/>
            <w:hideMark/>
          </w:tcPr>
          <w:p w14:paraId="4DCA84AA" w14:textId="77777777" w:rsidR="00000000" w:rsidRDefault="0068293C">
            <w:pPr>
              <w:spacing w:after="100"/>
              <w:rPr>
                <w:rFonts w:eastAsia="Times New Roman"/>
                <w:sz w:val="20"/>
                <w:szCs w:val="20"/>
              </w:rPr>
            </w:pPr>
          </w:p>
        </w:tc>
        <w:tc>
          <w:tcPr>
            <w:tcW w:w="0" w:type="auto"/>
            <w:gridSpan w:val="3"/>
            <w:vAlign w:val="center"/>
            <w:hideMark/>
          </w:tcPr>
          <w:p w14:paraId="6D505DEC" w14:textId="77777777" w:rsidR="00000000" w:rsidRDefault="0068293C">
            <w:pPr>
              <w:spacing w:after="100"/>
              <w:rPr>
                <w:rFonts w:eastAsia="Times New Roman"/>
                <w:sz w:val="20"/>
                <w:szCs w:val="20"/>
              </w:rPr>
            </w:pPr>
          </w:p>
        </w:tc>
        <w:tc>
          <w:tcPr>
            <w:tcW w:w="0" w:type="auto"/>
            <w:gridSpan w:val="3"/>
            <w:vAlign w:val="center"/>
            <w:hideMark/>
          </w:tcPr>
          <w:p w14:paraId="3F3023B7" w14:textId="77777777" w:rsidR="00000000" w:rsidRDefault="0068293C">
            <w:pPr>
              <w:spacing w:after="100"/>
              <w:rPr>
                <w:rFonts w:eastAsia="Times New Roman"/>
                <w:sz w:val="20"/>
                <w:szCs w:val="20"/>
              </w:rPr>
            </w:pPr>
          </w:p>
        </w:tc>
        <w:tc>
          <w:tcPr>
            <w:tcW w:w="0" w:type="auto"/>
            <w:gridSpan w:val="3"/>
            <w:vAlign w:val="center"/>
            <w:hideMark/>
          </w:tcPr>
          <w:p w14:paraId="34D6FC6C" w14:textId="77777777" w:rsidR="00000000" w:rsidRDefault="0068293C">
            <w:pPr>
              <w:spacing w:after="100"/>
              <w:rPr>
                <w:rFonts w:eastAsia="Times New Roman"/>
                <w:sz w:val="20"/>
                <w:szCs w:val="20"/>
              </w:rPr>
            </w:pPr>
          </w:p>
        </w:tc>
        <w:tc>
          <w:tcPr>
            <w:tcW w:w="0" w:type="auto"/>
            <w:gridSpan w:val="3"/>
            <w:vAlign w:val="center"/>
            <w:hideMark/>
          </w:tcPr>
          <w:p w14:paraId="369E8604" w14:textId="77777777" w:rsidR="00000000" w:rsidRDefault="0068293C">
            <w:pPr>
              <w:spacing w:after="100"/>
              <w:rPr>
                <w:rFonts w:eastAsia="Times New Roman"/>
                <w:sz w:val="20"/>
                <w:szCs w:val="20"/>
              </w:rPr>
            </w:pPr>
          </w:p>
        </w:tc>
        <w:tc>
          <w:tcPr>
            <w:tcW w:w="0" w:type="auto"/>
            <w:gridSpan w:val="3"/>
            <w:vAlign w:val="center"/>
            <w:hideMark/>
          </w:tcPr>
          <w:p w14:paraId="7A880591" w14:textId="77777777" w:rsidR="00000000" w:rsidRDefault="0068293C">
            <w:pPr>
              <w:spacing w:after="100"/>
              <w:rPr>
                <w:rFonts w:eastAsia="Times New Roman"/>
                <w:sz w:val="20"/>
                <w:szCs w:val="20"/>
              </w:rPr>
            </w:pPr>
          </w:p>
        </w:tc>
        <w:tc>
          <w:tcPr>
            <w:tcW w:w="0" w:type="auto"/>
            <w:gridSpan w:val="3"/>
            <w:vAlign w:val="center"/>
            <w:hideMark/>
          </w:tcPr>
          <w:p w14:paraId="4F4A7BC5" w14:textId="77777777" w:rsidR="00000000" w:rsidRDefault="0068293C">
            <w:pPr>
              <w:spacing w:after="100"/>
              <w:rPr>
                <w:rFonts w:eastAsia="Times New Roman"/>
                <w:sz w:val="20"/>
                <w:szCs w:val="20"/>
              </w:rPr>
            </w:pPr>
          </w:p>
        </w:tc>
        <w:tc>
          <w:tcPr>
            <w:tcW w:w="0" w:type="auto"/>
            <w:gridSpan w:val="3"/>
            <w:vAlign w:val="center"/>
            <w:hideMark/>
          </w:tcPr>
          <w:p w14:paraId="777B0436" w14:textId="77777777" w:rsidR="00000000" w:rsidRDefault="0068293C">
            <w:pPr>
              <w:spacing w:after="100"/>
              <w:rPr>
                <w:rFonts w:eastAsia="Times New Roman"/>
                <w:sz w:val="20"/>
                <w:szCs w:val="20"/>
              </w:rPr>
            </w:pPr>
          </w:p>
        </w:tc>
        <w:tc>
          <w:tcPr>
            <w:tcW w:w="0" w:type="auto"/>
            <w:gridSpan w:val="3"/>
            <w:vAlign w:val="center"/>
            <w:hideMark/>
          </w:tcPr>
          <w:p w14:paraId="455D8F0B" w14:textId="77777777" w:rsidR="00000000" w:rsidRDefault="0068293C">
            <w:pPr>
              <w:spacing w:after="100"/>
              <w:rPr>
                <w:rFonts w:eastAsia="Times New Roman"/>
                <w:sz w:val="20"/>
                <w:szCs w:val="20"/>
              </w:rPr>
            </w:pPr>
          </w:p>
        </w:tc>
        <w:tc>
          <w:tcPr>
            <w:tcW w:w="0" w:type="auto"/>
            <w:gridSpan w:val="3"/>
            <w:vAlign w:val="center"/>
            <w:hideMark/>
          </w:tcPr>
          <w:p w14:paraId="3145638D" w14:textId="77777777" w:rsidR="00000000" w:rsidRDefault="0068293C">
            <w:pPr>
              <w:spacing w:after="100"/>
              <w:rPr>
                <w:rFonts w:eastAsia="Times New Roman"/>
                <w:sz w:val="20"/>
                <w:szCs w:val="20"/>
              </w:rPr>
            </w:pPr>
          </w:p>
        </w:tc>
        <w:tc>
          <w:tcPr>
            <w:tcW w:w="0" w:type="auto"/>
            <w:gridSpan w:val="3"/>
            <w:vAlign w:val="center"/>
            <w:hideMark/>
          </w:tcPr>
          <w:p w14:paraId="4E08E7CC" w14:textId="77777777" w:rsidR="00000000" w:rsidRDefault="0068293C">
            <w:pPr>
              <w:spacing w:after="100"/>
              <w:rPr>
                <w:rFonts w:eastAsia="Times New Roman"/>
                <w:sz w:val="20"/>
                <w:szCs w:val="20"/>
              </w:rPr>
            </w:pPr>
          </w:p>
        </w:tc>
        <w:tc>
          <w:tcPr>
            <w:tcW w:w="0" w:type="auto"/>
            <w:gridSpan w:val="3"/>
            <w:vAlign w:val="center"/>
            <w:hideMark/>
          </w:tcPr>
          <w:p w14:paraId="46B15334" w14:textId="77777777" w:rsidR="00000000" w:rsidRDefault="0068293C">
            <w:pPr>
              <w:spacing w:after="100"/>
              <w:rPr>
                <w:rFonts w:eastAsia="Times New Roman"/>
                <w:sz w:val="20"/>
                <w:szCs w:val="20"/>
              </w:rPr>
            </w:pPr>
          </w:p>
        </w:tc>
      </w:tr>
      <w:tr w:rsidR="00000000" w14:paraId="46A1DC3B" w14:textId="77777777">
        <w:trPr>
          <w:divId w:val="657198638"/>
          <w:jc w:val="center"/>
        </w:trPr>
        <w:tc>
          <w:tcPr>
            <w:tcW w:w="0" w:type="auto"/>
            <w:gridSpan w:val="3"/>
            <w:vAlign w:val="center"/>
            <w:hideMark/>
          </w:tcPr>
          <w:p w14:paraId="58CF8A22" w14:textId="77777777" w:rsidR="00000000" w:rsidRDefault="0068293C">
            <w:pPr>
              <w:spacing w:after="100"/>
              <w:rPr>
                <w:rFonts w:eastAsia="Times New Roman"/>
                <w:sz w:val="20"/>
                <w:szCs w:val="20"/>
              </w:rPr>
            </w:pPr>
          </w:p>
        </w:tc>
        <w:tc>
          <w:tcPr>
            <w:tcW w:w="0" w:type="auto"/>
            <w:gridSpan w:val="3"/>
            <w:vAlign w:val="center"/>
            <w:hideMark/>
          </w:tcPr>
          <w:p w14:paraId="2CF31C36" w14:textId="77777777" w:rsidR="00000000" w:rsidRDefault="0068293C">
            <w:pPr>
              <w:spacing w:after="100"/>
              <w:rPr>
                <w:rFonts w:eastAsia="Times New Roman"/>
                <w:sz w:val="20"/>
                <w:szCs w:val="20"/>
              </w:rPr>
            </w:pPr>
          </w:p>
        </w:tc>
        <w:tc>
          <w:tcPr>
            <w:tcW w:w="0" w:type="auto"/>
            <w:gridSpan w:val="3"/>
            <w:vAlign w:val="center"/>
            <w:hideMark/>
          </w:tcPr>
          <w:p w14:paraId="058DFFA3" w14:textId="77777777" w:rsidR="00000000" w:rsidRDefault="0068293C">
            <w:pPr>
              <w:spacing w:after="100"/>
              <w:rPr>
                <w:rFonts w:eastAsia="Times New Roman"/>
                <w:sz w:val="20"/>
                <w:szCs w:val="20"/>
              </w:rPr>
            </w:pPr>
          </w:p>
        </w:tc>
        <w:tc>
          <w:tcPr>
            <w:tcW w:w="0" w:type="auto"/>
            <w:gridSpan w:val="3"/>
            <w:vAlign w:val="center"/>
            <w:hideMark/>
          </w:tcPr>
          <w:p w14:paraId="3394D6A6" w14:textId="77777777" w:rsidR="00000000" w:rsidRDefault="0068293C">
            <w:pPr>
              <w:spacing w:after="100"/>
              <w:rPr>
                <w:rFonts w:eastAsia="Times New Roman"/>
                <w:sz w:val="20"/>
                <w:szCs w:val="20"/>
              </w:rPr>
            </w:pPr>
          </w:p>
        </w:tc>
        <w:tc>
          <w:tcPr>
            <w:tcW w:w="0" w:type="auto"/>
            <w:gridSpan w:val="3"/>
            <w:vAlign w:val="center"/>
            <w:hideMark/>
          </w:tcPr>
          <w:p w14:paraId="6FFB6E40" w14:textId="77777777" w:rsidR="00000000" w:rsidRDefault="0068293C">
            <w:pPr>
              <w:spacing w:after="100"/>
              <w:rPr>
                <w:rFonts w:eastAsia="Times New Roman"/>
                <w:sz w:val="20"/>
                <w:szCs w:val="20"/>
              </w:rPr>
            </w:pPr>
          </w:p>
        </w:tc>
        <w:tc>
          <w:tcPr>
            <w:tcW w:w="0" w:type="auto"/>
            <w:gridSpan w:val="3"/>
            <w:vAlign w:val="center"/>
            <w:hideMark/>
          </w:tcPr>
          <w:p w14:paraId="1BC18630" w14:textId="77777777" w:rsidR="00000000" w:rsidRDefault="0068293C">
            <w:pPr>
              <w:spacing w:after="100"/>
              <w:rPr>
                <w:rFonts w:eastAsia="Times New Roman"/>
                <w:sz w:val="20"/>
                <w:szCs w:val="20"/>
              </w:rPr>
            </w:pPr>
          </w:p>
        </w:tc>
        <w:tc>
          <w:tcPr>
            <w:tcW w:w="0" w:type="auto"/>
            <w:gridSpan w:val="3"/>
            <w:vAlign w:val="center"/>
            <w:hideMark/>
          </w:tcPr>
          <w:p w14:paraId="6A459981" w14:textId="77777777" w:rsidR="00000000" w:rsidRDefault="0068293C">
            <w:pPr>
              <w:spacing w:after="100"/>
              <w:rPr>
                <w:rFonts w:eastAsia="Times New Roman"/>
                <w:sz w:val="20"/>
                <w:szCs w:val="20"/>
              </w:rPr>
            </w:pPr>
          </w:p>
        </w:tc>
        <w:tc>
          <w:tcPr>
            <w:tcW w:w="0" w:type="auto"/>
            <w:gridSpan w:val="3"/>
            <w:vAlign w:val="center"/>
            <w:hideMark/>
          </w:tcPr>
          <w:p w14:paraId="0B1EE14D" w14:textId="77777777" w:rsidR="00000000" w:rsidRDefault="0068293C">
            <w:pPr>
              <w:spacing w:after="100"/>
              <w:rPr>
                <w:rFonts w:eastAsia="Times New Roman"/>
                <w:sz w:val="20"/>
                <w:szCs w:val="20"/>
              </w:rPr>
            </w:pPr>
          </w:p>
        </w:tc>
        <w:tc>
          <w:tcPr>
            <w:tcW w:w="0" w:type="auto"/>
            <w:gridSpan w:val="3"/>
            <w:vAlign w:val="center"/>
            <w:hideMark/>
          </w:tcPr>
          <w:p w14:paraId="3AB60EFB" w14:textId="77777777" w:rsidR="00000000" w:rsidRDefault="0068293C">
            <w:pPr>
              <w:spacing w:after="100"/>
              <w:rPr>
                <w:rFonts w:eastAsia="Times New Roman"/>
                <w:sz w:val="20"/>
                <w:szCs w:val="20"/>
              </w:rPr>
            </w:pPr>
          </w:p>
        </w:tc>
        <w:tc>
          <w:tcPr>
            <w:tcW w:w="0" w:type="auto"/>
            <w:gridSpan w:val="3"/>
            <w:vAlign w:val="center"/>
            <w:hideMark/>
          </w:tcPr>
          <w:p w14:paraId="75697C03" w14:textId="77777777" w:rsidR="00000000" w:rsidRDefault="0068293C">
            <w:pPr>
              <w:spacing w:after="100"/>
              <w:rPr>
                <w:rFonts w:eastAsia="Times New Roman"/>
                <w:sz w:val="20"/>
                <w:szCs w:val="20"/>
              </w:rPr>
            </w:pPr>
          </w:p>
        </w:tc>
        <w:tc>
          <w:tcPr>
            <w:tcW w:w="0" w:type="auto"/>
            <w:gridSpan w:val="3"/>
            <w:vAlign w:val="center"/>
            <w:hideMark/>
          </w:tcPr>
          <w:p w14:paraId="6AC76E35" w14:textId="77777777" w:rsidR="00000000" w:rsidRDefault="0068293C">
            <w:pPr>
              <w:spacing w:after="100"/>
              <w:rPr>
                <w:rFonts w:eastAsia="Times New Roman"/>
                <w:sz w:val="20"/>
                <w:szCs w:val="20"/>
              </w:rPr>
            </w:pPr>
          </w:p>
        </w:tc>
        <w:tc>
          <w:tcPr>
            <w:tcW w:w="0" w:type="auto"/>
            <w:gridSpan w:val="3"/>
            <w:vAlign w:val="center"/>
            <w:hideMark/>
          </w:tcPr>
          <w:p w14:paraId="7FDBCF7A" w14:textId="77777777" w:rsidR="00000000" w:rsidRDefault="0068293C">
            <w:pPr>
              <w:spacing w:after="100"/>
              <w:rPr>
                <w:rFonts w:eastAsia="Times New Roman"/>
                <w:sz w:val="20"/>
                <w:szCs w:val="20"/>
              </w:rPr>
            </w:pPr>
          </w:p>
        </w:tc>
        <w:tc>
          <w:tcPr>
            <w:tcW w:w="0" w:type="auto"/>
            <w:gridSpan w:val="3"/>
            <w:vAlign w:val="center"/>
            <w:hideMark/>
          </w:tcPr>
          <w:p w14:paraId="2EB36EA3" w14:textId="77777777" w:rsidR="00000000" w:rsidRDefault="0068293C">
            <w:pPr>
              <w:spacing w:after="100"/>
              <w:rPr>
                <w:rFonts w:eastAsia="Times New Roman"/>
                <w:sz w:val="20"/>
                <w:szCs w:val="20"/>
              </w:rPr>
            </w:pPr>
          </w:p>
        </w:tc>
        <w:tc>
          <w:tcPr>
            <w:tcW w:w="0" w:type="auto"/>
            <w:gridSpan w:val="3"/>
            <w:vAlign w:val="center"/>
            <w:hideMark/>
          </w:tcPr>
          <w:p w14:paraId="34A82BAC" w14:textId="77777777" w:rsidR="00000000" w:rsidRDefault="0068293C">
            <w:pPr>
              <w:spacing w:after="100"/>
              <w:rPr>
                <w:rFonts w:eastAsia="Times New Roman"/>
                <w:sz w:val="20"/>
                <w:szCs w:val="20"/>
              </w:rPr>
            </w:pPr>
          </w:p>
        </w:tc>
        <w:tc>
          <w:tcPr>
            <w:tcW w:w="0" w:type="auto"/>
            <w:gridSpan w:val="3"/>
            <w:vAlign w:val="center"/>
            <w:hideMark/>
          </w:tcPr>
          <w:p w14:paraId="32A031C3" w14:textId="77777777" w:rsidR="00000000" w:rsidRDefault="0068293C">
            <w:pPr>
              <w:spacing w:after="100"/>
              <w:rPr>
                <w:rFonts w:eastAsia="Times New Roman"/>
                <w:sz w:val="20"/>
                <w:szCs w:val="20"/>
              </w:rPr>
            </w:pPr>
          </w:p>
        </w:tc>
      </w:tr>
      <w:tr w:rsidR="00000000" w14:paraId="32C77054" w14:textId="77777777">
        <w:trPr>
          <w:divId w:val="657198638"/>
          <w:jc w:val="center"/>
        </w:trPr>
        <w:tc>
          <w:tcPr>
            <w:tcW w:w="0" w:type="auto"/>
            <w:gridSpan w:val="3"/>
            <w:vAlign w:val="center"/>
            <w:hideMark/>
          </w:tcPr>
          <w:p w14:paraId="4A8AADD5" w14:textId="77777777" w:rsidR="00000000" w:rsidRDefault="0068293C">
            <w:pPr>
              <w:spacing w:after="100"/>
              <w:rPr>
                <w:rFonts w:eastAsia="Times New Roman"/>
                <w:sz w:val="20"/>
                <w:szCs w:val="20"/>
              </w:rPr>
            </w:pPr>
          </w:p>
        </w:tc>
        <w:tc>
          <w:tcPr>
            <w:tcW w:w="0" w:type="auto"/>
            <w:gridSpan w:val="3"/>
            <w:vAlign w:val="center"/>
            <w:hideMark/>
          </w:tcPr>
          <w:p w14:paraId="453B9B85" w14:textId="77777777" w:rsidR="00000000" w:rsidRDefault="0068293C">
            <w:pPr>
              <w:spacing w:after="100"/>
              <w:rPr>
                <w:rFonts w:eastAsia="Times New Roman"/>
                <w:sz w:val="20"/>
                <w:szCs w:val="20"/>
              </w:rPr>
            </w:pPr>
          </w:p>
        </w:tc>
        <w:tc>
          <w:tcPr>
            <w:tcW w:w="0" w:type="auto"/>
            <w:gridSpan w:val="3"/>
            <w:vAlign w:val="center"/>
            <w:hideMark/>
          </w:tcPr>
          <w:p w14:paraId="1ACA20AD" w14:textId="77777777" w:rsidR="00000000" w:rsidRDefault="0068293C">
            <w:pPr>
              <w:spacing w:after="100"/>
              <w:rPr>
                <w:rFonts w:eastAsia="Times New Roman"/>
                <w:sz w:val="20"/>
                <w:szCs w:val="20"/>
              </w:rPr>
            </w:pPr>
          </w:p>
        </w:tc>
        <w:tc>
          <w:tcPr>
            <w:tcW w:w="0" w:type="auto"/>
            <w:gridSpan w:val="3"/>
            <w:vAlign w:val="center"/>
            <w:hideMark/>
          </w:tcPr>
          <w:p w14:paraId="57543AC7" w14:textId="77777777" w:rsidR="00000000" w:rsidRDefault="0068293C">
            <w:pPr>
              <w:spacing w:after="100"/>
              <w:rPr>
                <w:rFonts w:eastAsia="Times New Roman"/>
                <w:sz w:val="20"/>
                <w:szCs w:val="20"/>
              </w:rPr>
            </w:pPr>
          </w:p>
        </w:tc>
        <w:tc>
          <w:tcPr>
            <w:tcW w:w="0" w:type="auto"/>
            <w:gridSpan w:val="3"/>
            <w:vAlign w:val="center"/>
            <w:hideMark/>
          </w:tcPr>
          <w:p w14:paraId="555FCB65" w14:textId="77777777" w:rsidR="00000000" w:rsidRDefault="0068293C">
            <w:pPr>
              <w:spacing w:after="100"/>
              <w:rPr>
                <w:rFonts w:eastAsia="Times New Roman"/>
                <w:sz w:val="20"/>
                <w:szCs w:val="20"/>
              </w:rPr>
            </w:pPr>
          </w:p>
        </w:tc>
        <w:tc>
          <w:tcPr>
            <w:tcW w:w="0" w:type="auto"/>
            <w:gridSpan w:val="3"/>
            <w:vAlign w:val="center"/>
            <w:hideMark/>
          </w:tcPr>
          <w:p w14:paraId="570AB922" w14:textId="77777777" w:rsidR="00000000" w:rsidRDefault="0068293C">
            <w:pPr>
              <w:spacing w:after="100"/>
              <w:rPr>
                <w:rFonts w:eastAsia="Times New Roman"/>
                <w:sz w:val="20"/>
                <w:szCs w:val="20"/>
              </w:rPr>
            </w:pPr>
          </w:p>
        </w:tc>
        <w:tc>
          <w:tcPr>
            <w:tcW w:w="0" w:type="auto"/>
            <w:gridSpan w:val="3"/>
            <w:vAlign w:val="center"/>
            <w:hideMark/>
          </w:tcPr>
          <w:p w14:paraId="516D2637" w14:textId="77777777" w:rsidR="00000000" w:rsidRDefault="0068293C">
            <w:pPr>
              <w:spacing w:after="100"/>
              <w:rPr>
                <w:rFonts w:eastAsia="Times New Roman"/>
                <w:sz w:val="20"/>
                <w:szCs w:val="20"/>
              </w:rPr>
            </w:pPr>
          </w:p>
        </w:tc>
        <w:tc>
          <w:tcPr>
            <w:tcW w:w="0" w:type="auto"/>
            <w:gridSpan w:val="3"/>
            <w:vAlign w:val="center"/>
            <w:hideMark/>
          </w:tcPr>
          <w:p w14:paraId="635FF627" w14:textId="77777777" w:rsidR="00000000" w:rsidRDefault="0068293C">
            <w:pPr>
              <w:spacing w:after="100"/>
              <w:rPr>
                <w:rFonts w:eastAsia="Times New Roman"/>
                <w:sz w:val="20"/>
                <w:szCs w:val="20"/>
              </w:rPr>
            </w:pPr>
          </w:p>
        </w:tc>
        <w:tc>
          <w:tcPr>
            <w:tcW w:w="0" w:type="auto"/>
            <w:gridSpan w:val="3"/>
            <w:vAlign w:val="center"/>
            <w:hideMark/>
          </w:tcPr>
          <w:p w14:paraId="73731EC4" w14:textId="77777777" w:rsidR="00000000" w:rsidRDefault="0068293C">
            <w:pPr>
              <w:spacing w:after="100"/>
              <w:rPr>
                <w:rFonts w:eastAsia="Times New Roman"/>
                <w:sz w:val="20"/>
                <w:szCs w:val="20"/>
              </w:rPr>
            </w:pPr>
          </w:p>
        </w:tc>
        <w:tc>
          <w:tcPr>
            <w:tcW w:w="0" w:type="auto"/>
            <w:gridSpan w:val="3"/>
            <w:vAlign w:val="center"/>
            <w:hideMark/>
          </w:tcPr>
          <w:p w14:paraId="227034EC" w14:textId="77777777" w:rsidR="00000000" w:rsidRDefault="0068293C">
            <w:pPr>
              <w:spacing w:after="100"/>
              <w:rPr>
                <w:rFonts w:eastAsia="Times New Roman"/>
                <w:sz w:val="20"/>
                <w:szCs w:val="20"/>
              </w:rPr>
            </w:pPr>
          </w:p>
        </w:tc>
        <w:tc>
          <w:tcPr>
            <w:tcW w:w="0" w:type="auto"/>
            <w:gridSpan w:val="3"/>
            <w:vAlign w:val="center"/>
            <w:hideMark/>
          </w:tcPr>
          <w:p w14:paraId="45AB14FB" w14:textId="77777777" w:rsidR="00000000" w:rsidRDefault="0068293C">
            <w:pPr>
              <w:spacing w:after="100"/>
              <w:rPr>
                <w:rFonts w:eastAsia="Times New Roman"/>
                <w:sz w:val="20"/>
                <w:szCs w:val="20"/>
              </w:rPr>
            </w:pPr>
          </w:p>
        </w:tc>
        <w:tc>
          <w:tcPr>
            <w:tcW w:w="0" w:type="auto"/>
            <w:gridSpan w:val="3"/>
            <w:vAlign w:val="center"/>
            <w:hideMark/>
          </w:tcPr>
          <w:p w14:paraId="4F50B374" w14:textId="77777777" w:rsidR="00000000" w:rsidRDefault="0068293C">
            <w:pPr>
              <w:spacing w:after="100"/>
              <w:rPr>
                <w:rFonts w:eastAsia="Times New Roman"/>
                <w:sz w:val="20"/>
                <w:szCs w:val="20"/>
              </w:rPr>
            </w:pPr>
          </w:p>
        </w:tc>
        <w:tc>
          <w:tcPr>
            <w:tcW w:w="0" w:type="auto"/>
            <w:gridSpan w:val="3"/>
            <w:vAlign w:val="center"/>
            <w:hideMark/>
          </w:tcPr>
          <w:p w14:paraId="660153E9" w14:textId="77777777" w:rsidR="00000000" w:rsidRDefault="0068293C">
            <w:pPr>
              <w:spacing w:after="100"/>
              <w:rPr>
                <w:rFonts w:eastAsia="Times New Roman"/>
                <w:sz w:val="20"/>
                <w:szCs w:val="20"/>
              </w:rPr>
            </w:pPr>
          </w:p>
        </w:tc>
        <w:tc>
          <w:tcPr>
            <w:tcW w:w="0" w:type="auto"/>
            <w:gridSpan w:val="3"/>
            <w:vAlign w:val="center"/>
            <w:hideMark/>
          </w:tcPr>
          <w:p w14:paraId="5BFD0BA0" w14:textId="77777777" w:rsidR="00000000" w:rsidRDefault="0068293C">
            <w:pPr>
              <w:spacing w:after="100"/>
              <w:rPr>
                <w:rFonts w:eastAsia="Times New Roman"/>
                <w:sz w:val="20"/>
                <w:szCs w:val="20"/>
              </w:rPr>
            </w:pPr>
          </w:p>
        </w:tc>
        <w:tc>
          <w:tcPr>
            <w:tcW w:w="0" w:type="auto"/>
            <w:gridSpan w:val="3"/>
            <w:vAlign w:val="center"/>
            <w:hideMark/>
          </w:tcPr>
          <w:p w14:paraId="15B3EE3E" w14:textId="77777777" w:rsidR="00000000" w:rsidRDefault="0068293C">
            <w:pPr>
              <w:spacing w:after="100"/>
              <w:rPr>
                <w:rFonts w:eastAsia="Times New Roman"/>
                <w:sz w:val="20"/>
                <w:szCs w:val="20"/>
              </w:rPr>
            </w:pPr>
          </w:p>
        </w:tc>
      </w:tr>
      <w:tr w:rsidR="00000000" w14:paraId="138E5244" w14:textId="77777777">
        <w:trPr>
          <w:divId w:val="657198638"/>
          <w:jc w:val="center"/>
        </w:trPr>
        <w:tc>
          <w:tcPr>
            <w:tcW w:w="0" w:type="auto"/>
            <w:gridSpan w:val="3"/>
            <w:vAlign w:val="center"/>
            <w:hideMark/>
          </w:tcPr>
          <w:p w14:paraId="282D1C03" w14:textId="77777777" w:rsidR="00000000" w:rsidRDefault="0068293C">
            <w:pPr>
              <w:spacing w:after="100"/>
              <w:rPr>
                <w:rFonts w:eastAsia="Times New Roman"/>
                <w:sz w:val="20"/>
                <w:szCs w:val="20"/>
              </w:rPr>
            </w:pPr>
          </w:p>
        </w:tc>
        <w:tc>
          <w:tcPr>
            <w:tcW w:w="0" w:type="auto"/>
            <w:gridSpan w:val="3"/>
            <w:vAlign w:val="center"/>
            <w:hideMark/>
          </w:tcPr>
          <w:p w14:paraId="65985C3B" w14:textId="77777777" w:rsidR="00000000" w:rsidRDefault="0068293C">
            <w:pPr>
              <w:spacing w:after="100"/>
              <w:rPr>
                <w:rFonts w:eastAsia="Times New Roman"/>
                <w:sz w:val="20"/>
                <w:szCs w:val="20"/>
              </w:rPr>
            </w:pPr>
          </w:p>
        </w:tc>
        <w:tc>
          <w:tcPr>
            <w:tcW w:w="0" w:type="auto"/>
            <w:gridSpan w:val="3"/>
            <w:vAlign w:val="center"/>
            <w:hideMark/>
          </w:tcPr>
          <w:p w14:paraId="211725AB" w14:textId="77777777" w:rsidR="00000000" w:rsidRDefault="0068293C">
            <w:pPr>
              <w:spacing w:after="100"/>
              <w:rPr>
                <w:rFonts w:eastAsia="Times New Roman"/>
                <w:sz w:val="20"/>
                <w:szCs w:val="20"/>
              </w:rPr>
            </w:pPr>
          </w:p>
        </w:tc>
        <w:tc>
          <w:tcPr>
            <w:tcW w:w="0" w:type="auto"/>
            <w:gridSpan w:val="3"/>
            <w:vAlign w:val="center"/>
            <w:hideMark/>
          </w:tcPr>
          <w:p w14:paraId="100CC99F" w14:textId="77777777" w:rsidR="00000000" w:rsidRDefault="0068293C">
            <w:pPr>
              <w:spacing w:after="100"/>
              <w:rPr>
                <w:rFonts w:eastAsia="Times New Roman"/>
                <w:sz w:val="20"/>
                <w:szCs w:val="20"/>
              </w:rPr>
            </w:pPr>
          </w:p>
        </w:tc>
        <w:tc>
          <w:tcPr>
            <w:tcW w:w="0" w:type="auto"/>
            <w:gridSpan w:val="3"/>
            <w:vAlign w:val="center"/>
            <w:hideMark/>
          </w:tcPr>
          <w:p w14:paraId="559F8A97" w14:textId="77777777" w:rsidR="00000000" w:rsidRDefault="0068293C">
            <w:pPr>
              <w:spacing w:after="100"/>
              <w:rPr>
                <w:rFonts w:eastAsia="Times New Roman"/>
                <w:sz w:val="20"/>
                <w:szCs w:val="20"/>
              </w:rPr>
            </w:pPr>
          </w:p>
        </w:tc>
        <w:tc>
          <w:tcPr>
            <w:tcW w:w="0" w:type="auto"/>
            <w:gridSpan w:val="3"/>
            <w:vAlign w:val="center"/>
            <w:hideMark/>
          </w:tcPr>
          <w:p w14:paraId="649494AD" w14:textId="77777777" w:rsidR="00000000" w:rsidRDefault="0068293C">
            <w:pPr>
              <w:spacing w:after="100"/>
              <w:rPr>
                <w:rFonts w:eastAsia="Times New Roman"/>
                <w:sz w:val="20"/>
                <w:szCs w:val="20"/>
              </w:rPr>
            </w:pPr>
          </w:p>
        </w:tc>
        <w:tc>
          <w:tcPr>
            <w:tcW w:w="0" w:type="auto"/>
            <w:gridSpan w:val="3"/>
            <w:vAlign w:val="center"/>
            <w:hideMark/>
          </w:tcPr>
          <w:p w14:paraId="3318982D" w14:textId="77777777" w:rsidR="00000000" w:rsidRDefault="0068293C">
            <w:pPr>
              <w:spacing w:after="100"/>
              <w:rPr>
                <w:rFonts w:eastAsia="Times New Roman"/>
                <w:sz w:val="20"/>
                <w:szCs w:val="20"/>
              </w:rPr>
            </w:pPr>
          </w:p>
        </w:tc>
        <w:tc>
          <w:tcPr>
            <w:tcW w:w="0" w:type="auto"/>
            <w:gridSpan w:val="3"/>
            <w:vAlign w:val="center"/>
            <w:hideMark/>
          </w:tcPr>
          <w:p w14:paraId="5192BC54" w14:textId="77777777" w:rsidR="00000000" w:rsidRDefault="0068293C">
            <w:pPr>
              <w:spacing w:after="100"/>
              <w:rPr>
                <w:rFonts w:eastAsia="Times New Roman"/>
                <w:sz w:val="20"/>
                <w:szCs w:val="20"/>
              </w:rPr>
            </w:pPr>
          </w:p>
        </w:tc>
        <w:tc>
          <w:tcPr>
            <w:tcW w:w="0" w:type="auto"/>
            <w:gridSpan w:val="3"/>
            <w:vAlign w:val="center"/>
            <w:hideMark/>
          </w:tcPr>
          <w:p w14:paraId="054FD562" w14:textId="77777777" w:rsidR="00000000" w:rsidRDefault="0068293C">
            <w:pPr>
              <w:spacing w:after="100"/>
              <w:rPr>
                <w:rFonts w:eastAsia="Times New Roman"/>
                <w:sz w:val="20"/>
                <w:szCs w:val="20"/>
              </w:rPr>
            </w:pPr>
          </w:p>
        </w:tc>
        <w:tc>
          <w:tcPr>
            <w:tcW w:w="0" w:type="auto"/>
            <w:gridSpan w:val="3"/>
            <w:vAlign w:val="center"/>
            <w:hideMark/>
          </w:tcPr>
          <w:p w14:paraId="62B9D589" w14:textId="77777777" w:rsidR="00000000" w:rsidRDefault="0068293C">
            <w:pPr>
              <w:spacing w:after="100"/>
              <w:rPr>
                <w:rFonts w:eastAsia="Times New Roman"/>
                <w:sz w:val="20"/>
                <w:szCs w:val="20"/>
              </w:rPr>
            </w:pPr>
          </w:p>
        </w:tc>
        <w:tc>
          <w:tcPr>
            <w:tcW w:w="0" w:type="auto"/>
            <w:gridSpan w:val="3"/>
            <w:vAlign w:val="center"/>
            <w:hideMark/>
          </w:tcPr>
          <w:p w14:paraId="0E41C6CF" w14:textId="77777777" w:rsidR="00000000" w:rsidRDefault="0068293C">
            <w:pPr>
              <w:spacing w:after="100"/>
              <w:rPr>
                <w:rFonts w:eastAsia="Times New Roman"/>
                <w:sz w:val="20"/>
                <w:szCs w:val="20"/>
              </w:rPr>
            </w:pPr>
          </w:p>
        </w:tc>
        <w:tc>
          <w:tcPr>
            <w:tcW w:w="0" w:type="auto"/>
            <w:gridSpan w:val="3"/>
            <w:vAlign w:val="center"/>
            <w:hideMark/>
          </w:tcPr>
          <w:p w14:paraId="0C74A51B" w14:textId="77777777" w:rsidR="00000000" w:rsidRDefault="0068293C">
            <w:pPr>
              <w:spacing w:after="100"/>
              <w:rPr>
                <w:rFonts w:eastAsia="Times New Roman"/>
                <w:sz w:val="20"/>
                <w:szCs w:val="20"/>
              </w:rPr>
            </w:pPr>
          </w:p>
        </w:tc>
        <w:tc>
          <w:tcPr>
            <w:tcW w:w="0" w:type="auto"/>
            <w:gridSpan w:val="3"/>
            <w:vAlign w:val="center"/>
            <w:hideMark/>
          </w:tcPr>
          <w:p w14:paraId="71EEAF3C" w14:textId="77777777" w:rsidR="00000000" w:rsidRDefault="0068293C">
            <w:pPr>
              <w:spacing w:after="100"/>
              <w:rPr>
                <w:rFonts w:eastAsia="Times New Roman"/>
                <w:sz w:val="20"/>
                <w:szCs w:val="20"/>
              </w:rPr>
            </w:pPr>
          </w:p>
        </w:tc>
        <w:tc>
          <w:tcPr>
            <w:tcW w:w="0" w:type="auto"/>
            <w:gridSpan w:val="3"/>
            <w:vAlign w:val="center"/>
            <w:hideMark/>
          </w:tcPr>
          <w:p w14:paraId="6CC57400" w14:textId="77777777" w:rsidR="00000000" w:rsidRDefault="0068293C">
            <w:pPr>
              <w:spacing w:after="100"/>
              <w:rPr>
                <w:rFonts w:eastAsia="Times New Roman"/>
                <w:sz w:val="20"/>
                <w:szCs w:val="20"/>
              </w:rPr>
            </w:pPr>
          </w:p>
        </w:tc>
        <w:tc>
          <w:tcPr>
            <w:tcW w:w="0" w:type="auto"/>
            <w:gridSpan w:val="3"/>
            <w:vAlign w:val="center"/>
            <w:hideMark/>
          </w:tcPr>
          <w:p w14:paraId="6E0010B8" w14:textId="77777777" w:rsidR="00000000" w:rsidRDefault="0068293C">
            <w:pPr>
              <w:spacing w:after="100"/>
              <w:rPr>
                <w:rFonts w:eastAsia="Times New Roman"/>
                <w:sz w:val="20"/>
                <w:szCs w:val="20"/>
              </w:rPr>
            </w:pPr>
          </w:p>
        </w:tc>
      </w:tr>
      <w:tr w:rsidR="00000000" w14:paraId="48FB993C" w14:textId="77777777">
        <w:trPr>
          <w:divId w:val="657198638"/>
          <w:jc w:val="center"/>
        </w:trPr>
        <w:tc>
          <w:tcPr>
            <w:tcW w:w="0" w:type="auto"/>
            <w:gridSpan w:val="3"/>
            <w:vAlign w:val="center"/>
            <w:hideMark/>
          </w:tcPr>
          <w:p w14:paraId="55F6B213" w14:textId="77777777" w:rsidR="00000000" w:rsidRDefault="0068293C">
            <w:pPr>
              <w:spacing w:after="100"/>
              <w:rPr>
                <w:rFonts w:eastAsia="Times New Roman"/>
                <w:sz w:val="20"/>
                <w:szCs w:val="20"/>
              </w:rPr>
            </w:pPr>
          </w:p>
        </w:tc>
        <w:tc>
          <w:tcPr>
            <w:tcW w:w="0" w:type="auto"/>
            <w:gridSpan w:val="3"/>
            <w:vAlign w:val="center"/>
            <w:hideMark/>
          </w:tcPr>
          <w:p w14:paraId="741A65A8" w14:textId="77777777" w:rsidR="00000000" w:rsidRDefault="0068293C">
            <w:pPr>
              <w:spacing w:after="100"/>
              <w:rPr>
                <w:rFonts w:eastAsia="Times New Roman"/>
                <w:sz w:val="20"/>
                <w:szCs w:val="20"/>
              </w:rPr>
            </w:pPr>
          </w:p>
        </w:tc>
        <w:tc>
          <w:tcPr>
            <w:tcW w:w="0" w:type="auto"/>
            <w:gridSpan w:val="3"/>
            <w:vAlign w:val="center"/>
            <w:hideMark/>
          </w:tcPr>
          <w:p w14:paraId="33BAC74E" w14:textId="77777777" w:rsidR="00000000" w:rsidRDefault="0068293C">
            <w:pPr>
              <w:spacing w:after="100"/>
              <w:rPr>
                <w:rFonts w:eastAsia="Times New Roman"/>
                <w:sz w:val="20"/>
                <w:szCs w:val="20"/>
              </w:rPr>
            </w:pPr>
          </w:p>
        </w:tc>
        <w:tc>
          <w:tcPr>
            <w:tcW w:w="0" w:type="auto"/>
            <w:gridSpan w:val="3"/>
            <w:vAlign w:val="center"/>
            <w:hideMark/>
          </w:tcPr>
          <w:p w14:paraId="1F7CDD1F" w14:textId="77777777" w:rsidR="00000000" w:rsidRDefault="0068293C">
            <w:pPr>
              <w:spacing w:after="100"/>
              <w:rPr>
                <w:rFonts w:eastAsia="Times New Roman"/>
                <w:sz w:val="20"/>
                <w:szCs w:val="20"/>
              </w:rPr>
            </w:pPr>
          </w:p>
        </w:tc>
        <w:tc>
          <w:tcPr>
            <w:tcW w:w="0" w:type="auto"/>
            <w:gridSpan w:val="3"/>
            <w:vAlign w:val="center"/>
            <w:hideMark/>
          </w:tcPr>
          <w:p w14:paraId="143BA350" w14:textId="77777777" w:rsidR="00000000" w:rsidRDefault="0068293C">
            <w:pPr>
              <w:spacing w:after="100"/>
              <w:rPr>
                <w:rFonts w:eastAsia="Times New Roman"/>
                <w:sz w:val="20"/>
                <w:szCs w:val="20"/>
              </w:rPr>
            </w:pPr>
          </w:p>
        </w:tc>
        <w:tc>
          <w:tcPr>
            <w:tcW w:w="0" w:type="auto"/>
            <w:gridSpan w:val="3"/>
            <w:vAlign w:val="center"/>
            <w:hideMark/>
          </w:tcPr>
          <w:p w14:paraId="4EF4FE9E" w14:textId="77777777" w:rsidR="00000000" w:rsidRDefault="0068293C">
            <w:pPr>
              <w:spacing w:after="100"/>
              <w:rPr>
                <w:rFonts w:eastAsia="Times New Roman"/>
                <w:sz w:val="20"/>
                <w:szCs w:val="20"/>
              </w:rPr>
            </w:pPr>
          </w:p>
        </w:tc>
        <w:tc>
          <w:tcPr>
            <w:tcW w:w="0" w:type="auto"/>
            <w:gridSpan w:val="3"/>
            <w:vAlign w:val="center"/>
            <w:hideMark/>
          </w:tcPr>
          <w:p w14:paraId="27D8C2F9" w14:textId="77777777" w:rsidR="00000000" w:rsidRDefault="0068293C">
            <w:pPr>
              <w:spacing w:after="100"/>
              <w:rPr>
                <w:rFonts w:eastAsia="Times New Roman"/>
                <w:sz w:val="20"/>
                <w:szCs w:val="20"/>
              </w:rPr>
            </w:pPr>
          </w:p>
        </w:tc>
        <w:tc>
          <w:tcPr>
            <w:tcW w:w="0" w:type="auto"/>
            <w:gridSpan w:val="3"/>
            <w:vAlign w:val="center"/>
            <w:hideMark/>
          </w:tcPr>
          <w:p w14:paraId="41BCA08D" w14:textId="77777777" w:rsidR="00000000" w:rsidRDefault="0068293C">
            <w:pPr>
              <w:spacing w:after="100"/>
              <w:rPr>
                <w:rFonts w:eastAsia="Times New Roman"/>
                <w:sz w:val="20"/>
                <w:szCs w:val="20"/>
              </w:rPr>
            </w:pPr>
          </w:p>
        </w:tc>
        <w:tc>
          <w:tcPr>
            <w:tcW w:w="0" w:type="auto"/>
            <w:gridSpan w:val="3"/>
            <w:vAlign w:val="center"/>
            <w:hideMark/>
          </w:tcPr>
          <w:p w14:paraId="7C680FBF" w14:textId="77777777" w:rsidR="00000000" w:rsidRDefault="0068293C">
            <w:pPr>
              <w:spacing w:after="100"/>
              <w:rPr>
                <w:rFonts w:eastAsia="Times New Roman"/>
                <w:sz w:val="20"/>
                <w:szCs w:val="20"/>
              </w:rPr>
            </w:pPr>
          </w:p>
        </w:tc>
        <w:tc>
          <w:tcPr>
            <w:tcW w:w="0" w:type="auto"/>
            <w:gridSpan w:val="3"/>
            <w:vAlign w:val="center"/>
            <w:hideMark/>
          </w:tcPr>
          <w:p w14:paraId="3F30FA03" w14:textId="77777777" w:rsidR="00000000" w:rsidRDefault="0068293C">
            <w:pPr>
              <w:spacing w:after="100"/>
              <w:rPr>
                <w:rFonts w:eastAsia="Times New Roman"/>
                <w:sz w:val="20"/>
                <w:szCs w:val="20"/>
              </w:rPr>
            </w:pPr>
          </w:p>
        </w:tc>
        <w:tc>
          <w:tcPr>
            <w:tcW w:w="0" w:type="auto"/>
            <w:gridSpan w:val="3"/>
            <w:vAlign w:val="center"/>
            <w:hideMark/>
          </w:tcPr>
          <w:p w14:paraId="54F42705" w14:textId="77777777" w:rsidR="00000000" w:rsidRDefault="0068293C">
            <w:pPr>
              <w:spacing w:after="100"/>
              <w:rPr>
                <w:rFonts w:eastAsia="Times New Roman"/>
                <w:sz w:val="20"/>
                <w:szCs w:val="20"/>
              </w:rPr>
            </w:pPr>
          </w:p>
        </w:tc>
        <w:tc>
          <w:tcPr>
            <w:tcW w:w="0" w:type="auto"/>
            <w:gridSpan w:val="3"/>
            <w:vAlign w:val="center"/>
            <w:hideMark/>
          </w:tcPr>
          <w:p w14:paraId="3589D42B" w14:textId="77777777" w:rsidR="00000000" w:rsidRDefault="0068293C">
            <w:pPr>
              <w:spacing w:after="100"/>
              <w:rPr>
                <w:rFonts w:eastAsia="Times New Roman"/>
                <w:sz w:val="20"/>
                <w:szCs w:val="20"/>
              </w:rPr>
            </w:pPr>
          </w:p>
        </w:tc>
        <w:tc>
          <w:tcPr>
            <w:tcW w:w="0" w:type="auto"/>
            <w:gridSpan w:val="3"/>
            <w:vAlign w:val="center"/>
            <w:hideMark/>
          </w:tcPr>
          <w:p w14:paraId="039D37F0" w14:textId="77777777" w:rsidR="00000000" w:rsidRDefault="0068293C">
            <w:pPr>
              <w:spacing w:after="100"/>
              <w:rPr>
                <w:rFonts w:eastAsia="Times New Roman"/>
                <w:sz w:val="20"/>
                <w:szCs w:val="20"/>
              </w:rPr>
            </w:pPr>
          </w:p>
        </w:tc>
        <w:tc>
          <w:tcPr>
            <w:tcW w:w="0" w:type="auto"/>
            <w:gridSpan w:val="3"/>
            <w:vAlign w:val="center"/>
            <w:hideMark/>
          </w:tcPr>
          <w:p w14:paraId="41779C26" w14:textId="77777777" w:rsidR="00000000" w:rsidRDefault="0068293C">
            <w:pPr>
              <w:spacing w:after="100"/>
              <w:rPr>
                <w:rFonts w:eastAsia="Times New Roman"/>
                <w:sz w:val="20"/>
                <w:szCs w:val="20"/>
              </w:rPr>
            </w:pPr>
          </w:p>
        </w:tc>
        <w:tc>
          <w:tcPr>
            <w:tcW w:w="0" w:type="auto"/>
            <w:gridSpan w:val="3"/>
            <w:vAlign w:val="center"/>
            <w:hideMark/>
          </w:tcPr>
          <w:p w14:paraId="24AE2CDB" w14:textId="77777777" w:rsidR="00000000" w:rsidRDefault="0068293C">
            <w:pPr>
              <w:spacing w:after="100"/>
              <w:rPr>
                <w:rFonts w:eastAsia="Times New Roman"/>
                <w:sz w:val="20"/>
                <w:szCs w:val="20"/>
              </w:rPr>
            </w:pPr>
          </w:p>
        </w:tc>
      </w:tr>
      <w:tr w:rsidR="00000000" w14:paraId="4F35CD5D" w14:textId="77777777">
        <w:trPr>
          <w:divId w:val="657198638"/>
          <w:jc w:val="center"/>
        </w:trPr>
        <w:tc>
          <w:tcPr>
            <w:tcW w:w="0" w:type="auto"/>
            <w:gridSpan w:val="3"/>
            <w:vAlign w:val="center"/>
            <w:hideMark/>
          </w:tcPr>
          <w:p w14:paraId="77327E2B" w14:textId="77777777" w:rsidR="00000000" w:rsidRDefault="0068293C">
            <w:pPr>
              <w:spacing w:after="100"/>
              <w:rPr>
                <w:rFonts w:eastAsia="Times New Roman"/>
                <w:sz w:val="20"/>
                <w:szCs w:val="20"/>
              </w:rPr>
            </w:pPr>
          </w:p>
        </w:tc>
        <w:tc>
          <w:tcPr>
            <w:tcW w:w="0" w:type="auto"/>
            <w:gridSpan w:val="3"/>
            <w:vAlign w:val="center"/>
            <w:hideMark/>
          </w:tcPr>
          <w:p w14:paraId="671F1C9F" w14:textId="77777777" w:rsidR="00000000" w:rsidRDefault="0068293C">
            <w:pPr>
              <w:spacing w:after="100"/>
              <w:rPr>
                <w:rFonts w:eastAsia="Times New Roman"/>
                <w:sz w:val="20"/>
                <w:szCs w:val="20"/>
              </w:rPr>
            </w:pPr>
          </w:p>
        </w:tc>
        <w:tc>
          <w:tcPr>
            <w:tcW w:w="0" w:type="auto"/>
            <w:gridSpan w:val="3"/>
            <w:vAlign w:val="center"/>
            <w:hideMark/>
          </w:tcPr>
          <w:p w14:paraId="2F99FA45" w14:textId="77777777" w:rsidR="00000000" w:rsidRDefault="0068293C">
            <w:pPr>
              <w:spacing w:after="100"/>
              <w:rPr>
                <w:rFonts w:eastAsia="Times New Roman"/>
                <w:sz w:val="20"/>
                <w:szCs w:val="20"/>
              </w:rPr>
            </w:pPr>
          </w:p>
        </w:tc>
        <w:tc>
          <w:tcPr>
            <w:tcW w:w="0" w:type="auto"/>
            <w:gridSpan w:val="3"/>
            <w:vAlign w:val="center"/>
            <w:hideMark/>
          </w:tcPr>
          <w:p w14:paraId="4123023B" w14:textId="77777777" w:rsidR="00000000" w:rsidRDefault="0068293C">
            <w:pPr>
              <w:spacing w:after="100"/>
              <w:rPr>
                <w:rFonts w:eastAsia="Times New Roman"/>
                <w:sz w:val="20"/>
                <w:szCs w:val="20"/>
              </w:rPr>
            </w:pPr>
          </w:p>
        </w:tc>
        <w:tc>
          <w:tcPr>
            <w:tcW w:w="0" w:type="auto"/>
            <w:gridSpan w:val="3"/>
            <w:vAlign w:val="center"/>
            <w:hideMark/>
          </w:tcPr>
          <w:p w14:paraId="7719711D" w14:textId="77777777" w:rsidR="00000000" w:rsidRDefault="0068293C">
            <w:pPr>
              <w:spacing w:after="100"/>
              <w:rPr>
                <w:rFonts w:eastAsia="Times New Roman"/>
                <w:sz w:val="20"/>
                <w:szCs w:val="20"/>
              </w:rPr>
            </w:pPr>
          </w:p>
        </w:tc>
        <w:tc>
          <w:tcPr>
            <w:tcW w:w="0" w:type="auto"/>
            <w:gridSpan w:val="3"/>
            <w:vAlign w:val="center"/>
            <w:hideMark/>
          </w:tcPr>
          <w:p w14:paraId="26156404" w14:textId="77777777" w:rsidR="00000000" w:rsidRDefault="0068293C">
            <w:pPr>
              <w:spacing w:after="100"/>
              <w:rPr>
                <w:rFonts w:eastAsia="Times New Roman"/>
                <w:sz w:val="20"/>
                <w:szCs w:val="20"/>
              </w:rPr>
            </w:pPr>
          </w:p>
        </w:tc>
        <w:tc>
          <w:tcPr>
            <w:tcW w:w="0" w:type="auto"/>
            <w:gridSpan w:val="3"/>
            <w:vAlign w:val="center"/>
            <w:hideMark/>
          </w:tcPr>
          <w:p w14:paraId="1DAAB84F" w14:textId="77777777" w:rsidR="00000000" w:rsidRDefault="0068293C">
            <w:pPr>
              <w:spacing w:after="100"/>
              <w:rPr>
                <w:rFonts w:eastAsia="Times New Roman"/>
                <w:sz w:val="20"/>
                <w:szCs w:val="20"/>
              </w:rPr>
            </w:pPr>
          </w:p>
        </w:tc>
        <w:tc>
          <w:tcPr>
            <w:tcW w:w="0" w:type="auto"/>
            <w:gridSpan w:val="3"/>
            <w:vAlign w:val="center"/>
            <w:hideMark/>
          </w:tcPr>
          <w:p w14:paraId="396D73C9" w14:textId="77777777" w:rsidR="00000000" w:rsidRDefault="0068293C">
            <w:pPr>
              <w:spacing w:after="100"/>
              <w:rPr>
                <w:rFonts w:eastAsia="Times New Roman"/>
                <w:sz w:val="20"/>
                <w:szCs w:val="20"/>
              </w:rPr>
            </w:pPr>
          </w:p>
        </w:tc>
        <w:tc>
          <w:tcPr>
            <w:tcW w:w="0" w:type="auto"/>
            <w:gridSpan w:val="3"/>
            <w:vAlign w:val="center"/>
            <w:hideMark/>
          </w:tcPr>
          <w:p w14:paraId="36FFABA1" w14:textId="77777777" w:rsidR="00000000" w:rsidRDefault="0068293C">
            <w:pPr>
              <w:spacing w:after="100"/>
              <w:rPr>
                <w:rFonts w:eastAsia="Times New Roman"/>
                <w:sz w:val="20"/>
                <w:szCs w:val="20"/>
              </w:rPr>
            </w:pPr>
          </w:p>
        </w:tc>
        <w:tc>
          <w:tcPr>
            <w:tcW w:w="0" w:type="auto"/>
            <w:gridSpan w:val="3"/>
            <w:vAlign w:val="center"/>
            <w:hideMark/>
          </w:tcPr>
          <w:p w14:paraId="09680F84" w14:textId="77777777" w:rsidR="00000000" w:rsidRDefault="0068293C">
            <w:pPr>
              <w:spacing w:after="100"/>
              <w:rPr>
                <w:rFonts w:eastAsia="Times New Roman"/>
                <w:sz w:val="20"/>
                <w:szCs w:val="20"/>
              </w:rPr>
            </w:pPr>
          </w:p>
        </w:tc>
        <w:tc>
          <w:tcPr>
            <w:tcW w:w="0" w:type="auto"/>
            <w:gridSpan w:val="3"/>
            <w:vAlign w:val="center"/>
            <w:hideMark/>
          </w:tcPr>
          <w:p w14:paraId="7827EE20" w14:textId="77777777" w:rsidR="00000000" w:rsidRDefault="0068293C">
            <w:pPr>
              <w:spacing w:after="100"/>
              <w:rPr>
                <w:rFonts w:eastAsia="Times New Roman"/>
                <w:sz w:val="20"/>
                <w:szCs w:val="20"/>
              </w:rPr>
            </w:pPr>
          </w:p>
        </w:tc>
        <w:tc>
          <w:tcPr>
            <w:tcW w:w="0" w:type="auto"/>
            <w:gridSpan w:val="3"/>
            <w:vAlign w:val="center"/>
            <w:hideMark/>
          </w:tcPr>
          <w:p w14:paraId="2EE74427" w14:textId="77777777" w:rsidR="00000000" w:rsidRDefault="0068293C">
            <w:pPr>
              <w:spacing w:after="100"/>
              <w:rPr>
                <w:rFonts w:eastAsia="Times New Roman"/>
                <w:sz w:val="20"/>
                <w:szCs w:val="20"/>
              </w:rPr>
            </w:pPr>
          </w:p>
        </w:tc>
        <w:tc>
          <w:tcPr>
            <w:tcW w:w="0" w:type="auto"/>
            <w:gridSpan w:val="3"/>
            <w:vAlign w:val="center"/>
            <w:hideMark/>
          </w:tcPr>
          <w:p w14:paraId="792E4FD3" w14:textId="77777777" w:rsidR="00000000" w:rsidRDefault="0068293C">
            <w:pPr>
              <w:spacing w:after="100"/>
              <w:rPr>
                <w:rFonts w:eastAsia="Times New Roman"/>
                <w:sz w:val="20"/>
                <w:szCs w:val="20"/>
              </w:rPr>
            </w:pPr>
          </w:p>
        </w:tc>
        <w:tc>
          <w:tcPr>
            <w:tcW w:w="0" w:type="auto"/>
            <w:gridSpan w:val="3"/>
            <w:vAlign w:val="center"/>
            <w:hideMark/>
          </w:tcPr>
          <w:p w14:paraId="00B952AF" w14:textId="77777777" w:rsidR="00000000" w:rsidRDefault="0068293C">
            <w:pPr>
              <w:spacing w:after="100"/>
              <w:rPr>
                <w:rFonts w:eastAsia="Times New Roman"/>
                <w:sz w:val="20"/>
                <w:szCs w:val="20"/>
              </w:rPr>
            </w:pPr>
          </w:p>
        </w:tc>
        <w:tc>
          <w:tcPr>
            <w:tcW w:w="0" w:type="auto"/>
            <w:gridSpan w:val="3"/>
            <w:vAlign w:val="center"/>
            <w:hideMark/>
          </w:tcPr>
          <w:p w14:paraId="60A5AEF5" w14:textId="77777777" w:rsidR="00000000" w:rsidRDefault="0068293C">
            <w:pPr>
              <w:spacing w:after="100"/>
              <w:rPr>
                <w:rFonts w:eastAsia="Times New Roman"/>
                <w:sz w:val="20"/>
                <w:szCs w:val="20"/>
              </w:rPr>
            </w:pPr>
          </w:p>
        </w:tc>
      </w:tr>
      <w:tr w:rsidR="00000000" w14:paraId="050FE0D6" w14:textId="77777777">
        <w:trPr>
          <w:divId w:val="657198638"/>
          <w:jc w:val="center"/>
        </w:trPr>
        <w:tc>
          <w:tcPr>
            <w:tcW w:w="0" w:type="auto"/>
            <w:gridSpan w:val="3"/>
            <w:vAlign w:val="center"/>
            <w:hideMark/>
          </w:tcPr>
          <w:p w14:paraId="5E143E5A" w14:textId="77777777" w:rsidR="00000000" w:rsidRDefault="0068293C">
            <w:pPr>
              <w:spacing w:after="100"/>
              <w:rPr>
                <w:rFonts w:eastAsia="Times New Roman"/>
                <w:sz w:val="20"/>
                <w:szCs w:val="20"/>
              </w:rPr>
            </w:pPr>
          </w:p>
        </w:tc>
        <w:tc>
          <w:tcPr>
            <w:tcW w:w="0" w:type="auto"/>
            <w:gridSpan w:val="3"/>
            <w:vAlign w:val="center"/>
            <w:hideMark/>
          </w:tcPr>
          <w:p w14:paraId="49A8ED2B" w14:textId="77777777" w:rsidR="00000000" w:rsidRDefault="0068293C">
            <w:pPr>
              <w:spacing w:after="100"/>
              <w:rPr>
                <w:rFonts w:eastAsia="Times New Roman"/>
                <w:sz w:val="20"/>
                <w:szCs w:val="20"/>
              </w:rPr>
            </w:pPr>
          </w:p>
        </w:tc>
        <w:tc>
          <w:tcPr>
            <w:tcW w:w="0" w:type="auto"/>
            <w:gridSpan w:val="3"/>
            <w:vAlign w:val="center"/>
            <w:hideMark/>
          </w:tcPr>
          <w:p w14:paraId="709F68BA" w14:textId="77777777" w:rsidR="00000000" w:rsidRDefault="0068293C">
            <w:pPr>
              <w:spacing w:after="100"/>
              <w:rPr>
                <w:rFonts w:eastAsia="Times New Roman"/>
                <w:sz w:val="20"/>
                <w:szCs w:val="20"/>
              </w:rPr>
            </w:pPr>
          </w:p>
        </w:tc>
        <w:tc>
          <w:tcPr>
            <w:tcW w:w="0" w:type="auto"/>
            <w:gridSpan w:val="3"/>
            <w:vAlign w:val="center"/>
            <w:hideMark/>
          </w:tcPr>
          <w:p w14:paraId="2E81AD2B" w14:textId="77777777" w:rsidR="00000000" w:rsidRDefault="0068293C">
            <w:pPr>
              <w:spacing w:after="100"/>
              <w:rPr>
                <w:rFonts w:eastAsia="Times New Roman"/>
                <w:sz w:val="20"/>
                <w:szCs w:val="20"/>
              </w:rPr>
            </w:pPr>
          </w:p>
        </w:tc>
        <w:tc>
          <w:tcPr>
            <w:tcW w:w="0" w:type="auto"/>
            <w:gridSpan w:val="3"/>
            <w:vAlign w:val="center"/>
            <w:hideMark/>
          </w:tcPr>
          <w:p w14:paraId="3FDD1F5E" w14:textId="77777777" w:rsidR="00000000" w:rsidRDefault="0068293C">
            <w:pPr>
              <w:spacing w:after="100"/>
              <w:rPr>
                <w:rFonts w:eastAsia="Times New Roman"/>
                <w:sz w:val="20"/>
                <w:szCs w:val="20"/>
              </w:rPr>
            </w:pPr>
          </w:p>
        </w:tc>
        <w:tc>
          <w:tcPr>
            <w:tcW w:w="0" w:type="auto"/>
            <w:gridSpan w:val="3"/>
            <w:vAlign w:val="center"/>
            <w:hideMark/>
          </w:tcPr>
          <w:p w14:paraId="21091D56" w14:textId="77777777" w:rsidR="00000000" w:rsidRDefault="0068293C">
            <w:pPr>
              <w:spacing w:after="100"/>
              <w:rPr>
                <w:rFonts w:eastAsia="Times New Roman"/>
                <w:sz w:val="20"/>
                <w:szCs w:val="20"/>
              </w:rPr>
            </w:pPr>
          </w:p>
        </w:tc>
        <w:tc>
          <w:tcPr>
            <w:tcW w:w="0" w:type="auto"/>
            <w:gridSpan w:val="3"/>
            <w:vAlign w:val="center"/>
            <w:hideMark/>
          </w:tcPr>
          <w:p w14:paraId="75B72AF4" w14:textId="77777777" w:rsidR="00000000" w:rsidRDefault="0068293C">
            <w:pPr>
              <w:spacing w:after="100"/>
              <w:rPr>
                <w:rFonts w:eastAsia="Times New Roman"/>
                <w:sz w:val="20"/>
                <w:szCs w:val="20"/>
              </w:rPr>
            </w:pPr>
          </w:p>
        </w:tc>
        <w:tc>
          <w:tcPr>
            <w:tcW w:w="0" w:type="auto"/>
            <w:gridSpan w:val="3"/>
            <w:vAlign w:val="center"/>
            <w:hideMark/>
          </w:tcPr>
          <w:p w14:paraId="0EF7D41F" w14:textId="77777777" w:rsidR="00000000" w:rsidRDefault="0068293C">
            <w:pPr>
              <w:spacing w:after="100"/>
              <w:rPr>
                <w:rFonts w:eastAsia="Times New Roman"/>
                <w:sz w:val="20"/>
                <w:szCs w:val="20"/>
              </w:rPr>
            </w:pPr>
          </w:p>
        </w:tc>
        <w:tc>
          <w:tcPr>
            <w:tcW w:w="0" w:type="auto"/>
            <w:gridSpan w:val="3"/>
            <w:vAlign w:val="center"/>
            <w:hideMark/>
          </w:tcPr>
          <w:p w14:paraId="549157F1" w14:textId="77777777" w:rsidR="00000000" w:rsidRDefault="0068293C">
            <w:pPr>
              <w:spacing w:after="100"/>
              <w:rPr>
                <w:rFonts w:eastAsia="Times New Roman"/>
                <w:sz w:val="20"/>
                <w:szCs w:val="20"/>
              </w:rPr>
            </w:pPr>
          </w:p>
        </w:tc>
        <w:tc>
          <w:tcPr>
            <w:tcW w:w="0" w:type="auto"/>
            <w:gridSpan w:val="3"/>
            <w:vAlign w:val="center"/>
            <w:hideMark/>
          </w:tcPr>
          <w:p w14:paraId="66E7989B" w14:textId="77777777" w:rsidR="00000000" w:rsidRDefault="0068293C">
            <w:pPr>
              <w:spacing w:after="100"/>
              <w:rPr>
                <w:rFonts w:eastAsia="Times New Roman"/>
                <w:sz w:val="20"/>
                <w:szCs w:val="20"/>
              </w:rPr>
            </w:pPr>
          </w:p>
        </w:tc>
        <w:tc>
          <w:tcPr>
            <w:tcW w:w="0" w:type="auto"/>
            <w:gridSpan w:val="3"/>
            <w:vAlign w:val="center"/>
            <w:hideMark/>
          </w:tcPr>
          <w:p w14:paraId="5DD66D44" w14:textId="77777777" w:rsidR="00000000" w:rsidRDefault="0068293C">
            <w:pPr>
              <w:spacing w:after="100"/>
              <w:rPr>
                <w:rFonts w:eastAsia="Times New Roman"/>
                <w:sz w:val="20"/>
                <w:szCs w:val="20"/>
              </w:rPr>
            </w:pPr>
          </w:p>
        </w:tc>
        <w:tc>
          <w:tcPr>
            <w:tcW w:w="0" w:type="auto"/>
            <w:gridSpan w:val="3"/>
            <w:vAlign w:val="center"/>
            <w:hideMark/>
          </w:tcPr>
          <w:p w14:paraId="062AA651" w14:textId="77777777" w:rsidR="00000000" w:rsidRDefault="0068293C">
            <w:pPr>
              <w:spacing w:after="100"/>
              <w:rPr>
                <w:rFonts w:eastAsia="Times New Roman"/>
                <w:sz w:val="20"/>
                <w:szCs w:val="20"/>
              </w:rPr>
            </w:pPr>
          </w:p>
        </w:tc>
        <w:tc>
          <w:tcPr>
            <w:tcW w:w="0" w:type="auto"/>
            <w:gridSpan w:val="3"/>
            <w:vAlign w:val="center"/>
            <w:hideMark/>
          </w:tcPr>
          <w:p w14:paraId="2D3B3862" w14:textId="77777777" w:rsidR="00000000" w:rsidRDefault="0068293C">
            <w:pPr>
              <w:spacing w:after="100"/>
              <w:rPr>
                <w:rFonts w:eastAsia="Times New Roman"/>
                <w:sz w:val="20"/>
                <w:szCs w:val="20"/>
              </w:rPr>
            </w:pPr>
          </w:p>
        </w:tc>
        <w:tc>
          <w:tcPr>
            <w:tcW w:w="0" w:type="auto"/>
            <w:gridSpan w:val="3"/>
            <w:vAlign w:val="center"/>
            <w:hideMark/>
          </w:tcPr>
          <w:p w14:paraId="53EEE1F7" w14:textId="77777777" w:rsidR="00000000" w:rsidRDefault="0068293C">
            <w:pPr>
              <w:spacing w:after="100"/>
              <w:rPr>
                <w:rFonts w:eastAsia="Times New Roman"/>
                <w:sz w:val="20"/>
                <w:szCs w:val="20"/>
              </w:rPr>
            </w:pPr>
          </w:p>
        </w:tc>
        <w:tc>
          <w:tcPr>
            <w:tcW w:w="0" w:type="auto"/>
            <w:gridSpan w:val="3"/>
            <w:vAlign w:val="center"/>
            <w:hideMark/>
          </w:tcPr>
          <w:p w14:paraId="0E5F9CD2" w14:textId="77777777" w:rsidR="00000000" w:rsidRDefault="0068293C">
            <w:pPr>
              <w:spacing w:after="100"/>
              <w:rPr>
                <w:rFonts w:eastAsia="Times New Roman"/>
                <w:sz w:val="20"/>
                <w:szCs w:val="20"/>
              </w:rPr>
            </w:pPr>
          </w:p>
        </w:tc>
      </w:tr>
      <w:tr w:rsidR="00000000" w14:paraId="1BF5C8DB" w14:textId="77777777">
        <w:trPr>
          <w:divId w:val="657198638"/>
          <w:jc w:val="center"/>
        </w:trPr>
        <w:tc>
          <w:tcPr>
            <w:tcW w:w="0" w:type="auto"/>
            <w:gridSpan w:val="3"/>
            <w:vAlign w:val="center"/>
            <w:hideMark/>
          </w:tcPr>
          <w:p w14:paraId="4D311C3A" w14:textId="77777777" w:rsidR="00000000" w:rsidRDefault="0068293C">
            <w:pPr>
              <w:spacing w:after="100"/>
              <w:rPr>
                <w:rFonts w:eastAsia="Times New Roman"/>
                <w:sz w:val="20"/>
                <w:szCs w:val="20"/>
              </w:rPr>
            </w:pPr>
          </w:p>
        </w:tc>
        <w:tc>
          <w:tcPr>
            <w:tcW w:w="0" w:type="auto"/>
            <w:gridSpan w:val="3"/>
            <w:vAlign w:val="center"/>
            <w:hideMark/>
          </w:tcPr>
          <w:p w14:paraId="7014B688" w14:textId="77777777" w:rsidR="00000000" w:rsidRDefault="0068293C">
            <w:pPr>
              <w:spacing w:after="100"/>
              <w:rPr>
                <w:rFonts w:eastAsia="Times New Roman"/>
                <w:sz w:val="20"/>
                <w:szCs w:val="20"/>
              </w:rPr>
            </w:pPr>
          </w:p>
        </w:tc>
        <w:tc>
          <w:tcPr>
            <w:tcW w:w="0" w:type="auto"/>
            <w:gridSpan w:val="3"/>
            <w:vAlign w:val="center"/>
            <w:hideMark/>
          </w:tcPr>
          <w:p w14:paraId="65AB7AF6" w14:textId="77777777" w:rsidR="00000000" w:rsidRDefault="0068293C">
            <w:pPr>
              <w:spacing w:after="100"/>
              <w:rPr>
                <w:rFonts w:eastAsia="Times New Roman"/>
                <w:sz w:val="20"/>
                <w:szCs w:val="20"/>
              </w:rPr>
            </w:pPr>
          </w:p>
        </w:tc>
        <w:tc>
          <w:tcPr>
            <w:tcW w:w="0" w:type="auto"/>
            <w:gridSpan w:val="3"/>
            <w:vAlign w:val="center"/>
            <w:hideMark/>
          </w:tcPr>
          <w:p w14:paraId="7E991D6F" w14:textId="77777777" w:rsidR="00000000" w:rsidRDefault="0068293C">
            <w:pPr>
              <w:spacing w:after="100"/>
              <w:rPr>
                <w:rFonts w:eastAsia="Times New Roman"/>
                <w:sz w:val="20"/>
                <w:szCs w:val="20"/>
              </w:rPr>
            </w:pPr>
          </w:p>
        </w:tc>
        <w:tc>
          <w:tcPr>
            <w:tcW w:w="0" w:type="auto"/>
            <w:gridSpan w:val="3"/>
            <w:vAlign w:val="center"/>
            <w:hideMark/>
          </w:tcPr>
          <w:p w14:paraId="530B2502" w14:textId="77777777" w:rsidR="00000000" w:rsidRDefault="0068293C">
            <w:pPr>
              <w:spacing w:after="100"/>
              <w:rPr>
                <w:rFonts w:eastAsia="Times New Roman"/>
                <w:sz w:val="20"/>
                <w:szCs w:val="20"/>
              </w:rPr>
            </w:pPr>
          </w:p>
        </w:tc>
        <w:tc>
          <w:tcPr>
            <w:tcW w:w="0" w:type="auto"/>
            <w:gridSpan w:val="3"/>
            <w:vAlign w:val="center"/>
            <w:hideMark/>
          </w:tcPr>
          <w:p w14:paraId="6D9796F7" w14:textId="77777777" w:rsidR="00000000" w:rsidRDefault="0068293C">
            <w:pPr>
              <w:spacing w:after="100"/>
              <w:rPr>
                <w:rFonts w:eastAsia="Times New Roman"/>
                <w:sz w:val="20"/>
                <w:szCs w:val="20"/>
              </w:rPr>
            </w:pPr>
          </w:p>
        </w:tc>
        <w:tc>
          <w:tcPr>
            <w:tcW w:w="0" w:type="auto"/>
            <w:gridSpan w:val="3"/>
            <w:vAlign w:val="center"/>
            <w:hideMark/>
          </w:tcPr>
          <w:p w14:paraId="6B876861" w14:textId="77777777" w:rsidR="00000000" w:rsidRDefault="0068293C">
            <w:pPr>
              <w:spacing w:after="100"/>
              <w:rPr>
                <w:rFonts w:eastAsia="Times New Roman"/>
                <w:sz w:val="20"/>
                <w:szCs w:val="20"/>
              </w:rPr>
            </w:pPr>
          </w:p>
        </w:tc>
        <w:tc>
          <w:tcPr>
            <w:tcW w:w="0" w:type="auto"/>
            <w:gridSpan w:val="3"/>
            <w:vAlign w:val="center"/>
            <w:hideMark/>
          </w:tcPr>
          <w:p w14:paraId="44BC4BBF" w14:textId="77777777" w:rsidR="00000000" w:rsidRDefault="0068293C">
            <w:pPr>
              <w:spacing w:after="100"/>
              <w:rPr>
                <w:rFonts w:eastAsia="Times New Roman"/>
                <w:sz w:val="20"/>
                <w:szCs w:val="20"/>
              </w:rPr>
            </w:pPr>
          </w:p>
        </w:tc>
        <w:tc>
          <w:tcPr>
            <w:tcW w:w="0" w:type="auto"/>
            <w:gridSpan w:val="3"/>
            <w:vAlign w:val="center"/>
            <w:hideMark/>
          </w:tcPr>
          <w:p w14:paraId="06B2B7A1" w14:textId="77777777" w:rsidR="00000000" w:rsidRDefault="0068293C">
            <w:pPr>
              <w:spacing w:after="100"/>
              <w:rPr>
                <w:rFonts w:eastAsia="Times New Roman"/>
                <w:sz w:val="20"/>
                <w:szCs w:val="20"/>
              </w:rPr>
            </w:pPr>
          </w:p>
        </w:tc>
        <w:tc>
          <w:tcPr>
            <w:tcW w:w="0" w:type="auto"/>
            <w:gridSpan w:val="3"/>
            <w:vAlign w:val="center"/>
            <w:hideMark/>
          </w:tcPr>
          <w:p w14:paraId="113B5BC8" w14:textId="77777777" w:rsidR="00000000" w:rsidRDefault="0068293C">
            <w:pPr>
              <w:spacing w:after="100"/>
              <w:rPr>
                <w:rFonts w:eastAsia="Times New Roman"/>
                <w:sz w:val="20"/>
                <w:szCs w:val="20"/>
              </w:rPr>
            </w:pPr>
          </w:p>
        </w:tc>
        <w:tc>
          <w:tcPr>
            <w:tcW w:w="0" w:type="auto"/>
            <w:gridSpan w:val="3"/>
            <w:vAlign w:val="center"/>
            <w:hideMark/>
          </w:tcPr>
          <w:p w14:paraId="2D3CB54A" w14:textId="77777777" w:rsidR="00000000" w:rsidRDefault="0068293C">
            <w:pPr>
              <w:spacing w:after="100"/>
              <w:rPr>
                <w:rFonts w:eastAsia="Times New Roman"/>
                <w:sz w:val="20"/>
                <w:szCs w:val="20"/>
              </w:rPr>
            </w:pPr>
          </w:p>
        </w:tc>
        <w:tc>
          <w:tcPr>
            <w:tcW w:w="0" w:type="auto"/>
            <w:gridSpan w:val="3"/>
            <w:vAlign w:val="center"/>
            <w:hideMark/>
          </w:tcPr>
          <w:p w14:paraId="0D03A31D" w14:textId="77777777" w:rsidR="00000000" w:rsidRDefault="0068293C">
            <w:pPr>
              <w:spacing w:after="100"/>
              <w:rPr>
                <w:rFonts w:eastAsia="Times New Roman"/>
                <w:sz w:val="20"/>
                <w:szCs w:val="20"/>
              </w:rPr>
            </w:pPr>
          </w:p>
        </w:tc>
        <w:tc>
          <w:tcPr>
            <w:tcW w:w="0" w:type="auto"/>
            <w:gridSpan w:val="3"/>
            <w:vAlign w:val="center"/>
            <w:hideMark/>
          </w:tcPr>
          <w:p w14:paraId="5F955119" w14:textId="77777777" w:rsidR="00000000" w:rsidRDefault="0068293C">
            <w:pPr>
              <w:spacing w:after="100"/>
              <w:rPr>
                <w:rFonts w:eastAsia="Times New Roman"/>
                <w:sz w:val="20"/>
                <w:szCs w:val="20"/>
              </w:rPr>
            </w:pPr>
          </w:p>
        </w:tc>
        <w:tc>
          <w:tcPr>
            <w:tcW w:w="0" w:type="auto"/>
            <w:gridSpan w:val="3"/>
            <w:vAlign w:val="center"/>
            <w:hideMark/>
          </w:tcPr>
          <w:p w14:paraId="7E550372" w14:textId="77777777" w:rsidR="00000000" w:rsidRDefault="0068293C">
            <w:pPr>
              <w:spacing w:after="100"/>
              <w:rPr>
                <w:rFonts w:eastAsia="Times New Roman"/>
                <w:sz w:val="20"/>
                <w:szCs w:val="20"/>
              </w:rPr>
            </w:pPr>
          </w:p>
        </w:tc>
        <w:tc>
          <w:tcPr>
            <w:tcW w:w="0" w:type="auto"/>
            <w:gridSpan w:val="3"/>
            <w:vAlign w:val="center"/>
            <w:hideMark/>
          </w:tcPr>
          <w:p w14:paraId="1E7224AD" w14:textId="77777777" w:rsidR="00000000" w:rsidRDefault="0068293C">
            <w:pPr>
              <w:spacing w:after="100"/>
              <w:rPr>
                <w:rFonts w:eastAsia="Times New Roman"/>
                <w:sz w:val="20"/>
                <w:szCs w:val="20"/>
              </w:rPr>
            </w:pPr>
          </w:p>
        </w:tc>
      </w:tr>
      <w:tr w:rsidR="00000000" w14:paraId="2DBF8F73" w14:textId="77777777">
        <w:trPr>
          <w:divId w:val="657198638"/>
          <w:jc w:val="center"/>
        </w:trPr>
        <w:tc>
          <w:tcPr>
            <w:tcW w:w="0" w:type="auto"/>
            <w:gridSpan w:val="3"/>
            <w:vAlign w:val="center"/>
            <w:hideMark/>
          </w:tcPr>
          <w:p w14:paraId="3F274264" w14:textId="77777777" w:rsidR="00000000" w:rsidRDefault="0068293C">
            <w:pPr>
              <w:spacing w:after="100"/>
              <w:rPr>
                <w:rFonts w:eastAsia="Times New Roman"/>
                <w:sz w:val="20"/>
                <w:szCs w:val="20"/>
              </w:rPr>
            </w:pPr>
          </w:p>
        </w:tc>
        <w:tc>
          <w:tcPr>
            <w:tcW w:w="0" w:type="auto"/>
            <w:gridSpan w:val="3"/>
            <w:vAlign w:val="center"/>
            <w:hideMark/>
          </w:tcPr>
          <w:p w14:paraId="602ABF15" w14:textId="77777777" w:rsidR="00000000" w:rsidRDefault="0068293C">
            <w:pPr>
              <w:spacing w:after="100"/>
              <w:rPr>
                <w:rFonts w:eastAsia="Times New Roman"/>
                <w:sz w:val="20"/>
                <w:szCs w:val="20"/>
              </w:rPr>
            </w:pPr>
          </w:p>
        </w:tc>
        <w:tc>
          <w:tcPr>
            <w:tcW w:w="0" w:type="auto"/>
            <w:gridSpan w:val="3"/>
            <w:vAlign w:val="center"/>
            <w:hideMark/>
          </w:tcPr>
          <w:p w14:paraId="62F170C7" w14:textId="77777777" w:rsidR="00000000" w:rsidRDefault="0068293C">
            <w:pPr>
              <w:spacing w:after="100"/>
              <w:rPr>
                <w:rFonts w:eastAsia="Times New Roman"/>
                <w:sz w:val="20"/>
                <w:szCs w:val="20"/>
              </w:rPr>
            </w:pPr>
          </w:p>
        </w:tc>
        <w:tc>
          <w:tcPr>
            <w:tcW w:w="0" w:type="auto"/>
            <w:gridSpan w:val="3"/>
            <w:vAlign w:val="center"/>
            <w:hideMark/>
          </w:tcPr>
          <w:p w14:paraId="63806E90" w14:textId="77777777" w:rsidR="00000000" w:rsidRDefault="0068293C">
            <w:pPr>
              <w:spacing w:after="100"/>
              <w:rPr>
                <w:rFonts w:eastAsia="Times New Roman"/>
                <w:sz w:val="20"/>
                <w:szCs w:val="20"/>
              </w:rPr>
            </w:pPr>
          </w:p>
        </w:tc>
        <w:tc>
          <w:tcPr>
            <w:tcW w:w="0" w:type="auto"/>
            <w:gridSpan w:val="3"/>
            <w:vAlign w:val="center"/>
            <w:hideMark/>
          </w:tcPr>
          <w:p w14:paraId="511E7635" w14:textId="77777777" w:rsidR="00000000" w:rsidRDefault="0068293C">
            <w:pPr>
              <w:spacing w:after="100"/>
              <w:rPr>
                <w:rFonts w:eastAsia="Times New Roman"/>
                <w:sz w:val="20"/>
                <w:szCs w:val="20"/>
              </w:rPr>
            </w:pPr>
          </w:p>
        </w:tc>
        <w:tc>
          <w:tcPr>
            <w:tcW w:w="0" w:type="auto"/>
            <w:gridSpan w:val="3"/>
            <w:vAlign w:val="center"/>
            <w:hideMark/>
          </w:tcPr>
          <w:p w14:paraId="18A9BEAD" w14:textId="77777777" w:rsidR="00000000" w:rsidRDefault="0068293C">
            <w:pPr>
              <w:spacing w:after="100"/>
              <w:rPr>
                <w:rFonts w:eastAsia="Times New Roman"/>
                <w:sz w:val="20"/>
                <w:szCs w:val="20"/>
              </w:rPr>
            </w:pPr>
          </w:p>
        </w:tc>
        <w:tc>
          <w:tcPr>
            <w:tcW w:w="0" w:type="auto"/>
            <w:gridSpan w:val="3"/>
            <w:vAlign w:val="center"/>
            <w:hideMark/>
          </w:tcPr>
          <w:p w14:paraId="4304AA25" w14:textId="77777777" w:rsidR="00000000" w:rsidRDefault="0068293C">
            <w:pPr>
              <w:spacing w:after="100"/>
              <w:rPr>
                <w:rFonts w:eastAsia="Times New Roman"/>
                <w:sz w:val="20"/>
                <w:szCs w:val="20"/>
              </w:rPr>
            </w:pPr>
          </w:p>
        </w:tc>
        <w:tc>
          <w:tcPr>
            <w:tcW w:w="0" w:type="auto"/>
            <w:gridSpan w:val="3"/>
            <w:vAlign w:val="center"/>
            <w:hideMark/>
          </w:tcPr>
          <w:p w14:paraId="2500293B" w14:textId="77777777" w:rsidR="00000000" w:rsidRDefault="0068293C">
            <w:pPr>
              <w:spacing w:after="100"/>
              <w:rPr>
                <w:rFonts w:eastAsia="Times New Roman"/>
                <w:sz w:val="20"/>
                <w:szCs w:val="20"/>
              </w:rPr>
            </w:pPr>
          </w:p>
        </w:tc>
        <w:tc>
          <w:tcPr>
            <w:tcW w:w="0" w:type="auto"/>
            <w:gridSpan w:val="3"/>
            <w:vAlign w:val="center"/>
            <w:hideMark/>
          </w:tcPr>
          <w:p w14:paraId="123A8378" w14:textId="77777777" w:rsidR="00000000" w:rsidRDefault="0068293C">
            <w:pPr>
              <w:spacing w:after="100"/>
              <w:rPr>
                <w:rFonts w:eastAsia="Times New Roman"/>
                <w:sz w:val="20"/>
                <w:szCs w:val="20"/>
              </w:rPr>
            </w:pPr>
          </w:p>
        </w:tc>
        <w:tc>
          <w:tcPr>
            <w:tcW w:w="0" w:type="auto"/>
            <w:gridSpan w:val="3"/>
            <w:vAlign w:val="center"/>
            <w:hideMark/>
          </w:tcPr>
          <w:p w14:paraId="69D24D8F" w14:textId="77777777" w:rsidR="00000000" w:rsidRDefault="0068293C">
            <w:pPr>
              <w:spacing w:after="100"/>
              <w:rPr>
                <w:rFonts w:eastAsia="Times New Roman"/>
                <w:sz w:val="20"/>
                <w:szCs w:val="20"/>
              </w:rPr>
            </w:pPr>
          </w:p>
        </w:tc>
        <w:tc>
          <w:tcPr>
            <w:tcW w:w="0" w:type="auto"/>
            <w:gridSpan w:val="3"/>
            <w:vAlign w:val="center"/>
            <w:hideMark/>
          </w:tcPr>
          <w:p w14:paraId="43F66547" w14:textId="77777777" w:rsidR="00000000" w:rsidRDefault="0068293C">
            <w:pPr>
              <w:spacing w:after="100"/>
              <w:rPr>
                <w:rFonts w:eastAsia="Times New Roman"/>
                <w:sz w:val="20"/>
                <w:szCs w:val="20"/>
              </w:rPr>
            </w:pPr>
          </w:p>
        </w:tc>
        <w:tc>
          <w:tcPr>
            <w:tcW w:w="0" w:type="auto"/>
            <w:gridSpan w:val="3"/>
            <w:vAlign w:val="center"/>
            <w:hideMark/>
          </w:tcPr>
          <w:p w14:paraId="5E983812" w14:textId="77777777" w:rsidR="00000000" w:rsidRDefault="0068293C">
            <w:pPr>
              <w:spacing w:after="100"/>
              <w:rPr>
                <w:rFonts w:eastAsia="Times New Roman"/>
                <w:sz w:val="20"/>
                <w:szCs w:val="20"/>
              </w:rPr>
            </w:pPr>
          </w:p>
        </w:tc>
        <w:tc>
          <w:tcPr>
            <w:tcW w:w="0" w:type="auto"/>
            <w:gridSpan w:val="3"/>
            <w:vAlign w:val="center"/>
            <w:hideMark/>
          </w:tcPr>
          <w:p w14:paraId="10ABFE3B" w14:textId="77777777" w:rsidR="00000000" w:rsidRDefault="0068293C">
            <w:pPr>
              <w:spacing w:after="100"/>
              <w:rPr>
                <w:rFonts w:eastAsia="Times New Roman"/>
                <w:sz w:val="20"/>
                <w:szCs w:val="20"/>
              </w:rPr>
            </w:pPr>
          </w:p>
        </w:tc>
        <w:tc>
          <w:tcPr>
            <w:tcW w:w="0" w:type="auto"/>
            <w:gridSpan w:val="3"/>
            <w:vAlign w:val="center"/>
            <w:hideMark/>
          </w:tcPr>
          <w:p w14:paraId="3144E24B" w14:textId="77777777" w:rsidR="00000000" w:rsidRDefault="0068293C">
            <w:pPr>
              <w:spacing w:after="100"/>
              <w:rPr>
                <w:rFonts w:eastAsia="Times New Roman"/>
                <w:sz w:val="20"/>
                <w:szCs w:val="20"/>
              </w:rPr>
            </w:pPr>
          </w:p>
        </w:tc>
        <w:tc>
          <w:tcPr>
            <w:tcW w:w="0" w:type="auto"/>
            <w:gridSpan w:val="3"/>
            <w:vAlign w:val="center"/>
            <w:hideMark/>
          </w:tcPr>
          <w:p w14:paraId="3AAA2E50" w14:textId="77777777" w:rsidR="00000000" w:rsidRDefault="0068293C">
            <w:pPr>
              <w:spacing w:after="100"/>
              <w:rPr>
                <w:rFonts w:eastAsia="Times New Roman"/>
                <w:sz w:val="20"/>
                <w:szCs w:val="20"/>
              </w:rPr>
            </w:pPr>
          </w:p>
        </w:tc>
      </w:tr>
      <w:tr w:rsidR="00000000" w14:paraId="6FB78240" w14:textId="77777777">
        <w:trPr>
          <w:divId w:val="657198638"/>
          <w:jc w:val="center"/>
        </w:trPr>
        <w:tc>
          <w:tcPr>
            <w:tcW w:w="0" w:type="auto"/>
            <w:gridSpan w:val="3"/>
            <w:vAlign w:val="center"/>
            <w:hideMark/>
          </w:tcPr>
          <w:p w14:paraId="28EF0732" w14:textId="77777777" w:rsidR="00000000" w:rsidRDefault="0068293C">
            <w:pPr>
              <w:spacing w:after="100"/>
              <w:rPr>
                <w:rFonts w:eastAsia="Times New Roman"/>
                <w:sz w:val="20"/>
                <w:szCs w:val="20"/>
              </w:rPr>
            </w:pPr>
          </w:p>
        </w:tc>
        <w:tc>
          <w:tcPr>
            <w:tcW w:w="0" w:type="auto"/>
            <w:gridSpan w:val="3"/>
            <w:vAlign w:val="center"/>
            <w:hideMark/>
          </w:tcPr>
          <w:p w14:paraId="74F3C986" w14:textId="77777777" w:rsidR="00000000" w:rsidRDefault="0068293C">
            <w:pPr>
              <w:spacing w:after="100"/>
              <w:rPr>
                <w:rFonts w:eastAsia="Times New Roman"/>
                <w:sz w:val="20"/>
                <w:szCs w:val="20"/>
              </w:rPr>
            </w:pPr>
          </w:p>
        </w:tc>
        <w:tc>
          <w:tcPr>
            <w:tcW w:w="0" w:type="auto"/>
            <w:gridSpan w:val="3"/>
            <w:vAlign w:val="center"/>
            <w:hideMark/>
          </w:tcPr>
          <w:p w14:paraId="47871B01" w14:textId="77777777" w:rsidR="00000000" w:rsidRDefault="0068293C">
            <w:pPr>
              <w:spacing w:after="100"/>
              <w:rPr>
                <w:rFonts w:eastAsia="Times New Roman"/>
                <w:sz w:val="20"/>
                <w:szCs w:val="20"/>
              </w:rPr>
            </w:pPr>
          </w:p>
        </w:tc>
        <w:tc>
          <w:tcPr>
            <w:tcW w:w="0" w:type="auto"/>
            <w:gridSpan w:val="3"/>
            <w:vAlign w:val="center"/>
            <w:hideMark/>
          </w:tcPr>
          <w:p w14:paraId="2523E2FC" w14:textId="77777777" w:rsidR="00000000" w:rsidRDefault="0068293C">
            <w:pPr>
              <w:spacing w:after="100"/>
              <w:rPr>
                <w:rFonts w:eastAsia="Times New Roman"/>
                <w:sz w:val="20"/>
                <w:szCs w:val="20"/>
              </w:rPr>
            </w:pPr>
          </w:p>
        </w:tc>
        <w:tc>
          <w:tcPr>
            <w:tcW w:w="0" w:type="auto"/>
            <w:gridSpan w:val="3"/>
            <w:vAlign w:val="center"/>
            <w:hideMark/>
          </w:tcPr>
          <w:p w14:paraId="6CC7AD6B" w14:textId="77777777" w:rsidR="00000000" w:rsidRDefault="0068293C">
            <w:pPr>
              <w:spacing w:after="100"/>
              <w:rPr>
                <w:rFonts w:eastAsia="Times New Roman"/>
                <w:sz w:val="20"/>
                <w:szCs w:val="20"/>
              </w:rPr>
            </w:pPr>
          </w:p>
        </w:tc>
        <w:tc>
          <w:tcPr>
            <w:tcW w:w="0" w:type="auto"/>
            <w:gridSpan w:val="3"/>
            <w:vAlign w:val="center"/>
            <w:hideMark/>
          </w:tcPr>
          <w:p w14:paraId="4354D3D6" w14:textId="77777777" w:rsidR="00000000" w:rsidRDefault="0068293C">
            <w:pPr>
              <w:spacing w:after="100"/>
              <w:rPr>
                <w:rFonts w:eastAsia="Times New Roman"/>
                <w:sz w:val="20"/>
                <w:szCs w:val="20"/>
              </w:rPr>
            </w:pPr>
          </w:p>
        </w:tc>
        <w:tc>
          <w:tcPr>
            <w:tcW w:w="0" w:type="auto"/>
            <w:gridSpan w:val="3"/>
            <w:vAlign w:val="center"/>
            <w:hideMark/>
          </w:tcPr>
          <w:p w14:paraId="284F9D39" w14:textId="77777777" w:rsidR="00000000" w:rsidRDefault="0068293C">
            <w:pPr>
              <w:spacing w:after="100"/>
              <w:rPr>
                <w:rFonts w:eastAsia="Times New Roman"/>
                <w:sz w:val="20"/>
                <w:szCs w:val="20"/>
              </w:rPr>
            </w:pPr>
          </w:p>
        </w:tc>
        <w:tc>
          <w:tcPr>
            <w:tcW w:w="0" w:type="auto"/>
            <w:gridSpan w:val="3"/>
            <w:vAlign w:val="center"/>
            <w:hideMark/>
          </w:tcPr>
          <w:p w14:paraId="114F5D71" w14:textId="77777777" w:rsidR="00000000" w:rsidRDefault="0068293C">
            <w:pPr>
              <w:spacing w:after="100"/>
              <w:rPr>
                <w:rFonts w:eastAsia="Times New Roman"/>
                <w:sz w:val="20"/>
                <w:szCs w:val="20"/>
              </w:rPr>
            </w:pPr>
          </w:p>
        </w:tc>
        <w:tc>
          <w:tcPr>
            <w:tcW w:w="0" w:type="auto"/>
            <w:gridSpan w:val="3"/>
            <w:vAlign w:val="center"/>
            <w:hideMark/>
          </w:tcPr>
          <w:p w14:paraId="2CC06156" w14:textId="77777777" w:rsidR="00000000" w:rsidRDefault="0068293C">
            <w:pPr>
              <w:spacing w:after="100"/>
              <w:rPr>
                <w:rFonts w:eastAsia="Times New Roman"/>
                <w:sz w:val="20"/>
                <w:szCs w:val="20"/>
              </w:rPr>
            </w:pPr>
          </w:p>
        </w:tc>
        <w:tc>
          <w:tcPr>
            <w:tcW w:w="0" w:type="auto"/>
            <w:gridSpan w:val="3"/>
            <w:vAlign w:val="center"/>
            <w:hideMark/>
          </w:tcPr>
          <w:p w14:paraId="6B62FD4D" w14:textId="77777777" w:rsidR="00000000" w:rsidRDefault="0068293C">
            <w:pPr>
              <w:spacing w:after="100"/>
              <w:rPr>
                <w:rFonts w:eastAsia="Times New Roman"/>
                <w:sz w:val="20"/>
                <w:szCs w:val="20"/>
              </w:rPr>
            </w:pPr>
          </w:p>
        </w:tc>
        <w:tc>
          <w:tcPr>
            <w:tcW w:w="0" w:type="auto"/>
            <w:gridSpan w:val="3"/>
            <w:vAlign w:val="center"/>
            <w:hideMark/>
          </w:tcPr>
          <w:p w14:paraId="4F9C63BD" w14:textId="77777777" w:rsidR="00000000" w:rsidRDefault="0068293C">
            <w:pPr>
              <w:spacing w:after="100"/>
              <w:rPr>
                <w:rFonts w:eastAsia="Times New Roman"/>
                <w:sz w:val="20"/>
                <w:szCs w:val="20"/>
              </w:rPr>
            </w:pPr>
          </w:p>
        </w:tc>
        <w:tc>
          <w:tcPr>
            <w:tcW w:w="0" w:type="auto"/>
            <w:gridSpan w:val="3"/>
            <w:vAlign w:val="center"/>
            <w:hideMark/>
          </w:tcPr>
          <w:p w14:paraId="3DAB31BC" w14:textId="77777777" w:rsidR="00000000" w:rsidRDefault="0068293C">
            <w:pPr>
              <w:spacing w:after="100"/>
              <w:rPr>
                <w:rFonts w:eastAsia="Times New Roman"/>
                <w:sz w:val="20"/>
                <w:szCs w:val="20"/>
              </w:rPr>
            </w:pPr>
          </w:p>
        </w:tc>
        <w:tc>
          <w:tcPr>
            <w:tcW w:w="0" w:type="auto"/>
            <w:gridSpan w:val="3"/>
            <w:vAlign w:val="center"/>
            <w:hideMark/>
          </w:tcPr>
          <w:p w14:paraId="6B9FDE99" w14:textId="77777777" w:rsidR="00000000" w:rsidRDefault="0068293C">
            <w:pPr>
              <w:spacing w:after="100"/>
              <w:rPr>
                <w:rFonts w:eastAsia="Times New Roman"/>
                <w:sz w:val="20"/>
                <w:szCs w:val="20"/>
              </w:rPr>
            </w:pPr>
          </w:p>
        </w:tc>
        <w:tc>
          <w:tcPr>
            <w:tcW w:w="0" w:type="auto"/>
            <w:gridSpan w:val="3"/>
            <w:vAlign w:val="center"/>
            <w:hideMark/>
          </w:tcPr>
          <w:p w14:paraId="6F2B8399" w14:textId="77777777" w:rsidR="00000000" w:rsidRDefault="0068293C">
            <w:pPr>
              <w:spacing w:after="100"/>
              <w:rPr>
                <w:rFonts w:eastAsia="Times New Roman"/>
                <w:sz w:val="20"/>
                <w:szCs w:val="20"/>
              </w:rPr>
            </w:pPr>
          </w:p>
        </w:tc>
        <w:tc>
          <w:tcPr>
            <w:tcW w:w="0" w:type="auto"/>
            <w:gridSpan w:val="3"/>
            <w:vAlign w:val="center"/>
            <w:hideMark/>
          </w:tcPr>
          <w:p w14:paraId="736473B3" w14:textId="77777777" w:rsidR="00000000" w:rsidRDefault="0068293C">
            <w:pPr>
              <w:spacing w:after="100"/>
              <w:rPr>
                <w:rFonts w:eastAsia="Times New Roman"/>
                <w:sz w:val="20"/>
                <w:szCs w:val="20"/>
              </w:rPr>
            </w:pPr>
          </w:p>
        </w:tc>
      </w:tr>
      <w:tr w:rsidR="0068293C" w14:paraId="2CA468F4" w14:textId="77777777">
        <w:trPr>
          <w:divId w:val="657198638"/>
          <w:jc w:val="center"/>
        </w:trPr>
        <w:tc>
          <w:tcPr>
            <w:tcW w:w="0" w:type="auto"/>
            <w:gridSpan w:val="3"/>
            <w:shd w:val="clear" w:color="auto" w:fill="CCEEFF"/>
            <w:tcMar>
              <w:top w:w="30" w:type="dxa"/>
              <w:left w:w="20" w:type="dxa"/>
              <w:bottom w:w="30" w:type="dxa"/>
              <w:right w:w="20" w:type="dxa"/>
            </w:tcMar>
            <w:vAlign w:val="bottom"/>
            <w:hideMark/>
          </w:tcPr>
          <w:p w14:paraId="6E0CC490" w14:textId="77777777" w:rsidR="00000000" w:rsidRDefault="0068293C">
            <w:pPr>
              <w:spacing w:after="100"/>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14:paraId="7ADDB721" w14:textId="77777777" w:rsidR="00000000" w:rsidRDefault="0068293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C75FB5" w14:textId="77777777" w:rsidR="00000000" w:rsidRDefault="0068293C">
            <w:pPr>
              <w:spacing w:after="100"/>
              <w:jc w:val="right"/>
              <w:rPr>
                <w:rFonts w:eastAsia="Times New Roman"/>
              </w:rPr>
            </w:pPr>
            <w:r>
              <w:rPr>
                <w:rFonts w:eastAsia="Times New Roman"/>
                <w:b/>
                <w:bCs/>
                <w:color w:val="000000"/>
                <w:sz w:val="16"/>
                <w:szCs w:val="16"/>
              </w:rPr>
              <w:t>132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AF59D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5E0E5"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61AAF3"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E80C7C" w14:textId="77777777" w:rsidR="00000000" w:rsidRDefault="0068293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33D39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8A924"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8D6B92"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64A14D" w14:textId="77777777" w:rsidR="00000000" w:rsidRDefault="0068293C">
            <w:pPr>
              <w:spacing w:after="100"/>
              <w:jc w:val="right"/>
              <w:rPr>
                <w:rFonts w:eastAsia="Times New Roman"/>
              </w:rPr>
            </w:pPr>
            <w:r>
              <w:rPr>
                <w:rFonts w:eastAsia="Times New Roman"/>
                <w:b/>
                <w:bCs/>
                <w:color w:val="000000"/>
                <w:sz w:val="16"/>
                <w:szCs w:val="16"/>
              </w:rPr>
              <w:t>515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8CC89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8E703"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C30581"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B6EE2C" w14:textId="77777777" w:rsidR="00000000" w:rsidRDefault="0068293C">
            <w:pPr>
              <w:spacing w:after="100"/>
              <w:jc w:val="right"/>
              <w:rPr>
                <w:rFonts w:eastAsia="Times New Roman"/>
              </w:rPr>
            </w:pPr>
            <w:r>
              <w:rPr>
                <w:rFonts w:eastAsia="Times New Roman"/>
                <w:b/>
                <w:bCs/>
                <w:color w:val="000000"/>
                <w:sz w:val="16"/>
                <w:szCs w:val="16"/>
              </w:rPr>
              <w:t>1,031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DBCC5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A6ACA"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1F8AAA"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17A04E" w14:textId="77777777" w:rsidR="00000000" w:rsidRDefault="0068293C">
            <w:pPr>
              <w:spacing w:after="100"/>
              <w:jc w:val="right"/>
              <w:rPr>
                <w:rFonts w:eastAsia="Times New Roman"/>
              </w:rPr>
            </w:pPr>
            <w:r>
              <w:rPr>
                <w:rFonts w:eastAsia="Times New Roman"/>
                <w:b/>
                <w:bCs/>
                <w:color w:val="000000"/>
                <w:sz w:val="16"/>
                <w:szCs w:val="16"/>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DB69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37C8E"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CE0D0E"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D7B823" w14:textId="77777777" w:rsidR="00000000" w:rsidRDefault="0068293C">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BFFFD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6AEF4"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328402"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FF1180" w14:textId="77777777" w:rsidR="00000000" w:rsidRDefault="0068293C">
            <w:pPr>
              <w:spacing w:after="100"/>
              <w:jc w:val="right"/>
              <w:rPr>
                <w:rFonts w:eastAsia="Times New Roman"/>
              </w:rPr>
            </w:pPr>
            <w:r>
              <w:rPr>
                <w:rFonts w:eastAsia="Times New Roman"/>
                <w:b/>
                <w:bCs/>
                <w:color w:val="000000"/>
                <w:sz w:val="16"/>
                <w:szCs w:val="16"/>
              </w:rPr>
              <w:t>1,259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4F2DFF" w14:textId="77777777" w:rsidR="00000000" w:rsidRDefault="0068293C">
            <w:pPr>
              <w:spacing w:after="100"/>
              <w:jc w:val="right"/>
              <w:rPr>
                <w:rFonts w:eastAsia="Times New Roman"/>
              </w:rPr>
            </w:pPr>
          </w:p>
        </w:tc>
      </w:tr>
      <w:tr w:rsidR="00000000" w14:paraId="506B7386" w14:textId="77777777">
        <w:trPr>
          <w:divId w:val="657198638"/>
          <w:jc w:val="center"/>
        </w:trPr>
        <w:tc>
          <w:tcPr>
            <w:tcW w:w="0" w:type="auto"/>
            <w:gridSpan w:val="3"/>
            <w:shd w:val="clear" w:color="auto" w:fill="FFFFFF"/>
            <w:tcMar>
              <w:top w:w="30" w:type="dxa"/>
              <w:left w:w="20" w:type="dxa"/>
              <w:bottom w:w="30" w:type="dxa"/>
              <w:right w:w="20" w:type="dxa"/>
            </w:tcMar>
            <w:vAlign w:val="bottom"/>
            <w:hideMark/>
          </w:tcPr>
          <w:p w14:paraId="3A5B1FE6" w14:textId="77777777" w:rsidR="00000000" w:rsidRDefault="0068293C">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14:paraId="54E38A6D"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426990"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D89DB7"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75E9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653414"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8BBFF3"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4FC192"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C1ADEA"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39ECD7"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3F924D"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DC7588"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95B74C"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A5D717"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39908F" w14:textId="77777777" w:rsidR="00000000" w:rsidRDefault="0068293C">
            <w:pPr>
              <w:spacing w:after="100"/>
              <w:rPr>
                <w:rFonts w:eastAsia="Times New Roman"/>
                <w:sz w:val="20"/>
                <w:szCs w:val="20"/>
              </w:rPr>
            </w:pPr>
          </w:p>
        </w:tc>
      </w:tr>
      <w:tr w:rsidR="00000000" w14:paraId="668964D8" w14:textId="77777777">
        <w:trPr>
          <w:divId w:val="657198638"/>
          <w:jc w:val="center"/>
        </w:trPr>
        <w:tc>
          <w:tcPr>
            <w:tcW w:w="0" w:type="auto"/>
            <w:gridSpan w:val="3"/>
            <w:shd w:val="clear" w:color="auto" w:fill="CCEEFF"/>
            <w:tcMar>
              <w:top w:w="30" w:type="dxa"/>
              <w:left w:w="155" w:type="dxa"/>
              <w:bottom w:w="30" w:type="dxa"/>
              <w:right w:w="20" w:type="dxa"/>
            </w:tcMar>
            <w:vAlign w:val="bottom"/>
            <w:hideMark/>
          </w:tcPr>
          <w:p w14:paraId="453BB0A6" w14:textId="77777777" w:rsidR="00000000" w:rsidRDefault="0068293C">
            <w:pPr>
              <w:spacing w:after="100"/>
              <w:rPr>
                <w:rFonts w:eastAsia="Times New Roman"/>
              </w:rPr>
            </w:pPr>
            <w:r>
              <w:rPr>
                <w:rFonts w:eastAsia="Times New Roman"/>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14:paraId="1DF4A966"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136068" w14:textId="77777777" w:rsidR="00000000" w:rsidRDefault="0068293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66520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5544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5FB038"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BF8083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F3450"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66CC49"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B7E3A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5ADC0"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7730B" w14:textId="77777777" w:rsidR="00000000" w:rsidRDefault="0068293C">
            <w:pPr>
              <w:spacing w:after="100"/>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14:paraId="26D5541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81A8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EE5F8C"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9D441A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825B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BF38F" w14:textId="77777777" w:rsidR="00000000" w:rsidRDefault="0068293C">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14:paraId="2EBBAE7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1967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782F8" w14:textId="77777777" w:rsidR="00000000" w:rsidRDefault="0068293C">
            <w:pPr>
              <w:spacing w:after="100"/>
              <w:jc w:val="right"/>
              <w:rPr>
                <w:rFonts w:eastAsia="Times New Roman"/>
              </w:rPr>
            </w:pPr>
            <w:r>
              <w:rPr>
                <w:rFonts w:eastAsia="Times New Roman"/>
                <w:color w:val="000000"/>
                <w:sz w:val="16"/>
                <w:szCs w:val="16"/>
              </w:rPr>
              <w:t>(35)</w:t>
            </w:r>
          </w:p>
        </w:tc>
        <w:tc>
          <w:tcPr>
            <w:tcW w:w="0" w:type="auto"/>
            <w:shd w:val="clear" w:color="auto" w:fill="CCEEFF"/>
            <w:tcMar>
              <w:top w:w="30" w:type="dxa"/>
              <w:left w:w="0" w:type="dxa"/>
              <w:bottom w:w="30" w:type="dxa"/>
              <w:right w:w="20" w:type="dxa"/>
            </w:tcMar>
            <w:vAlign w:val="bottom"/>
            <w:hideMark/>
          </w:tcPr>
          <w:p w14:paraId="3F882F3F" w14:textId="77777777" w:rsidR="00000000" w:rsidRDefault="0068293C">
            <w:pPr>
              <w:spacing w:after="100"/>
              <w:jc w:val="right"/>
              <w:rPr>
                <w:rFonts w:eastAsia="Times New Roman"/>
              </w:rPr>
            </w:pPr>
          </w:p>
        </w:tc>
      </w:tr>
      <w:tr w:rsidR="00000000" w14:paraId="51F199A5" w14:textId="77777777">
        <w:trPr>
          <w:divId w:val="657198638"/>
          <w:jc w:val="center"/>
        </w:trPr>
        <w:tc>
          <w:tcPr>
            <w:tcW w:w="0" w:type="auto"/>
            <w:gridSpan w:val="3"/>
            <w:shd w:val="clear" w:color="auto" w:fill="FFFFFF"/>
            <w:tcMar>
              <w:top w:w="30" w:type="dxa"/>
              <w:left w:w="155" w:type="dxa"/>
              <w:bottom w:w="30" w:type="dxa"/>
              <w:right w:w="20" w:type="dxa"/>
            </w:tcMar>
            <w:vAlign w:val="bottom"/>
            <w:hideMark/>
          </w:tcPr>
          <w:p w14:paraId="3FEE8DF5" w14:textId="77777777" w:rsidR="00000000" w:rsidRDefault="0068293C">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14:paraId="3DC8C187"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B5237F" w14:textId="77777777" w:rsidR="00000000" w:rsidRDefault="0068293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1F959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B264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99E15"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F26F5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6ED31"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E669A9"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7051C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E5A3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8EEA3"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47D58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8899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454EE" w14:textId="77777777" w:rsidR="00000000" w:rsidRDefault="0068293C">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14:paraId="1BDB02D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86D1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DB850"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2A4AE4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FA6A1"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81C20" w14:textId="77777777" w:rsidR="00000000" w:rsidRDefault="0068293C">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14:paraId="6E0BB37C" w14:textId="77777777" w:rsidR="00000000" w:rsidRDefault="0068293C">
            <w:pPr>
              <w:spacing w:after="100"/>
              <w:jc w:val="right"/>
              <w:rPr>
                <w:rFonts w:eastAsia="Times New Roman"/>
              </w:rPr>
            </w:pPr>
          </w:p>
        </w:tc>
      </w:tr>
      <w:tr w:rsidR="00000000" w14:paraId="3A195193" w14:textId="77777777">
        <w:trPr>
          <w:divId w:val="657198638"/>
          <w:jc w:val="center"/>
        </w:trPr>
        <w:tc>
          <w:tcPr>
            <w:tcW w:w="0" w:type="auto"/>
            <w:gridSpan w:val="3"/>
            <w:shd w:val="clear" w:color="auto" w:fill="CCEEFF"/>
            <w:tcMar>
              <w:top w:w="30" w:type="dxa"/>
              <w:left w:w="155" w:type="dxa"/>
              <w:bottom w:w="30" w:type="dxa"/>
              <w:right w:w="20" w:type="dxa"/>
            </w:tcMar>
            <w:vAlign w:val="bottom"/>
            <w:hideMark/>
          </w:tcPr>
          <w:p w14:paraId="3CA03179" w14:textId="77777777" w:rsidR="00000000" w:rsidRDefault="0068293C">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14:paraId="6896C353" w14:textId="77777777" w:rsidR="00000000" w:rsidRDefault="0068293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D03538" w14:textId="77777777" w:rsidR="00000000" w:rsidRDefault="0068293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969F08" w14:textId="77777777" w:rsidR="00000000" w:rsidRDefault="0068293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5FA8C8"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DAE74E" w14:textId="77777777" w:rsidR="00000000" w:rsidRDefault="0068293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E895B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398E5"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CD4AC2" w14:textId="77777777" w:rsidR="00000000" w:rsidRDefault="0068293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B9A57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E3195"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90E923" w14:textId="77777777" w:rsidR="00000000" w:rsidRDefault="0068293C">
            <w:pPr>
              <w:spacing w:after="100"/>
              <w:jc w:val="right"/>
              <w:rPr>
                <w:rFonts w:eastAsia="Times New Roman"/>
              </w:rPr>
            </w:pPr>
            <w:r>
              <w:rPr>
                <w:rFonts w:eastAsia="Times New Roman"/>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4CAC8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43F9E"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89522F" w14:textId="77777777" w:rsidR="00000000" w:rsidRDefault="0068293C">
            <w:pPr>
              <w:spacing w:after="100"/>
              <w:jc w:val="right"/>
              <w:rPr>
                <w:rFonts w:eastAsia="Times New Roman"/>
              </w:rPr>
            </w:pPr>
            <w:r>
              <w:rPr>
                <w:rFonts w:eastAsia="Times New Roman"/>
                <w:color w:val="000000"/>
                <w:sz w:val="16"/>
                <w:szCs w:val="16"/>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22C15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038DE"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7265B5" w14:textId="77777777" w:rsidR="00000000" w:rsidRDefault="0068293C">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B4880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43683"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3C06B3" w14:textId="77777777" w:rsidR="00000000" w:rsidRDefault="0068293C">
            <w:pPr>
              <w:spacing w:after="100"/>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D9C2F7" w14:textId="77777777" w:rsidR="00000000" w:rsidRDefault="0068293C">
            <w:pPr>
              <w:spacing w:after="100"/>
              <w:jc w:val="right"/>
              <w:rPr>
                <w:rFonts w:eastAsia="Times New Roman"/>
              </w:rPr>
            </w:pPr>
          </w:p>
        </w:tc>
      </w:tr>
      <w:tr w:rsidR="00000000" w14:paraId="563D131C" w14:textId="77777777">
        <w:trPr>
          <w:divId w:val="657198638"/>
          <w:jc w:val="center"/>
        </w:trPr>
        <w:tc>
          <w:tcPr>
            <w:tcW w:w="0" w:type="auto"/>
            <w:gridSpan w:val="3"/>
            <w:shd w:val="clear" w:color="auto" w:fill="FFFFFF"/>
            <w:tcMar>
              <w:top w:w="30" w:type="dxa"/>
              <w:left w:w="155" w:type="dxa"/>
              <w:bottom w:w="30" w:type="dxa"/>
              <w:right w:w="20" w:type="dxa"/>
            </w:tcMar>
            <w:vAlign w:val="bottom"/>
            <w:hideMark/>
          </w:tcPr>
          <w:p w14:paraId="785B580E" w14:textId="77777777" w:rsidR="00000000" w:rsidRDefault="0068293C">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14:paraId="634E0140"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92F14E" w14:textId="77777777" w:rsidR="00000000" w:rsidRDefault="0068293C">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14:paraId="1A401D3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EC08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D7959"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CC537E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E7A54"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A7A116" w14:textId="77777777" w:rsidR="00000000" w:rsidRDefault="0068293C">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14:paraId="26DBA82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EADD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1055A"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67102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3ACC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68AE8D"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2FD4A0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0D396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0A007"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DE8047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EF2A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AF28AA" w14:textId="77777777" w:rsidR="00000000" w:rsidRDefault="0068293C">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14:paraId="65B7C63E" w14:textId="77777777" w:rsidR="00000000" w:rsidRDefault="0068293C">
            <w:pPr>
              <w:spacing w:after="100"/>
              <w:jc w:val="right"/>
              <w:rPr>
                <w:rFonts w:eastAsia="Times New Roman"/>
              </w:rPr>
            </w:pPr>
          </w:p>
        </w:tc>
      </w:tr>
      <w:tr w:rsidR="00000000" w14:paraId="588A648B" w14:textId="77777777">
        <w:trPr>
          <w:divId w:val="657198638"/>
          <w:jc w:val="center"/>
        </w:trPr>
        <w:tc>
          <w:tcPr>
            <w:tcW w:w="0" w:type="auto"/>
            <w:gridSpan w:val="3"/>
            <w:shd w:val="clear" w:color="auto" w:fill="CCEEFF"/>
            <w:tcMar>
              <w:top w:w="30" w:type="dxa"/>
              <w:left w:w="155" w:type="dxa"/>
              <w:bottom w:w="30" w:type="dxa"/>
              <w:right w:w="20" w:type="dxa"/>
            </w:tcMar>
            <w:vAlign w:val="bottom"/>
            <w:hideMark/>
          </w:tcPr>
          <w:p w14:paraId="00130A2B" w14:textId="77777777" w:rsidR="00000000" w:rsidRDefault="0068293C">
            <w:pPr>
              <w:spacing w:after="100"/>
              <w:rPr>
                <w:rFonts w:eastAsia="Times New Roman"/>
              </w:rPr>
            </w:pPr>
            <w:r>
              <w:rPr>
                <w:rFonts w:eastAsia="Times New Roman"/>
                <w:color w:val="000000"/>
                <w:sz w:val="16"/>
                <w:szCs w:val="16"/>
              </w:rPr>
              <w:t>Stock issued in acquisition of LibertyX</w:t>
            </w:r>
          </w:p>
        </w:tc>
        <w:tc>
          <w:tcPr>
            <w:tcW w:w="0" w:type="auto"/>
            <w:gridSpan w:val="3"/>
            <w:shd w:val="clear" w:color="auto" w:fill="CCEEFF"/>
            <w:tcMar>
              <w:top w:w="0" w:type="dxa"/>
              <w:left w:w="20" w:type="dxa"/>
              <w:bottom w:w="0" w:type="dxa"/>
              <w:right w:w="20" w:type="dxa"/>
            </w:tcMar>
            <w:vAlign w:val="center"/>
            <w:hideMark/>
          </w:tcPr>
          <w:p w14:paraId="7579C3CC"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596172" w14:textId="77777777" w:rsidR="00000000" w:rsidRDefault="0068293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0EFC2F1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7C65E"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7200C0"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693C8A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56EB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F5E163" w14:textId="77777777" w:rsidR="00000000" w:rsidRDefault="0068293C">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14:paraId="06D46A8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8B06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3A7E5"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2CE58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EC7C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F42085"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19083B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A68B0"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2EF3EA"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5038E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3575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5AC6F9" w14:textId="77777777" w:rsidR="00000000" w:rsidRDefault="0068293C">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14:paraId="0A902FE7" w14:textId="77777777" w:rsidR="00000000" w:rsidRDefault="0068293C">
            <w:pPr>
              <w:spacing w:after="100"/>
              <w:jc w:val="right"/>
              <w:rPr>
                <w:rFonts w:eastAsia="Times New Roman"/>
              </w:rPr>
            </w:pPr>
          </w:p>
        </w:tc>
      </w:tr>
      <w:tr w:rsidR="00000000" w14:paraId="0A1360FE" w14:textId="77777777">
        <w:trPr>
          <w:divId w:val="657198638"/>
          <w:jc w:val="center"/>
        </w:trPr>
        <w:tc>
          <w:tcPr>
            <w:tcW w:w="0" w:type="auto"/>
            <w:gridSpan w:val="3"/>
            <w:shd w:val="clear" w:color="auto" w:fill="FFFFFF"/>
            <w:tcMar>
              <w:top w:w="30" w:type="dxa"/>
              <w:left w:w="155" w:type="dxa"/>
              <w:bottom w:w="30" w:type="dxa"/>
              <w:right w:w="20" w:type="dxa"/>
            </w:tcMar>
            <w:vAlign w:val="bottom"/>
            <w:hideMark/>
          </w:tcPr>
          <w:p w14:paraId="5040081B" w14:textId="77777777" w:rsidR="00000000" w:rsidRDefault="0068293C">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14:paraId="4383C4F5"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27B9FB" w14:textId="77777777" w:rsidR="00000000" w:rsidRDefault="0068293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1696E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79852"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B666B"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7E4EE8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FEB8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1BEAF1"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11094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DA7A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35C115" w14:textId="77777777" w:rsidR="00000000" w:rsidRDefault="0068293C">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14:paraId="483D0F6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5CFC4"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0861E"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6A606A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A727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E5F661"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329B51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502A2"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12BB12" w14:textId="77777777" w:rsidR="00000000" w:rsidRDefault="0068293C">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14:paraId="289F808D" w14:textId="77777777" w:rsidR="00000000" w:rsidRDefault="0068293C">
            <w:pPr>
              <w:spacing w:after="100"/>
              <w:jc w:val="right"/>
              <w:rPr>
                <w:rFonts w:eastAsia="Times New Roman"/>
              </w:rPr>
            </w:pPr>
          </w:p>
        </w:tc>
      </w:tr>
      <w:tr w:rsidR="00000000" w14:paraId="4FAAAD2F" w14:textId="77777777">
        <w:trPr>
          <w:divId w:val="657198638"/>
          <w:jc w:val="center"/>
        </w:trPr>
        <w:tc>
          <w:tcPr>
            <w:tcW w:w="0" w:type="auto"/>
            <w:gridSpan w:val="3"/>
            <w:vAlign w:val="center"/>
            <w:hideMark/>
          </w:tcPr>
          <w:p w14:paraId="247C937E" w14:textId="77777777" w:rsidR="00000000" w:rsidRDefault="0068293C">
            <w:pPr>
              <w:spacing w:after="100"/>
              <w:jc w:val="right"/>
              <w:rPr>
                <w:rFonts w:eastAsia="Times New Roman"/>
                <w:sz w:val="20"/>
                <w:szCs w:val="20"/>
              </w:rPr>
            </w:pPr>
          </w:p>
        </w:tc>
        <w:tc>
          <w:tcPr>
            <w:tcW w:w="0" w:type="auto"/>
            <w:gridSpan w:val="3"/>
            <w:vAlign w:val="center"/>
            <w:hideMark/>
          </w:tcPr>
          <w:p w14:paraId="5A330A7C" w14:textId="77777777" w:rsidR="00000000" w:rsidRDefault="0068293C">
            <w:pPr>
              <w:spacing w:after="100"/>
              <w:rPr>
                <w:rFonts w:eastAsia="Times New Roman"/>
                <w:sz w:val="20"/>
                <w:szCs w:val="20"/>
              </w:rPr>
            </w:pPr>
          </w:p>
        </w:tc>
        <w:tc>
          <w:tcPr>
            <w:tcW w:w="0" w:type="auto"/>
            <w:gridSpan w:val="3"/>
            <w:vAlign w:val="center"/>
            <w:hideMark/>
          </w:tcPr>
          <w:p w14:paraId="73261C59" w14:textId="77777777" w:rsidR="00000000" w:rsidRDefault="0068293C">
            <w:pPr>
              <w:spacing w:after="100"/>
              <w:rPr>
                <w:rFonts w:eastAsia="Times New Roman"/>
                <w:sz w:val="20"/>
                <w:szCs w:val="20"/>
              </w:rPr>
            </w:pPr>
          </w:p>
        </w:tc>
        <w:tc>
          <w:tcPr>
            <w:tcW w:w="0" w:type="auto"/>
            <w:gridSpan w:val="3"/>
            <w:vAlign w:val="center"/>
            <w:hideMark/>
          </w:tcPr>
          <w:p w14:paraId="181A725A" w14:textId="77777777" w:rsidR="00000000" w:rsidRDefault="0068293C">
            <w:pPr>
              <w:spacing w:after="100"/>
              <w:rPr>
                <w:rFonts w:eastAsia="Times New Roman"/>
                <w:sz w:val="20"/>
                <w:szCs w:val="20"/>
              </w:rPr>
            </w:pPr>
          </w:p>
        </w:tc>
        <w:tc>
          <w:tcPr>
            <w:tcW w:w="0" w:type="auto"/>
            <w:gridSpan w:val="3"/>
            <w:vAlign w:val="center"/>
            <w:hideMark/>
          </w:tcPr>
          <w:p w14:paraId="49A1AF73" w14:textId="77777777" w:rsidR="00000000" w:rsidRDefault="0068293C">
            <w:pPr>
              <w:spacing w:after="100"/>
              <w:rPr>
                <w:rFonts w:eastAsia="Times New Roman"/>
                <w:sz w:val="20"/>
                <w:szCs w:val="20"/>
              </w:rPr>
            </w:pPr>
          </w:p>
        </w:tc>
        <w:tc>
          <w:tcPr>
            <w:tcW w:w="0" w:type="auto"/>
            <w:gridSpan w:val="3"/>
            <w:vAlign w:val="center"/>
            <w:hideMark/>
          </w:tcPr>
          <w:p w14:paraId="5AD4B6ED" w14:textId="77777777" w:rsidR="00000000" w:rsidRDefault="0068293C">
            <w:pPr>
              <w:spacing w:after="100"/>
              <w:rPr>
                <w:rFonts w:eastAsia="Times New Roman"/>
                <w:sz w:val="20"/>
                <w:szCs w:val="20"/>
              </w:rPr>
            </w:pPr>
          </w:p>
        </w:tc>
        <w:tc>
          <w:tcPr>
            <w:tcW w:w="0" w:type="auto"/>
            <w:gridSpan w:val="3"/>
            <w:vAlign w:val="center"/>
            <w:hideMark/>
          </w:tcPr>
          <w:p w14:paraId="2D7A8E5F" w14:textId="77777777" w:rsidR="00000000" w:rsidRDefault="0068293C">
            <w:pPr>
              <w:spacing w:after="100"/>
              <w:rPr>
                <w:rFonts w:eastAsia="Times New Roman"/>
                <w:sz w:val="20"/>
                <w:szCs w:val="20"/>
              </w:rPr>
            </w:pPr>
          </w:p>
        </w:tc>
        <w:tc>
          <w:tcPr>
            <w:tcW w:w="0" w:type="auto"/>
            <w:gridSpan w:val="3"/>
            <w:vAlign w:val="center"/>
            <w:hideMark/>
          </w:tcPr>
          <w:p w14:paraId="51B4980B" w14:textId="77777777" w:rsidR="00000000" w:rsidRDefault="0068293C">
            <w:pPr>
              <w:spacing w:after="100"/>
              <w:rPr>
                <w:rFonts w:eastAsia="Times New Roman"/>
                <w:sz w:val="20"/>
                <w:szCs w:val="20"/>
              </w:rPr>
            </w:pPr>
          </w:p>
        </w:tc>
        <w:tc>
          <w:tcPr>
            <w:tcW w:w="0" w:type="auto"/>
            <w:gridSpan w:val="3"/>
            <w:vAlign w:val="center"/>
            <w:hideMark/>
          </w:tcPr>
          <w:p w14:paraId="1839CD6B" w14:textId="77777777" w:rsidR="00000000" w:rsidRDefault="0068293C">
            <w:pPr>
              <w:spacing w:after="100"/>
              <w:rPr>
                <w:rFonts w:eastAsia="Times New Roman"/>
                <w:sz w:val="20"/>
                <w:szCs w:val="20"/>
              </w:rPr>
            </w:pPr>
          </w:p>
        </w:tc>
        <w:tc>
          <w:tcPr>
            <w:tcW w:w="0" w:type="auto"/>
            <w:gridSpan w:val="3"/>
            <w:vAlign w:val="center"/>
            <w:hideMark/>
          </w:tcPr>
          <w:p w14:paraId="7C8A392A" w14:textId="77777777" w:rsidR="00000000" w:rsidRDefault="0068293C">
            <w:pPr>
              <w:spacing w:after="100"/>
              <w:rPr>
                <w:rFonts w:eastAsia="Times New Roman"/>
                <w:sz w:val="20"/>
                <w:szCs w:val="20"/>
              </w:rPr>
            </w:pPr>
          </w:p>
        </w:tc>
        <w:tc>
          <w:tcPr>
            <w:tcW w:w="0" w:type="auto"/>
            <w:gridSpan w:val="3"/>
            <w:vAlign w:val="center"/>
            <w:hideMark/>
          </w:tcPr>
          <w:p w14:paraId="5DC00268" w14:textId="77777777" w:rsidR="00000000" w:rsidRDefault="0068293C">
            <w:pPr>
              <w:spacing w:after="100"/>
              <w:rPr>
                <w:rFonts w:eastAsia="Times New Roman"/>
                <w:sz w:val="20"/>
                <w:szCs w:val="20"/>
              </w:rPr>
            </w:pPr>
          </w:p>
        </w:tc>
        <w:tc>
          <w:tcPr>
            <w:tcW w:w="0" w:type="auto"/>
            <w:gridSpan w:val="3"/>
            <w:vAlign w:val="center"/>
            <w:hideMark/>
          </w:tcPr>
          <w:p w14:paraId="2A293D41" w14:textId="77777777" w:rsidR="00000000" w:rsidRDefault="0068293C">
            <w:pPr>
              <w:spacing w:after="100"/>
              <w:rPr>
                <w:rFonts w:eastAsia="Times New Roman"/>
                <w:sz w:val="20"/>
                <w:szCs w:val="20"/>
              </w:rPr>
            </w:pPr>
          </w:p>
        </w:tc>
        <w:tc>
          <w:tcPr>
            <w:tcW w:w="0" w:type="auto"/>
            <w:gridSpan w:val="3"/>
            <w:vAlign w:val="center"/>
            <w:hideMark/>
          </w:tcPr>
          <w:p w14:paraId="0B1FA88E" w14:textId="77777777" w:rsidR="00000000" w:rsidRDefault="0068293C">
            <w:pPr>
              <w:spacing w:after="100"/>
              <w:rPr>
                <w:rFonts w:eastAsia="Times New Roman"/>
                <w:sz w:val="20"/>
                <w:szCs w:val="20"/>
              </w:rPr>
            </w:pPr>
          </w:p>
        </w:tc>
        <w:tc>
          <w:tcPr>
            <w:tcW w:w="0" w:type="auto"/>
            <w:gridSpan w:val="3"/>
            <w:vAlign w:val="center"/>
            <w:hideMark/>
          </w:tcPr>
          <w:p w14:paraId="5891FD11" w14:textId="77777777" w:rsidR="00000000" w:rsidRDefault="0068293C">
            <w:pPr>
              <w:spacing w:after="100"/>
              <w:rPr>
                <w:rFonts w:eastAsia="Times New Roman"/>
                <w:sz w:val="20"/>
                <w:szCs w:val="20"/>
              </w:rPr>
            </w:pPr>
          </w:p>
        </w:tc>
        <w:tc>
          <w:tcPr>
            <w:tcW w:w="0" w:type="auto"/>
            <w:gridSpan w:val="3"/>
            <w:vAlign w:val="center"/>
            <w:hideMark/>
          </w:tcPr>
          <w:p w14:paraId="73A658D4" w14:textId="77777777" w:rsidR="00000000" w:rsidRDefault="0068293C">
            <w:pPr>
              <w:spacing w:after="100"/>
              <w:rPr>
                <w:rFonts w:eastAsia="Times New Roman"/>
                <w:sz w:val="20"/>
                <w:szCs w:val="20"/>
              </w:rPr>
            </w:pPr>
          </w:p>
        </w:tc>
      </w:tr>
      <w:tr w:rsidR="0068293C" w14:paraId="3F90D7F6" w14:textId="77777777">
        <w:trPr>
          <w:divId w:val="657198638"/>
          <w:jc w:val="center"/>
        </w:trPr>
        <w:tc>
          <w:tcPr>
            <w:tcW w:w="0" w:type="auto"/>
            <w:gridSpan w:val="3"/>
            <w:shd w:val="clear" w:color="auto" w:fill="CCEEFF"/>
            <w:tcMar>
              <w:top w:w="30" w:type="dxa"/>
              <w:left w:w="20" w:type="dxa"/>
              <w:bottom w:w="30" w:type="dxa"/>
              <w:right w:w="20" w:type="dxa"/>
            </w:tcMar>
            <w:vAlign w:val="bottom"/>
            <w:hideMark/>
          </w:tcPr>
          <w:p w14:paraId="61C2BAC4" w14:textId="77777777" w:rsidR="00000000" w:rsidRDefault="0068293C">
            <w:pPr>
              <w:spacing w:after="100"/>
              <w:rPr>
                <w:rFonts w:eastAsia="Times New Roman"/>
              </w:rPr>
            </w:pPr>
            <w:r>
              <w:rPr>
                <w:rFonts w:eastAsia="Times New Roman"/>
                <w:b/>
                <w:bCs/>
                <w:color w:val="000000"/>
                <w:sz w:val="16"/>
                <w:szCs w:val="16"/>
              </w:rPr>
              <w:t>March 31, 2022</w:t>
            </w:r>
          </w:p>
        </w:tc>
        <w:tc>
          <w:tcPr>
            <w:tcW w:w="0" w:type="auto"/>
            <w:gridSpan w:val="3"/>
            <w:shd w:val="clear" w:color="auto" w:fill="CCEEFF"/>
            <w:tcMar>
              <w:top w:w="0" w:type="dxa"/>
              <w:left w:w="20" w:type="dxa"/>
              <w:bottom w:w="0" w:type="dxa"/>
              <w:right w:w="20" w:type="dxa"/>
            </w:tcMar>
            <w:vAlign w:val="center"/>
            <w:hideMark/>
          </w:tcPr>
          <w:p w14:paraId="0683D11D" w14:textId="77777777" w:rsidR="00000000" w:rsidRDefault="0068293C">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FA0C32" w14:textId="77777777" w:rsidR="00000000" w:rsidRDefault="0068293C">
            <w:pPr>
              <w:spacing w:after="100"/>
              <w:jc w:val="right"/>
              <w:rPr>
                <w:rFonts w:eastAsia="Times New Roman"/>
              </w:rPr>
            </w:pPr>
            <w:r>
              <w:rPr>
                <w:rFonts w:eastAsia="Times New Roman"/>
                <w:b/>
                <w:bCs/>
                <w:color w:val="000000"/>
                <w:sz w:val="16"/>
                <w:szCs w:val="16"/>
              </w:rPr>
              <w:t>136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B298A7" w14:textId="77777777" w:rsidR="00000000" w:rsidRDefault="0068293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6972B3D"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62A492"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502D9C" w14:textId="77777777" w:rsidR="00000000" w:rsidRDefault="0068293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F298D6" w14:textId="77777777" w:rsidR="00000000" w:rsidRDefault="0068293C">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16DDFF78"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9E5B22"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1B1E91" w14:textId="77777777" w:rsidR="00000000" w:rsidRDefault="0068293C">
            <w:pPr>
              <w:spacing w:after="100"/>
              <w:jc w:val="right"/>
              <w:rPr>
                <w:rFonts w:eastAsia="Times New Roman"/>
              </w:rPr>
            </w:pPr>
            <w:r>
              <w:rPr>
                <w:rFonts w:eastAsia="Times New Roman"/>
                <w:b/>
                <w:bCs/>
                <w:color w:val="000000"/>
                <w:sz w:val="16"/>
                <w:szCs w:val="16"/>
              </w:rPr>
              <w:t>602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7053C6" w14:textId="77777777" w:rsidR="00000000" w:rsidRDefault="0068293C">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664ACE7C"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E0591D"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C7A738" w14:textId="77777777" w:rsidR="00000000" w:rsidRDefault="0068293C">
            <w:pPr>
              <w:spacing w:after="100"/>
              <w:jc w:val="right"/>
              <w:rPr>
                <w:rFonts w:eastAsia="Times New Roman"/>
              </w:rPr>
            </w:pPr>
            <w:r>
              <w:rPr>
                <w:rFonts w:eastAsia="Times New Roman"/>
                <w:b/>
                <w:bCs/>
                <w:color w:val="000000"/>
                <w:sz w:val="16"/>
                <w:szCs w:val="16"/>
              </w:rPr>
              <w:t>993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66E896" w14:textId="77777777" w:rsidR="00000000" w:rsidRDefault="0068293C">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4BF582C8"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A706A7"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B6FFE6" w14:textId="77777777" w:rsidR="00000000" w:rsidRDefault="0068293C">
            <w:pPr>
              <w:spacing w:after="100"/>
              <w:jc w:val="right"/>
              <w:rPr>
                <w:rFonts w:eastAsia="Times New Roman"/>
              </w:rPr>
            </w:pPr>
            <w:r>
              <w:rPr>
                <w:rFonts w:eastAsia="Times New Roman"/>
                <w:b/>
                <w:bCs/>
                <w:color w:val="000000"/>
                <w:sz w:val="16"/>
                <w:szCs w:val="16"/>
              </w:rPr>
              <w:t>(273)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83DC1E" w14:textId="77777777" w:rsidR="00000000" w:rsidRDefault="0068293C">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4EA04244"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1AFC99"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5967E1" w14:textId="77777777" w:rsidR="00000000" w:rsidRDefault="0068293C">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F2E49A" w14:textId="77777777" w:rsidR="00000000" w:rsidRDefault="0068293C">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2038B4D3"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7DC411"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D7899C" w14:textId="77777777" w:rsidR="00000000" w:rsidRDefault="0068293C">
            <w:pPr>
              <w:spacing w:after="100"/>
              <w:jc w:val="right"/>
              <w:rPr>
                <w:rFonts w:eastAsia="Times New Roman"/>
              </w:rPr>
            </w:pPr>
            <w:r>
              <w:rPr>
                <w:rFonts w:eastAsia="Times New Roman"/>
                <w:b/>
                <w:bCs/>
                <w:color w:val="000000"/>
                <w:sz w:val="16"/>
                <w:szCs w:val="16"/>
              </w:rPr>
              <w:t>1,325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C6D973" w14:textId="77777777" w:rsidR="00000000" w:rsidRDefault="0068293C">
            <w:pPr>
              <w:spacing w:after="100"/>
              <w:jc w:val="right"/>
              <w:rPr>
                <w:rFonts w:eastAsia="Times New Roman"/>
              </w:rPr>
            </w:pPr>
          </w:p>
        </w:tc>
      </w:tr>
    </w:tbl>
    <w:p w14:paraId="32B9C146" w14:textId="77777777" w:rsidR="00000000" w:rsidRDefault="0068293C">
      <w:pPr>
        <w:jc w:val="center"/>
        <w:rPr>
          <w:rFonts w:eastAsia="Times New Roman"/>
        </w:rPr>
      </w:pPr>
      <w:r>
        <w:rPr>
          <w:rFonts w:eastAsia="Times New Roman"/>
          <w:color w:val="000000"/>
          <w:sz w:val="20"/>
          <w:szCs w:val="20"/>
        </w:rPr>
        <w:t>See Notes to Condensed Consolidated Financial Statements.</w:t>
      </w:r>
    </w:p>
    <w:p w14:paraId="1B386A28" w14:textId="77777777" w:rsidR="00000000" w:rsidRDefault="0068293C">
      <w:pPr>
        <w:jc w:val="center"/>
        <w:rPr>
          <w:rFonts w:eastAsia="Times New Roman"/>
        </w:rPr>
      </w:pPr>
    </w:p>
    <w:p w14:paraId="5E4D3E32" w14:textId="77777777" w:rsidR="00000000" w:rsidRDefault="0068293C">
      <w:pPr>
        <w:jc w:val="center"/>
        <w:rPr>
          <w:rFonts w:eastAsia="Times New Roman"/>
        </w:rPr>
      </w:pPr>
    </w:p>
    <w:p w14:paraId="5457F0CF" w14:textId="77777777" w:rsidR="00000000" w:rsidRDefault="0068293C">
      <w:pPr>
        <w:jc w:val="center"/>
        <w:divId w:val="4596855"/>
        <w:rPr>
          <w:rFonts w:eastAsia="Times New Roman"/>
        </w:rPr>
      </w:pPr>
      <w:r>
        <w:rPr>
          <w:rFonts w:eastAsia="Times New Roman"/>
          <w:color w:val="000000"/>
          <w:sz w:val="20"/>
          <w:szCs w:val="20"/>
        </w:rPr>
        <w:t>7</w:t>
      </w:r>
    </w:p>
    <w:p w14:paraId="4CBE1D93" w14:textId="77777777" w:rsidR="00000000" w:rsidRDefault="0068293C">
      <w:pPr>
        <w:rPr>
          <w:rFonts w:eastAsia="Times New Roman"/>
        </w:rPr>
      </w:pPr>
      <w:r>
        <w:rPr>
          <w:rFonts w:eastAsia="Times New Roman"/>
        </w:rPr>
        <w:pict w14:anchorId="7139B926">
          <v:rect id="_x0000_i1032" style="width:0;height:1.5pt" o:hralign="center" o:hrstd="t" o:hr="t" fillcolor="#a0a0a0" stroked="f"/>
        </w:pict>
      </w:r>
    </w:p>
    <w:p w14:paraId="34816B37" w14:textId="77777777" w:rsidR="00000000" w:rsidRDefault="0068293C">
      <w:pPr>
        <w:divId w:val="1702707211"/>
        <w:rPr>
          <w:rFonts w:eastAsia="Times New Roman"/>
        </w:rPr>
      </w:pPr>
      <w:hyperlink w:anchor="i78484f3d0d8e4e36a7c87ddd6ea9d725_7" w:history="1">
        <w:r>
          <w:rPr>
            <w:rStyle w:val="a3"/>
            <w:rFonts w:eastAsia="Times New Roman"/>
            <w:sz w:val="16"/>
            <w:szCs w:val="16"/>
          </w:rPr>
          <w:t>Table of Contents</w:t>
        </w:r>
      </w:hyperlink>
    </w:p>
    <w:p w14:paraId="63FAFC83" w14:textId="77777777" w:rsidR="00000000" w:rsidRDefault="0068293C">
      <w:pPr>
        <w:jc w:val="center"/>
        <w:rPr>
          <w:rFonts w:eastAsia="Times New Roman"/>
        </w:rPr>
      </w:pPr>
    </w:p>
    <w:p w14:paraId="2EB61E22" w14:textId="77777777" w:rsidR="00000000" w:rsidRDefault="0068293C">
      <w:pPr>
        <w:jc w:val="center"/>
        <w:rPr>
          <w:rFonts w:eastAsia="Times New Roman"/>
        </w:rPr>
      </w:pPr>
    </w:p>
    <w:p w14:paraId="1BAED173" w14:textId="77777777" w:rsidR="00000000" w:rsidRDefault="0068293C">
      <w:pPr>
        <w:jc w:val="center"/>
        <w:rPr>
          <w:rFonts w:eastAsia="Times New Roman"/>
        </w:rPr>
      </w:pPr>
      <w:r>
        <w:rPr>
          <w:rFonts w:eastAsia="Times New Roman"/>
          <w:b/>
          <w:bCs/>
          <w:color w:val="000000"/>
          <w:sz w:val="20"/>
          <w:szCs w:val="20"/>
        </w:rPr>
        <w:t>NCR Corporation</w:t>
      </w:r>
    </w:p>
    <w:p w14:paraId="1CA5ED1D" w14:textId="77777777" w:rsidR="00000000" w:rsidRDefault="0068293C">
      <w:pPr>
        <w:jc w:val="center"/>
        <w:rPr>
          <w:rFonts w:eastAsia="Times New Roman"/>
        </w:rPr>
      </w:pPr>
      <w:r>
        <w:rPr>
          <w:rFonts w:eastAsia="Times New Roman"/>
          <w:b/>
          <w:bCs/>
          <w:color w:val="000000"/>
          <w:sz w:val="20"/>
          <w:szCs w:val="20"/>
        </w:rPr>
        <w:t>Condensed Consolidated Statements of Changes in Stockholder's Equity (Unaudited) -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206"/>
        <w:gridCol w:w="39"/>
        <w:gridCol w:w="36"/>
        <w:gridCol w:w="36"/>
        <w:gridCol w:w="36"/>
        <w:gridCol w:w="71"/>
        <w:gridCol w:w="425"/>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400"/>
        <w:gridCol w:w="36"/>
      </w:tblGrid>
      <w:tr w:rsidR="00000000" w14:paraId="63E7ADED" w14:textId="77777777">
        <w:trPr>
          <w:divId w:val="405225397"/>
          <w:jc w:val="center"/>
        </w:trPr>
        <w:tc>
          <w:tcPr>
            <w:tcW w:w="50" w:type="pct"/>
            <w:vAlign w:val="center"/>
            <w:hideMark/>
          </w:tcPr>
          <w:p w14:paraId="24863E30" w14:textId="77777777" w:rsidR="00000000" w:rsidRDefault="0068293C">
            <w:pPr>
              <w:jc w:val="center"/>
              <w:rPr>
                <w:rFonts w:eastAsia="Times New Roman"/>
              </w:rPr>
            </w:pPr>
          </w:p>
        </w:tc>
        <w:tc>
          <w:tcPr>
            <w:tcW w:w="1707" w:type="pct"/>
            <w:vAlign w:val="center"/>
            <w:hideMark/>
          </w:tcPr>
          <w:p w14:paraId="4D0C8A4F" w14:textId="77777777" w:rsidR="00000000" w:rsidRDefault="0068293C">
            <w:pPr>
              <w:spacing w:after="100"/>
              <w:rPr>
                <w:rFonts w:eastAsia="Times New Roman"/>
                <w:sz w:val="20"/>
                <w:szCs w:val="20"/>
              </w:rPr>
            </w:pPr>
          </w:p>
        </w:tc>
        <w:tc>
          <w:tcPr>
            <w:tcW w:w="5" w:type="pct"/>
            <w:vAlign w:val="center"/>
            <w:hideMark/>
          </w:tcPr>
          <w:p w14:paraId="7522CE7D" w14:textId="77777777" w:rsidR="00000000" w:rsidRDefault="0068293C">
            <w:pPr>
              <w:spacing w:after="100"/>
              <w:rPr>
                <w:rFonts w:eastAsia="Times New Roman"/>
                <w:sz w:val="20"/>
                <w:szCs w:val="20"/>
              </w:rPr>
            </w:pPr>
          </w:p>
        </w:tc>
        <w:tc>
          <w:tcPr>
            <w:tcW w:w="5" w:type="pct"/>
            <w:vAlign w:val="center"/>
            <w:hideMark/>
          </w:tcPr>
          <w:p w14:paraId="535890CA" w14:textId="77777777" w:rsidR="00000000" w:rsidRDefault="0068293C">
            <w:pPr>
              <w:spacing w:after="100"/>
              <w:rPr>
                <w:rFonts w:eastAsia="Times New Roman"/>
                <w:sz w:val="20"/>
                <w:szCs w:val="20"/>
              </w:rPr>
            </w:pPr>
          </w:p>
        </w:tc>
        <w:tc>
          <w:tcPr>
            <w:tcW w:w="26" w:type="pct"/>
            <w:vAlign w:val="center"/>
            <w:hideMark/>
          </w:tcPr>
          <w:p w14:paraId="07B76722" w14:textId="77777777" w:rsidR="00000000" w:rsidRDefault="0068293C">
            <w:pPr>
              <w:spacing w:after="100"/>
              <w:rPr>
                <w:rFonts w:eastAsia="Times New Roman"/>
                <w:sz w:val="20"/>
                <w:szCs w:val="20"/>
              </w:rPr>
            </w:pPr>
          </w:p>
        </w:tc>
        <w:tc>
          <w:tcPr>
            <w:tcW w:w="5" w:type="pct"/>
            <w:vAlign w:val="center"/>
            <w:hideMark/>
          </w:tcPr>
          <w:p w14:paraId="21FC3D59" w14:textId="77777777" w:rsidR="00000000" w:rsidRDefault="0068293C">
            <w:pPr>
              <w:spacing w:after="100"/>
              <w:rPr>
                <w:rFonts w:eastAsia="Times New Roman"/>
                <w:sz w:val="20"/>
                <w:szCs w:val="20"/>
              </w:rPr>
            </w:pPr>
          </w:p>
        </w:tc>
        <w:tc>
          <w:tcPr>
            <w:tcW w:w="50" w:type="pct"/>
            <w:vAlign w:val="center"/>
            <w:hideMark/>
          </w:tcPr>
          <w:p w14:paraId="64CA496F" w14:textId="77777777" w:rsidR="00000000" w:rsidRDefault="0068293C">
            <w:pPr>
              <w:spacing w:after="100"/>
              <w:rPr>
                <w:rFonts w:eastAsia="Times New Roman"/>
                <w:sz w:val="20"/>
                <w:szCs w:val="20"/>
              </w:rPr>
            </w:pPr>
          </w:p>
        </w:tc>
        <w:tc>
          <w:tcPr>
            <w:tcW w:w="304" w:type="pct"/>
            <w:vAlign w:val="center"/>
            <w:hideMark/>
          </w:tcPr>
          <w:p w14:paraId="3F7019D1" w14:textId="77777777" w:rsidR="00000000" w:rsidRDefault="0068293C">
            <w:pPr>
              <w:spacing w:after="100"/>
              <w:rPr>
                <w:rFonts w:eastAsia="Times New Roman"/>
                <w:sz w:val="20"/>
                <w:szCs w:val="20"/>
              </w:rPr>
            </w:pPr>
          </w:p>
        </w:tc>
        <w:tc>
          <w:tcPr>
            <w:tcW w:w="5" w:type="pct"/>
            <w:vAlign w:val="center"/>
            <w:hideMark/>
          </w:tcPr>
          <w:p w14:paraId="4A9B2F62" w14:textId="77777777" w:rsidR="00000000" w:rsidRDefault="0068293C">
            <w:pPr>
              <w:spacing w:after="100"/>
              <w:rPr>
                <w:rFonts w:eastAsia="Times New Roman"/>
                <w:sz w:val="20"/>
                <w:szCs w:val="20"/>
              </w:rPr>
            </w:pPr>
          </w:p>
        </w:tc>
        <w:tc>
          <w:tcPr>
            <w:tcW w:w="5" w:type="pct"/>
            <w:vAlign w:val="center"/>
            <w:hideMark/>
          </w:tcPr>
          <w:p w14:paraId="3E758EE1" w14:textId="77777777" w:rsidR="00000000" w:rsidRDefault="0068293C">
            <w:pPr>
              <w:spacing w:after="100"/>
              <w:rPr>
                <w:rFonts w:eastAsia="Times New Roman"/>
                <w:sz w:val="20"/>
                <w:szCs w:val="20"/>
              </w:rPr>
            </w:pPr>
          </w:p>
        </w:tc>
        <w:tc>
          <w:tcPr>
            <w:tcW w:w="26" w:type="pct"/>
            <w:vAlign w:val="center"/>
            <w:hideMark/>
          </w:tcPr>
          <w:p w14:paraId="3EF72422" w14:textId="77777777" w:rsidR="00000000" w:rsidRDefault="0068293C">
            <w:pPr>
              <w:spacing w:after="100"/>
              <w:rPr>
                <w:rFonts w:eastAsia="Times New Roman"/>
                <w:sz w:val="20"/>
                <w:szCs w:val="20"/>
              </w:rPr>
            </w:pPr>
          </w:p>
        </w:tc>
        <w:tc>
          <w:tcPr>
            <w:tcW w:w="5" w:type="pct"/>
            <w:vAlign w:val="center"/>
            <w:hideMark/>
          </w:tcPr>
          <w:p w14:paraId="2A31F063" w14:textId="77777777" w:rsidR="00000000" w:rsidRDefault="0068293C">
            <w:pPr>
              <w:spacing w:after="100"/>
              <w:rPr>
                <w:rFonts w:eastAsia="Times New Roman"/>
                <w:sz w:val="20"/>
                <w:szCs w:val="20"/>
              </w:rPr>
            </w:pPr>
          </w:p>
        </w:tc>
        <w:tc>
          <w:tcPr>
            <w:tcW w:w="50" w:type="pct"/>
            <w:vAlign w:val="center"/>
            <w:hideMark/>
          </w:tcPr>
          <w:p w14:paraId="58DFDD1B" w14:textId="77777777" w:rsidR="00000000" w:rsidRDefault="0068293C">
            <w:pPr>
              <w:spacing w:after="100"/>
              <w:rPr>
                <w:rFonts w:eastAsia="Times New Roman"/>
                <w:sz w:val="20"/>
                <w:szCs w:val="20"/>
              </w:rPr>
            </w:pPr>
          </w:p>
        </w:tc>
        <w:tc>
          <w:tcPr>
            <w:tcW w:w="304" w:type="pct"/>
            <w:vAlign w:val="center"/>
            <w:hideMark/>
          </w:tcPr>
          <w:p w14:paraId="1F32382A" w14:textId="77777777" w:rsidR="00000000" w:rsidRDefault="0068293C">
            <w:pPr>
              <w:spacing w:after="100"/>
              <w:rPr>
                <w:rFonts w:eastAsia="Times New Roman"/>
                <w:sz w:val="20"/>
                <w:szCs w:val="20"/>
              </w:rPr>
            </w:pPr>
          </w:p>
        </w:tc>
        <w:tc>
          <w:tcPr>
            <w:tcW w:w="5" w:type="pct"/>
            <w:vAlign w:val="center"/>
            <w:hideMark/>
          </w:tcPr>
          <w:p w14:paraId="64A1778D" w14:textId="77777777" w:rsidR="00000000" w:rsidRDefault="0068293C">
            <w:pPr>
              <w:spacing w:after="100"/>
              <w:rPr>
                <w:rFonts w:eastAsia="Times New Roman"/>
                <w:sz w:val="20"/>
                <w:szCs w:val="20"/>
              </w:rPr>
            </w:pPr>
          </w:p>
        </w:tc>
        <w:tc>
          <w:tcPr>
            <w:tcW w:w="5" w:type="pct"/>
            <w:vAlign w:val="center"/>
            <w:hideMark/>
          </w:tcPr>
          <w:p w14:paraId="21744354" w14:textId="77777777" w:rsidR="00000000" w:rsidRDefault="0068293C">
            <w:pPr>
              <w:spacing w:after="100"/>
              <w:rPr>
                <w:rFonts w:eastAsia="Times New Roman"/>
                <w:sz w:val="20"/>
                <w:szCs w:val="20"/>
              </w:rPr>
            </w:pPr>
          </w:p>
        </w:tc>
        <w:tc>
          <w:tcPr>
            <w:tcW w:w="26" w:type="pct"/>
            <w:vAlign w:val="center"/>
            <w:hideMark/>
          </w:tcPr>
          <w:p w14:paraId="04479E99" w14:textId="77777777" w:rsidR="00000000" w:rsidRDefault="0068293C">
            <w:pPr>
              <w:spacing w:after="100"/>
              <w:rPr>
                <w:rFonts w:eastAsia="Times New Roman"/>
                <w:sz w:val="20"/>
                <w:szCs w:val="20"/>
              </w:rPr>
            </w:pPr>
          </w:p>
        </w:tc>
        <w:tc>
          <w:tcPr>
            <w:tcW w:w="5" w:type="pct"/>
            <w:vAlign w:val="center"/>
            <w:hideMark/>
          </w:tcPr>
          <w:p w14:paraId="4A9C0615" w14:textId="77777777" w:rsidR="00000000" w:rsidRDefault="0068293C">
            <w:pPr>
              <w:spacing w:after="100"/>
              <w:rPr>
                <w:rFonts w:eastAsia="Times New Roman"/>
                <w:sz w:val="20"/>
                <w:szCs w:val="20"/>
              </w:rPr>
            </w:pPr>
          </w:p>
        </w:tc>
        <w:tc>
          <w:tcPr>
            <w:tcW w:w="50" w:type="pct"/>
            <w:vAlign w:val="center"/>
            <w:hideMark/>
          </w:tcPr>
          <w:p w14:paraId="5EA23DCD" w14:textId="77777777" w:rsidR="00000000" w:rsidRDefault="0068293C">
            <w:pPr>
              <w:spacing w:after="100"/>
              <w:rPr>
                <w:rFonts w:eastAsia="Times New Roman"/>
                <w:sz w:val="20"/>
                <w:szCs w:val="20"/>
              </w:rPr>
            </w:pPr>
          </w:p>
        </w:tc>
        <w:tc>
          <w:tcPr>
            <w:tcW w:w="275" w:type="pct"/>
            <w:vAlign w:val="center"/>
            <w:hideMark/>
          </w:tcPr>
          <w:p w14:paraId="1129CA13" w14:textId="77777777" w:rsidR="00000000" w:rsidRDefault="0068293C">
            <w:pPr>
              <w:spacing w:after="100"/>
              <w:rPr>
                <w:rFonts w:eastAsia="Times New Roman"/>
                <w:sz w:val="20"/>
                <w:szCs w:val="20"/>
              </w:rPr>
            </w:pPr>
          </w:p>
        </w:tc>
        <w:tc>
          <w:tcPr>
            <w:tcW w:w="5" w:type="pct"/>
            <w:vAlign w:val="center"/>
            <w:hideMark/>
          </w:tcPr>
          <w:p w14:paraId="0B3A0443" w14:textId="77777777" w:rsidR="00000000" w:rsidRDefault="0068293C">
            <w:pPr>
              <w:spacing w:after="100"/>
              <w:rPr>
                <w:rFonts w:eastAsia="Times New Roman"/>
                <w:sz w:val="20"/>
                <w:szCs w:val="20"/>
              </w:rPr>
            </w:pPr>
          </w:p>
        </w:tc>
        <w:tc>
          <w:tcPr>
            <w:tcW w:w="5" w:type="pct"/>
            <w:vAlign w:val="center"/>
            <w:hideMark/>
          </w:tcPr>
          <w:p w14:paraId="4BC22B26" w14:textId="77777777" w:rsidR="00000000" w:rsidRDefault="0068293C">
            <w:pPr>
              <w:spacing w:after="100"/>
              <w:rPr>
                <w:rFonts w:eastAsia="Times New Roman"/>
                <w:sz w:val="20"/>
                <w:szCs w:val="20"/>
              </w:rPr>
            </w:pPr>
          </w:p>
        </w:tc>
        <w:tc>
          <w:tcPr>
            <w:tcW w:w="26" w:type="pct"/>
            <w:vAlign w:val="center"/>
            <w:hideMark/>
          </w:tcPr>
          <w:p w14:paraId="72FE1C1B" w14:textId="77777777" w:rsidR="00000000" w:rsidRDefault="0068293C">
            <w:pPr>
              <w:spacing w:after="100"/>
              <w:rPr>
                <w:rFonts w:eastAsia="Times New Roman"/>
                <w:sz w:val="20"/>
                <w:szCs w:val="20"/>
              </w:rPr>
            </w:pPr>
          </w:p>
        </w:tc>
        <w:tc>
          <w:tcPr>
            <w:tcW w:w="5" w:type="pct"/>
            <w:vAlign w:val="center"/>
            <w:hideMark/>
          </w:tcPr>
          <w:p w14:paraId="198926B5" w14:textId="77777777" w:rsidR="00000000" w:rsidRDefault="0068293C">
            <w:pPr>
              <w:spacing w:after="100"/>
              <w:rPr>
                <w:rFonts w:eastAsia="Times New Roman"/>
                <w:sz w:val="20"/>
                <w:szCs w:val="20"/>
              </w:rPr>
            </w:pPr>
          </w:p>
        </w:tc>
        <w:tc>
          <w:tcPr>
            <w:tcW w:w="50" w:type="pct"/>
            <w:vAlign w:val="center"/>
            <w:hideMark/>
          </w:tcPr>
          <w:p w14:paraId="3D9E9AA3" w14:textId="77777777" w:rsidR="00000000" w:rsidRDefault="0068293C">
            <w:pPr>
              <w:spacing w:after="100"/>
              <w:rPr>
                <w:rFonts w:eastAsia="Times New Roman"/>
                <w:sz w:val="20"/>
                <w:szCs w:val="20"/>
              </w:rPr>
            </w:pPr>
          </w:p>
        </w:tc>
        <w:tc>
          <w:tcPr>
            <w:tcW w:w="319" w:type="pct"/>
            <w:vAlign w:val="center"/>
            <w:hideMark/>
          </w:tcPr>
          <w:p w14:paraId="089F317D" w14:textId="77777777" w:rsidR="00000000" w:rsidRDefault="0068293C">
            <w:pPr>
              <w:spacing w:after="100"/>
              <w:rPr>
                <w:rFonts w:eastAsia="Times New Roman"/>
                <w:sz w:val="20"/>
                <w:szCs w:val="20"/>
              </w:rPr>
            </w:pPr>
          </w:p>
        </w:tc>
        <w:tc>
          <w:tcPr>
            <w:tcW w:w="5" w:type="pct"/>
            <w:vAlign w:val="center"/>
            <w:hideMark/>
          </w:tcPr>
          <w:p w14:paraId="5E3A4CD1" w14:textId="77777777" w:rsidR="00000000" w:rsidRDefault="0068293C">
            <w:pPr>
              <w:spacing w:after="100"/>
              <w:rPr>
                <w:rFonts w:eastAsia="Times New Roman"/>
                <w:sz w:val="20"/>
                <w:szCs w:val="20"/>
              </w:rPr>
            </w:pPr>
          </w:p>
        </w:tc>
        <w:tc>
          <w:tcPr>
            <w:tcW w:w="5" w:type="pct"/>
            <w:vAlign w:val="center"/>
            <w:hideMark/>
          </w:tcPr>
          <w:p w14:paraId="7DA1E7E8" w14:textId="77777777" w:rsidR="00000000" w:rsidRDefault="0068293C">
            <w:pPr>
              <w:spacing w:after="100"/>
              <w:rPr>
                <w:rFonts w:eastAsia="Times New Roman"/>
                <w:sz w:val="20"/>
                <w:szCs w:val="20"/>
              </w:rPr>
            </w:pPr>
          </w:p>
        </w:tc>
        <w:tc>
          <w:tcPr>
            <w:tcW w:w="26" w:type="pct"/>
            <w:vAlign w:val="center"/>
            <w:hideMark/>
          </w:tcPr>
          <w:p w14:paraId="474AA465" w14:textId="77777777" w:rsidR="00000000" w:rsidRDefault="0068293C">
            <w:pPr>
              <w:spacing w:after="100"/>
              <w:rPr>
                <w:rFonts w:eastAsia="Times New Roman"/>
                <w:sz w:val="20"/>
                <w:szCs w:val="20"/>
              </w:rPr>
            </w:pPr>
          </w:p>
        </w:tc>
        <w:tc>
          <w:tcPr>
            <w:tcW w:w="5" w:type="pct"/>
            <w:vAlign w:val="center"/>
            <w:hideMark/>
          </w:tcPr>
          <w:p w14:paraId="15918CF0" w14:textId="77777777" w:rsidR="00000000" w:rsidRDefault="0068293C">
            <w:pPr>
              <w:spacing w:after="100"/>
              <w:rPr>
                <w:rFonts w:eastAsia="Times New Roman"/>
                <w:sz w:val="20"/>
                <w:szCs w:val="20"/>
              </w:rPr>
            </w:pPr>
          </w:p>
        </w:tc>
        <w:tc>
          <w:tcPr>
            <w:tcW w:w="50" w:type="pct"/>
            <w:vAlign w:val="center"/>
            <w:hideMark/>
          </w:tcPr>
          <w:p w14:paraId="0BD8894A" w14:textId="77777777" w:rsidR="00000000" w:rsidRDefault="0068293C">
            <w:pPr>
              <w:spacing w:after="100"/>
              <w:rPr>
                <w:rFonts w:eastAsia="Times New Roman"/>
                <w:sz w:val="20"/>
                <w:szCs w:val="20"/>
              </w:rPr>
            </w:pPr>
          </w:p>
        </w:tc>
        <w:tc>
          <w:tcPr>
            <w:tcW w:w="532" w:type="pct"/>
            <w:vAlign w:val="center"/>
            <w:hideMark/>
          </w:tcPr>
          <w:p w14:paraId="0D1794E8" w14:textId="77777777" w:rsidR="00000000" w:rsidRDefault="0068293C">
            <w:pPr>
              <w:spacing w:after="100"/>
              <w:rPr>
                <w:rFonts w:eastAsia="Times New Roman"/>
                <w:sz w:val="20"/>
                <w:szCs w:val="20"/>
              </w:rPr>
            </w:pPr>
          </w:p>
        </w:tc>
        <w:tc>
          <w:tcPr>
            <w:tcW w:w="5" w:type="pct"/>
            <w:vAlign w:val="center"/>
            <w:hideMark/>
          </w:tcPr>
          <w:p w14:paraId="5CB84486" w14:textId="77777777" w:rsidR="00000000" w:rsidRDefault="0068293C">
            <w:pPr>
              <w:spacing w:after="100"/>
              <w:rPr>
                <w:rFonts w:eastAsia="Times New Roman"/>
                <w:sz w:val="20"/>
                <w:szCs w:val="20"/>
              </w:rPr>
            </w:pPr>
          </w:p>
        </w:tc>
        <w:tc>
          <w:tcPr>
            <w:tcW w:w="5" w:type="pct"/>
            <w:vAlign w:val="center"/>
            <w:hideMark/>
          </w:tcPr>
          <w:p w14:paraId="2429A405" w14:textId="77777777" w:rsidR="00000000" w:rsidRDefault="0068293C">
            <w:pPr>
              <w:spacing w:after="100"/>
              <w:rPr>
                <w:rFonts w:eastAsia="Times New Roman"/>
                <w:sz w:val="20"/>
                <w:szCs w:val="20"/>
              </w:rPr>
            </w:pPr>
          </w:p>
        </w:tc>
        <w:tc>
          <w:tcPr>
            <w:tcW w:w="26" w:type="pct"/>
            <w:vAlign w:val="center"/>
            <w:hideMark/>
          </w:tcPr>
          <w:p w14:paraId="6C861766" w14:textId="77777777" w:rsidR="00000000" w:rsidRDefault="0068293C">
            <w:pPr>
              <w:spacing w:after="100"/>
              <w:rPr>
                <w:rFonts w:eastAsia="Times New Roman"/>
                <w:sz w:val="20"/>
                <w:szCs w:val="20"/>
              </w:rPr>
            </w:pPr>
          </w:p>
        </w:tc>
        <w:tc>
          <w:tcPr>
            <w:tcW w:w="5" w:type="pct"/>
            <w:vAlign w:val="center"/>
            <w:hideMark/>
          </w:tcPr>
          <w:p w14:paraId="6F3C9E1C" w14:textId="77777777" w:rsidR="00000000" w:rsidRDefault="0068293C">
            <w:pPr>
              <w:spacing w:after="100"/>
              <w:rPr>
                <w:rFonts w:eastAsia="Times New Roman"/>
                <w:sz w:val="20"/>
                <w:szCs w:val="20"/>
              </w:rPr>
            </w:pPr>
          </w:p>
        </w:tc>
        <w:tc>
          <w:tcPr>
            <w:tcW w:w="50" w:type="pct"/>
            <w:vAlign w:val="center"/>
            <w:hideMark/>
          </w:tcPr>
          <w:p w14:paraId="038A9455" w14:textId="77777777" w:rsidR="00000000" w:rsidRDefault="0068293C">
            <w:pPr>
              <w:spacing w:after="100"/>
              <w:rPr>
                <w:rFonts w:eastAsia="Times New Roman"/>
                <w:sz w:val="20"/>
                <w:szCs w:val="20"/>
              </w:rPr>
            </w:pPr>
          </w:p>
        </w:tc>
        <w:tc>
          <w:tcPr>
            <w:tcW w:w="554" w:type="pct"/>
            <w:vAlign w:val="center"/>
            <w:hideMark/>
          </w:tcPr>
          <w:p w14:paraId="7669339A" w14:textId="77777777" w:rsidR="00000000" w:rsidRDefault="0068293C">
            <w:pPr>
              <w:spacing w:after="100"/>
              <w:rPr>
                <w:rFonts w:eastAsia="Times New Roman"/>
                <w:sz w:val="20"/>
                <w:szCs w:val="20"/>
              </w:rPr>
            </w:pPr>
          </w:p>
        </w:tc>
        <w:tc>
          <w:tcPr>
            <w:tcW w:w="5" w:type="pct"/>
            <w:vAlign w:val="center"/>
            <w:hideMark/>
          </w:tcPr>
          <w:p w14:paraId="3CED9A06" w14:textId="77777777" w:rsidR="00000000" w:rsidRDefault="0068293C">
            <w:pPr>
              <w:spacing w:after="100"/>
              <w:rPr>
                <w:rFonts w:eastAsia="Times New Roman"/>
                <w:sz w:val="20"/>
                <w:szCs w:val="20"/>
              </w:rPr>
            </w:pPr>
          </w:p>
        </w:tc>
        <w:tc>
          <w:tcPr>
            <w:tcW w:w="5" w:type="pct"/>
            <w:vAlign w:val="center"/>
            <w:hideMark/>
          </w:tcPr>
          <w:p w14:paraId="023AB46C" w14:textId="77777777" w:rsidR="00000000" w:rsidRDefault="0068293C">
            <w:pPr>
              <w:spacing w:after="100"/>
              <w:rPr>
                <w:rFonts w:eastAsia="Times New Roman"/>
                <w:sz w:val="20"/>
                <w:szCs w:val="20"/>
              </w:rPr>
            </w:pPr>
          </w:p>
        </w:tc>
        <w:tc>
          <w:tcPr>
            <w:tcW w:w="26" w:type="pct"/>
            <w:vAlign w:val="center"/>
            <w:hideMark/>
          </w:tcPr>
          <w:p w14:paraId="2128375A" w14:textId="77777777" w:rsidR="00000000" w:rsidRDefault="0068293C">
            <w:pPr>
              <w:spacing w:after="100"/>
              <w:rPr>
                <w:rFonts w:eastAsia="Times New Roman"/>
                <w:sz w:val="20"/>
                <w:szCs w:val="20"/>
              </w:rPr>
            </w:pPr>
          </w:p>
        </w:tc>
        <w:tc>
          <w:tcPr>
            <w:tcW w:w="5" w:type="pct"/>
            <w:vAlign w:val="center"/>
            <w:hideMark/>
          </w:tcPr>
          <w:p w14:paraId="1EE0404E" w14:textId="77777777" w:rsidR="00000000" w:rsidRDefault="0068293C">
            <w:pPr>
              <w:spacing w:after="100"/>
              <w:rPr>
                <w:rFonts w:eastAsia="Times New Roman"/>
                <w:sz w:val="20"/>
                <w:szCs w:val="20"/>
              </w:rPr>
            </w:pPr>
          </w:p>
        </w:tc>
        <w:tc>
          <w:tcPr>
            <w:tcW w:w="50" w:type="pct"/>
            <w:vAlign w:val="center"/>
            <w:hideMark/>
          </w:tcPr>
          <w:p w14:paraId="1C0FBB31" w14:textId="77777777" w:rsidR="00000000" w:rsidRDefault="0068293C">
            <w:pPr>
              <w:spacing w:after="100"/>
              <w:rPr>
                <w:rFonts w:eastAsia="Times New Roman"/>
                <w:sz w:val="20"/>
                <w:szCs w:val="20"/>
              </w:rPr>
            </w:pPr>
          </w:p>
        </w:tc>
        <w:tc>
          <w:tcPr>
            <w:tcW w:w="305" w:type="pct"/>
            <w:vAlign w:val="center"/>
            <w:hideMark/>
          </w:tcPr>
          <w:p w14:paraId="228D0BE3" w14:textId="77777777" w:rsidR="00000000" w:rsidRDefault="0068293C">
            <w:pPr>
              <w:spacing w:after="100"/>
              <w:rPr>
                <w:rFonts w:eastAsia="Times New Roman"/>
                <w:sz w:val="20"/>
                <w:szCs w:val="20"/>
              </w:rPr>
            </w:pPr>
          </w:p>
        </w:tc>
        <w:tc>
          <w:tcPr>
            <w:tcW w:w="5" w:type="pct"/>
            <w:vAlign w:val="center"/>
            <w:hideMark/>
          </w:tcPr>
          <w:p w14:paraId="180DC913" w14:textId="77777777" w:rsidR="00000000" w:rsidRDefault="0068293C">
            <w:pPr>
              <w:spacing w:after="100"/>
              <w:rPr>
                <w:rFonts w:eastAsia="Times New Roman"/>
                <w:sz w:val="20"/>
                <w:szCs w:val="20"/>
              </w:rPr>
            </w:pPr>
          </w:p>
        </w:tc>
      </w:tr>
      <w:tr w:rsidR="00000000" w14:paraId="31520B67" w14:textId="77777777">
        <w:trPr>
          <w:divId w:val="405225397"/>
          <w:jc w:val="center"/>
        </w:trPr>
        <w:tc>
          <w:tcPr>
            <w:tcW w:w="0" w:type="auto"/>
            <w:gridSpan w:val="3"/>
            <w:tcMar>
              <w:top w:w="0" w:type="dxa"/>
              <w:left w:w="20" w:type="dxa"/>
              <w:bottom w:w="0" w:type="dxa"/>
              <w:right w:w="20" w:type="dxa"/>
            </w:tcMar>
            <w:vAlign w:val="center"/>
            <w:hideMark/>
          </w:tcPr>
          <w:p w14:paraId="4A0836A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24E761" w14:textId="77777777" w:rsidR="00000000" w:rsidRDefault="0068293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7ACD37BF" w14:textId="77777777" w:rsidR="00000000" w:rsidRDefault="0068293C">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14:paraId="2DE08D7A"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AA05B29"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D60592"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A06510" w14:textId="77777777" w:rsidR="00000000" w:rsidRDefault="0068293C">
            <w:pPr>
              <w:spacing w:after="100"/>
              <w:rPr>
                <w:rFonts w:eastAsia="Times New Roman"/>
                <w:sz w:val="20"/>
                <w:szCs w:val="20"/>
              </w:rPr>
            </w:pPr>
          </w:p>
        </w:tc>
      </w:tr>
      <w:tr w:rsidR="00000000" w14:paraId="56D5D525" w14:textId="77777777">
        <w:trPr>
          <w:divId w:val="405225397"/>
          <w:trHeight w:val="240"/>
          <w:jc w:val="center"/>
        </w:trPr>
        <w:tc>
          <w:tcPr>
            <w:tcW w:w="0" w:type="auto"/>
            <w:gridSpan w:val="3"/>
            <w:tcMar>
              <w:top w:w="0" w:type="dxa"/>
              <w:left w:w="20" w:type="dxa"/>
              <w:bottom w:w="0" w:type="dxa"/>
              <w:right w:w="20" w:type="dxa"/>
            </w:tcMar>
            <w:vAlign w:val="center"/>
            <w:hideMark/>
          </w:tcPr>
          <w:p w14:paraId="338C3A2C"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A075F7" w14:textId="77777777" w:rsidR="00000000" w:rsidRDefault="0068293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7DA3F41" w14:textId="77777777" w:rsidR="00000000" w:rsidRDefault="0068293C">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2AB94EC5" w14:textId="77777777" w:rsidR="00000000" w:rsidRDefault="0068293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20FB136"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0E2FB2"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4899A7"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3B7B46" w14:textId="77777777" w:rsidR="00000000" w:rsidRDefault="0068293C">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EF523F0" w14:textId="77777777" w:rsidR="00000000" w:rsidRDefault="0068293C">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14:paraId="4D70A39A" w14:textId="77777777" w:rsidR="00000000" w:rsidRDefault="0068293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54116B2" w14:textId="77777777" w:rsidR="00000000" w:rsidRDefault="0068293C">
            <w:pPr>
              <w:spacing w:after="100"/>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14:paraId="5D109D01"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1641065" w14:textId="77777777" w:rsidR="00000000" w:rsidRDefault="0068293C">
            <w:pPr>
              <w:spacing w:after="100"/>
              <w:rPr>
                <w:rFonts w:eastAsia="Times New Roman"/>
                <w:sz w:val="20"/>
                <w:szCs w:val="20"/>
              </w:rPr>
            </w:pPr>
          </w:p>
        </w:tc>
      </w:tr>
      <w:tr w:rsidR="00000000" w14:paraId="327317D0" w14:textId="77777777">
        <w:trPr>
          <w:divId w:val="405225397"/>
          <w:trHeight w:val="660"/>
          <w:jc w:val="center"/>
        </w:trPr>
        <w:tc>
          <w:tcPr>
            <w:tcW w:w="0" w:type="auto"/>
            <w:gridSpan w:val="3"/>
            <w:tcMar>
              <w:top w:w="30" w:type="dxa"/>
              <w:left w:w="20" w:type="dxa"/>
              <w:bottom w:w="30" w:type="dxa"/>
              <w:right w:w="20" w:type="dxa"/>
            </w:tcMar>
            <w:vAlign w:val="bottom"/>
            <w:hideMark/>
          </w:tcPr>
          <w:p w14:paraId="645EE034"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26CC1D15"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848192" w14:textId="77777777" w:rsidR="00000000" w:rsidRDefault="0068293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96BC12B"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DE3D4D" w14:textId="77777777" w:rsidR="00000000" w:rsidRDefault="0068293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9E29308"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2F6E81" w14:textId="77777777" w:rsidR="00000000" w:rsidRDefault="0068293C">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14:paraId="7AAF011C"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CA7C7E" w14:textId="77777777" w:rsidR="00000000" w:rsidRDefault="0068293C">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14:paraId="4116C836" w14:textId="77777777" w:rsidR="00000000" w:rsidRDefault="0068293C">
            <w:pPr>
              <w:spacing w:after="100"/>
              <w:jc w:val="center"/>
              <w:rPr>
                <w:rFonts w:eastAsia="Times New Roman"/>
              </w:rPr>
            </w:pPr>
          </w:p>
        </w:tc>
        <w:tc>
          <w:tcPr>
            <w:tcW w:w="0" w:type="auto"/>
            <w:gridSpan w:val="3"/>
            <w:vMerge/>
            <w:tcBorders>
              <w:top w:val="single" w:sz="8" w:space="0" w:color="000000"/>
            </w:tcBorders>
            <w:vAlign w:val="center"/>
            <w:hideMark/>
          </w:tcPr>
          <w:p w14:paraId="220BA2AD"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336C7F45" w14:textId="77777777" w:rsidR="00000000" w:rsidRDefault="0068293C">
            <w:pPr>
              <w:spacing w:after="100"/>
              <w:rPr>
                <w:rFonts w:eastAsia="Times New Roman"/>
                <w:sz w:val="20"/>
                <w:szCs w:val="20"/>
              </w:rPr>
            </w:pPr>
          </w:p>
        </w:tc>
        <w:tc>
          <w:tcPr>
            <w:tcW w:w="0" w:type="auto"/>
            <w:gridSpan w:val="3"/>
            <w:vMerge/>
            <w:vAlign w:val="center"/>
            <w:hideMark/>
          </w:tcPr>
          <w:p w14:paraId="645B4B49"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1D642BD4"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F2249B" w14:textId="77777777" w:rsidR="00000000" w:rsidRDefault="0068293C">
            <w:pPr>
              <w:spacing w:after="100"/>
              <w:jc w:val="center"/>
              <w:rPr>
                <w:rFonts w:eastAsia="Times New Roman"/>
              </w:rPr>
            </w:pPr>
            <w:r>
              <w:rPr>
                <w:rFonts w:eastAsia="Times New Roman"/>
                <w:b/>
                <w:bCs/>
                <w:color w:val="000000"/>
                <w:sz w:val="16"/>
                <w:szCs w:val="16"/>
              </w:rPr>
              <w:t>Total</w:t>
            </w:r>
          </w:p>
        </w:tc>
      </w:tr>
      <w:tr w:rsidR="0068293C" w14:paraId="1E5656AF" w14:textId="77777777">
        <w:trPr>
          <w:divId w:val="405225397"/>
          <w:jc w:val="center"/>
        </w:trPr>
        <w:tc>
          <w:tcPr>
            <w:tcW w:w="0" w:type="auto"/>
            <w:gridSpan w:val="3"/>
            <w:shd w:val="clear" w:color="auto" w:fill="CCEEFF"/>
            <w:tcMar>
              <w:top w:w="30" w:type="dxa"/>
              <w:left w:w="20" w:type="dxa"/>
              <w:bottom w:w="30" w:type="dxa"/>
              <w:right w:w="20" w:type="dxa"/>
            </w:tcMar>
            <w:vAlign w:val="bottom"/>
            <w:hideMark/>
          </w:tcPr>
          <w:p w14:paraId="046567AC" w14:textId="77777777" w:rsidR="00000000" w:rsidRDefault="0068293C">
            <w:pPr>
              <w:spacing w:after="100"/>
              <w:rPr>
                <w:rFonts w:eastAsia="Times New Roman"/>
              </w:rPr>
            </w:pPr>
            <w:r>
              <w:rPr>
                <w:rFonts w:eastAsia="Times New Roman"/>
                <w:b/>
                <w:bCs/>
                <w:color w:val="000000"/>
                <w:sz w:val="16"/>
                <w:szCs w:val="16"/>
              </w:rPr>
              <w:t>December 31, 2020</w:t>
            </w:r>
          </w:p>
        </w:tc>
        <w:tc>
          <w:tcPr>
            <w:tcW w:w="0" w:type="auto"/>
            <w:gridSpan w:val="3"/>
            <w:shd w:val="clear" w:color="auto" w:fill="CCEEFF"/>
            <w:tcMar>
              <w:top w:w="0" w:type="dxa"/>
              <w:left w:w="20" w:type="dxa"/>
              <w:bottom w:w="0" w:type="dxa"/>
              <w:right w:w="20" w:type="dxa"/>
            </w:tcMar>
            <w:vAlign w:val="center"/>
            <w:hideMark/>
          </w:tcPr>
          <w:p w14:paraId="4146F48C" w14:textId="77777777" w:rsidR="00000000" w:rsidRDefault="0068293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206823" w14:textId="77777777" w:rsidR="00000000" w:rsidRDefault="0068293C">
            <w:pPr>
              <w:spacing w:after="100"/>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7F94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30E94"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C33248"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6CF15D" w14:textId="77777777" w:rsidR="00000000" w:rsidRDefault="0068293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74445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EA95A"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63C32D"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437B41" w14:textId="77777777" w:rsidR="00000000" w:rsidRDefault="0068293C">
            <w:pPr>
              <w:spacing w:after="100"/>
              <w:jc w:val="right"/>
              <w:rPr>
                <w:rFonts w:eastAsia="Times New Roman"/>
              </w:rPr>
            </w:pPr>
            <w:r>
              <w:rPr>
                <w:rFonts w:eastAsia="Times New Roman"/>
                <w:b/>
                <w:bCs/>
                <w:color w:val="000000"/>
                <w:sz w:val="16"/>
                <w:szCs w:val="16"/>
              </w:rPr>
              <w:t>368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DC214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5E1F6"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EA582F"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45D74A" w14:textId="77777777" w:rsidR="00000000" w:rsidRDefault="0068293C">
            <w:pPr>
              <w:spacing w:after="100"/>
              <w:jc w:val="right"/>
              <w:rPr>
                <w:rFonts w:eastAsia="Times New Roman"/>
              </w:rPr>
            </w:pPr>
            <w:r>
              <w:rPr>
                <w:rFonts w:eastAsia="Times New Roman"/>
                <w:b/>
                <w:bCs/>
                <w:color w:val="000000"/>
                <w:sz w:val="16"/>
                <w:szCs w:val="16"/>
              </w:rPr>
              <w:t>950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61386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CBCE0"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A6BCD5"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A720F4" w14:textId="77777777" w:rsidR="00000000" w:rsidRDefault="0068293C">
            <w:pPr>
              <w:spacing w:after="100"/>
              <w:jc w:val="right"/>
              <w:rPr>
                <w:rFonts w:eastAsia="Times New Roman"/>
              </w:rPr>
            </w:pPr>
            <w:r>
              <w:rPr>
                <w:rFonts w:eastAsia="Times New Roman"/>
                <w:b/>
                <w:bCs/>
                <w:color w:val="000000"/>
                <w:sz w:val="16"/>
                <w:szCs w:val="16"/>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A807D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246E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A61C47"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97910F" w14:textId="77777777" w:rsidR="00000000" w:rsidRDefault="0068293C">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A4A7F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BAAEE"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695955"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94E8CB" w14:textId="77777777" w:rsidR="00000000" w:rsidRDefault="0068293C">
            <w:pPr>
              <w:spacing w:after="100"/>
              <w:jc w:val="right"/>
              <w:rPr>
                <w:rFonts w:eastAsia="Times New Roman"/>
              </w:rPr>
            </w:pPr>
            <w:r>
              <w:rPr>
                <w:rFonts w:eastAsia="Times New Roman"/>
                <w:b/>
                <w:bCs/>
                <w:color w:val="000000"/>
                <w:sz w:val="16"/>
                <w:szCs w:val="16"/>
              </w:rPr>
              <w:t>1,051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B3A890" w14:textId="77777777" w:rsidR="00000000" w:rsidRDefault="0068293C">
            <w:pPr>
              <w:spacing w:after="100"/>
              <w:jc w:val="right"/>
              <w:rPr>
                <w:rFonts w:eastAsia="Times New Roman"/>
              </w:rPr>
            </w:pPr>
          </w:p>
        </w:tc>
      </w:tr>
      <w:tr w:rsidR="00000000" w14:paraId="3E92A6E9" w14:textId="77777777">
        <w:trPr>
          <w:divId w:val="405225397"/>
          <w:jc w:val="center"/>
        </w:trPr>
        <w:tc>
          <w:tcPr>
            <w:tcW w:w="0" w:type="auto"/>
            <w:gridSpan w:val="3"/>
            <w:shd w:val="clear" w:color="auto" w:fill="FFFFFF"/>
            <w:tcMar>
              <w:top w:w="30" w:type="dxa"/>
              <w:left w:w="20" w:type="dxa"/>
              <w:bottom w:w="30" w:type="dxa"/>
              <w:right w:w="20" w:type="dxa"/>
            </w:tcMar>
            <w:vAlign w:val="bottom"/>
            <w:hideMark/>
          </w:tcPr>
          <w:p w14:paraId="71483E27" w14:textId="77777777" w:rsidR="00000000" w:rsidRDefault="0068293C">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14:paraId="7B85626A"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D6D4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F5FE8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31802A"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0EBB4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335B79"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491224"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49B91C"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4F2C54"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648575"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0A569"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660B2"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A8654E"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43369B" w14:textId="77777777" w:rsidR="00000000" w:rsidRDefault="0068293C">
            <w:pPr>
              <w:spacing w:after="100"/>
              <w:rPr>
                <w:rFonts w:eastAsia="Times New Roman"/>
                <w:sz w:val="20"/>
                <w:szCs w:val="20"/>
              </w:rPr>
            </w:pPr>
          </w:p>
        </w:tc>
      </w:tr>
      <w:tr w:rsidR="00000000" w14:paraId="0B4ADE69" w14:textId="77777777">
        <w:trPr>
          <w:divId w:val="405225397"/>
          <w:jc w:val="center"/>
        </w:trPr>
        <w:tc>
          <w:tcPr>
            <w:tcW w:w="0" w:type="auto"/>
            <w:gridSpan w:val="3"/>
            <w:shd w:val="clear" w:color="auto" w:fill="CCEEFF"/>
            <w:tcMar>
              <w:top w:w="30" w:type="dxa"/>
              <w:left w:w="155" w:type="dxa"/>
              <w:bottom w:w="30" w:type="dxa"/>
              <w:right w:w="20" w:type="dxa"/>
            </w:tcMar>
            <w:vAlign w:val="bottom"/>
            <w:hideMark/>
          </w:tcPr>
          <w:p w14:paraId="1B1A00E1" w14:textId="77777777" w:rsidR="00000000" w:rsidRDefault="0068293C">
            <w:pPr>
              <w:spacing w:after="100"/>
              <w:rPr>
                <w:rFonts w:eastAsia="Times New Roman"/>
              </w:rPr>
            </w:pPr>
            <w:r>
              <w:rPr>
                <w:rFonts w:eastAsia="Times New Roman"/>
                <w:color w:val="000000"/>
                <w:sz w:val="16"/>
                <w:szCs w:val="16"/>
              </w:rPr>
              <w:t>     Net income</w:t>
            </w:r>
          </w:p>
        </w:tc>
        <w:tc>
          <w:tcPr>
            <w:tcW w:w="0" w:type="auto"/>
            <w:gridSpan w:val="3"/>
            <w:shd w:val="clear" w:color="auto" w:fill="CCEEFF"/>
            <w:tcMar>
              <w:top w:w="0" w:type="dxa"/>
              <w:left w:w="20" w:type="dxa"/>
              <w:bottom w:w="0" w:type="dxa"/>
              <w:right w:w="20" w:type="dxa"/>
            </w:tcMar>
            <w:vAlign w:val="center"/>
            <w:hideMark/>
          </w:tcPr>
          <w:p w14:paraId="4FA06F1C"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D367ED"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46D85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7963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7AB6CA"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EC3320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438A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E11FF"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E65275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44925"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6DDEB" w14:textId="77777777" w:rsidR="00000000" w:rsidRDefault="0068293C">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14:paraId="3CCC532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F6773"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05D8D"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921BB9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69A1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28FCB" w14:textId="77777777" w:rsidR="00000000" w:rsidRDefault="0068293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5983290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8BF1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6AF65" w14:textId="77777777" w:rsidR="00000000" w:rsidRDefault="0068293C">
            <w:pPr>
              <w:spacing w:after="100"/>
              <w:jc w:val="right"/>
              <w:rPr>
                <w:rFonts w:eastAsia="Times New Roman"/>
              </w:rPr>
            </w:pPr>
            <w:r>
              <w:rPr>
                <w:rFonts w:eastAsia="Times New Roman"/>
                <w:color w:val="000000"/>
                <w:sz w:val="16"/>
                <w:szCs w:val="16"/>
              </w:rPr>
              <w:t>31 </w:t>
            </w:r>
          </w:p>
        </w:tc>
        <w:tc>
          <w:tcPr>
            <w:tcW w:w="0" w:type="auto"/>
            <w:shd w:val="clear" w:color="auto" w:fill="CCEEFF"/>
            <w:tcMar>
              <w:top w:w="30" w:type="dxa"/>
              <w:left w:w="0" w:type="dxa"/>
              <w:bottom w:w="30" w:type="dxa"/>
              <w:right w:w="20" w:type="dxa"/>
            </w:tcMar>
            <w:vAlign w:val="bottom"/>
            <w:hideMark/>
          </w:tcPr>
          <w:p w14:paraId="17935C5B" w14:textId="77777777" w:rsidR="00000000" w:rsidRDefault="0068293C">
            <w:pPr>
              <w:spacing w:after="100"/>
              <w:jc w:val="right"/>
              <w:rPr>
                <w:rFonts w:eastAsia="Times New Roman"/>
              </w:rPr>
            </w:pPr>
          </w:p>
        </w:tc>
      </w:tr>
      <w:tr w:rsidR="00000000" w14:paraId="2EA589CA" w14:textId="77777777">
        <w:trPr>
          <w:divId w:val="405225397"/>
          <w:jc w:val="center"/>
        </w:trPr>
        <w:tc>
          <w:tcPr>
            <w:tcW w:w="0" w:type="auto"/>
            <w:gridSpan w:val="3"/>
            <w:shd w:val="clear" w:color="auto" w:fill="FFFFFF"/>
            <w:tcMar>
              <w:top w:w="30" w:type="dxa"/>
              <w:left w:w="155" w:type="dxa"/>
              <w:bottom w:w="30" w:type="dxa"/>
              <w:right w:w="20" w:type="dxa"/>
            </w:tcMar>
            <w:vAlign w:val="bottom"/>
            <w:hideMark/>
          </w:tcPr>
          <w:p w14:paraId="52432355" w14:textId="77777777" w:rsidR="00000000" w:rsidRDefault="0068293C">
            <w:pPr>
              <w:spacing w:after="100"/>
              <w:rPr>
                <w:rFonts w:eastAsia="Times New Roman"/>
              </w:rPr>
            </w:pPr>
            <w:r>
              <w:rPr>
                <w:rFonts w:eastAsia="Times New Roman"/>
                <w:color w:val="000000"/>
                <w:sz w:val="16"/>
                <w:szCs w:val="16"/>
              </w:rPr>
              <w:t xml:space="preserve">     Other comprehensive income (loss) </w:t>
            </w:r>
          </w:p>
        </w:tc>
        <w:tc>
          <w:tcPr>
            <w:tcW w:w="0" w:type="auto"/>
            <w:gridSpan w:val="3"/>
            <w:shd w:val="clear" w:color="auto" w:fill="FFFFFF"/>
            <w:tcMar>
              <w:top w:w="0" w:type="dxa"/>
              <w:left w:w="20" w:type="dxa"/>
              <w:bottom w:w="0" w:type="dxa"/>
              <w:right w:w="20" w:type="dxa"/>
            </w:tcMar>
            <w:vAlign w:val="center"/>
            <w:hideMark/>
          </w:tcPr>
          <w:p w14:paraId="74AF4EC4"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6D9BB6"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FB34C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5E30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3913C"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16770D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1550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7D4B8"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C78754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7135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EE74AF"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FF234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871F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90C84" w14:textId="77777777" w:rsidR="00000000" w:rsidRDefault="0068293C">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14:paraId="78A1DA2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9E3F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BCC74"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00F67D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06E8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C80A3" w14:textId="77777777" w:rsidR="00000000" w:rsidRDefault="0068293C">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14:paraId="548FE087" w14:textId="77777777" w:rsidR="00000000" w:rsidRDefault="0068293C">
            <w:pPr>
              <w:spacing w:after="100"/>
              <w:jc w:val="right"/>
              <w:rPr>
                <w:rFonts w:eastAsia="Times New Roman"/>
              </w:rPr>
            </w:pPr>
          </w:p>
        </w:tc>
      </w:tr>
      <w:tr w:rsidR="00000000" w14:paraId="67C4597F" w14:textId="77777777">
        <w:trPr>
          <w:divId w:val="405225397"/>
          <w:jc w:val="center"/>
        </w:trPr>
        <w:tc>
          <w:tcPr>
            <w:tcW w:w="0" w:type="auto"/>
            <w:gridSpan w:val="3"/>
            <w:shd w:val="clear" w:color="auto" w:fill="CCEEFF"/>
            <w:tcMar>
              <w:top w:w="30" w:type="dxa"/>
              <w:left w:w="155" w:type="dxa"/>
              <w:bottom w:w="30" w:type="dxa"/>
              <w:right w:w="20" w:type="dxa"/>
            </w:tcMar>
            <w:vAlign w:val="bottom"/>
            <w:hideMark/>
          </w:tcPr>
          <w:p w14:paraId="1FA3CFB2" w14:textId="77777777" w:rsidR="00000000" w:rsidRDefault="0068293C">
            <w:pPr>
              <w:spacing w:after="100"/>
              <w:rPr>
                <w:rFonts w:eastAsia="Times New Roman"/>
              </w:rPr>
            </w:pPr>
            <w:r>
              <w:rPr>
                <w:rFonts w:eastAsia="Times New Roman"/>
                <w:color w:val="000000"/>
                <w:sz w:val="16"/>
                <w:szCs w:val="16"/>
              </w:rPr>
              <w:t xml:space="preserve">Total comprehensive income (loss) </w:t>
            </w:r>
          </w:p>
        </w:tc>
        <w:tc>
          <w:tcPr>
            <w:tcW w:w="0" w:type="auto"/>
            <w:gridSpan w:val="3"/>
            <w:shd w:val="clear" w:color="auto" w:fill="CCEEFF"/>
            <w:tcMar>
              <w:top w:w="0" w:type="dxa"/>
              <w:left w:w="20" w:type="dxa"/>
              <w:bottom w:w="0" w:type="dxa"/>
              <w:right w:w="20" w:type="dxa"/>
            </w:tcMar>
            <w:vAlign w:val="center"/>
            <w:hideMark/>
          </w:tcPr>
          <w:p w14:paraId="6A6393D0" w14:textId="77777777" w:rsidR="00000000" w:rsidRDefault="0068293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2A7C97" w14:textId="77777777" w:rsidR="00000000" w:rsidRDefault="0068293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A612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E0D21"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FA7D69" w14:textId="77777777" w:rsidR="00000000" w:rsidRDefault="0068293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A9F77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86826"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106FAB" w14:textId="77777777" w:rsidR="00000000" w:rsidRDefault="0068293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98C25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39D68"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9A5B8C" w14:textId="77777777" w:rsidR="00000000" w:rsidRDefault="0068293C">
            <w:pPr>
              <w:spacing w:after="100"/>
              <w:jc w:val="right"/>
              <w:rPr>
                <w:rFonts w:eastAsia="Times New Roman"/>
              </w:rPr>
            </w:pPr>
            <w:r>
              <w:rPr>
                <w:rFonts w:eastAsia="Times New Roman"/>
                <w:color w:val="000000"/>
                <w:sz w:val="16"/>
                <w:szCs w:val="16"/>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B6EF9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3274A"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D6FFDA" w14:textId="77777777" w:rsidR="00000000" w:rsidRDefault="0068293C">
            <w:pPr>
              <w:spacing w:after="100"/>
              <w:jc w:val="right"/>
              <w:rPr>
                <w:rFonts w:eastAsia="Times New Roman"/>
              </w:rPr>
            </w:pPr>
            <w:r>
              <w:rPr>
                <w:rFonts w:eastAsia="Times New Roman"/>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2209F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606CD"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9FD9C8" w14:textId="77777777" w:rsidR="00000000" w:rsidRDefault="0068293C">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7286D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B3D32"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577A43" w14:textId="77777777" w:rsidR="00000000" w:rsidRDefault="0068293C">
            <w:pPr>
              <w:spacing w:after="100"/>
              <w:jc w:val="right"/>
              <w:rPr>
                <w:rFonts w:eastAsia="Times New Roman"/>
              </w:rPr>
            </w:pPr>
            <w:r>
              <w:rPr>
                <w:rFonts w:eastAsia="Times New Roman"/>
                <w:color w:val="000000"/>
                <w:sz w:val="16"/>
                <w:szCs w:val="16"/>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FA20AE" w14:textId="77777777" w:rsidR="00000000" w:rsidRDefault="0068293C">
            <w:pPr>
              <w:spacing w:after="100"/>
              <w:jc w:val="right"/>
              <w:rPr>
                <w:rFonts w:eastAsia="Times New Roman"/>
              </w:rPr>
            </w:pPr>
          </w:p>
        </w:tc>
      </w:tr>
      <w:tr w:rsidR="00000000" w14:paraId="34BCC9D8" w14:textId="77777777">
        <w:trPr>
          <w:divId w:val="405225397"/>
          <w:jc w:val="center"/>
        </w:trPr>
        <w:tc>
          <w:tcPr>
            <w:tcW w:w="0" w:type="auto"/>
            <w:gridSpan w:val="3"/>
            <w:vAlign w:val="center"/>
            <w:hideMark/>
          </w:tcPr>
          <w:p w14:paraId="72AA565E" w14:textId="77777777" w:rsidR="00000000" w:rsidRDefault="0068293C">
            <w:pPr>
              <w:spacing w:after="100"/>
              <w:jc w:val="right"/>
              <w:rPr>
                <w:rFonts w:eastAsia="Times New Roman"/>
                <w:sz w:val="20"/>
                <w:szCs w:val="20"/>
              </w:rPr>
            </w:pPr>
          </w:p>
        </w:tc>
        <w:tc>
          <w:tcPr>
            <w:tcW w:w="0" w:type="auto"/>
            <w:gridSpan w:val="3"/>
            <w:vAlign w:val="center"/>
            <w:hideMark/>
          </w:tcPr>
          <w:p w14:paraId="0BC0504F" w14:textId="77777777" w:rsidR="00000000" w:rsidRDefault="0068293C">
            <w:pPr>
              <w:spacing w:after="100"/>
              <w:rPr>
                <w:rFonts w:eastAsia="Times New Roman"/>
                <w:sz w:val="20"/>
                <w:szCs w:val="20"/>
              </w:rPr>
            </w:pPr>
          </w:p>
        </w:tc>
        <w:tc>
          <w:tcPr>
            <w:tcW w:w="0" w:type="auto"/>
            <w:gridSpan w:val="3"/>
            <w:vAlign w:val="center"/>
            <w:hideMark/>
          </w:tcPr>
          <w:p w14:paraId="6BD5996C" w14:textId="77777777" w:rsidR="00000000" w:rsidRDefault="0068293C">
            <w:pPr>
              <w:spacing w:after="100"/>
              <w:rPr>
                <w:rFonts w:eastAsia="Times New Roman"/>
                <w:sz w:val="20"/>
                <w:szCs w:val="20"/>
              </w:rPr>
            </w:pPr>
          </w:p>
        </w:tc>
        <w:tc>
          <w:tcPr>
            <w:tcW w:w="0" w:type="auto"/>
            <w:gridSpan w:val="3"/>
            <w:vAlign w:val="center"/>
            <w:hideMark/>
          </w:tcPr>
          <w:p w14:paraId="7C6BC34F" w14:textId="77777777" w:rsidR="00000000" w:rsidRDefault="0068293C">
            <w:pPr>
              <w:spacing w:after="100"/>
              <w:rPr>
                <w:rFonts w:eastAsia="Times New Roman"/>
                <w:sz w:val="20"/>
                <w:szCs w:val="20"/>
              </w:rPr>
            </w:pPr>
          </w:p>
        </w:tc>
        <w:tc>
          <w:tcPr>
            <w:tcW w:w="0" w:type="auto"/>
            <w:gridSpan w:val="3"/>
            <w:vAlign w:val="center"/>
            <w:hideMark/>
          </w:tcPr>
          <w:p w14:paraId="4D30B04C" w14:textId="77777777" w:rsidR="00000000" w:rsidRDefault="0068293C">
            <w:pPr>
              <w:spacing w:after="100"/>
              <w:rPr>
                <w:rFonts w:eastAsia="Times New Roman"/>
                <w:sz w:val="20"/>
                <w:szCs w:val="20"/>
              </w:rPr>
            </w:pPr>
          </w:p>
        </w:tc>
        <w:tc>
          <w:tcPr>
            <w:tcW w:w="0" w:type="auto"/>
            <w:gridSpan w:val="3"/>
            <w:vAlign w:val="center"/>
            <w:hideMark/>
          </w:tcPr>
          <w:p w14:paraId="5FE84486" w14:textId="77777777" w:rsidR="00000000" w:rsidRDefault="0068293C">
            <w:pPr>
              <w:spacing w:after="100"/>
              <w:rPr>
                <w:rFonts w:eastAsia="Times New Roman"/>
                <w:sz w:val="20"/>
                <w:szCs w:val="20"/>
              </w:rPr>
            </w:pPr>
          </w:p>
        </w:tc>
        <w:tc>
          <w:tcPr>
            <w:tcW w:w="0" w:type="auto"/>
            <w:gridSpan w:val="3"/>
            <w:vAlign w:val="center"/>
            <w:hideMark/>
          </w:tcPr>
          <w:p w14:paraId="6C99BE9D" w14:textId="77777777" w:rsidR="00000000" w:rsidRDefault="0068293C">
            <w:pPr>
              <w:spacing w:after="100"/>
              <w:rPr>
                <w:rFonts w:eastAsia="Times New Roman"/>
                <w:sz w:val="20"/>
                <w:szCs w:val="20"/>
              </w:rPr>
            </w:pPr>
          </w:p>
        </w:tc>
        <w:tc>
          <w:tcPr>
            <w:tcW w:w="0" w:type="auto"/>
            <w:gridSpan w:val="3"/>
            <w:vAlign w:val="center"/>
            <w:hideMark/>
          </w:tcPr>
          <w:p w14:paraId="6132897D" w14:textId="77777777" w:rsidR="00000000" w:rsidRDefault="0068293C">
            <w:pPr>
              <w:spacing w:after="100"/>
              <w:rPr>
                <w:rFonts w:eastAsia="Times New Roman"/>
                <w:sz w:val="20"/>
                <w:szCs w:val="20"/>
              </w:rPr>
            </w:pPr>
          </w:p>
        </w:tc>
        <w:tc>
          <w:tcPr>
            <w:tcW w:w="0" w:type="auto"/>
            <w:gridSpan w:val="3"/>
            <w:vAlign w:val="center"/>
            <w:hideMark/>
          </w:tcPr>
          <w:p w14:paraId="6AD1755F" w14:textId="77777777" w:rsidR="00000000" w:rsidRDefault="0068293C">
            <w:pPr>
              <w:spacing w:after="100"/>
              <w:rPr>
                <w:rFonts w:eastAsia="Times New Roman"/>
                <w:sz w:val="20"/>
                <w:szCs w:val="20"/>
              </w:rPr>
            </w:pPr>
          </w:p>
        </w:tc>
        <w:tc>
          <w:tcPr>
            <w:tcW w:w="0" w:type="auto"/>
            <w:gridSpan w:val="3"/>
            <w:vAlign w:val="center"/>
            <w:hideMark/>
          </w:tcPr>
          <w:p w14:paraId="0090AC1C" w14:textId="77777777" w:rsidR="00000000" w:rsidRDefault="0068293C">
            <w:pPr>
              <w:spacing w:after="100"/>
              <w:rPr>
                <w:rFonts w:eastAsia="Times New Roman"/>
                <w:sz w:val="20"/>
                <w:szCs w:val="20"/>
              </w:rPr>
            </w:pPr>
          </w:p>
        </w:tc>
        <w:tc>
          <w:tcPr>
            <w:tcW w:w="0" w:type="auto"/>
            <w:gridSpan w:val="3"/>
            <w:vAlign w:val="center"/>
            <w:hideMark/>
          </w:tcPr>
          <w:p w14:paraId="4927658B" w14:textId="77777777" w:rsidR="00000000" w:rsidRDefault="0068293C">
            <w:pPr>
              <w:spacing w:after="100"/>
              <w:rPr>
                <w:rFonts w:eastAsia="Times New Roman"/>
                <w:sz w:val="20"/>
                <w:szCs w:val="20"/>
              </w:rPr>
            </w:pPr>
          </w:p>
        </w:tc>
        <w:tc>
          <w:tcPr>
            <w:tcW w:w="0" w:type="auto"/>
            <w:gridSpan w:val="3"/>
            <w:vAlign w:val="center"/>
            <w:hideMark/>
          </w:tcPr>
          <w:p w14:paraId="076F6842" w14:textId="77777777" w:rsidR="00000000" w:rsidRDefault="0068293C">
            <w:pPr>
              <w:spacing w:after="100"/>
              <w:rPr>
                <w:rFonts w:eastAsia="Times New Roman"/>
                <w:sz w:val="20"/>
                <w:szCs w:val="20"/>
              </w:rPr>
            </w:pPr>
          </w:p>
        </w:tc>
        <w:tc>
          <w:tcPr>
            <w:tcW w:w="0" w:type="auto"/>
            <w:gridSpan w:val="3"/>
            <w:vAlign w:val="center"/>
            <w:hideMark/>
          </w:tcPr>
          <w:p w14:paraId="57FF53FD" w14:textId="77777777" w:rsidR="00000000" w:rsidRDefault="0068293C">
            <w:pPr>
              <w:spacing w:after="100"/>
              <w:rPr>
                <w:rFonts w:eastAsia="Times New Roman"/>
                <w:sz w:val="20"/>
                <w:szCs w:val="20"/>
              </w:rPr>
            </w:pPr>
          </w:p>
        </w:tc>
        <w:tc>
          <w:tcPr>
            <w:tcW w:w="0" w:type="auto"/>
            <w:gridSpan w:val="3"/>
            <w:vAlign w:val="center"/>
            <w:hideMark/>
          </w:tcPr>
          <w:p w14:paraId="7945EA99" w14:textId="77777777" w:rsidR="00000000" w:rsidRDefault="0068293C">
            <w:pPr>
              <w:spacing w:after="100"/>
              <w:rPr>
                <w:rFonts w:eastAsia="Times New Roman"/>
                <w:sz w:val="20"/>
                <w:szCs w:val="20"/>
              </w:rPr>
            </w:pPr>
          </w:p>
        </w:tc>
        <w:tc>
          <w:tcPr>
            <w:tcW w:w="0" w:type="auto"/>
            <w:gridSpan w:val="3"/>
            <w:vAlign w:val="center"/>
            <w:hideMark/>
          </w:tcPr>
          <w:p w14:paraId="0A45D9AF" w14:textId="77777777" w:rsidR="00000000" w:rsidRDefault="0068293C">
            <w:pPr>
              <w:spacing w:after="100"/>
              <w:rPr>
                <w:rFonts w:eastAsia="Times New Roman"/>
                <w:sz w:val="20"/>
                <w:szCs w:val="20"/>
              </w:rPr>
            </w:pPr>
          </w:p>
        </w:tc>
      </w:tr>
      <w:tr w:rsidR="00000000" w14:paraId="5449C89C" w14:textId="77777777">
        <w:trPr>
          <w:divId w:val="405225397"/>
          <w:jc w:val="center"/>
        </w:trPr>
        <w:tc>
          <w:tcPr>
            <w:tcW w:w="0" w:type="auto"/>
            <w:gridSpan w:val="3"/>
            <w:shd w:val="clear" w:color="auto" w:fill="FFFFFF"/>
            <w:tcMar>
              <w:top w:w="30" w:type="dxa"/>
              <w:left w:w="155" w:type="dxa"/>
              <w:bottom w:w="30" w:type="dxa"/>
              <w:right w:w="20" w:type="dxa"/>
            </w:tcMar>
            <w:vAlign w:val="bottom"/>
            <w:hideMark/>
          </w:tcPr>
          <w:p w14:paraId="499830F2" w14:textId="77777777" w:rsidR="00000000" w:rsidRDefault="0068293C">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14:paraId="6E9A86B5"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2EC2F1" w14:textId="77777777" w:rsidR="00000000" w:rsidRDefault="0068293C">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51F974B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E554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B9B94"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2C5B7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E219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ADE77" w14:textId="77777777" w:rsidR="00000000" w:rsidRDefault="0068293C">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14:paraId="19D561C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60F3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52F36C"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51376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8051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795CC3"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E8914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98AD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F0E61"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D07574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C604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5D4E3" w14:textId="77777777" w:rsidR="00000000" w:rsidRDefault="0068293C">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14:paraId="49F4ED8B" w14:textId="77777777" w:rsidR="00000000" w:rsidRDefault="0068293C">
            <w:pPr>
              <w:spacing w:after="100"/>
              <w:jc w:val="right"/>
              <w:rPr>
                <w:rFonts w:eastAsia="Times New Roman"/>
              </w:rPr>
            </w:pPr>
          </w:p>
        </w:tc>
      </w:tr>
      <w:tr w:rsidR="00000000" w14:paraId="08B3F7E5" w14:textId="77777777">
        <w:trPr>
          <w:divId w:val="405225397"/>
          <w:jc w:val="center"/>
        </w:trPr>
        <w:tc>
          <w:tcPr>
            <w:tcW w:w="0" w:type="auto"/>
            <w:gridSpan w:val="3"/>
            <w:shd w:val="clear" w:color="auto" w:fill="CCEEFF"/>
            <w:tcMar>
              <w:top w:w="30" w:type="dxa"/>
              <w:left w:w="155" w:type="dxa"/>
              <w:bottom w:w="30" w:type="dxa"/>
              <w:right w:w="20" w:type="dxa"/>
            </w:tcMar>
            <w:vAlign w:val="bottom"/>
            <w:hideMark/>
          </w:tcPr>
          <w:p w14:paraId="2DA1DDB8" w14:textId="77777777" w:rsidR="00000000" w:rsidRDefault="0068293C">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14:paraId="35C3958A"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4CA3BA"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631F32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B190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C2246"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8B8D2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2F41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4A4DC0"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695983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D4B2D"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39C4FA" w14:textId="77777777" w:rsidR="00000000" w:rsidRDefault="0068293C">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14:paraId="7E469D8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66E3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8EAE36"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DBE280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3842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137DC"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88EA8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9532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87F93" w14:textId="77777777" w:rsidR="00000000" w:rsidRDefault="0068293C">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14:paraId="67E2F3E8" w14:textId="77777777" w:rsidR="00000000" w:rsidRDefault="0068293C">
            <w:pPr>
              <w:spacing w:after="100"/>
              <w:jc w:val="right"/>
              <w:rPr>
                <w:rFonts w:eastAsia="Times New Roman"/>
              </w:rPr>
            </w:pPr>
          </w:p>
        </w:tc>
      </w:tr>
      <w:tr w:rsidR="00000000" w14:paraId="17EE6246" w14:textId="77777777">
        <w:trPr>
          <w:divId w:val="405225397"/>
          <w:jc w:val="center"/>
        </w:trPr>
        <w:tc>
          <w:tcPr>
            <w:tcW w:w="0" w:type="auto"/>
            <w:gridSpan w:val="3"/>
            <w:shd w:val="clear" w:color="auto" w:fill="FFFFFF"/>
            <w:tcMar>
              <w:top w:w="30" w:type="dxa"/>
              <w:left w:w="155" w:type="dxa"/>
              <w:bottom w:w="30" w:type="dxa"/>
              <w:right w:w="20" w:type="dxa"/>
            </w:tcMar>
            <w:vAlign w:val="bottom"/>
            <w:hideMark/>
          </w:tcPr>
          <w:p w14:paraId="7B39B77F" w14:textId="77777777" w:rsidR="00000000" w:rsidRDefault="0068293C">
            <w:pPr>
              <w:spacing w:after="100"/>
              <w:rPr>
                <w:rFonts w:eastAsia="Times New Roman"/>
              </w:rPr>
            </w:pPr>
            <w:r>
              <w:rPr>
                <w:rFonts w:eastAsia="Times New Roman"/>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14:paraId="704182E3"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473321"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2814BC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52CD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6379B"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2006A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D251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74C210"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45D06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9E60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DA5AC2"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D8919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5B11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7560E"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12D58B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1213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553A4"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7687A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FF48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94C278" w14:textId="77777777" w:rsidR="00000000" w:rsidRDefault="0068293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F5774B" w14:textId="77777777" w:rsidR="00000000" w:rsidRDefault="0068293C">
            <w:pPr>
              <w:spacing w:after="100"/>
              <w:jc w:val="right"/>
              <w:rPr>
                <w:rFonts w:eastAsia="Times New Roman"/>
              </w:rPr>
            </w:pPr>
          </w:p>
        </w:tc>
      </w:tr>
      <w:tr w:rsidR="0068293C" w14:paraId="64E7037C" w14:textId="77777777">
        <w:trPr>
          <w:divId w:val="405225397"/>
          <w:jc w:val="center"/>
        </w:trPr>
        <w:tc>
          <w:tcPr>
            <w:tcW w:w="0" w:type="auto"/>
            <w:gridSpan w:val="3"/>
            <w:shd w:val="clear" w:color="auto" w:fill="CCEEFF"/>
            <w:tcMar>
              <w:top w:w="30" w:type="dxa"/>
              <w:left w:w="20" w:type="dxa"/>
              <w:bottom w:w="30" w:type="dxa"/>
              <w:right w:w="20" w:type="dxa"/>
            </w:tcMar>
            <w:vAlign w:val="bottom"/>
            <w:hideMark/>
          </w:tcPr>
          <w:p w14:paraId="2F3CCBBB" w14:textId="77777777" w:rsidR="00000000" w:rsidRDefault="0068293C">
            <w:pPr>
              <w:spacing w:after="100"/>
              <w:rPr>
                <w:rFonts w:eastAsia="Times New Roman"/>
              </w:rPr>
            </w:pPr>
            <w:r>
              <w:rPr>
                <w:rFonts w:eastAsia="Times New Roman"/>
                <w:b/>
                <w:bCs/>
                <w:color w:val="000000"/>
                <w:sz w:val="16"/>
                <w:szCs w:val="16"/>
              </w:rPr>
              <w:t>March 31, 2021</w:t>
            </w:r>
          </w:p>
        </w:tc>
        <w:tc>
          <w:tcPr>
            <w:tcW w:w="0" w:type="auto"/>
            <w:gridSpan w:val="3"/>
            <w:shd w:val="clear" w:color="auto" w:fill="CCEEFF"/>
            <w:tcMar>
              <w:top w:w="0" w:type="dxa"/>
              <w:left w:w="20" w:type="dxa"/>
              <w:bottom w:w="0" w:type="dxa"/>
              <w:right w:w="20" w:type="dxa"/>
            </w:tcMar>
            <w:vAlign w:val="center"/>
            <w:hideMark/>
          </w:tcPr>
          <w:p w14:paraId="4A609688" w14:textId="77777777" w:rsidR="00000000" w:rsidRDefault="0068293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7BB1D3" w14:textId="77777777" w:rsidR="00000000" w:rsidRDefault="0068293C">
            <w:pPr>
              <w:spacing w:after="100"/>
              <w:jc w:val="right"/>
              <w:rPr>
                <w:rFonts w:eastAsia="Times New Roman"/>
              </w:rPr>
            </w:pPr>
            <w:r>
              <w:rPr>
                <w:rFonts w:eastAsia="Times New Roman"/>
                <w:b/>
                <w:bCs/>
                <w:color w:val="000000"/>
                <w:sz w:val="16"/>
                <w:szCs w:val="16"/>
              </w:rPr>
              <w:t>131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61E45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28F3E"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BDEDA2"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521B7D" w14:textId="77777777" w:rsidR="00000000" w:rsidRDefault="0068293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F5679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3A72A"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80EB4D"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CF91CF" w14:textId="77777777" w:rsidR="00000000" w:rsidRDefault="0068293C">
            <w:pPr>
              <w:spacing w:after="100"/>
              <w:jc w:val="right"/>
              <w:rPr>
                <w:rFonts w:eastAsia="Times New Roman"/>
              </w:rPr>
            </w:pPr>
            <w:r>
              <w:rPr>
                <w:rFonts w:eastAsia="Times New Roman"/>
                <w:b/>
                <w:bCs/>
                <w:color w:val="000000"/>
                <w:sz w:val="16"/>
                <w:szCs w:val="16"/>
              </w:rPr>
              <w:t>398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198BD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58DB2"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E9A50E"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6DEE31" w14:textId="77777777" w:rsidR="00000000" w:rsidRDefault="0068293C">
            <w:pPr>
              <w:spacing w:after="100"/>
              <w:jc w:val="right"/>
              <w:rPr>
                <w:rFonts w:eastAsia="Times New Roman"/>
              </w:rPr>
            </w:pPr>
            <w:r>
              <w:rPr>
                <w:rFonts w:eastAsia="Times New Roman"/>
                <w:b/>
                <w:bCs/>
                <w:color w:val="000000"/>
                <w:sz w:val="16"/>
                <w:szCs w:val="16"/>
              </w:rPr>
              <w:t>976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579B0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425FA"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91C302"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F2FFBE" w14:textId="77777777" w:rsidR="00000000" w:rsidRDefault="0068293C">
            <w:pPr>
              <w:spacing w:after="100"/>
              <w:jc w:val="right"/>
              <w:rPr>
                <w:rFonts w:eastAsia="Times New Roman"/>
              </w:rPr>
            </w:pPr>
            <w:r>
              <w:rPr>
                <w:rFonts w:eastAsia="Times New Roman"/>
                <w:b/>
                <w:bCs/>
                <w:color w:val="000000"/>
                <w:sz w:val="16"/>
                <w:szCs w:val="16"/>
              </w:rPr>
              <w:t>(279)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49D19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AAF8D"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2D8D50"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930EC8" w14:textId="77777777" w:rsidR="00000000" w:rsidRDefault="0068293C">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AAC48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25FE3"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655012" w14:textId="77777777" w:rsidR="00000000" w:rsidRDefault="0068293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BD9CC1" w14:textId="77777777" w:rsidR="00000000" w:rsidRDefault="0068293C">
            <w:pPr>
              <w:spacing w:after="100"/>
              <w:jc w:val="right"/>
              <w:rPr>
                <w:rFonts w:eastAsia="Times New Roman"/>
              </w:rPr>
            </w:pPr>
            <w:r>
              <w:rPr>
                <w:rFonts w:eastAsia="Times New Roman"/>
                <w:b/>
                <w:bCs/>
                <w:color w:val="000000"/>
                <w:sz w:val="16"/>
                <w:szCs w:val="16"/>
              </w:rPr>
              <w:t>1,100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336644" w14:textId="77777777" w:rsidR="00000000" w:rsidRDefault="0068293C">
            <w:pPr>
              <w:spacing w:after="100"/>
              <w:jc w:val="right"/>
              <w:rPr>
                <w:rFonts w:eastAsia="Times New Roman"/>
              </w:rPr>
            </w:pPr>
          </w:p>
        </w:tc>
      </w:tr>
      <w:tr w:rsidR="00000000" w14:paraId="71CBD70A" w14:textId="77777777">
        <w:trPr>
          <w:divId w:val="405225397"/>
          <w:jc w:val="center"/>
        </w:trPr>
        <w:tc>
          <w:tcPr>
            <w:tcW w:w="0" w:type="auto"/>
            <w:gridSpan w:val="3"/>
            <w:vAlign w:val="center"/>
            <w:hideMark/>
          </w:tcPr>
          <w:p w14:paraId="0D7DA283" w14:textId="77777777" w:rsidR="00000000" w:rsidRDefault="0068293C">
            <w:pPr>
              <w:spacing w:after="100"/>
              <w:jc w:val="right"/>
              <w:rPr>
                <w:rFonts w:eastAsia="Times New Roman"/>
                <w:sz w:val="20"/>
                <w:szCs w:val="20"/>
              </w:rPr>
            </w:pPr>
          </w:p>
        </w:tc>
        <w:tc>
          <w:tcPr>
            <w:tcW w:w="0" w:type="auto"/>
            <w:gridSpan w:val="3"/>
            <w:vAlign w:val="center"/>
            <w:hideMark/>
          </w:tcPr>
          <w:p w14:paraId="27D035BC" w14:textId="77777777" w:rsidR="00000000" w:rsidRDefault="0068293C">
            <w:pPr>
              <w:spacing w:after="100"/>
              <w:rPr>
                <w:rFonts w:eastAsia="Times New Roman"/>
                <w:sz w:val="20"/>
                <w:szCs w:val="20"/>
              </w:rPr>
            </w:pPr>
          </w:p>
        </w:tc>
        <w:tc>
          <w:tcPr>
            <w:tcW w:w="0" w:type="auto"/>
            <w:gridSpan w:val="3"/>
            <w:vAlign w:val="center"/>
            <w:hideMark/>
          </w:tcPr>
          <w:p w14:paraId="79AA4556" w14:textId="77777777" w:rsidR="00000000" w:rsidRDefault="0068293C">
            <w:pPr>
              <w:spacing w:after="100"/>
              <w:rPr>
                <w:rFonts w:eastAsia="Times New Roman"/>
                <w:sz w:val="20"/>
                <w:szCs w:val="20"/>
              </w:rPr>
            </w:pPr>
          </w:p>
        </w:tc>
        <w:tc>
          <w:tcPr>
            <w:tcW w:w="0" w:type="auto"/>
            <w:gridSpan w:val="3"/>
            <w:vAlign w:val="center"/>
            <w:hideMark/>
          </w:tcPr>
          <w:p w14:paraId="1432DE7E" w14:textId="77777777" w:rsidR="00000000" w:rsidRDefault="0068293C">
            <w:pPr>
              <w:spacing w:after="100"/>
              <w:rPr>
                <w:rFonts w:eastAsia="Times New Roman"/>
                <w:sz w:val="20"/>
                <w:szCs w:val="20"/>
              </w:rPr>
            </w:pPr>
          </w:p>
        </w:tc>
        <w:tc>
          <w:tcPr>
            <w:tcW w:w="0" w:type="auto"/>
            <w:gridSpan w:val="3"/>
            <w:vAlign w:val="center"/>
            <w:hideMark/>
          </w:tcPr>
          <w:p w14:paraId="7E8E5120" w14:textId="77777777" w:rsidR="00000000" w:rsidRDefault="0068293C">
            <w:pPr>
              <w:spacing w:after="100"/>
              <w:rPr>
                <w:rFonts w:eastAsia="Times New Roman"/>
                <w:sz w:val="20"/>
                <w:szCs w:val="20"/>
              </w:rPr>
            </w:pPr>
          </w:p>
        </w:tc>
        <w:tc>
          <w:tcPr>
            <w:tcW w:w="0" w:type="auto"/>
            <w:gridSpan w:val="3"/>
            <w:vAlign w:val="center"/>
            <w:hideMark/>
          </w:tcPr>
          <w:p w14:paraId="34CB3229" w14:textId="77777777" w:rsidR="00000000" w:rsidRDefault="0068293C">
            <w:pPr>
              <w:spacing w:after="100"/>
              <w:rPr>
                <w:rFonts w:eastAsia="Times New Roman"/>
                <w:sz w:val="20"/>
                <w:szCs w:val="20"/>
              </w:rPr>
            </w:pPr>
          </w:p>
        </w:tc>
        <w:tc>
          <w:tcPr>
            <w:tcW w:w="0" w:type="auto"/>
            <w:gridSpan w:val="3"/>
            <w:vAlign w:val="center"/>
            <w:hideMark/>
          </w:tcPr>
          <w:p w14:paraId="72501A58" w14:textId="77777777" w:rsidR="00000000" w:rsidRDefault="0068293C">
            <w:pPr>
              <w:spacing w:after="100"/>
              <w:rPr>
                <w:rFonts w:eastAsia="Times New Roman"/>
                <w:sz w:val="20"/>
                <w:szCs w:val="20"/>
              </w:rPr>
            </w:pPr>
          </w:p>
        </w:tc>
        <w:tc>
          <w:tcPr>
            <w:tcW w:w="0" w:type="auto"/>
            <w:gridSpan w:val="3"/>
            <w:vAlign w:val="center"/>
            <w:hideMark/>
          </w:tcPr>
          <w:p w14:paraId="060F9ECE" w14:textId="77777777" w:rsidR="00000000" w:rsidRDefault="0068293C">
            <w:pPr>
              <w:spacing w:after="100"/>
              <w:rPr>
                <w:rFonts w:eastAsia="Times New Roman"/>
                <w:sz w:val="20"/>
                <w:szCs w:val="20"/>
              </w:rPr>
            </w:pPr>
          </w:p>
        </w:tc>
        <w:tc>
          <w:tcPr>
            <w:tcW w:w="0" w:type="auto"/>
            <w:gridSpan w:val="3"/>
            <w:vAlign w:val="center"/>
            <w:hideMark/>
          </w:tcPr>
          <w:p w14:paraId="204BE9A1" w14:textId="77777777" w:rsidR="00000000" w:rsidRDefault="0068293C">
            <w:pPr>
              <w:spacing w:after="100"/>
              <w:rPr>
                <w:rFonts w:eastAsia="Times New Roman"/>
                <w:sz w:val="20"/>
                <w:szCs w:val="20"/>
              </w:rPr>
            </w:pPr>
          </w:p>
        </w:tc>
        <w:tc>
          <w:tcPr>
            <w:tcW w:w="0" w:type="auto"/>
            <w:gridSpan w:val="3"/>
            <w:vAlign w:val="center"/>
            <w:hideMark/>
          </w:tcPr>
          <w:p w14:paraId="1B4E8016" w14:textId="77777777" w:rsidR="00000000" w:rsidRDefault="0068293C">
            <w:pPr>
              <w:spacing w:after="100"/>
              <w:rPr>
                <w:rFonts w:eastAsia="Times New Roman"/>
                <w:sz w:val="20"/>
                <w:szCs w:val="20"/>
              </w:rPr>
            </w:pPr>
          </w:p>
        </w:tc>
        <w:tc>
          <w:tcPr>
            <w:tcW w:w="0" w:type="auto"/>
            <w:gridSpan w:val="3"/>
            <w:vAlign w:val="center"/>
            <w:hideMark/>
          </w:tcPr>
          <w:p w14:paraId="2D94811E" w14:textId="77777777" w:rsidR="00000000" w:rsidRDefault="0068293C">
            <w:pPr>
              <w:spacing w:after="100"/>
              <w:rPr>
                <w:rFonts w:eastAsia="Times New Roman"/>
                <w:sz w:val="20"/>
                <w:szCs w:val="20"/>
              </w:rPr>
            </w:pPr>
          </w:p>
        </w:tc>
        <w:tc>
          <w:tcPr>
            <w:tcW w:w="0" w:type="auto"/>
            <w:gridSpan w:val="3"/>
            <w:vAlign w:val="center"/>
            <w:hideMark/>
          </w:tcPr>
          <w:p w14:paraId="352A2D6C" w14:textId="77777777" w:rsidR="00000000" w:rsidRDefault="0068293C">
            <w:pPr>
              <w:spacing w:after="100"/>
              <w:rPr>
                <w:rFonts w:eastAsia="Times New Roman"/>
                <w:sz w:val="20"/>
                <w:szCs w:val="20"/>
              </w:rPr>
            </w:pPr>
          </w:p>
        </w:tc>
        <w:tc>
          <w:tcPr>
            <w:tcW w:w="0" w:type="auto"/>
            <w:gridSpan w:val="3"/>
            <w:vAlign w:val="center"/>
            <w:hideMark/>
          </w:tcPr>
          <w:p w14:paraId="2E1D53B0" w14:textId="77777777" w:rsidR="00000000" w:rsidRDefault="0068293C">
            <w:pPr>
              <w:spacing w:after="100"/>
              <w:rPr>
                <w:rFonts w:eastAsia="Times New Roman"/>
                <w:sz w:val="20"/>
                <w:szCs w:val="20"/>
              </w:rPr>
            </w:pPr>
          </w:p>
        </w:tc>
        <w:tc>
          <w:tcPr>
            <w:tcW w:w="0" w:type="auto"/>
            <w:gridSpan w:val="3"/>
            <w:vAlign w:val="center"/>
            <w:hideMark/>
          </w:tcPr>
          <w:p w14:paraId="36205D68" w14:textId="77777777" w:rsidR="00000000" w:rsidRDefault="0068293C">
            <w:pPr>
              <w:spacing w:after="100"/>
              <w:rPr>
                <w:rFonts w:eastAsia="Times New Roman"/>
                <w:sz w:val="20"/>
                <w:szCs w:val="20"/>
              </w:rPr>
            </w:pPr>
          </w:p>
        </w:tc>
        <w:tc>
          <w:tcPr>
            <w:tcW w:w="0" w:type="auto"/>
            <w:gridSpan w:val="3"/>
            <w:vAlign w:val="center"/>
            <w:hideMark/>
          </w:tcPr>
          <w:p w14:paraId="12AC29CA" w14:textId="77777777" w:rsidR="00000000" w:rsidRDefault="0068293C">
            <w:pPr>
              <w:spacing w:after="100"/>
              <w:rPr>
                <w:rFonts w:eastAsia="Times New Roman"/>
                <w:sz w:val="20"/>
                <w:szCs w:val="20"/>
              </w:rPr>
            </w:pPr>
          </w:p>
        </w:tc>
      </w:tr>
      <w:tr w:rsidR="00000000" w14:paraId="165BB684" w14:textId="77777777">
        <w:trPr>
          <w:divId w:val="405225397"/>
          <w:jc w:val="center"/>
        </w:trPr>
        <w:tc>
          <w:tcPr>
            <w:tcW w:w="0" w:type="auto"/>
            <w:gridSpan w:val="3"/>
            <w:vAlign w:val="center"/>
            <w:hideMark/>
          </w:tcPr>
          <w:p w14:paraId="34057E5D" w14:textId="77777777" w:rsidR="00000000" w:rsidRDefault="0068293C">
            <w:pPr>
              <w:spacing w:after="100"/>
              <w:rPr>
                <w:rFonts w:eastAsia="Times New Roman"/>
                <w:sz w:val="20"/>
                <w:szCs w:val="20"/>
              </w:rPr>
            </w:pPr>
          </w:p>
        </w:tc>
        <w:tc>
          <w:tcPr>
            <w:tcW w:w="0" w:type="auto"/>
            <w:gridSpan w:val="3"/>
            <w:vAlign w:val="center"/>
            <w:hideMark/>
          </w:tcPr>
          <w:p w14:paraId="51CD86A2" w14:textId="77777777" w:rsidR="00000000" w:rsidRDefault="0068293C">
            <w:pPr>
              <w:spacing w:after="100"/>
              <w:rPr>
                <w:rFonts w:eastAsia="Times New Roman"/>
                <w:sz w:val="20"/>
                <w:szCs w:val="20"/>
              </w:rPr>
            </w:pPr>
          </w:p>
        </w:tc>
        <w:tc>
          <w:tcPr>
            <w:tcW w:w="0" w:type="auto"/>
            <w:gridSpan w:val="3"/>
            <w:vAlign w:val="center"/>
            <w:hideMark/>
          </w:tcPr>
          <w:p w14:paraId="54B2CE51" w14:textId="77777777" w:rsidR="00000000" w:rsidRDefault="0068293C">
            <w:pPr>
              <w:spacing w:after="100"/>
              <w:rPr>
                <w:rFonts w:eastAsia="Times New Roman"/>
                <w:sz w:val="20"/>
                <w:szCs w:val="20"/>
              </w:rPr>
            </w:pPr>
          </w:p>
        </w:tc>
        <w:tc>
          <w:tcPr>
            <w:tcW w:w="0" w:type="auto"/>
            <w:gridSpan w:val="3"/>
            <w:vAlign w:val="center"/>
            <w:hideMark/>
          </w:tcPr>
          <w:p w14:paraId="6AA1CE9E" w14:textId="77777777" w:rsidR="00000000" w:rsidRDefault="0068293C">
            <w:pPr>
              <w:spacing w:after="100"/>
              <w:rPr>
                <w:rFonts w:eastAsia="Times New Roman"/>
                <w:sz w:val="20"/>
                <w:szCs w:val="20"/>
              </w:rPr>
            </w:pPr>
          </w:p>
        </w:tc>
        <w:tc>
          <w:tcPr>
            <w:tcW w:w="0" w:type="auto"/>
            <w:gridSpan w:val="3"/>
            <w:vAlign w:val="center"/>
            <w:hideMark/>
          </w:tcPr>
          <w:p w14:paraId="5C807164" w14:textId="77777777" w:rsidR="00000000" w:rsidRDefault="0068293C">
            <w:pPr>
              <w:spacing w:after="100"/>
              <w:rPr>
                <w:rFonts w:eastAsia="Times New Roman"/>
                <w:sz w:val="20"/>
                <w:szCs w:val="20"/>
              </w:rPr>
            </w:pPr>
          </w:p>
        </w:tc>
        <w:tc>
          <w:tcPr>
            <w:tcW w:w="0" w:type="auto"/>
            <w:gridSpan w:val="3"/>
            <w:vAlign w:val="center"/>
            <w:hideMark/>
          </w:tcPr>
          <w:p w14:paraId="468AFC0B" w14:textId="77777777" w:rsidR="00000000" w:rsidRDefault="0068293C">
            <w:pPr>
              <w:spacing w:after="100"/>
              <w:rPr>
                <w:rFonts w:eastAsia="Times New Roman"/>
                <w:sz w:val="20"/>
                <w:szCs w:val="20"/>
              </w:rPr>
            </w:pPr>
          </w:p>
        </w:tc>
        <w:tc>
          <w:tcPr>
            <w:tcW w:w="0" w:type="auto"/>
            <w:gridSpan w:val="3"/>
            <w:vAlign w:val="center"/>
            <w:hideMark/>
          </w:tcPr>
          <w:p w14:paraId="5CF40F5B" w14:textId="77777777" w:rsidR="00000000" w:rsidRDefault="0068293C">
            <w:pPr>
              <w:spacing w:after="100"/>
              <w:rPr>
                <w:rFonts w:eastAsia="Times New Roman"/>
                <w:sz w:val="20"/>
                <w:szCs w:val="20"/>
              </w:rPr>
            </w:pPr>
          </w:p>
        </w:tc>
        <w:tc>
          <w:tcPr>
            <w:tcW w:w="0" w:type="auto"/>
            <w:gridSpan w:val="3"/>
            <w:vAlign w:val="center"/>
            <w:hideMark/>
          </w:tcPr>
          <w:p w14:paraId="19FDFC57" w14:textId="77777777" w:rsidR="00000000" w:rsidRDefault="0068293C">
            <w:pPr>
              <w:spacing w:after="100"/>
              <w:rPr>
                <w:rFonts w:eastAsia="Times New Roman"/>
                <w:sz w:val="20"/>
                <w:szCs w:val="20"/>
              </w:rPr>
            </w:pPr>
          </w:p>
        </w:tc>
        <w:tc>
          <w:tcPr>
            <w:tcW w:w="0" w:type="auto"/>
            <w:gridSpan w:val="3"/>
            <w:vAlign w:val="center"/>
            <w:hideMark/>
          </w:tcPr>
          <w:p w14:paraId="3FC646C2" w14:textId="77777777" w:rsidR="00000000" w:rsidRDefault="0068293C">
            <w:pPr>
              <w:spacing w:after="100"/>
              <w:rPr>
                <w:rFonts w:eastAsia="Times New Roman"/>
                <w:sz w:val="20"/>
                <w:szCs w:val="20"/>
              </w:rPr>
            </w:pPr>
          </w:p>
        </w:tc>
        <w:tc>
          <w:tcPr>
            <w:tcW w:w="0" w:type="auto"/>
            <w:gridSpan w:val="3"/>
            <w:vAlign w:val="center"/>
            <w:hideMark/>
          </w:tcPr>
          <w:p w14:paraId="34956050" w14:textId="77777777" w:rsidR="00000000" w:rsidRDefault="0068293C">
            <w:pPr>
              <w:spacing w:after="100"/>
              <w:rPr>
                <w:rFonts w:eastAsia="Times New Roman"/>
                <w:sz w:val="20"/>
                <w:szCs w:val="20"/>
              </w:rPr>
            </w:pPr>
          </w:p>
        </w:tc>
        <w:tc>
          <w:tcPr>
            <w:tcW w:w="0" w:type="auto"/>
            <w:gridSpan w:val="3"/>
            <w:vAlign w:val="center"/>
            <w:hideMark/>
          </w:tcPr>
          <w:p w14:paraId="619C9CC0" w14:textId="77777777" w:rsidR="00000000" w:rsidRDefault="0068293C">
            <w:pPr>
              <w:spacing w:after="100"/>
              <w:rPr>
                <w:rFonts w:eastAsia="Times New Roman"/>
                <w:sz w:val="20"/>
                <w:szCs w:val="20"/>
              </w:rPr>
            </w:pPr>
          </w:p>
        </w:tc>
        <w:tc>
          <w:tcPr>
            <w:tcW w:w="0" w:type="auto"/>
            <w:gridSpan w:val="3"/>
            <w:vAlign w:val="center"/>
            <w:hideMark/>
          </w:tcPr>
          <w:p w14:paraId="50365AB9" w14:textId="77777777" w:rsidR="00000000" w:rsidRDefault="0068293C">
            <w:pPr>
              <w:spacing w:after="100"/>
              <w:rPr>
                <w:rFonts w:eastAsia="Times New Roman"/>
                <w:sz w:val="20"/>
                <w:szCs w:val="20"/>
              </w:rPr>
            </w:pPr>
          </w:p>
        </w:tc>
        <w:tc>
          <w:tcPr>
            <w:tcW w:w="0" w:type="auto"/>
            <w:gridSpan w:val="3"/>
            <w:vAlign w:val="center"/>
            <w:hideMark/>
          </w:tcPr>
          <w:p w14:paraId="50435767" w14:textId="77777777" w:rsidR="00000000" w:rsidRDefault="0068293C">
            <w:pPr>
              <w:spacing w:after="100"/>
              <w:rPr>
                <w:rFonts w:eastAsia="Times New Roman"/>
                <w:sz w:val="20"/>
                <w:szCs w:val="20"/>
              </w:rPr>
            </w:pPr>
          </w:p>
        </w:tc>
        <w:tc>
          <w:tcPr>
            <w:tcW w:w="0" w:type="auto"/>
            <w:gridSpan w:val="3"/>
            <w:vAlign w:val="center"/>
            <w:hideMark/>
          </w:tcPr>
          <w:p w14:paraId="427CEF59" w14:textId="77777777" w:rsidR="00000000" w:rsidRDefault="0068293C">
            <w:pPr>
              <w:spacing w:after="100"/>
              <w:rPr>
                <w:rFonts w:eastAsia="Times New Roman"/>
                <w:sz w:val="20"/>
                <w:szCs w:val="20"/>
              </w:rPr>
            </w:pPr>
          </w:p>
        </w:tc>
        <w:tc>
          <w:tcPr>
            <w:tcW w:w="0" w:type="auto"/>
            <w:gridSpan w:val="3"/>
            <w:vAlign w:val="center"/>
            <w:hideMark/>
          </w:tcPr>
          <w:p w14:paraId="4DF6F682" w14:textId="77777777" w:rsidR="00000000" w:rsidRDefault="0068293C">
            <w:pPr>
              <w:spacing w:after="100"/>
              <w:rPr>
                <w:rFonts w:eastAsia="Times New Roman"/>
                <w:sz w:val="20"/>
                <w:szCs w:val="20"/>
              </w:rPr>
            </w:pPr>
          </w:p>
        </w:tc>
      </w:tr>
      <w:tr w:rsidR="00000000" w14:paraId="3340340A" w14:textId="77777777">
        <w:trPr>
          <w:divId w:val="405225397"/>
          <w:jc w:val="center"/>
        </w:trPr>
        <w:tc>
          <w:tcPr>
            <w:tcW w:w="0" w:type="auto"/>
            <w:gridSpan w:val="3"/>
            <w:vAlign w:val="center"/>
            <w:hideMark/>
          </w:tcPr>
          <w:p w14:paraId="57759EE6" w14:textId="77777777" w:rsidR="00000000" w:rsidRDefault="0068293C">
            <w:pPr>
              <w:spacing w:after="100"/>
              <w:rPr>
                <w:rFonts w:eastAsia="Times New Roman"/>
                <w:sz w:val="20"/>
                <w:szCs w:val="20"/>
              </w:rPr>
            </w:pPr>
          </w:p>
        </w:tc>
        <w:tc>
          <w:tcPr>
            <w:tcW w:w="0" w:type="auto"/>
            <w:gridSpan w:val="3"/>
            <w:vAlign w:val="center"/>
            <w:hideMark/>
          </w:tcPr>
          <w:p w14:paraId="565DB931" w14:textId="77777777" w:rsidR="00000000" w:rsidRDefault="0068293C">
            <w:pPr>
              <w:spacing w:after="100"/>
              <w:rPr>
                <w:rFonts w:eastAsia="Times New Roman"/>
                <w:sz w:val="20"/>
                <w:szCs w:val="20"/>
              </w:rPr>
            </w:pPr>
          </w:p>
        </w:tc>
        <w:tc>
          <w:tcPr>
            <w:tcW w:w="0" w:type="auto"/>
            <w:gridSpan w:val="3"/>
            <w:vAlign w:val="center"/>
            <w:hideMark/>
          </w:tcPr>
          <w:p w14:paraId="64966C42" w14:textId="77777777" w:rsidR="00000000" w:rsidRDefault="0068293C">
            <w:pPr>
              <w:spacing w:after="100"/>
              <w:rPr>
                <w:rFonts w:eastAsia="Times New Roman"/>
                <w:sz w:val="20"/>
                <w:szCs w:val="20"/>
              </w:rPr>
            </w:pPr>
          </w:p>
        </w:tc>
        <w:tc>
          <w:tcPr>
            <w:tcW w:w="0" w:type="auto"/>
            <w:gridSpan w:val="3"/>
            <w:vAlign w:val="center"/>
            <w:hideMark/>
          </w:tcPr>
          <w:p w14:paraId="79C4098C" w14:textId="77777777" w:rsidR="00000000" w:rsidRDefault="0068293C">
            <w:pPr>
              <w:spacing w:after="100"/>
              <w:rPr>
                <w:rFonts w:eastAsia="Times New Roman"/>
                <w:sz w:val="20"/>
                <w:szCs w:val="20"/>
              </w:rPr>
            </w:pPr>
          </w:p>
        </w:tc>
        <w:tc>
          <w:tcPr>
            <w:tcW w:w="0" w:type="auto"/>
            <w:gridSpan w:val="3"/>
            <w:vAlign w:val="center"/>
            <w:hideMark/>
          </w:tcPr>
          <w:p w14:paraId="70AF3D70" w14:textId="77777777" w:rsidR="00000000" w:rsidRDefault="0068293C">
            <w:pPr>
              <w:spacing w:after="100"/>
              <w:rPr>
                <w:rFonts w:eastAsia="Times New Roman"/>
                <w:sz w:val="20"/>
                <w:szCs w:val="20"/>
              </w:rPr>
            </w:pPr>
          </w:p>
        </w:tc>
        <w:tc>
          <w:tcPr>
            <w:tcW w:w="0" w:type="auto"/>
            <w:gridSpan w:val="3"/>
            <w:vAlign w:val="center"/>
            <w:hideMark/>
          </w:tcPr>
          <w:p w14:paraId="0DD4DC04" w14:textId="77777777" w:rsidR="00000000" w:rsidRDefault="0068293C">
            <w:pPr>
              <w:spacing w:after="100"/>
              <w:rPr>
                <w:rFonts w:eastAsia="Times New Roman"/>
                <w:sz w:val="20"/>
                <w:szCs w:val="20"/>
              </w:rPr>
            </w:pPr>
          </w:p>
        </w:tc>
        <w:tc>
          <w:tcPr>
            <w:tcW w:w="0" w:type="auto"/>
            <w:gridSpan w:val="3"/>
            <w:vAlign w:val="center"/>
            <w:hideMark/>
          </w:tcPr>
          <w:p w14:paraId="3A092F57" w14:textId="77777777" w:rsidR="00000000" w:rsidRDefault="0068293C">
            <w:pPr>
              <w:spacing w:after="100"/>
              <w:rPr>
                <w:rFonts w:eastAsia="Times New Roman"/>
                <w:sz w:val="20"/>
                <w:szCs w:val="20"/>
              </w:rPr>
            </w:pPr>
          </w:p>
        </w:tc>
        <w:tc>
          <w:tcPr>
            <w:tcW w:w="0" w:type="auto"/>
            <w:gridSpan w:val="3"/>
            <w:vAlign w:val="center"/>
            <w:hideMark/>
          </w:tcPr>
          <w:p w14:paraId="0D69E4B1" w14:textId="77777777" w:rsidR="00000000" w:rsidRDefault="0068293C">
            <w:pPr>
              <w:spacing w:after="100"/>
              <w:rPr>
                <w:rFonts w:eastAsia="Times New Roman"/>
                <w:sz w:val="20"/>
                <w:szCs w:val="20"/>
              </w:rPr>
            </w:pPr>
          </w:p>
        </w:tc>
        <w:tc>
          <w:tcPr>
            <w:tcW w:w="0" w:type="auto"/>
            <w:gridSpan w:val="3"/>
            <w:vAlign w:val="center"/>
            <w:hideMark/>
          </w:tcPr>
          <w:p w14:paraId="327703BD" w14:textId="77777777" w:rsidR="00000000" w:rsidRDefault="0068293C">
            <w:pPr>
              <w:spacing w:after="100"/>
              <w:rPr>
                <w:rFonts w:eastAsia="Times New Roman"/>
                <w:sz w:val="20"/>
                <w:szCs w:val="20"/>
              </w:rPr>
            </w:pPr>
          </w:p>
        </w:tc>
        <w:tc>
          <w:tcPr>
            <w:tcW w:w="0" w:type="auto"/>
            <w:gridSpan w:val="3"/>
            <w:vAlign w:val="center"/>
            <w:hideMark/>
          </w:tcPr>
          <w:p w14:paraId="1AD72E4C" w14:textId="77777777" w:rsidR="00000000" w:rsidRDefault="0068293C">
            <w:pPr>
              <w:spacing w:after="100"/>
              <w:rPr>
                <w:rFonts w:eastAsia="Times New Roman"/>
                <w:sz w:val="20"/>
                <w:szCs w:val="20"/>
              </w:rPr>
            </w:pPr>
          </w:p>
        </w:tc>
        <w:tc>
          <w:tcPr>
            <w:tcW w:w="0" w:type="auto"/>
            <w:gridSpan w:val="3"/>
            <w:vAlign w:val="center"/>
            <w:hideMark/>
          </w:tcPr>
          <w:p w14:paraId="4C17DBC5" w14:textId="77777777" w:rsidR="00000000" w:rsidRDefault="0068293C">
            <w:pPr>
              <w:spacing w:after="100"/>
              <w:rPr>
                <w:rFonts w:eastAsia="Times New Roman"/>
                <w:sz w:val="20"/>
                <w:szCs w:val="20"/>
              </w:rPr>
            </w:pPr>
          </w:p>
        </w:tc>
        <w:tc>
          <w:tcPr>
            <w:tcW w:w="0" w:type="auto"/>
            <w:gridSpan w:val="3"/>
            <w:vAlign w:val="center"/>
            <w:hideMark/>
          </w:tcPr>
          <w:p w14:paraId="4A56FD51" w14:textId="77777777" w:rsidR="00000000" w:rsidRDefault="0068293C">
            <w:pPr>
              <w:spacing w:after="100"/>
              <w:rPr>
                <w:rFonts w:eastAsia="Times New Roman"/>
                <w:sz w:val="20"/>
                <w:szCs w:val="20"/>
              </w:rPr>
            </w:pPr>
          </w:p>
        </w:tc>
        <w:tc>
          <w:tcPr>
            <w:tcW w:w="0" w:type="auto"/>
            <w:gridSpan w:val="3"/>
            <w:vAlign w:val="center"/>
            <w:hideMark/>
          </w:tcPr>
          <w:p w14:paraId="0640E3B9" w14:textId="77777777" w:rsidR="00000000" w:rsidRDefault="0068293C">
            <w:pPr>
              <w:spacing w:after="100"/>
              <w:rPr>
                <w:rFonts w:eastAsia="Times New Roman"/>
                <w:sz w:val="20"/>
                <w:szCs w:val="20"/>
              </w:rPr>
            </w:pPr>
          </w:p>
        </w:tc>
        <w:tc>
          <w:tcPr>
            <w:tcW w:w="0" w:type="auto"/>
            <w:gridSpan w:val="3"/>
            <w:vAlign w:val="center"/>
            <w:hideMark/>
          </w:tcPr>
          <w:p w14:paraId="026CD4C7" w14:textId="77777777" w:rsidR="00000000" w:rsidRDefault="0068293C">
            <w:pPr>
              <w:spacing w:after="100"/>
              <w:rPr>
                <w:rFonts w:eastAsia="Times New Roman"/>
                <w:sz w:val="20"/>
                <w:szCs w:val="20"/>
              </w:rPr>
            </w:pPr>
          </w:p>
        </w:tc>
        <w:tc>
          <w:tcPr>
            <w:tcW w:w="0" w:type="auto"/>
            <w:gridSpan w:val="3"/>
            <w:vAlign w:val="center"/>
            <w:hideMark/>
          </w:tcPr>
          <w:p w14:paraId="242B7BFC" w14:textId="77777777" w:rsidR="00000000" w:rsidRDefault="0068293C">
            <w:pPr>
              <w:spacing w:after="100"/>
              <w:rPr>
                <w:rFonts w:eastAsia="Times New Roman"/>
                <w:sz w:val="20"/>
                <w:szCs w:val="20"/>
              </w:rPr>
            </w:pPr>
          </w:p>
        </w:tc>
      </w:tr>
      <w:tr w:rsidR="00000000" w14:paraId="65A8370D" w14:textId="77777777">
        <w:trPr>
          <w:divId w:val="405225397"/>
          <w:jc w:val="center"/>
        </w:trPr>
        <w:tc>
          <w:tcPr>
            <w:tcW w:w="0" w:type="auto"/>
            <w:gridSpan w:val="3"/>
            <w:vAlign w:val="center"/>
            <w:hideMark/>
          </w:tcPr>
          <w:p w14:paraId="411924AC" w14:textId="77777777" w:rsidR="00000000" w:rsidRDefault="0068293C">
            <w:pPr>
              <w:spacing w:after="100"/>
              <w:rPr>
                <w:rFonts w:eastAsia="Times New Roman"/>
                <w:sz w:val="20"/>
                <w:szCs w:val="20"/>
              </w:rPr>
            </w:pPr>
          </w:p>
        </w:tc>
        <w:tc>
          <w:tcPr>
            <w:tcW w:w="0" w:type="auto"/>
            <w:gridSpan w:val="3"/>
            <w:vAlign w:val="center"/>
            <w:hideMark/>
          </w:tcPr>
          <w:p w14:paraId="7CA0A76F" w14:textId="77777777" w:rsidR="00000000" w:rsidRDefault="0068293C">
            <w:pPr>
              <w:spacing w:after="100"/>
              <w:rPr>
                <w:rFonts w:eastAsia="Times New Roman"/>
                <w:sz w:val="20"/>
                <w:szCs w:val="20"/>
              </w:rPr>
            </w:pPr>
          </w:p>
        </w:tc>
        <w:tc>
          <w:tcPr>
            <w:tcW w:w="0" w:type="auto"/>
            <w:gridSpan w:val="3"/>
            <w:vAlign w:val="center"/>
            <w:hideMark/>
          </w:tcPr>
          <w:p w14:paraId="3A443C12" w14:textId="77777777" w:rsidR="00000000" w:rsidRDefault="0068293C">
            <w:pPr>
              <w:spacing w:after="100"/>
              <w:rPr>
                <w:rFonts w:eastAsia="Times New Roman"/>
                <w:sz w:val="20"/>
                <w:szCs w:val="20"/>
              </w:rPr>
            </w:pPr>
          </w:p>
        </w:tc>
        <w:tc>
          <w:tcPr>
            <w:tcW w:w="0" w:type="auto"/>
            <w:gridSpan w:val="3"/>
            <w:vAlign w:val="center"/>
            <w:hideMark/>
          </w:tcPr>
          <w:p w14:paraId="66C143FF" w14:textId="77777777" w:rsidR="00000000" w:rsidRDefault="0068293C">
            <w:pPr>
              <w:spacing w:after="100"/>
              <w:rPr>
                <w:rFonts w:eastAsia="Times New Roman"/>
                <w:sz w:val="20"/>
                <w:szCs w:val="20"/>
              </w:rPr>
            </w:pPr>
          </w:p>
        </w:tc>
        <w:tc>
          <w:tcPr>
            <w:tcW w:w="0" w:type="auto"/>
            <w:gridSpan w:val="3"/>
            <w:vAlign w:val="center"/>
            <w:hideMark/>
          </w:tcPr>
          <w:p w14:paraId="1F5A7617" w14:textId="77777777" w:rsidR="00000000" w:rsidRDefault="0068293C">
            <w:pPr>
              <w:spacing w:after="100"/>
              <w:rPr>
                <w:rFonts w:eastAsia="Times New Roman"/>
                <w:sz w:val="20"/>
                <w:szCs w:val="20"/>
              </w:rPr>
            </w:pPr>
          </w:p>
        </w:tc>
        <w:tc>
          <w:tcPr>
            <w:tcW w:w="0" w:type="auto"/>
            <w:gridSpan w:val="3"/>
            <w:vAlign w:val="center"/>
            <w:hideMark/>
          </w:tcPr>
          <w:p w14:paraId="6C710BC5" w14:textId="77777777" w:rsidR="00000000" w:rsidRDefault="0068293C">
            <w:pPr>
              <w:spacing w:after="100"/>
              <w:rPr>
                <w:rFonts w:eastAsia="Times New Roman"/>
                <w:sz w:val="20"/>
                <w:szCs w:val="20"/>
              </w:rPr>
            </w:pPr>
          </w:p>
        </w:tc>
        <w:tc>
          <w:tcPr>
            <w:tcW w:w="0" w:type="auto"/>
            <w:gridSpan w:val="3"/>
            <w:vAlign w:val="center"/>
            <w:hideMark/>
          </w:tcPr>
          <w:p w14:paraId="47DD8658" w14:textId="77777777" w:rsidR="00000000" w:rsidRDefault="0068293C">
            <w:pPr>
              <w:spacing w:after="100"/>
              <w:rPr>
                <w:rFonts w:eastAsia="Times New Roman"/>
                <w:sz w:val="20"/>
                <w:szCs w:val="20"/>
              </w:rPr>
            </w:pPr>
          </w:p>
        </w:tc>
        <w:tc>
          <w:tcPr>
            <w:tcW w:w="0" w:type="auto"/>
            <w:gridSpan w:val="3"/>
            <w:vAlign w:val="center"/>
            <w:hideMark/>
          </w:tcPr>
          <w:p w14:paraId="1877A886" w14:textId="77777777" w:rsidR="00000000" w:rsidRDefault="0068293C">
            <w:pPr>
              <w:spacing w:after="100"/>
              <w:rPr>
                <w:rFonts w:eastAsia="Times New Roman"/>
                <w:sz w:val="20"/>
                <w:szCs w:val="20"/>
              </w:rPr>
            </w:pPr>
          </w:p>
        </w:tc>
        <w:tc>
          <w:tcPr>
            <w:tcW w:w="0" w:type="auto"/>
            <w:gridSpan w:val="3"/>
            <w:vAlign w:val="center"/>
            <w:hideMark/>
          </w:tcPr>
          <w:p w14:paraId="4188EC41" w14:textId="77777777" w:rsidR="00000000" w:rsidRDefault="0068293C">
            <w:pPr>
              <w:spacing w:after="100"/>
              <w:rPr>
                <w:rFonts w:eastAsia="Times New Roman"/>
                <w:sz w:val="20"/>
                <w:szCs w:val="20"/>
              </w:rPr>
            </w:pPr>
          </w:p>
        </w:tc>
        <w:tc>
          <w:tcPr>
            <w:tcW w:w="0" w:type="auto"/>
            <w:gridSpan w:val="3"/>
            <w:vAlign w:val="center"/>
            <w:hideMark/>
          </w:tcPr>
          <w:p w14:paraId="3CDC4FB5" w14:textId="77777777" w:rsidR="00000000" w:rsidRDefault="0068293C">
            <w:pPr>
              <w:spacing w:after="100"/>
              <w:rPr>
                <w:rFonts w:eastAsia="Times New Roman"/>
                <w:sz w:val="20"/>
                <w:szCs w:val="20"/>
              </w:rPr>
            </w:pPr>
          </w:p>
        </w:tc>
        <w:tc>
          <w:tcPr>
            <w:tcW w:w="0" w:type="auto"/>
            <w:gridSpan w:val="3"/>
            <w:vAlign w:val="center"/>
            <w:hideMark/>
          </w:tcPr>
          <w:p w14:paraId="6AEAA147" w14:textId="77777777" w:rsidR="00000000" w:rsidRDefault="0068293C">
            <w:pPr>
              <w:spacing w:after="100"/>
              <w:rPr>
                <w:rFonts w:eastAsia="Times New Roman"/>
                <w:sz w:val="20"/>
                <w:szCs w:val="20"/>
              </w:rPr>
            </w:pPr>
          </w:p>
        </w:tc>
        <w:tc>
          <w:tcPr>
            <w:tcW w:w="0" w:type="auto"/>
            <w:gridSpan w:val="3"/>
            <w:vAlign w:val="center"/>
            <w:hideMark/>
          </w:tcPr>
          <w:p w14:paraId="463A086B" w14:textId="77777777" w:rsidR="00000000" w:rsidRDefault="0068293C">
            <w:pPr>
              <w:spacing w:after="100"/>
              <w:rPr>
                <w:rFonts w:eastAsia="Times New Roman"/>
                <w:sz w:val="20"/>
                <w:szCs w:val="20"/>
              </w:rPr>
            </w:pPr>
          </w:p>
        </w:tc>
        <w:tc>
          <w:tcPr>
            <w:tcW w:w="0" w:type="auto"/>
            <w:gridSpan w:val="3"/>
            <w:vAlign w:val="center"/>
            <w:hideMark/>
          </w:tcPr>
          <w:p w14:paraId="3B61D2CE" w14:textId="77777777" w:rsidR="00000000" w:rsidRDefault="0068293C">
            <w:pPr>
              <w:spacing w:after="100"/>
              <w:rPr>
                <w:rFonts w:eastAsia="Times New Roman"/>
                <w:sz w:val="20"/>
                <w:szCs w:val="20"/>
              </w:rPr>
            </w:pPr>
          </w:p>
        </w:tc>
        <w:tc>
          <w:tcPr>
            <w:tcW w:w="0" w:type="auto"/>
            <w:gridSpan w:val="3"/>
            <w:vAlign w:val="center"/>
            <w:hideMark/>
          </w:tcPr>
          <w:p w14:paraId="32E0EBD3" w14:textId="77777777" w:rsidR="00000000" w:rsidRDefault="0068293C">
            <w:pPr>
              <w:spacing w:after="100"/>
              <w:rPr>
                <w:rFonts w:eastAsia="Times New Roman"/>
                <w:sz w:val="20"/>
                <w:szCs w:val="20"/>
              </w:rPr>
            </w:pPr>
          </w:p>
        </w:tc>
        <w:tc>
          <w:tcPr>
            <w:tcW w:w="0" w:type="auto"/>
            <w:gridSpan w:val="3"/>
            <w:vAlign w:val="center"/>
            <w:hideMark/>
          </w:tcPr>
          <w:p w14:paraId="79C3BFF6" w14:textId="77777777" w:rsidR="00000000" w:rsidRDefault="0068293C">
            <w:pPr>
              <w:spacing w:after="100"/>
              <w:rPr>
                <w:rFonts w:eastAsia="Times New Roman"/>
                <w:sz w:val="20"/>
                <w:szCs w:val="20"/>
              </w:rPr>
            </w:pPr>
          </w:p>
        </w:tc>
      </w:tr>
      <w:tr w:rsidR="00000000" w14:paraId="598559A8" w14:textId="77777777">
        <w:trPr>
          <w:divId w:val="405225397"/>
          <w:jc w:val="center"/>
        </w:trPr>
        <w:tc>
          <w:tcPr>
            <w:tcW w:w="0" w:type="auto"/>
            <w:gridSpan w:val="3"/>
            <w:vAlign w:val="center"/>
            <w:hideMark/>
          </w:tcPr>
          <w:p w14:paraId="0154E324" w14:textId="77777777" w:rsidR="00000000" w:rsidRDefault="0068293C">
            <w:pPr>
              <w:spacing w:after="100"/>
              <w:rPr>
                <w:rFonts w:eastAsia="Times New Roman"/>
                <w:sz w:val="20"/>
                <w:szCs w:val="20"/>
              </w:rPr>
            </w:pPr>
          </w:p>
        </w:tc>
        <w:tc>
          <w:tcPr>
            <w:tcW w:w="0" w:type="auto"/>
            <w:gridSpan w:val="3"/>
            <w:vAlign w:val="center"/>
            <w:hideMark/>
          </w:tcPr>
          <w:p w14:paraId="309A8165" w14:textId="77777777" w:rsidR="00000000" w:rsidRDefault="0068293C">
            <w:pPr>
              <w:spacing w:after="100"/>
              <w:rPr>
                <w:rFonts w:eastAsia="Times New Roman"/>
                <w:sz w:val="20"/>
                <w:szCs w:val="20"/>
              </w:rPr>
            </w:pPr>
          </w:p>
        </w:tc>
        <w:tc>
          <w:tcPr>
            <w:tcW w:w="0" w:type="auto"/>
            <w:gridSpan w:val="3"/>
            <w:vAlign w:val="center"/>
            <w:hideMark/>
          </w:tcPr>
          <w:p w14:paraId="3262C4B4" w14:textId="77777777" w:rsidR="00000000" w:rsidRDefault="0068293C">
            <w:pPr>
              <w:spacing w:after="100"/>
              <w:rPr>
                <w:rFonts w:eastAsia="Times New Roman"/>
                <w:sz w:val="20"/>
                <w:szCs w:val="20"/>
              </w:rPr>
            </w:pPr>
          </w:p>
        </w:tc>
        <w:tc>
          <w:tcPr>
            <w:tcW w:w="0" w:type="auto"/>
            <w:gridSpan w:val="3"/>
            <w:vAlign w:val="center"/>
            <w:hideMark/>
          </w:tcPr>
          <w:p w14:paraId="1220F789" w14:textId="77777777" w:rsidR="00000000" w:rsidRDefault="0068293C">
            <w:pPr>
              <w:spacing w:after="100"/>
              <w:rPr>
                <w:rFonts w:eastAsia="Times New Roman"/>
                <w:sz w:val="20"/>
                <w:szCs w:val="20"/>
              </w:rPr>
            </w:pPr>
          </w:p>
        </w:tc>
        <w:tc>
          <w:tcPr>
            <w:tcW w:w="0" w:type="auto"/>
            <w:gridSpan w:val="3"/>
            <w:vAlign w:val="center"/>
            <w:hideMark/>
          </w:tcPr>
          <w:p w14:paraId="15C4FF34" w14:textId="77777777" w:rsidR="00000000" w:rsidRDefault="0068293C">
            <w:pPr>
              <w:spacing w:after="100"/>
              <w:rPr>
                <w:rFonts w:eastAsia="Times New Roman"/>
                <w:sz w:val="20"/>
                <w:szCs w:val="20"/>
              </w:rPr>
            </w:pPr>
          </w:p>
        </w:tc>
        <w:tc>
          <w:tcPr>
            <w:tcW w:w="0" w:type="auto"/>
            <w:gridSpan w:val="3"/>
            <w:vAlign w:val="center"/>
            <w:hideMark/>
          </w:tcPr>
          <w:p w14:paraId="417F211B" w14:textId="77777777" w:rsidR="00000000" w:rsidRDefault="0068293C">
            <w:pPr>
              <w:spacing w:after="100"/>
              <w:rPr>
                <w:rFonts w:eastAsia="Times New Roman"/>
                <w:sz w:val="20"/>
                <w:szCs w:val="20"/>
              </w:rPr>
            </w:pPr>
          </w:p>
        </w:tc>
        <w:tc>
          <w:tcPr>
            <w:tcW w:w="0" w:type="auto"/>
            <w:gridSpan w:val="3"/>
            <w:vAlign w:val="center"/>
            <w:hideMark/>
          </w:tcPr>
          <w:p w14:paraId="4525D546" w14:textId="77777777" w:rsidR="00000000" w:rsidRDefault="0068293C">
            <w:pPr>
              <w:spacing w:after="100"/>
              <w:rPr>
                <w:rFonts w:eastAsia="Times New Roman"/>
                <w:sz w:val="20"/>
                <w:szCs w:val="20"/>
              </w:rPr>
            </w:pPr>
          </w:p>
        </w:tc>
        <w:tc>
          <w:tcPr>
            <w:tcW w:w="0" w:type="auto"/>
            <w:gridSpan w:val="3"/>
            <w:vAlign w:val="center"/>
            <w:hideMark/>
          </w:tcPr>
          <w:p w14:paraId="5773B319" w14:textId="77777777" w:rsidR="00000000" w:rsidRDefault="0068293C">
            <w:pPr>
              <w:spacing w:after="100"/>
              <w:rPr>
                <w:rFonts w:eastAsia="Times New Roman"/>
                <w:sz w:val="20"/>
                <w:szCs w:val="20"/>
              </w:rPr>
            </w:pPr>
          </w:p>
        </w:tc>
        <w:tc>
          <w:tcPr>
            <w:tcW w:w="0" w:type="auto"/>
            <w:gridSpan w:val="3"/>
            <w:vAlign w:val="center"/>
            <w:hideMark/>
          </w:tcPr>
          <w:p w14:paraId="0CAAA9AA" w14:textId="77777777" w:rsidR="00000000" w:rsidRDefault="0068293C">
            <w:pPr>
              <w:spacing w:after="100"/>
              <w:rPr>
                <w:rFonts w:eastAsia="Times New Roman"/>
                <w:sz w:val="20"/>
                <w:szCs w:val="20"/>
              </w:rPr>
            </w:pPr>
          </w:p>
        </w:tc>
        <w:tc>
          <w:tcPr>
            <w:tcW w:w="0" w:type="auto"/>
            <w:gridSpan w:val="3"/>
            <w:vAlign w:val="center"/>
            <w:hideMark/>
          </w:tcPr>
          <w:p w14:paraId="0A3BA199" w14:textId="77777777" w:rsidR="00000000" w:rsidRDefault="0068293C">
            <w:pPr>
              <w:spacing w:after="100"/>
              <w:rPr>
                <w:rFonts w:eastAsia="Times New Roman"/>
                <w:sz w:val="20"/>
                <w:szCs w:val="20"/>
              </w:rPr>
            </w:pPr>
          </w:p>
        </w:tc>
        <w:tc>
          <w:tcPr>
            <w:tcW w:w="0" w:type="auto"/>
            <w:gridSpan w:val="3"/>
            <w:vAlign w:val="center"/>
            <w:hideMark/>
          </w:tcPr>
          <w:p w14:paraId="2CB31EF5" w14:textId="77777777" w:rsidR="00000000" w:rsidRDefault="0068293C">
            <w:pPr>
              <w:spacing w:after="100"/>
              <w:rPr>
                <w:rFonts w:eastAsia="Times New Roman"/>
                <w:sz w:val="20"/>
                <w:szCs w:val="20"/>
              </w:rPr>
            </w:pPr>
          </w:p>
        </w:tc>
        <w:tc>
          <w:tcPr>
            <w:tcW w:w="0" w:type="auto"/>
            <w:gridSpan w:val="3"/>
            <w:vAlign w:val="center"/>
            <w:hideMark/>
          </w:tcPr>
          <w:p w14:paraId="6EB77591" w14:textId="77777777" w:rsidR="00000000" w:rsidRDefault="0068293C">
            <w:pPr>
              <w:spacing w:after="100"/>
              <w:rPr>
                <w:rFonts w:eastAsia="Times New Roman"/>
                <w:sz w:val="20"/>
                <w:szCs w:val="20"/>
              </w:rPr>
            </w:pPr>
          </w:p>
        </w:tc>
        <w:tc>
          <w:tcPr>
            <w:tcW w:w="0" w:type="auto"/>
            <w:gridSpan w:val="3"/>
            <w:vAlign w:val="center"/>
            <w:hideMark/>
          </w:tcPr>
          <w:p w14:paraId="0F263058" w14:textId="77777777" w:rsidR="00000000" w:rsidRDefault="0068293C">
            <w:pPr>
              <w:spacing w:after="100"/>
              <w:rPr>
                <w:rFonts w:eastAsia="Times New Roman"/>
                <w:sz w:val="20"/>
                <w:szCs w:val="20"/>
              </w:rPr>
            </w:pPr>
          </w:p>
        </w:tc>
        <w:tc>
          <w:tcPr>
            <w:tcW w:w="0" w:type="auto"/>
            <w:gridSpan w:val="3"/>
            <w:vAlign w:val="center"/>
            <w:hideMark/>
          </w:tcPr>
          <w:p w14:paraId="47194C67" w14:textId="77777777" w:rsidR="00000000" w:rsidRDefault="0068293C">
            <w:pPr>
              <w:spacing w:after="100"/>
              <w:rPr>
                <w:rFonts w:eastAsia="Times New Roman"/>
                <w:sz w:val="20"/>
                <w:szCs w:val="20"/>
              </w:rPr>
            </w:pPr>
          </w:p>
        </w:tc>
        <w:tc>
          <w:tcPr>
            <w:tcW w:w="0" w:type="auto"/>
            <w:gridSpan w:val="3"/>
            <w:vAlign w:val="center"/>
            <w:hideMark/>
          </w:tcPr>
          <w:p w14:paraId="3094DA3E" w14:textId="77777777" w:rsidR="00000000" w:rsidRDefault="0068293C">
            <w:pPr>
              <w:spacing w:after="100"/>
              <w:rPr>
                <w:rFonts w:eastAsia="Times New Roman"/>
                <w:sz w:val="20"/>
                <w:szCs w:val="20"/>
              </w:rPr>
            </w:pPr>
          </w:p>
        </w:tc>
      </w:tr>
      <w:tr w:rsidR="00000000" w14:paraId="7F78F64E" w14:textId="77777777">
        <w:trPr>
          <w:divId w:val="405225397"/>
          <w:jc w:val="center"/>
        </w:trPr>
        <w:tc>
          <w:tcPr>
            <w:tcW w:w="0" w:type="auto"/>
            <w:gridSpan w:val="3"/>
            <w:vAlign w:val="center"/>
            <w:hideMark/>
          </w:tcPr>
          <w:p w14:paraId="6BCD79C4" w14:textId="77777777" w:rsidR="00000000" w:rsidRDefault="0068293C">
            <w:pPr>
              <w:spacing w:after="100"/>
              <w:rPr>
                <w:rFonts w:eastAsia="Times New Roman"/>
                <w:sz w:val="20"/>
                <w:szCs w:val="20"/>
              </w:rPr>
            </w:pPr>
          </w:p>
        </w:tc>
        <w:tc>
          <w:tcPr>
            <w:tcW w:w="0" w:type="auto"/>
            <w:gridSpan w:val="3"/>
            <w:vAlign w:val="center"/>
            <w:hideMark/>
          </w:tcPr>
          <w:p w14:paraId="44C53815" w14:textId="77777777" w:rsidR="00000000" w:rsidRDefault="0068293C">
            <w:pPr>
              <w:spacing w:after="100"/>
              <w:rPr>
                <w:rFonts w:eastAsia="Times New Roman"/>
                <w:sz w:val="20"/>
                <w:szCs w:val="20"/>
              </w:rPr>
            </w:pPr>
          </w:p>
        </w:tc>
        <w:tc>
          <w:tcPr>
            <w:tcW w:w="0" w:type="auto"/>
            <w:gridSpan w:val="3"/>
            <w:vAlign w:val="center"/>
            <w:hideMark/>
          </w:tcPr>
          <w:p w14:paraId="5D055C69" w14:textId="77777777" w:rsidR="00000000" w:rsidRDefault="0068293C">
            <w:pPr>
              <w:spacing w:after="100"/>
              <w:rPr>
                <w:rFonts w:eastAsia="Times New Roman"/>
                <w:sz w:val="20"/>
                <w:szCs w:val="20"/>
              </w:rPr>
            </w:pPr>
          </w:p>
        </w:tc>
        <w:tc>
          <w:tcPr>
            <w:tcW w:w="0" w:type="auto"/>
            <w:gridSpan w:val="3"/>
            <w:vAlign w:val="center"/>
            <w:hideMark/>
          </w:tcPr>
          <w:p w14:paraId="31B71FBB" w14:textId="77777777" w:rsidR="00000000" w:rsidRDefault="0068293C">
            <w:pPr>
              <w:spacing w:after="100"/>
              <w:rPr>
                <w:rFonts w:eastAsia="Times New Roman"/>
                <w:sz w:val="20"/>
                <w:szCs w:val="20"/>
              </w:rPr>
            </w:pPr>
          </w:p>
        </w:tc>
        <w:tc>
          <w:tcPr>
            <w:tcW w:w="0" w:type="auto"/>
            <w:gridSpan w:val="3"/>
            <w:vAlign w:val="center"/>
            <w:hideMark/>
          </w:tcPr>
          <w:p w14:paraId="59491EE0" w14:textId="77777777" w:rsidR="00000000" w:rsidRDefault="0068293C">
            <w:pPr>
              <w:spacing w:after="100"/>
              <w:rPr>
                <w:rFonts w:eastAsia="Times New Roman"/>
                <w:sz w:val="20"/>
                <w:szCs w:val="20"/>
              </w:rPr>
            </w:pPr>
          </w:p>
        </w:tc>
        <w:tc>
          <w:tcPr>
            <w:tcW w:w="0" w:type="auto"/>
            <w:gridSpan w:val="3"/>
            <w:vAlign w:val="center"/>
            <w:hideMark/>
          </w:tcPr>
          <w:p w14:paraId="65325E53" w14:textId="77777777" w:rsidR="00000000" w:rsidRDefault="0068293C">
            <w:pPr>
              <w:spacing w:after="100"/>
              <w:rPr>
                <w:rFonts w:eastAsia="Times New Roman"/>
                <w:sz w:val="20"/>
                <w:szCs w:val="20"/>
              </w:rPr>
            </w:pPr>
          </w:p>
        </w:tc>
        <w:tc>
          <w:tcPr>
            <w:tcW w:w="0" w:type="auto"/>
            <w:gridSpan w:val="3"/>
            <w:vAlign w:val="center"/>
            <w:hideMark/>
          </w:tcPr>
          <w:p w14:paraId="58598605" w14:textId="77777777" w:rsidR="00000000" w:rsidRDefault="0068293C">
            <w:pPr>
              <w:spacing w:after="100"/>
              <w:rPr>
                <w:rFonts w:eastAsia="Times New Roman"/>
                <w:sz w:val="20"/>
                <w:szCs w:val="20"/>
              </w:rPr>
            </w:pPr>
          </w:p>
        </w:tc>
        <w:tc>
          <w:tcPr>
            <w:tcW w:w="0" w:type="auto"/>
            <w:gridSpan w:val="3"/>
            <w:vAlign w:val="center"/>
            <w:hideMark/>
          </w:tcPr>
          <w:p w14:paraId="7D774EEC" w14:textId="77777777" w:rsidR="00000000" w:rsidRDefault="0068293C">
            <w:pPr>
              <w:spacing w:after="100"/>
              <w:rPr>
                <w:rFonts w:eastAsia="Times New Roman"/>
                <w:sz w:val="20"/>
                <w:szCs w:val="20"/>
              </w:rPr>
            </w:pPr>
          </w:p>
        </w:tc>
        <w:tc>
          <w:tcPr>
            <w:tcW w:w="0" w:type="auto"/>
            <w:gridSpan w:val="3"/>
            <w:vAlign w:val="center"/>
            <w:hideMark/>
          </w:tcPr>
          <w:p w14:paraId="651B9D28" w14:textId="77777777" w:rsidR="00000000" w:rsidRDefault="0068293C">
            <w:pPr>
              <w:spacing w:after="100"/>
              <w:rPr>
                <w:rFonts w:eastAsia="Times New Roman"/>
                <w:sz w:val="20"/>
                <w:szCs w:val="20"/>
              </w:rPr>
            </w:pPr>
          </w:p>
        </w:tc>
        <w:tc>
          <w:tcPr>
            <w:tcW w:w="0" w:type="auto"/>
            <w:gridSpan w:val="3"/>
            <w:vAlign w:val="center"/>
            <w:hideMark/>
          </w:tcPr>
          <w:p w14:paraId="6F68F73F" w14:textId="77777777" w:rsidR="00000000" w:rsidRDefault="0068293C">
            <w:pPr>
              <w:spacing w:after="100"/>
              <w:rPr>
                <w:rFonts w:eastAsia="Times New Roman"/>
                <w:sz w:val="20"/>
                <w:szCs w:val="20"/>
              </w:rPr>
            </w:pPr>
          </w:p>
        </w:tc>
        <w:tc>
          <w:tcPr>
            <w:tcW w:w="0" w:type="auto"/>
            <w:gridSpan w:val="3"/>
            <w:vAlign w:val="center"/>
            <w:hideMark/>
          </w:tcPr>
          <w:p w14:paraId="28E2256C" w14:textId="77777777" w:rsidR="00000000" w:rsidRDefault="0068293C">
            <w:pPr>
              <w:spacing w:after="100"/>
              <w:rPr>
                <w:rFonts w:eastAsia="Times New Roman"/>
                <w:sz w:val="20"/>
                <w:szCs w:val="20"/>
              </w:rPr>
            </w:pPr>
          </w:p>
        </w:tc>
        <w:tc>
          <w:tcPr>
            <w:tcW w:w="0" w:type="auto"/>
            <w:gridSpan w:val="3"/>
            <w:vAlign w:val="center"/>
            <w:hideMark/>
          </w:tcPr>
          <w:p w14:paraId="06C26BB1" w14:textId="77777777" w:rsidR="00000000" w:rsidRDefault="0068293C">
            <w:pPr>
              <w:spacing w:after="100"/>
              <w:rPr>
                <w:rFonts w:eastAsia="Times New Roman"/>
                <w:sz w:val="20"/>
                <w:szCs w:val="20"/>
              </w:rPr>
            </w:pPr>
          </w:p>
        </w:tc>
        <w:tc>
          <w:tcPr>
            <w:tcW w:w="0" w:type="auto"/>
            <w:gridSpan w:val="3"/>
            <w:vAlign w:val="center"/>
            <w:hideMark/>
          </w:tcPr>
          <w:p w14:paraId="6BAA1567" w14:textId="77777777" w:rsidR="00000000" w:rsidRDefault="0068293C">
            <w:pPr>
              <w:spacing w:after="100"/>
              <w:rPr>
                <w:rFonts w:eastAsia="Times New Roman"/>
                <w:sz w:val="20"/>
                <w:szCs w:val="20"/>
              </w:rPr>
            </w:pPr>
          </w:p>
        </w:tc>
        <w:tc>
          <w:tcPr>
            <w:tcW w:w="0" w:type="auto"/>
            <w:gridSpan w:val="3"/>
            <w:vAlign w:val="center"/>
            <w:hideMark/>
          </w:tcPr>
          <w:p w14:paraId="770401C8" w14:textId="77777777" w:rsidR="00000000" w:rsidRDefault="0068293C">
            <w:pPr>
              <w:spacing w:after="100"/>
              <w:rPr>
                <w:rFonts w:eastAsia="Times New Roman"/>
                <w:sz w:val="20"/>
                <w:szCs w:val="20"/>
              </w:rPr>
            </w:pPr>
          </w:p>
        </w:tc>
        <w:tc>
          <w:tcPr>
            <w:tcW w:w="0" w:type="auto"/>
            <w:gridSpan w:val="3"/>
            <w:vAlign w:val="center"/>
            <w:hideMark/>
          </w:tcPr>
          <w:p w14:paraId="6FC54F1D" w14:textId="77777777" w:rsidR="00000000" w:rsidRDefault="0068293C">
            <w:pPr>
              <w:spacing w:after="100"/>
              <w:rPr>
                <w:rFonts w:eastAsia="Times New Roman"/>
                <w:sz w:val="20"/>
                <w:szCs w:val="20"/>
              </w:rPr>
            </w:pPr>
          </w:p>
        </w:tc>
      </w:tr>
      <w:tr w:rsidR="00000000" w14:paraId="21757F09" w14:textId="77777777">
        <w:trPr>
          <w:divId w:val="405225397"/>
          <w:jc w:val="center"/>
        </w:trPr>
        <w:tc>
          <w:tcPr>
            <w:tcW w:w="0" w:type="auto"/>
            <w:gridSpan w:val="3"/>
            <w:vAlign w:val="center"/>
            <w:hideMark/>
          </w:tcPr>
          <w:p w14:paraId="5E8E0865" w14:textId="77777777" w:rsidR="00000000" w:rsidRDefault="0068293C">
            <w:pPr>
              <w:spacing w:after="100"/>
              <w:rPr>
                <w:rFonts w:eastAsia="Times New Roman"/>
                <w:sz w:val="20"/>
                <w:szCs w:val="20"/>
              </w:rPr>
            </w:pPr>
          </w:p>
        </w:tc>
        <w:tc>
          <w:tcPr>
            <w:tcW w:w="0" w:type="auto"/>
            <w:gridSpan w:val="3"/>
            <w:vAlign w:val="center"/>
            <w:hideMark/>
          </w:tcPr>
          <w:p w14:paraId="09E4E07D" w14:textId="77777777" w:rsidR="00000000" w:rsidRDefault="0068293C">
            <w:pPr>
              <w:spacing w:after="100"/>
              <w:rPr>
                <w:rFonts w:eastAsia="Times New Roman"/>
                <w:sz w:val="20"/>
                <w:szCs w:val="20"/>
              </w:rPr>
            </w:pPr>
          </w:p>
        </w:tc>
        <w:tc>
          <w:tcPr>
            <w:tcW w:w="0" w:type="auto"/>
            <w:gridSpan w:val="3"/>
            <w:vAlign w:val="center"/>
            <w:hideMark/>
          </w:tcPr>
          <w:p w14:paraId="2C84CE10" w14:textId="77777777" w:rsidR="00000000" w:rsidRDefault="0068293C">
            <w:pPr>
              <w:spacing w:after="100"/>
              <w:rPr>
                <w:rFonts w:eastAsia="Times New Roman"/>
                <w:sz w:val="20"/>
                <w:szCs w:val="20"/>
              </w:rPr>
            </w:pPr>
          </w:p>
        </w:tc>
        <w:tc>
          <w:tcPr>
            <w:tcW w:w="0" w:type="auto"/>
            <w:gridSpan w:val="3"/>
            <w:vAlign w:val="center"/>
            <w:hideMark/>
          </w:tcPr>
          <w:p w14:paraId="7DE20D8E" w14:textId="77777777" w:rsidR="00000000" w:rsidRDefault="0068293C">
            <w:pPr>
              <w:spacing w:after="100"/>
              <w:rPr>
                <w:rFonts w:eastAsia="Times New Roman"/>
                <w:sz w:val="20"/>
                <w:szCs w:val="20"/>
              </w:rPr>
            </w:pPr>
          </w:p>
        </w:tc>
        <w:tc>
          <w:tcPr>
            <w:tcW w:w="0" w:type="auto"/>
            <w:gridSpan w:val="3"/>
            <w:vAlign w:val="center"/>
            <w:hideMark/>
          </w:tcPr>
          <w:p w14:paraId="642F074E" w14:textId="77777777" w:rsidR="00000000" w:rsidRDefault="0068293C">
            <w:pPr>
              <w:spacing w:after="100"/>
              <w:rPr>
                <w:rFonts w:eastAsia="Times New Roman"/>
                <w:sz w:val="20"/>
                <w:szCs w:val="20"/>
              </w:rPr>
            </w:pPr>
          </w:p>
        </w:tc>
        <w:tc>
          <w:tcPr>
            <w:tcW w:w="0" w:type="auto"/>
            <w:gridSpan w:val="3"/>
            <w:vAlign w:val="center"/>
            <w:hideMark/>
          </w:tcPr>
          <w:p w14:paraId="7B382BF3" w14:textId="77777777" w:rsidR="00000000" w:rsidRDefault="0068293C">
            <w:pPr>
              <w:spacing w:after="100"/>
              <w:rPr>
                <w:rFonts w:eastAsia="Times New Roman"/>
                <w:sz w:val="20"/>
                <w:szCs w:val="20"/>
              </w:rPr>
            </w:pPr>
          </w:p>
        </w:tc>
        <w:tc>
          <w:tcPr>
            <w:tcW w:w="0" w:type="auto"/>
            <w:gridSpan w:val="3"/>
            <w:vAlign w:val="center"/>
            <w:hideMark/>
          </w:tcPr>
          <w:p w14:paraId="34FB09B5" w14:textId="77777777" w:rsidR="00000000" w:rsidRDefault="0068293C">
            <w:pPr>
              <w:spacing w:after="100"/>
              <w:rPr>
                <w:rFonts w:eastAsia="Times New Roman"/>
                <w:sz w:val="20"/>
                <w:szCs w:val="20"/>
              </w:rPr>
            </w:pPr>
          </w:p>
        </w:tc>
        <w:tc>
          <w:tcPr>
            <w:tcW w:w="0" w:type="auto"/>
            <w:gridSpan w:val="3"/>
            <w:vAlign w:val="center"/>
            <w:hideMark/>
          </w:tcPr>
          <w:p w14:paraId="1DB0251F" w14:textId="77777777" w:rsidR="00000000" w:rsidRDefault="0068293C">
            <w:pPr>
              <w:spacing w:after="100"/>
              <w:rPr>
                <w:rFonts w:eastAsia="Times New Roman"/>
                <w:sz w:val="20"/>
                <w:szCs w:val="20"/>
              </w:rPr>
            </w:pPr>
          </w:p>
        </w:tc>
        <w:tc>
          <w:tcPr>
            <w:tcW w:w="0" w:type="auto"/>
            <w:gridSpan w:val="3"/>
            <w:vAlign w:val="center"/>
            <w:hideMark/>
          </w:tcPr>
          <w:p w14:paraId="098CCADD" w14:textId="77777777" w:rsidR="00000000" w:rsidRDefault="0068293C">
            <w:pPr>
              <w:spacing w:after="100"/>
              <w:rPr>
                <w:rFonts w:eastAsia="Times New Roman"/>
                <w:sz w:val="20"/>
                <w:szCs w:val="20"/>
              </w:rPr>
            </w:pPr>
          </w:p>
        </w:tc>
        <w:tc>
          <w:tcPr>
            <w:tcW w:w="0" w:type="auto"/>
            <w:gridSpan w:val="3"/>
            <w:vAlign w:val="center"/>
            <w:hideMark/>
          </w:tcPr>
          <w:p w14:paraId="794F4764" w14:textId="77777777" w:rsidR="00000000" w:rsidRDefault="0068293C">
            <w:pPr>
              <w:spacing w:after="100"/>
              <w:rPr>
                <w:rFonts w:eastAsia="Times New Roman"/>
                <w:sz w:val="20"/>
                <w:szCs w:val="20"/>
              </w:rPr>
            </w:pPr>
          </w:p>
        </w:tc>
        <w:tc>
          <w:tcPr>
            <w:tcW w:w="0" w:type="auto"/>
            <w:gridSpan w:val="3"/>
            <w:vAlign w:val="center"/>
            <w:hideMark/>
          </w:tcPr>
          <w:p w14:paraId="7172AFA0" w14:textId="77777777" w:rsidR="00000000" w:rsidRDefault="0068293C">
            <w:pPr>
              <w:spacing w:after="100"/>
              <w:rPr>
                <w:rFonts w:eastAsia="Times New Roman"/>
                <w:sz w:val="20"/>
                <w:szCs w:val="20"/>
              </w:rPr>
            </w:pPr>
          </w:p>
        </w:tc>
        <w:tc>
          <w:tcPr>
            <w:tcW w:w="0" w:type="auto"/>
            <w:gridSpan w:val="3"/>
            <w:vAlign w:val="center"/>
            <w:hideMark/>
          </w:tcPr>
          <w:p w14:paraId="57C88755" w14:textId="77777777" w:rsidR="00000000" w:rsidRDefault="0068293C">
            <w:pPr>
              <w:spacing w:after="100"/>
              <w:rPr>
                <w:rFonts w:eastAsia="Times New Roman"/>
                <w:sz w:val="20"/>
                <w:szCs w:val="20"/>
              </w:rPr>
            </w:pPr>
          </w:p>
        </w:tc>
        <w:tc>
          <w:tcPr>
            <w:tcW w:w="0" w:type="auto"/>
            <w:gridSpan w:val="3"/>
            <w:vAlign w:val="center"/>
            <w:hideMark/>
          </w:tcPr>
          <w:p w14:paraId="42FCAB9C" w14:textId="77777777" w:rsidR="00000000" w:rsidRDefault="0068293C">
            <w:pPr>
              <w:spacing w:after="100"/>
              <w:rPr>
                <w:rFonts w:eastAsia="Times New Roman"/>
                <w:sz w:val="20"/>
                <w:szCs w:val="20"/>
              </w:rPr>
            </w:pPr>
          </w:p>
        </w:tc>
        <w:tc>
          <w:tcPr>
            <w:tcW w:w="0" w:type="auto"/>
            <w:gridSpan w:val="3"/>
            <w:vAlign w:val="center"/>
            <w:hideMark/>
          </w:tcPr>
          <w:p w14:paraId="72505071" w14:textId="77777777" w:rsidR="00000000" w:rsidRDefault="0068293C">
            <w:pPr>
              <w:spacing w:after="100"/>
              <w:rPr>
                <w:rFonts w:eastAsia="Times New Roman"/>
                <w:sz w:val="20"/>
                <w:szCs w:val="20"/>
              </w:rPr>
            </w:pPr>
          </w:p>
        </w:tc>
        <w:tc>
          <w:tcPr>
            <w:tcW w:w="0" w:type="auto"/>
            <w:gridSpan w:val="3"/>
            <w:vAlign w:val="center"/>
            <w:hideMark/>
          </w:tcPr>
          <w:p w14:paraId="0E2AF7EA" w14:textId="77777777" w:rsidR="00000000" w:rsidRDefault="0068293C">
            <w:pPr>
              <w:spacing w:after="100"/>
              <w:rPr>
                <w:rFonts w:eastAsia="Times New Roman"/>
                <w:sz w:val="20"/>
                <w:szCs w:val="20"/>
              </w:rPr>
            </w:pPr>
          </w:p>
        </w:tc>
      </w:tr>
      <w:tr w:rsidR="00000000" w14:paraId="62F7E244" w14:textId="77777777">
        <w:trPr>
          <w:divId w:val="405225397"/>
          <w:jc w:val="center"/>
        </w:trPr>
        <w:tc>
          <w:tcPr>
            <w:tcW w:w="0" w:type="auto"/>
            <w:gridSpan w:val="3"/>
            <w:vAlign w:val="center"/>
            <w:hideMark/>
          </w:tcPr>
          <w:p w14:paraId="33974A7F" w14:textId="77777777" w:rsidR="00000000" w:rsidRDefault="0068293C">
            <w:pPr>
              <w:spacing w:after="100"/>
              <w:rPr>
                <w:rFonts w:eastAsia="Times New Roman"/>
                <w:sz w:val="20"/>
                <w:szCs w:val="20"/>
              </w:rPr>
            </w:pPr>
          </w:p>
        </w:tc>
        <w:tc>
          <w:tcPr>
            <w:tcW w:w="0" w:type="auto"/>
            <w:gridSpan w:val="3"/>
            <w:vAlign w:val="center"/>
            <w:hideMark/>
          </w:tcPr>
          <w:p w14:paraId="4E11B5E4" w14:textId="77777777" w:rsidR="00000000" w:rsidRDefault="0068293C">
            <w:pPr>
              <w:spacing w:after="100"/>
              <w:rPr>
                <w:rFonts w:eastAsia="Times New Roman"/>
                <w:sz w:val="20"/>
                <w:szCs w:val="20"/>
              </w:rPr>
            </w:pPr>
          </w:p>
        </w:tc>
        <w:tc>
          <w:tcPr>
            <w:tcW w:w="0" w:type="auto"/>
            <w:gridSpan w:val="3"/>
            <w:vAlign w:val="center"/>
            <w:hideMark/>
          </w:tcPr>
          <w:p w14:paraId="187BB7CF" w14:textId="77777777" w:rsidR="00000000" w:rsidRDefault="0068293C">
            <w:pPr>
              <w:spacing w:after="100"/>
              <w:rPr>
                <w:rFonts w:eastAsia="Times New Roman"/>
                <w:sz w:val="20"/>
                <w:szCs w:val="20"/>
              </w:rPr>
            </w:pPr>
          </w:p>
        </w:tc>
        <w:tc>
          <w:tcPr>
            <w:tcW w:w="0" w:type="auto"/>
            <w:gridSpan w:val="3"/>
            <w:vAlign w:val="center"/>
            <w:hideMark/>
          </w:tcPr>
          <w:p w14:paraId="5D473AB7" w14:textId="77777777" w:rsidR="00000000" w:rsidRDefault="0068293C">
            <w:pPr>
              <w:spacing w:after="100"/>
              <w:rPr>
                <w:rFonts w:eastAsia="Times New Roman"/>
                <w:sz w:val="20"/>
                <w:szCs w:val="20"/>
              </w:rPr>
            </w:pPr>
          </w:p>
        </w:tc>
        <w:tc>
          <w:tcPr>
            <w:tcW w:w="0" w:type="auto"/>
            <w:gridSpan w:val="3"/>
            <w:vAlign w:val="center"/>
            <w:hideMark/>
          </w:tcPr>
          <w:p w14:paraId="10A4795E" w14:textId="77777777" w:rsidR="00000000" w:rsidRDefault="0068293C">
            <w:pPr>
              <w:spacing w:after="100"/>
              <w:rPr>
                <w:rFonts w:eastAsia="Times New Roman"/>
                <w:sz w:val="20"/>
                <w:szCs w:val="20"/>
              </w:rPr>
            </w:pPr>
          </w:p>
        </w:tc>
        <w:tc>
          <w:tcPr>
            <w:tcW w:w="0" w:type="auto"/>
            <w:gridSpan w:val="3"/>
            <w:vAlign w:val="center"/>
            <w:hideMark/>
          </w:tcPr>
          <w:p w14:paraId="10D0BA6E" w14:textId="77777777" w:rsidR="00000000" w:rsidRDefault="0068293C">
            <w:pPr>
              <w:spacing w:after="100"/>
              <w:rPr>
                <w:rFonts w:eastAsia="Times New Roman"/>
                <w:sz w:val="20"/>
                <w:szCs w:val="20"/>
              </w:rPr>
            </w:pPr>
          </w:p>
        </w:tc>
        <w:tc>
          <w:tcPr>
            <w:tcW w:w="0" w:type="auto"/>
            <w:gridSpan w:val="3"/>
            <w:vAlign w:val="center"/>
            <w:hideMark/>
          </w:tcPr>
          <w:p w14:paraId="328CD90A" w14:textId="77777777" w:rsidR="00000000" w:rsidRDefault="0068293C">
            <w:pPr>
              <w:spacing w:after="100"/>
              <w:rPr>
                <w:rFonts w:eastAsia="Times New Roman"/>
                <w:sz w:val="20"/>
                <w:szCs w:val="20"/>
              </w:rPr>
            </w:pPr>
          </w:p>
        </w:tc>
        <w:tc>
          <w:tcPr>
            <w:tcW w:w="0" w:type="auto"/>
            <w:gridSpan w:val="3"/>
            <w:vAlign w:val="center"/>
            <w:hideMark/>
          </w:tcPr>
          <w:p w14:paraId="606F2E9F" w14:textId="77777777" w:rsidR="00000000" w:rsidRDefault="0068293C">
            <w:pPr>
              <w:spacing w:after="100"/>
              <w:rPr>
                <w:rFonts w:eastAsia="Times New Roman"/>
                <w:sz w:val="20"/>
                <w:szCs w:val="20"/>
              </w:rPr>
            </w:pPr>
          </w:p>
        </w:tc>
        <w:tc>
          <w:tcPr>
            <w:tcW w:w="0" w:type="auto"/>
            <w:gridSpan w:val="3"/>
            <w:vAlign w:val="center"/>
            <w:hideMark/>
          </w:tcPr>
          <w:p w14:paraId="245C695F" w14:textId="77777777" w:rsidR="00000000" w:rsidRDefault="0068293C">
            <w:pPr>
              <w:spacing w:after="100"/>
              <w:rPr>
                <w:rFonts w:eastAsia="Times New Roman"/>
                <w:sz w:val="20"/>
                <w:szCs w:val="20"/>
              </w:rPr>
            </w:pPr>
          </w:p>
        </w:tc>
        <w:tc>
          <w:tcPr>
            <w:tcW w:w="0" w:type="auto"/>
            <w:gridSpan w:val="3"/>
            <w:vAlign w:val="center"/>
            <w:hideMark/>
          </w:tcPr>
          <w:p w14:paraId="084332AA" w14:textId="77777777" w:rsidR="00000000" w:rsidRDefault="0068293C">
            <w:pPr>
              <w:spacing w:after="100"/>
              <w:rPr>
                <w:rFonts w:eastAsia="Times New Roman"/>
                <w:sz w:val="20"/>
                <w:szCs w:val="20"/>
              </w:rPr>
            </w:pPr>
          </w:p>
        </w:tc>
        <w:tc>
          <w:tcPr>
            <w:tcW w:w="0" w:type="auto"/>
            <w:gridSpan w:val="3"/>
            <w:vAlign w:val="center"/>
            <w:hideMark/>
          </w:tcPr>
          <w:p w14:paraId="14FB4C5F" w14:textId="77777777" w:rsidR="00000000" w:rsidRDefault="0068293C">
            <w:pPr>
              <w:spacing w:after="100"/>
              <w:rPr>
                <w:rFonts w:eastAsia="Times New Roman"/>
                <w:sz w:val="20"/>
                <w:szCs w:val="20"/>
              </w:rPr>
            </w:pPr>
          </w:p>
        </w:tc>
        <w:tc>
          <w:tcPr>
            <w:tcW w:w="0" w:type="auto"/>
            <w:gridSpan w:val="3"/>
            <w:vAlign w:val="center"/>
            <w:hideMark/>
          </w:tcPr>
          <w:p w14:paraId="07AD9D3A" w14:textId="77777777" w:rsidR="00000000" w:rsidRDefault="0068293C">
            <w:pPr>
              <w:spacing w:after="100"/>
              <w:rPr>
                <w:rFonts w:eastAsia="Times New Roman"/>
                <w:sz w:val="20"/>
                <w:szCs w:val="20"/>
              </w:rPr>
            </w:pPr>
          </w:p>
        </w:tc>
        <w:tc>
          <w:tcPr>
            <w:tcW w:w="0" w:type="auto"/>
            <w:gridSpan w:val="3"/>
            <w:vAlign w:val="center"/>
            <w:hideMark/>
          </w:tcPr>
          <w:p w14:paraId="2A755CD7" w14:textId="77777777" w:rsidR="00000000" w:rsidRDefault="0068293C">
            <w:pPr>
              <w:spacing w:after="100"/>
              <w:rPr>
                <w:rFonts w:eastAsia="Times New Roman"/>
                <w:sz w:val="20"/>
                <w:szCs w:val="20"/>
              </w:rPr>
            </w:pPr>
          </w:p>
        </w:tc>
        <w:tc>
          <w:tcPr>
            <w:tcW w:w="0" w:type="auto"/>
            <w:gridSpan w:val="3"/>
            <w:vAlign w:val="center"/>
            <w:hideMark/>
          </w:tcPr>
          <w:p w14:paraId="7377625E" w14:textId="77777777" w:rsidR="00000000" w:rsidRDefault="0068293C">
            <w:pPr>
              <w:spacing w:after="100"/>
              <w:rPr>
                <w:rFonts w:eastAsia="Times New Roman"/>
                <w:sz w:val="20"/>
                <w:szCs w:val="20"/>
              </w:rPr>
            </w:pPr>
          </w:p>
        </w:tc>
        <w:tc>
          <w:tcPr>
            <w:tcW w:w="0" w:type="auto"/>
            <w:gridSpan w:val="3"/>
            <w:vAlign w:val="center"/>
            <w:hideMark/>
          </w:tcPr>
          <w:p w14:paraId="4605AE2E" w14:textId="77777777" w:rsidR="00000000" w:rsidRDefault="0068293C">
            <w:pPr>
              <w:spacing w:after="100"/>
              <w:rPr>
                <w:rFonts w:eastAsia="Times New Roman"/>
                <w:sz w:val="20"/>
                <w:szCs w:val="20"/>
              </w:rPr>
            </w:pPr>
          </w:p>
        </w:tc>
      </w:tr>
      <w:tr w:rsidR="00000000" w14:paraId="09A406E6" w14:textId="77777777">
        <w:trPr>
          <w:divId w:val="405225397"/>
          <w:jc w:val="center"/>
        </w:trPr>
        <w:tc>
          <w:tcPr>
            <w:tcW w:w="0" w:type="auto"/>
            <w:gridSpan w:val="3"/>
            <w:vAlign w:val="center"/>
            <w:hideMark/>
          </w:tcPr>
          <w:p w14:paraId="5AB03673" w14:textId="77777777" w:rsidR="00000000" w:rsidRDefault="0068293C">
            <w:pPr>
              <w:spacing w:after="100"/>
              <w:rPr>
                <w:rFonts w:eastAsia="Times New Roman"/>
                <w:sz w:val="20"/>
                <w:szCs w:val="20"/>
              </w:rPr>
            </w:pPr>
          </w:p>
        </w:tc>
        <w:tc>
          <w:tcPr>
            <w:tcW w:w="0" w:type="auto"/>
            <w:gridSpan w:val="3"/>
            <w:vAlign w:val="center"/>
            <w:hideMark/>
          </w:tcPr>
          <w:p w14:paraId="3525BB43" w14:textId="77777777" w:rsidR="00000000" w:rsidRDefault="0068293C">
            <w:pPr>
              <w:spacing w:after="100"/>
              <w:rPr>
                <w:rFonts w:eastAsia="Times New Roman"/>
                <w:sz w:val="20"/>
                <w:szCs w:val="20"/>
              </w:rPr>
            </w:pPr>
          </w:p>
        </w:tc>
        <w:tc>
          <w:tcPr>
            <w:tcW w:w="0" w:type="auto"/>
            <w:gridSpan w:val="3"/>
            <w:vAlign w:val="center"/>
            <w:hideMark/>
          </w:tcPr>
          <w:p w14:paraId="038DB8E2" w14:textId="77777777" w:rsidR="00000000" w:rsidRDefault="0068293C">
            <w:pPr>
              <w:spacing w:after="100"/>
              <w:rPr>
                <w:rFonts w:eastAsia="Times New Roman"/>
                <w:sz w:val="20"/>
                <w:szCs w:val="20"/>
              </w:rPr>
            </w:pPr>
          </w:p>
        </w:tc>
        <w:tc>
          <w:tcPr>
            <w:tcW w:w="0" w:type="auto"/>
            <w:gridSpan w:val="3"/>
            <w:vAlign w:val="center"/>
            <w:hideMark/>
          </w:tcPr>
          <w:p w14:paraId="6EFA6AC6" w14:textId="77777777" w:rsidR="00000000" w:rsidRDefault="0068293C">
            <w:pPr>
              <w:spacing w:after="100"/>
              <w:rPr>
                <w:rFonts w:eastAsia="Times New Roman"/>
                <w:sz w:val="20"/>
                <w:szCs w:val="20"/>
              </w:rPr>
            </w:pPr>
          </w:p>
        </w:tc>
        <w:tc>
          <w:tcPr>
            <w:tcW w:w="0" w:type="auto"/>
            <w:gridSpan w:val="3"/>
            <w:vAlign w:val="center"/>
            <w:hideMark/>
          </w:tcPr>
          <w:p w14:paraId="17DF225F" w14:textId="77777777" w:rsidR="00000000" w:rsidRDefault="0068293C">
            <w:pPr>
              <w:spacing w:after="100"/>
              <w:rPr>
                <w:rFonts w:eastAsia="Times New Roman"/>
                <w:sz w:val="20"/>
                <w:szCs w:val="20"/>
              </w:rPr>
            </w:pPr>
          </w:p>
        </w:tc>
        <w:tc>
          <w:tcPr>
            <w:tcW w:w="0" w:type="auto"/>
            <w:gridSpan w:val="3"/>
            <w:vAlign w:val="center"/>
            <w:hideMark/>
          </w:tcPr>
          <w:p w14:paraId="6636547A" w14:textId="77777777" w:rsidR="00000000" w:rsidRDefault="0068293C">
            <w:pPr>
              <w:spacing w:after="100"/>
              <w:rPr>
                <w:rFonts w:eastAsia="Times New Roman"/>
                <w:sz w:val="20"/>
                <w:szCs w:val="20"/>
              </w:rPr>
            </w:pPr>
          </w:p>
        </w:tc>
        <w:tc>
          <w:tcPr>
            <w:tcW w:w="0" w:type="auto"/>
            <w:gridSpan w:val="3"/>
            <w:vAlign w:val="center"/>
            <w:hideMark/>
          </w:tcPr>
          <w:p w14:paraId="4D53AE7A" w14:textId="77777777" w:rsidR="00000000" w:rsidRDefault="0068293C">
            <w:pPr>
              <w:spacing w:after="100"/>
              <w:rPr>
                <w:rFonts w:eastAsia="Times New Roman"/>
                <w:sz w:val="20"/>
                <w:szCs w:val="20"/>
              </w:rPr>
            </w:pPr>
          </w:p>
        </w:tc>
        <w:tc>
          <w:tcPr>
            <w:tcW w:w="0" w:type="auto"/>
            <w:gridSpan w:val="3"/>
            <w:vAlign w:val="center"/>
            <w:hideMark/>
          </w:tcPr>
          <w:p w14:paraId="1E595637" w14:textId="77777777" w:rsidR="00000000" w:rsidRDefault="0068293C">
            <w:pPr>
              <w:spacing w:after="100"/>
              <w:rPr>
                <w:rFonts w:eastAsia="Times New Roman"/>
                <w:sz w:val="20"/>
                <w:szCs w:val="20"/>
              </w:rPr>
            </w:pPr>
          </w:p>
        </w:tc>
        <w:tc>
          <w:tcPr>
            <w:tcW w:w="0" w:type="auto"/>
            <w:gridSpan w:val="3"/>
            <w:vAlign w:val="center"/>
            <w:hideMark/>
          </w:tcPr>
          <w:p w14:paraId="644D31ED" w14:textId="77777777" w:rsidR="00000000" w:rsidRDefault="0068293C">
            <w:pPr>
              <w:spacing w:after="100"/>
              <w:rPr>
                <w:rFonts w:eastAsia="Times New Roman"/>
                <w:sz w:val="20"/>
                <w:szCs w:val="20"/>
              </w:rPr>
            </w:pPr>
          </w:p>
        </w:tc>
        <w:tc>
          <w:tcPr>
            <w:tcW w:w="0" w:type="auto"/>
            <w:gridSpan w:val="3"/>
            <w:vAlign w:val="center"/>
            <w:hideMark/>
          </w:tcPr>
          <w:p w14:paraId="008148EA" w14:textId="77777777" w:rsidR="00000000" w:rsidRDefault="0068293C">
            <w:pPr>
              <w:spacing w:after="100"/>
              <w:rPr>
                <w:rFonts w:eastAsia="Times New Roman"/>
                <w:sz w:val="20"/>
                <w:szCs w:val="20"/>
              </w:rPr>
            </w:pPr>
          </w:p>
        </w:tc>
        <w:tc>
          <w:tcPr>
            <w:tcW w:w="0" w:type="auto"/>
            <w:gridSpan w:val="3"/>
            <w:vAlign w:val="center"/>
            <w:hideMark/>
          </w:tcPr>
          <w:p w14:paraId="7AD6D720" w14:textId="77777777" w:rsidR="00000000" w:rsidRDefault="0068293C">
            <w:pPr>
              <w:spacing w:after="100"/>
              <w:rPr>
                <w:rFonts w:eastAsia="Times New Roman"/>
                <w:sz w:val="20"/>
                <w:szCs w:val="20"/>
              </w:rPr>
            </w:pPr>
          </w:p>
        </w:tc>
        <w:tc>
          <w:tcPr>
            <w:tcW w:w="0" w:type="auto"/>
            <w:gridSpan w:val="3"/>
            <w:vAlign w:val="center"/>
            <w:hideMark/>
          </w:tcPr>
          <w:p w14:paraId="1F07E795" w14:textId="77777777" w:rsidR="00000000" w:rsidRDefault="0068293C">
            <w:pPr>
              <w:spacing w:after="100"/>
              <w:rPr>
                <w:rFonts w:eastAsia="Times New Roman"/>
                <w:sz w:val="20"/>
                <w:szCs w:val="20"/>
              </w:rPr>
            </w:pPr>
          </w:p>
        </w:tc>
        <w:tc>
          <w:tcPr>
            <w:tcW w:w="0" w:type="auto"/>
            <w:gridSpan w:val="3"/>
            <w:vAlign w:val="center"/>
            <w:hideMark/>
          </w:tcPr>
          <w:p w14:paraId="0D4BEF03" w14:textId="77777777" w:rsidR="00000000" w:rsidRDefault="0068293C">
            <w:pPr>
              <w:spacing w:after="100"/>
              <w:rPr>
                <w:rFonts w:eastAsia="Times New Roman"/>
                <w:sz w:val="20"/>
                <w:szCs w:val="20"/>
              </w:rPr>
            </w:pPr>
          </w:p>
        </w:tc>
        <w:tc>
          <w:tcPr>
            <w:tcW w:w="0" w:type="auto"/>
            <w:gridSpan w:val="3"/>
            <w:vAlign w:val="center"/>
            <w:hideMark/>
          </w:tcPr>
          <w:p w14:paraId="351CFC30" w14:textId="77777777" w:rsidR="00000000" w:rsidRDefault="0068293C">
            <w:pPr>
              <w:spacing w:after="100"/>
              <w:rPr>
                <w:rFonts w:eastAsia="Times New Roman"/>
                <w:sz w:val="20"/>
                <w:szCs w:val="20"/>
              </w:rPr>
            </w:pPr>
          </w:p>
        </w:tc>
        <w:tc>
          <w:tcPr>
            <w:tcW w:w="0" w:type="auto"/>
            <w:gridSpan w:val="3"/>
            <w:vAlign w:val="center"/>
            <w:hideMark/>
          </w:tcPr>
          <w:p w14:paraId="34039CD3" w14:textId="77777777" w:rsidR="00000000" w:rsidRDefault="0068293C">
            <w:pPr>
              <w:spacing w:after="100"/>
              <w:rPr>
                <w:rFonts w:eastAsia="Times New Roman"/>
                <w:sz w:val="20"/>
                <w:szCs w:val="20"/>
              </w:rPr>
            </w:pPr>
          </w:p>
        </w:tc>
      </w:tr>
      <w:tr w:rsidR="00000000" w14:paraId="009B9A85" w14:textId="77777777">
        <w:trPr>
          <w:divId w:val="405225397"/>
          <w:jc w:val="center"/>
        </w:trPr>
        <w:tc>
          <w:tcPr>
            <w:tcW w:w="0" w:type="auto"/>
            <w:gridSpan w:val="3"/>
            <w:vAlign w:val="center"/>
            <w:hideMark/>
          </w:tcPr>
          <w:p w14:paraId="74A95A87" w14:textId="77777777" w:rsidR="00000000" w:rsidRDefault="0068293C">
            <w:pPr>
              <w:spacing w:after="100"/>
              <w:rPr>
                <w:rFonts w:eastAsia="Times New Roman"/>
                <w:sz w:val="20"/>
                <w:szCs w:val="20"/>
              </w:rPr>
            </w:pPr>
          </w:p>
        </w:tc>
        <w:tc>
          <w:tcPr>
            <w:tcW w:w="0" w:type="auto"/>
            <w:gridSpan w:val="3"/>
            <w:vAlign w:val="center"/>
            <w:hideMark/>
          </w:tcPr>
          <w:p w14:paraId="2002D6FE" w14:textId="77777777" w:rsidR="00000000" w:rsidRDefault="0068293C">
            <w:pPr>
              <w:spacing w:after="100"/>
              <w:rPr>
                <w:rFonts w:eastAsia="Times New Roman"/>
                <w:sz w:val="20"/>
                <w:szCs w:val="20"/>
              </w:rPr>
            </w:pPr>
          </w:p>
        </w:tc>
        <w:tc>
          <w:tcPr>
            <w:tcW w:w="0" w:type="auto"/>
            <w:gridSpan w:val="3"/>
            <w:vAlign w:val="center"/>
            <w:hideMark/>
          </w:tcPr>
          <w:p w14:paraId="27FEA21F" w14:textId="77777777" w:rsidR="00000000" w:rsidRDefault="0068293C">
            <w:pPr>
              <w:spacing w:after="100"/>
              <w:rPr>
                <w:rFonts w:eastAsia="Times New Roman"/>
                <w:sz w:val="20"/>
                <w:szCs w:val="20"/>
              </w:rPr>
            </w:pPr>
          </w:p>
        </w:tc>
        <w:tc>
          <w:tcPr>
            <w:tcW w:w="0" w:type="auto"/>
            <w:gridSpan w:val="3"/>
            <w:vAlign w:val="center"/>
            <w:hideMark/>
          </w:tcPr>
          <w:p w14:paraId="6E9E3C8D" w14:textId="77777777" w:rsidR="00000000" w:rsidRDefault="0068293C">
            <w:pPr>
              <w:spacing w:after="100"/>
              <w:rPr>
                <w:rFonts w:eastAsia="Times New Roman"/>
                <w:sz w:val="20"/>
                <w:szCs w:val="20"/>
              </w:rPr>
            </w:pPr>
          </w:p>
        </w:tc>
        <w:tc>
          <w:tcPr>
            <w:tcW w:w="0" w:type="auto"/>
            <w:gridSpan w:val="3"/>
            <w:vAlign w:val="center"/>
            <w:hideMark/>
          </w:tcPr>
          <w:p w14:paraId="4785DD64" w14:textId="77777777" w:rsidR="00000000" w:rsidRDefault="0068293C">
            <w:pPr>
              <w:spacing w:after="100"/>
              <w:rPr>
                <w:rFonts w:eastAsia="Times New Roman"/>
                <w:sz w:val="20"/>
                <w:szCs w:val="20"/>
              </w:rPr>
            </w:pPr>
          </w:p>
        </w:tc>
        <w:tc>
          <w:tcPr>
            <w:tcW w:w="0" w:type="auto"/>
            <w:gridSpan w:val="3"/>
            <w:vAlign w:val="center"/>
            <w:hideMark/>
          </w:tcPr>
          <w:p w14:paraId="758B1C04" w14:textId="77777777" w:rsidR="00000000" w:rsidRDefault="0068293C">
            <w:pPr>
              <w:spacing w:after="100"/>
              <w:rPr>
                <w:rFonts w:eastAsia="Times New Roman"/>
                <w:sz w:val="20"/>
                <w:szCs w:val="20"/>
              </w:rPr>
            </w:pPr>
          </w:p>
        </w:tc>
        <w:tc>
          <w:tcPr>
            <w:tcW w:w="0" w:type="auto"/>
            <w:gridSpan w:val="3"/>
            <w:vAlign w:val="center"/>
            <w:hideMark/>
          </w:tcPr>
          <w:p w14:paraId="74BECBB9" w14:textId="77777777" w:rsidR="00000000" w:rsidRDefault="0068293C">
            <w:pPr>
              <w:spacing w:after="100"/>
              <w:rPr>
                <w:rFonts w:eastAsia="Times New Roman"/>
                <w:sz w:val="20"/>
                <w:szCs w:val="20"/>
              </w:rPr>
            </w:pPr>
          </w:p>
        </w:tc>
        <w:tc>
          <w:tcPr>
            <w:tcW w:w="0" w:type="auto"/>
            <w:gridSpan w:val="3"/>
            <w:vAlign w:val="center"/>
            <w:hideMark/>
          </w:tcPr>
          <w:p w14:paraId="569A653A" w14:textId="77777777" w:rsidR="00000000" w:rsidRDefault="0068293C">
            <w:pPr>
              <w:spacing w:after="100"/>
              <w:rPr>
                <w:rFonts w:eastAsia="Times New Roman"/>
                <w:sz w:val="20"/>
                <w:szCs w:val="20"/>
              </w:rPr>
            </w:pPr>
          </w:p>
        </w:tc>
        <w:tc>
          <w:tcPr>
            <w:tcW w:w="0" w:type="auto"/>
            <w:gridSpan w:val="3"/>
            <w:vAlign w:val="center"/>
            <w:hideMark/>
          </w:tcPr>
          <w:p w14:paraId="7C2A46FF" w14:textId="77777777" w:rsidR="00000000" w:rsidRDefault="0068293C">
            <w:pPr>
              <w:spacing w:after="100"/>
              <w:rPr>
                <w:rFonts w:eastAsia="Times New Roman"/>
                <w:sz w:val="20"/>
                <w:szCs w:val="20"/>
              </w:rPr>
            </w:pPr>
          </w:p>
        </w:tc>
        <w:tc>
          <w:tcPr>
            <w:tcW w:w="0" w:type="auto"/>
            <w:gridSpan w:val="3"/>
            <w:vAlign w:val="center"/>
            <w:hideMark/>
          </w:tcPr>
          <w:p w14:paraId="7CF2982C" w14:textId="77777777" w:rsidR="00000000" w:rsidRDefault="0068293C">
            <w:pPr>
              <w:spacing w:after="100"/>
              <w:rPr>
                <w:rFonts w:eastAsia="Times New Roman"/>
                <w:sz w:val="20"/>
                <w:szCs w:val="20"/>
              </w:rPr>
            </w:pPr>
          </w:p>
        </w:tc>
        <w:tc>
          <w:tcPr>
            <w:tcW w:w="0" w:type="auto"/>
            <w:gridSpan w:val="3"/>
            <w:vAlign w:val="center"/>
            <w:hideMark/>
          </w:tcPr>
          <w:p w14:paraId="01C4D3CA" w14:textId="77777777" w:rsidR="00000000" w:rsidRDefault="0068293C">
            <w:pPr>
              <w:spacing w:after="100"/>
              <w:rPr>
                <w:rFonts w:eastAsia="Times New Roman"/>
                <w:sz w:val="20"/>
                <w:szCs w:val="20"/>
              </w:rPr>
            </w:pPr>
          </w:p>
        </w:tc>
        <w:tc>
          <w:tcPr>
            <w:tcW w:w="0" w:type="auto"/>
            <w:gridSpan w:val="3"/>
            <w:vAlign w:val="center"/>
            <w:hideMark/>
          </w:tcPr>
          <w:p w14:paraId="76FD8CF9" w14:textId="77777777" w:rsidR="00000000" w:rsidRDefault="0068293C">
            <w:pPr>
              <w:spacing w:after="100"/>
              <w:rPr>
                <w:rFonts w:eastAsia="Times New Roman"/>
                <w:sz w:val="20"/>
                <w:szCs w:val="20"/>
              </w:rPr>
            </w:pPr>
          </w:p>
        </w:tc>
        <w:tc>
          <w:tcPr>
            <w:tcW w:w="0" w:type="auto"/>
            <w:gridSpan w:val="3"/>
            <w:vAlign w:val="center"/>
            <w:hideMark/>
          </w:tcPr>
          <w:p w14:paraId="78162D2F" w14:textId="77777777" w:rsidR="00000000" w:rsidRDefault="0068293C">
            <w:pPr>
              <w:spacing w:after="100"/>
              <w:rPr>
                <w:rFonts w:eastAsia="Times New Roman"/>
                <w:sz w:val="20"/>
                <w:szCs w:val="20"/>
              </w:rPr>
            </w:pPr>
          </w:p>
        </w:tc>
        <w:tc>
          <w:tcPr>
            <w:tcW w:w="0" w:type="auto"/>
            <w:gridSpan w:val="3"/>
            <w:vAlign w:val="center"/>
            <w:hideMark/>
          </w:tcPr>
          <w:p w14:paraId="05D0573E" w14:textId="77777777" w:rsidR="00000000" w:rsidRDefault="0068293C">
            <w:pPr>
              <w:spacing w:after="100"/>
              <w:rPr>
                <w:rFonts w:eastAsia="Times New Roman"/>
                <w:sz w:val="20"/>
                <w:szCs w:val="20"/>
              </w:rPr>
            </w:pPr>
          </w:p>
        </w:tc>
        <w:tc>
          <w:tcPr>
            <w:tcW w:w="0" w:type="auto"/>
            <w:gridSpan w:val="3"/>
            <w:vAlign w:val="center"/>
            <w:hideMark/>
          </w:tcPr>
          <w:p w14:paraId="24AFA00B" w14:textId="77777777" w:rsidR="00000000" w:rsidRDefault="0068293C">
            <w:pPr>
              <w:spacing w:after="100"/>
              <w:rPr>
                <w:rFonts w:eastAsia="Times New Roman"/>
                <w:sz w:val="20"/>
                <w:szCs w:val="20"/>
              </w:rPr>
            </w:pPr>
          </w:p>
        </w:tc>
      </w:tr>
      <w:tr w:rsidR="00000000" w14:paraId="38D52556" w14:textId="77777777">
        <w:trPr>
          <w:divId w:val="405225397"/>
          <w:jc w:val="center"/>
        </w:trPr>
        <w:tc>
          <w:tcPr>
            <w:tcW w:w="0" w:type="auto"/>
            <w:gridSpan w:val="3"/>
            <w:vAlign w:val="center"/>
            <w:hideMark/>
          </w:tcPr>
          <w:p w14:paraId="6C838F98" w14:textId="77777777" w:rsidR="00000000" w:rsidRDefault="0068293C">
            <w:pPr>
              <w:spacing w:after="100"/>
              <w:rPr>
                <w:rFonts w:eastAsia="Times New Roman"/>
                <w:sz w:val="20"/>
                <w:szCs w:val="20"/>
              </w:rPr>
            </w:pPr>
          </w:p>
        </w:tc>
        <w:tc>
          <w:tcPr>
            <w:tcW w:w="0" w:type="auto"/>
            <w:gridSpan w:val="3"/>
            <w:vAlign w:val="center"/>
            <w:hideMark/>
          </w:tcPr>
          <w:p w14:paraId="0E28ABAA" w14:textId="77777777" w:rsidR="00000000" w:rsidRDefault="0068293C">
            <w:pPr>
              <w:spacing w:after="100"/>
              <w:rPr>
                <w:rFonts w:eastAsia="Times New Roman"/>
                <w:sz w:val="20"/>
                <w:szCs w:val="20"/>
              </w:rPr>
            </w:pPr>
          </w:p>
        </w:tc>
        <w:tc>
          <w:tcPr>
            <w:tcW w:w="0" w:type="auto"/>
            <w:gridSpan w:val="3"/>
            <w:vAlign w:val="center"/>
            <w:hideMark/>
          </w:tcPr>
          <w:p w14:paraId="494E57EC" w14:textId="77777777" w:rsidR="00000000" w:rsidRDefault="0068293C">
            <w:pPr>
              <w:spacing w:after="100"/>
              <w:rPr>
                <w:rFonts w:eastAsia="Times New Roman"/>
                <w:sz w:val="20"/>
                <w:szCs w:val="20"/>
              </w:rPr>
            </w:pPr>
          </w:p>
        </w:tc>
        <w:tc>
          <w:tcPr>
            <w:tcW w:w="0" w:type="auto"/>
            <w:gridSpan w:val="3"/>
            <w:vAlign w:val="center"/>
            <w:hideMark/>
          </w:tcPr>
          <w:p w14:paraId="5D8FD74B" w14:textId="77777777" w:rsidR="00000000" w:rsidRDefault="0068293C">
            <w:pPr>
              <w:spacing w:after="100"/>
              <w:rPr>
                <w:rFonts w:eastAsia="Times New Roman"/>
                <w:sz w:val="20"/>
                <w:szCs w:val="20"/>
              </w:rPr>
            </w:pPr>
          </w:p>
        </w:tc>
        <w:tc>
          <w:tcPr>
            <w:tcW w:w="0" w:type="auto"/>
            <w:gridSpan w:val="3"/>
            <w:vAlign w:val="center"/>
            <w:hideMark/>
          </w:tcPr>
          <w:p w14:paraId="72433AED" w14:textId="77777777" w:rsidR="00000000" w:rsidRDefault="0068293C">
            <w:pPr>
              <w:spacing w:after="100"/>
              <w:rPr>
                <w:rFonts w:eastAsia="Times New Roman"/>
                <w:sz w:val="20"/>
                <w:szCs w:val="20"/>
              </w:rPr>
            </w:pPr>
          </w:p>
        </w:tc>
        <w:tc>
          <w:tcPr>
            <w:tcW w:w="0" w:type="auto"/>
            <w:gridSpan w:val="3"/>
            <w:vAlign w:val="center"/>
            <w:hideMark/>
          </w:tcPr>
          <w:p w14:paraId="18387868" w14:textId="77777777" w:rsidR="00000000" w:rsidRDefault="0068293C">
            <w:pPr>
              <w:spacing w:after="100"/>
              <w:rPr>
                <w:rFonts w:eastAsia="Times New Roman"/>
                <w:sz w:val="20"/>
                <w:szCs w:val="20"/>
              </w:rPr>
            </w:pPr>
          </w:p>
        </w:tc>
        <w:tc>
          <w:tcPr>
            <w:tcW w:w="0" w:type="auto"/>
            <w:gridSpan w:val="3"/>
            <w:vAlign w:val="center"/>
            <w:hideMark/>
          </w:tcPr>
          <w:p w14:paraId="496FED3F" w14:textId="77777777" w:rsidR="00000000" w:rsidRDefault="0068293C">
            <w:pPr>
              <w:spacing w:after="100"/>
              <w:rPr>
                <w:rFonts w:eastAsia="Times New Roman"/>
                <w:sz w:val="20"/>
                <w:szCs w:val="20"/>
              </w:rPr>
            </w:pPr>
          </w:p>
        </w:tc>
        <w:tc>
          <w:tcPr>
            <w:tcW w:w="0" w:type="auto"/>
            <w:gridSpan w:val="3"/>
            <w:vAlign w:val="center"/>
            <w:hideMark/>
          </w:tcPr>
          <w:p w14:paraId="65ED5DF4" w14:textId="77777777" w:rsidR="00000000" w:rsidRDefault="0068293C">
            <w:pPr>
              <w:spacing w:after="100"/>
              <w:rPr>
                <w:rFonts w:eastAsia="Times New Roman"/>
                <w:sz w:val="20"/>
                <w:szCs w:val="20"/>
              </w:rPr>
            </w:pPr>
          </w:p>
        </w:tc>
        <w:tc>
          <w:tcPr>
            <w:tcW w:w="0" w:type="auto"/>
            <w:gridSpan w:val="3"/>
            <w:vAlign w:val="center"/>
            <w:hideMark/>
          </w:tcPr>
          <w:p w14:paraId="5E3A5233" w14:textId="77777777" w:rsidR="00000000" w:rsidRDefault="0068293C">
            <w:pPr>
              <w:spacing w:after="100"/>
              <w:rPr>
                <w:rFonts w:eastAsia="Times New Roman"/>
                <w:sz w:val="20"/>
                <w:szCs w:val="20"/>
              </w:rPr>
            </w:pPr>
          </w:p>
        </w:tc>
        <w:tc>
          <w:tcPr>
            <w:tcW w:w="0" w:type="auto"/>
            <w:gridSpan w:val="3"/>
            <w:vAlign w:val="center"/>
            <w:hideMark/>
          </w:tcPr>
          <w:p w14:paraId="7E705254" w14:textId="77777777" w:rsidR="00000000" w:rsidRDefault="0068293C">
            <w:pPr>
              <w:spacing w:after="100"/>
              <w:rPr>
                <w:rFonts w:eastAsia="Times New Roman"/>
                <w:sz w:val="20"/>
                <w:szCs w:val="20"/>
              </w:rPr>
            </w:pPr>
          </w:p>
        </w:tc>
        <w:tc>
          <w:tcPr>
            <w:tcW w:w="0" w:type="auto"/>
            <w:gridSpan w:val="3"/>
            <w:vAlign w:val="center"/>
            <w:hideMark/>
          </w:tcPr>
          <w:p w14:paraId="36135E9F" w14:textId="77777777" w:rsidR="00000000" w:rsidRDefault="0068293C">
            <w:pPr>
              <w:spacing w:after="100"/>
              <w:rPr>
                <w:rFonts w:eastAsia="Times New Roman"/>
                <w:sz w:val="20"/>
                <w:szCs w:val="20"/>
              </w:rPr>
            </w:pPr>
          </w:p>
        </w:tc>
        <w:tc>
          <w:tcPr>
            <w:tcW w:w="0" w:type="auto"/>
            <w:gridSpan w:val="3"/>
            <w:vAlign w:val="center"/>
            <w:hideMark/>
          </w:tcPr>
          <w:p w14:paraId="2021C837" w14:textId="77777777" w:rsidR="00000000" w:rsidRDefault="0068293C">
            <w:pPr>
              <w:spacing w:after="100"/>
              <w:rPr>
                <w:rFonts w:eastAsia="Times New Roman"/>
                <w:sz w:val="20"/>
                <w:szCs w:val="20"/>
              </w:rPr>
            </w:pPr>
          </w:p>
        </w:tc>
        <w:tc>
          <w:tcPr>
            <w:tcW w:w="0" w:type="auto"/>
            <w:gridSpan w:val="3"/>
            <w:vAlign w:val="center"/>
            <w:hideMark/>
          </w:tcPr>
          <w:p w14:paraId="4B0AA046" w14:textId="77777777" w:rsidR="00000000" w:rsidRDefault="0068293C">
            <w:pPr>
              <w:spacing w:after="100"/>
              <w:rPr>
                <w:rFonts w:eastAsia="Times New Roman"/>
                <w:sz w:val="20"/>
                <w:szCs w:val="20"/>
              </w:rPr>
            </w:pPr>
          </w:p>
        </w:tc>
        <w:tc>
          <w:tcPr>
            <w:tcW w:w="0" w:type="auto"/>
            <w:gridSpan w:val="3"/>
            <w:vAlign w:val="center"/>
            <w:hideMark/>
          </w:tcPr>
          <w:p w14:paraId="71B38368" w14:textId="77777777" w:rsidR="00000000" w:rsidRDefault="0068293C">
            <w:pPr>
              <w:spacing w:after="100"/>
              <w:rPr>
                <w:rFonts w:eastAsia="Times New Roman"/>
                <w:sz w:val="20"/>
                <w:szCs w:val="20"/>
              </w:rPr>
            </w:pPr>
          </w:p>
        </w:tc>
        <w:tc>
          <w:tcPr>
            <w:tcW w:w="0" w:type="auto"/>
            <w:gridSpan w:val="3"/>
            <w:vAlign w:val="center"/>
            <w:hideMark/>
          </w:tcPr>
          <w:p w14:paraId="0EC50ECA" w14:textId="77777777" w:rsidR="00000000" w:rsidRDefault="0068293C">
            <w:pPr>
              <w:spacing w:after="100"/>
              <w:rPr>
                <w:rFonts w:eastAsia="Times New Roman"/>
                <w:sz w:val="20"/>
                <w:szCs w:val="20"/>
              </w:rPr>
            </w:pPr>
          </w:p>
        </w:tc>
      </w:tr>
      <w:tr w:rsidR="00000000" w14:paraId="300743CA" w14:textId="77777777">
        <w:trPr>
          <w:divId w:val="405225397"/>
          <w:jc w:val="center"/>
        </w:trPr>
        <w:tc>
          <w:tcPr>
            <w:tcW w:w="0" w:type="auto"/>
            <w:gridSpan w:val="3"/>
            <w:vAlign w:val="center"/>
            <w:hideMark/>
          </w:tcPr>
          <w:p w14:paraId="640638CB" w14:textId="77777777" w:rsidR="00000000" w:rsidRDefault="0068293C">
            <w:pPr>
              <w:spacing w:after="100"/>
              <w:rPr>
                <w:rFonts w:eastAsia="Times New Roman"/>
                <w:sz w:val="20"/>
                <w:szCs w:val="20"/>
              </w:rPr>
            </w:pPr>
          </w:p>
        </w:tc>
        <w:tc>
          <w:tcPr>
            <w:tcW w:w="0" w:type="auto"/>
            <w:gridSpan w:val="3"/>
            <w:vAlign w:val="center"/>
            <w:hideMark/>
          </w:tcPr>
          <w:p w14:paraId="5DBDBACE" w14:textId="77777777" w:rsidR="00000000" w:rsidRDefault="0068293C">
            <w:pPr>
              <w:spacing w:after="100"/>
              <w:rPr>
                <w:rFonts w:eastAsia="Times New Roman"/>
                <w:sz w:val="20"/>
                <w:szCs w:val="20"/>
              </w:rPr>
            </w:pPr>
          </w:p>
        </w:tc>
        <w:tc>
          <w:tcPr>
            <w:tcW w:w="0" w:type="auto"/>
            <w:gridSpan w:val="3"/>
            <w:vAlign w:val="center"/>
            <w:hideMark/>
          </w:tcPr>
          <w:p w14:paraId="52B462BA" w14:textId="77777777" w:rsidR="00000000" w:rsidRDefault="0068293C">
            <w:pPr>
              <w:spacing w:after="100"/>
              <w:rPr>
                <w:rFonts w:eastAsia="Times New Roman"/>
                <w:sz w:val="20"/>
                <w:szCs w:val="20"/>
              </w:rPr>
            </w:pPr>
          </w:p>
        </w:tc>
        <w:tc>
          <w:tcPr>
            <w:tcW w:w="0" w:type="auto"/>
            <w:gridSpan w:val="3"/>
            <w:vAlign w:val="center"/>
            <w:hideMark/>
          </w:tcPr>
          <w:p w14:paraId="6D3C5701" w14:textId="77777777" w:rsidR="00000000" w:rsidRDefault="0068293C">
            <w:pPr>
              <w:spacing w:after="100"/>
              <w:rPr>
                <w:rFonts w:eastAsia="Times New Roman"/>
                <w:sz w:val="20"/>
                <w:szCs w:val="20"/>
              </w:rPr>
            </w:pPr>
          </w:p>
        </w:tc>
        <w:tc>
          <w:tcPr>
            <w:tcW w:w="0" w:type="auto"/>
            <w:gridSpan w:val="3"/>
            <w:vAlign w:val="center"/>
            <w:hideMark/>
          </w:tcPr>
          <w:p w14:paraId="3EE2AE9C" w14:textId="77777777" w:rsidR="00000000" w:rsidRDefault="0068293C">
            <w:pPr>
              <w:spacing w:after="100"/>
              <w:rPr>
                <w:rFonts w:eastAsia="Times New Roman"/>
                <w:sz w:val="20"/>
                <w:szCs w:val="20"/>
              </w:rPr>
            </w:pPr>
          </w:p>
        </w:tc>
        <w:tc>
          <w:tcPr>
            <w:tcW w:w="0" w:type="auto"/>
            <w:gridSpan w:val="3"/>
            <w:vAlign w:val="center"/>
            <w:hideMark/>
          </w:tcPr>
          <w:p w14:paraId="19516A38" w14:textId="77777777" w:rsidR="00000000" w:rsidRDefault="0068293C">
            <w:pPr>
              <w:spacing w:after="100"/>
              <w:rPr>
                <w:rFonts w:eastAsia="Times New Roman"/>
                <w:sz w:val="20"/>
                <w:szCs w:val="20"/>
              </w:rPr>
            </w:pPr>
          </w:p>
        </w:tc>
        <w:tc>
          <w:tcPr>
            <w:tcW w:w="0" w:type="auto"/>
            <w:gridSpan w:val="3"/>
            <w:vAlign w:val="center"/>
            <w:hideMark/>
          </w:tcPr>
          <w:p w14:paraId="6364AE20" w14:textId="77777777" w:rsidR="00000000" w:rsidRDefault="0068293C">
            <w:pPr>
              <w:spacing w:after="100"/>
              <w:rPr>
                <w:rFonts w:eastAsia="Times New Roman"/>
                <w:sz w:val="20"/>
                <w:szCs w:val="20"/>
              </w:rPr>
            </w:pPr>
          </w:p>
        </w:tc>
        <w:tc>
          <w:tcPr>
            <w:tcW w:w="0" w:type="auto"/>
            <w:gridSpan w:val="3"/>
            <w:vAlign w:val="center"/>
            <w:hideMark/>
          </w:tcPr>
          <w:p w14:paraId="2878DBEA" w14:textId="77777777" w:rsidR="00000000" w:rsidRDefault="0068293C">
            <w:pPr>
              <w:spacing w:after="100"/>
              <w:rPr>
                <w:rFonts w:eastAsia="Times New Roman"/>
                <w:sz w:val="20"/>
                <w:szCs w:val="20"/>
              </w:rPr>
            </w:pPr>
          </w:p>
        </w:tc>
        <w:tc>
          <w:tcPr>
            <w:tcW w:w="0" w:type="auto"/>
            <w:gridSpan w:val="3"/>
            <w:vAlign w:val="center"/>
            <w:hideMark/>
          </w:tcPr>
          <w:p w14:paraId="3F997520" w14:textId="77777777" w:rsidR="00000000" w:rsidRDefault="0068293C">
            <w:pPr>
              <w:spacing w:after="100"/>
              <w:rPr>
                <w:rFonts w:eastAsia="Times New Roman"/>
                <w:sz w:val="20"/>
                <w:szCs w:val="20"/>
              </w:rPr>
            </w:pPr>
          </w:p>
        </w:tc>
        <w:tc>
          <w:tcPr>
            <w:tcW w:w="0" w:type="auto"/>
            <w:gridSpan w:val="3"/>
            <w:vAlign w:val="center"/>
            <w:hideMark/>
          </w:tcPr>
          <w:p w14:paraId="7D2F33A6" w14:textId="77777777" w:rsidR="00000000" w:rsidRDefault="0068293C">
            <w:pPr>
              <w:spacing w:after="100"/>
              <w:rPr>
                <w:rFonts w:eastAsia="Times New Roman"/>
                <w:sz w:val="20"/>
                <w:szCs w:val="20"/>
              </w:rPr>
            </w:pPr>
          </w:p>
        </w:tc>
        <w:tc>
          <w:tcPr>
            <w:tcW w:w="0" w:type="auto"/>
            <w:gridSpan w:val="3"/>
            <w:vAlign w:val="center"/>
            <w:hideMark/>
          </w:tcPr>
          <w:p w14:paraId="16DD5E25" w14:textId="77777777" w:rsidR="00000000" w:rsidRDefault="0068293C">
            <w:pPr>
              <w:spacing w:after="100"/>
              <w:rPr>
                <w:rFonts w:eastAsia="Times New Roman"/>
                <w:sz w:val="20"/>
                <w:szCs w:val="20"/>
              </w:rPr>
            </w:pPr>
          </w:p>
        </w:tc>
        <w:tc>
          <w:tcPr>
            <w:tcW w:w="0" w:type="auto"/>
            <w:gridSpan w:val="3"/>
            <w:vAlign w:val="center"/>
            <w:hideMark/>
          </w:tcPr>
          <w:p w14:paraId="45716837" w14:textId="77777777" w:rsidR="00000000" w:rsidRDefault="0068293C">
            <w:pPr>
              <w:spacing w:after="100"/>
              <w:rPr>
                <w:rFonts w:eastAsia="Times New Roman"/>
                <w:sz w:val="20"/>
                <w:szCs w:val="20"/>
              </w:rPr>
            </w:pPr>
          </w:p>
        </w:tc>
        <w:tc>
          <w:tcPr>
            <w:tcW w:w="0" w:type="auto"/>
            <w:gridSpan w:val="3"/>
            <w:vAlign w:val="center"/>
            <w:hideMark/>
          </w:tcPr>
          <w:p w14:paraId="2AB7D75B" w14:textId="77777777" w:rsidR="00000000" w:rsidRDefault="0068293C">
            <w:pPr>
              <w:spacing w:after="100"/>
              <w:rPr>
                <w:rFonts w:eastAsia="Times New Roman"/>
                <w:sz w:val="20"/>
                <w:szCs w:val="20"/>
              </w:rPr>
            </w:pPr>
          </w:p>
        </w:tc>
        <w:tc>
          <w:tcPr>
            <w:tcW w:w="0" w:type="auto"/>
            <w:gridSpan w:val="3"/>
            <w:vAlign w:val="center"/>
            <w:hideMark/>
          </w:tcPr>
          <w:p w14:paraId="69CD7B93" w14:textId="77777777" w:rsidR="00000000" w:rsidRDefault="0068293C">
            <w:pPr>
              <w:spacing w:after="100"/>
              <w:rPr>
                <w:rFonts w:eastAsia="Times New Roman"/>
                <w:sz w:val="20"/>
                <w:szCs w:val="20"/>
              </w:rPr>
            </w:pPr>
          </w:p>
        </w:tc>
        <w:tc>
          <w:tcPr>
            <w:tcW w:w="0" w:type="auto"/>
            <w:gridSpan w:val="3"/>
            <w:vAlign w:val="center"/>
            <w:hideMark/>
          </w:tcPr>
          <w:p w14:paraId="0B0A951E" w14:textId="77777777" w:rsidR="00000000" w:rsidRDefault="0068293C">
            <w:pPr>
              <w:spacing w:after="100"/>
              <w:rPr>
                <w:rFonts w:eastAsia="Times New Roman"/>
                <w:sz w:val="20"/>
                <w:szCs w:val="20"/>
              </w:rPr>
            </w:pPr>
          </w:p>
        </w:tc>
      </w:tr>
      <w:tr w:rsidR="00000000" w14:paraId="280CB086" w14:textId="77777777">
        <w:trPr>
          <w:divId w:val="405225397"/>
          <w:jc w:val="center"/>
        </w:trPr>
        <w:tc>
          <w:tcPr>
            <w:tcW w:w="0" w:type="auto"/>
            <w:gridSpan w:val="3"/>
            <w:vAlign w:val="center"/>
            <w:hideMark/>
          </w:tcPr>
          <w:p w14:paraId="21C07673" w14:textId="77777777" w:rsidR="00000000" w:rsidRDefault="0068293C">
            <w:pPr>
              <w:spacing w:after="100"/>
              <w:rPr>
                <w:rFonts w:eastAsia="Times New Roman"/>
                <w:sz w:val="20"/>
                <w:szCs w:val="20"/>
              </w:rPr>
            </w:pPr>
          </w:p>
        </w:tc>
        <w:tc>
          <w:tcPr>
            <w:tcW w:w="0" w:type="auto"/>
            <w:gridSpan w:val="3"/>
            <w:vAlign w:val="center"/>
            <w:hideMark/>
          </w:tcPr>
          <w:p w14:paraId="6F8CD9FD" w14:textId="77777777" w:rsidR="00000000" w:rsidRDefault="0068293C">
            <w:pPr>
              <w:spacing w:after="100"/>
              <w:rPr>
                <w:rFonts w:eastAsia="Times New Roman"/>
                <w:sz w:val="20"/>
                <w:szCs w:val="20"/>
              </w:rPr>
            </w:pPr>
          </w:p>
        </w:tc>
        <w:tc>
          <w:tcPr>
            <w:tcW w:w="0" w:type="auto"/>
            <w:gridSpan w:val="3"/>
            <w:vAlign w:val="center"/>
            <w:hideMark/>
          </w:tcPr>
          <w:p w14:paraId="0993B24E" w14:textId="77777777" w:rsidR="00000000" w:rsidRDefault="0068293C">
            <w:pPr>
              <w:spacing w:after="100"/>
              <w:rPr>
                <w:rFonts w:eastAsia="Times New Roman"/>
                <w:sz w:val="20"/>
                <w:szCs w:val="20"/>
              </w:rPr>
            </w:pPr>
          </w:p>
        </w:tc>
        <w:tc>
          <w:tcPr>
            <w:tcW w:w="0" w:type="auto"/>
            <w:gridSpan w:val="3"/>
            <w:vAlign w:val="center"/>
            <w:hideMark/>
          </w:tcPr>
          <w:p w14:paraId="022C0353" w14:textId="77777777" w:rsidR="00000000" w:rsidRDefault="0068293C">
            <w:pPr>
              <w:spacing w:after="100"/>
              <w:rPr>
                <w:rFonts w:eastAsia="Times New Roman"/>
                <w:sz w:val="20"/>
                <w:szCs w:val="20"/>
              </w:rPr>
            </w:pPr>
          </w:p>
        </w:tc>
        <w:tc>
          <w:tcPr>
            <w:tcW w:w="0" w:type="auto"/>
            <w:gridSpan w:val="3"/>
            <w:vAlign w:val="center"/>
            <w:hideMark/>
          </w:tcPr>
          <w:p w14:paraId="6D884856" w14:textId="77777777" w:rsidR="00000000" w:rsidRDefault="0068293C">
            <w:pPr>
              <w:spacing w:after="100"/>
              <w:rPr>
                <w:rFonts w:eastAsia="Times New Roman"/>
                <w:sz w:val="20"/>
                <w:szCs w:val="20"/>
              </w:rPr>
            </w:pPr>
          </w:p>
        </w:tc>
        <w:tc>
          <w:tcPr>
            <w:tcW w:w="0" w:type="auto"/>
            <w:gridSpan w:val="3"/>
            <w:vAlign w:val="center"/>
            <w:hideMark/>
          </w:tcPr>
          <w:p w14:paraId="204C0C80" w14:textId="77777777" w:rsidR="00000000" w:rsidRDefault="0068293C">
            <w:pPr>
              <w:spacing w:after="100"/>
              <w:rPr>
                <w:rFonts w:eastAsia="Times New Roman"/>
                <w:sz w:val="20"/>
                <w:szCs w:val="20"/>
              </w:rPr>
            </w:pPr>
          </w:p>
        </w:tc>
        <w:tc>
          <w:tcPr>
            <w:tcW w:w="0" w:type="auto"/>
            <w:gridSpan w:val="3"/>
            <w:vAlign w:val="center"/>
            <w:hideMark/>
          </w:tcPr>
          <w:p w14:paraId="20883B48" w14:textId="77777777" w:rsidR="00000000" w:rsidRDefault="0068293C">
            <w:pPr>
              <w:spacing w:after="100"/>
              <w:rPr>
                <w:rFonts w:eastAsia="Times New Roman"/>
                <w:sz w:val="20"/>
                <w:szCs w:val="20"/>
              </w:rPr>
            </w:pPr>
          </w:p>
        </w:tc>
        <w:tc>
          <w:tcPr>
            <w:tcW w:w="0" w:type="auto"/>
            <w:gridSpan w:val="3"/>
            <w:vAlign w:val="center"/>
            <w:hideMark/>
          </w:tcPr>
          <w:p w14:paraId="2556F626" w14:textId="77777777" w:rsidR="00000000" w:rsidRDefault="0068293C">
            <w:pPr>
              <w:spacing w:after="100"/>
              <w:rPr>
                <w:rFonts w:eastAsia="Times New Roman"/>
                <w:sz w:val="20"/>
                <w:szCs w:val="20"/>
              </w:rPr>
            </w:pPr>
          </w:p>
        </w:tc>
        <w:tc>
          <w:tcPr>
            <w:tcW w:w="0" w:type="auto"/>
            <w:gridSpan w:val="3"/>
            <w:vAlign w:val="center"/>
            <w:hideMark/>
          </w:tcPr>
          <w:p w14:paraId="142DE41A" w14:textId="77777777" w:rsidR="00000000" w:rsidRDefault="0068293C">
            <w:pPr>
              <w:spacing w:after="100"/>
              <w:rPr>
                <w:rFonts w:eastAsia="Times New Roman"/>
                <w:sz w:val="20"/>
                <w:szCs w:val="20"/>
              </w:rPr>
            </w:pPr>
          </w:p>
        </w:tc>
        <w:tc>
          <w:tcPr>
            <w:tcW w:w="0" w:type="auto"/>
            <w:gridSpan w:val="3"/>
            <w:vAlign w:val="center"/>
            <w:hideMark/>
          </w:tcPr>
          <w:p w14:paraId="3F947A2F" w14:textId="77777777" w:rsidR="00000000" w:rsidRDefault="0068293C">
            <w:pPr>
              <w:spacing w:after="100"/>
              <w:rPr>
                <w:rFonts w:eastAsia="Times New Roman"/>
                <w:sz w:val="20"/>
                <w:szCs w:val="20"/>
              </w:rPr>
            </w:pPr>
          </w:p>
        </w:tc>
        <w:tc>
          <w:tcPr>
            <w:tcW w:w="0" w:type="auto"/>
            <w:gridSpan w:val="3"/>
            <w:vAlign w:val="center"/>
            <w:hideMark/>
          </w:tcPr>
          <w:p w14:paraId="3E203484" w14:textId="77777777" w:rsidR="00000000" w:rsidRDefault="0068293C">
            <w:pPr>
              <w:spacing w:after="100"/>
              <w:rPr>
                <w:rFonts w:eastAsia="Times New Roman"/>
                <w:sz w:val="20"/>
                <w:szCs w:val="20"/>
              </w:rPr>
            </w:pPr>
          </w:p>
        </w:tc>
        <w:tc>
          <w:tcPr>
            <w:tcW w:w="0" w:type="auto"/>
            <w:gridSpan w:val="3"/>
            <w:vAlign w:val="center"/>
            <w:hideMark/>
          </w:tcPr>
          <w:p w14:paraId="748B84D1" w14:textId="77777777" w:rsidR="00000000" w:rsidRDefault="0068293C">
            <w:pPr>
              <w:spacing w:after="100"/>
              <w:rPr>
                <w:rFonts w:eastAsia="Times New Roman"/>
                <w:sz w:val="20"/>
                <w:szCs w:val="20"/>
              </w:rPr>
            </w:pPr>
          </w:p>
        </w:tc>
        <w:tc>
          <w:tcPr>
            <w:tcW w:w="0" w:type="auto"/>
            <w:gridSpan w:val="3"/>
            <w:vAlign w:val="center"/>
            <w:hideMark/>
          </w:tcPr>
          <w:p w14:paraId="2773301A" w14:textId="77777777" w:rsidR="00000000" w:rsidRDefault="0068293C">
            <w:pPr>
              <w:spacing w:after="100"/>
              <w:rPr>
                <w:rFonts w:eastAsia="Times New Roman"/>
                <w:sz w:val="20"/>
                <w:szCs w:val="20"/>
              </w:rPr>
            </w:pPr>
          </w:p>
        </w:tc>
        <w:tc>
          <w:tcPr>
            <w:tcW w:w="0" w:type="auto"/>
            <w:gridSpan w:val="3"/>
            <w:vAlign w:val="center"/>
            <w:hideMark/>
          </w:tcPr>
          <w:p w14:paraId="090917C3" w14:textId="77777777" w:rsidR="00000000" w:rsidRDefault="0068293C">
            <w:pPr>
              <w:spacing w:after="100"/>
              <w:rPr>
                <w:rFonts w:eastAsia="Times New Roman"/>
                <w:sz w:val="20"/>
                <w:szCs w:val="20"/>
              </w:rPr>
            </w:pPr>
          </w:p>
        </w:tc>
        <w:tc>
          <w:tcPr>
            <w:tcW w:w="0" w:type="auto"/>
            <w:gridSpan w:val="3"/>
            <w:vAlign w:val="center"/>
            <w:hideMark/>
          </w:tcPr>
          <w:p w14:paraId="3CE13DCD" w14:textId="77777777" w:rsidR="00000000" w:rsidRDefault="0068293C">
            <w:pPr>
              <w:spacing w:after="100"/>
              <w:rPr>
                <w:rFonts w:eastAsia="Times New Roman"/>
                <w:sz w:val="20"/>
                <w:szCs w:val="20"/>
              </w:rPr>
            </w:pPr>
          </w:p>
        </w:tc>
      </w:tr>
      <w:tr w:rsidR="00000000" w14:paraId="178B13AA" w14:textId="77777777">
        <w:trPr>
          <w:divId w:val="405225397"/>
          <w:jc w:val="center"/>
        </w:trPr>
        <w:tc>
          <w:tcPr>
            <w:tcW w:w="0" w:type="auto"/>
            <w:gridSpan w:val="3"/>
            <w:vAlign w:val="center"/>
            <w:hideMark/>
          </w:tcPr>
          <w:p w14:paraId="09DCD05C" w14:textId="77777777" w:rsidR="00000000" w:rsidRDefault="0068293C">
            <w:pPr>
              <w:spacing w:after="100"/>
              <w:rPr>
                <w:rFonts w:eastAsia="Times New Roman"/>
                <w:sz w:val="20"/>
                <w:szCs w:val="20"/>
              </w:rPr>
            </w:pPr>
          </w:p>
        </w:tc>
        <w:tc>
          <w:tcPr>
            <w:tcW w:w="0" w:type="auto"/>
            <w:gridSpan w:val="3"/>
            <w:vAlign w:val="center"/>
            <w:hideMark/>
          </w:tcPr>
          <w:p w14:paraId="77321E6E" w14:textId="77777777" w:rsidR="00000000" w:rsidRDefault="0068293C">
            <w:pPr>
              <w:spacing w:after="100"/>
              <w:rPr>
                <w:rFonts w:eastAsia="Times New Roman"/>
                <w:sz w:val="20"/>
                <w:szCs w:val="20"/>
              </w:rPr>
            </w:pPr>
          </w:p>
        </w:tc>
        <w:tc>
          <w:tcPr>
            <w:tcW w:w="0" w:type="auto"/>
            <w:gridSpan w:val="3"/>
            <w:vAlign w:val="center"/>
            <w:hideMark/>
          </w:tcPr>
          <w:p w14:paraId="58C646F7" w14:textId="77777777" w:rsidR="00000000" w:rsidRDefault="0068293C">
            <w:pPr>
              <w:spacing w:after="100"/>
              <w:rPr>
                <w:rFonts w:eastAsia="Times New Roman"/>
                <w:sz w:val="20"/>
                <w:szCs w:val="20"/>
              </w:rPr>
            </w:pPr>
          </w:p>
        </w:tc>
        <w:tc>
          <w:tcPr>
            <w:tcW w:w="0" w:type="auto"/>
            <w:gridSpan w:val="3"/>
            <w:vAlign w:val="center"/>
            <w:hideMark/>
          </w:tcPr>
          <w:p w14:paraId="499D45E0" w14:textId="77777777" w:rsidR="00000000" w:rsidRDefault="0068293C">
            <w:pPr>
              <w:spacing w:after="100"/>
              <w:rPr>
                <w:rFonts w:eastAsia="Times New Roman"/>
                <w:sz w:val="20"/>
                <w:szCs w:val="20"/>
              </w:rPr>
            </w:pPr>
          </w:p>
        </w:tc>
        <w:tc>
          <w:tcPr>
            <w:tcW w:w="0" w:type="auto"/>
            <w:gridSpan w:val="3"/>
            <w:vAlign w:val="center"/>
            <w:hideMark/>
          </w:tcPr>
          <w:p w14:paraId="318E7B8A" w14:textId="77777777" w:rsidR="00000000" w:rsidRDefault="0068293C">
            <w:pPr>
              <w:spacing w:after="100"/>
              <w:rPr>
                <w:rFonts w:eastAsia="Times New Roman"/>
                <w:sz w:val="20"/>
                <w:szCs w:val="20"/>
              </w:rPr>
            </w:pPr>
          </w:p>
        </w:tc>
        <w:tc>
          <w:tcPr>
            <w:tcW w:w="0" w:type="auto"/>
            <w:gridSpan w:val="3"/>
            <w:vAlign w:val="center"/>
            <w:hideMark/>
          </w:tcPr>
          <w:p w14:paraId="42263CD1" w14:textId="77777777" w:rsidR="00000000" w:rsidRDefault="0068293C">
            <w:pPr>
              <w:spacing w:after="100"/>
              <w:rPr>
                <w:rFonts w:eastAsia="Times New Roman"/>
                <w:sz w:val="20"/>
                <w:szCs w:val="20"/>
              </w:rPr>
            </w:pPr>
          </w:p>
        </w:tc>
        <w:tc>
          <w:tcPr>
            <w:tcW w:w="0" w:type="auto"/>
            <w:gridSpan w:val="3"/>
            <w:vAlign w:val="center"/>
            <w:hideMark/>
          </w:tcPr>
          <w:p w14:paraId="4FF7F60A" w14:textId="77777777" w:rsidR="00000000" w:rsidRDefault="0068293C">
            <w:pPr>
              <w:spacing w:after="100"/>
              <w:rPr>
                <w:rFonts w:eastAsia="Times New Roman"/>
                <w:sz w:val="20"/>
                <w:szCs w:val="20"/>
              </w:rPr>
            </w:pPr>
          </w:p>
        </w:tc>
        <w:tc>
          <w:tcPr>
            <w:tcW w:w="0" w:type="auto"/>
            <w:gridSpan w:val="3"/>
            <w:vAlign w:val="center"/>
            <w:hideMark/>
          </w:tcPr>
          <w:p w14:paraId="76A6CED9" w14:textId="77777777" w:rsidR="00000000" w:rsidRDefault="0068293C">
            <w:pPr>
              <w:spacing w:after="100"/>
              <w:rPr>
                <w:rFonts w:eastAsia="Times New Roman"/>
                <w:sz w:val="20"/>
                <w:szCs w:val="20"/>
              </w:rPr>
            </w:pPr>
          </w:p>
        </w:tc>
        <w:tc>
          <w:tcPr>
            <w:tcW w:w="0" w:type="auto"/>
            <w:gridSpan w:val="3"/>
            <w:vAlign w:val="center"/>
            <w:hideMark/>
          </w:tcPr>
          <w:p w14:paraId="785A4647" w14:textId="77777777" w:rsidR="00000000" w:rsidRDefault="0068293C">
            <w:pPr>
              <w:spacing w:after="100"/>
              <w:rPr>
                <w:rFonts w:eastAsia="Times New Roman"/>
                <w:sz w:val="20"/>
                <w:szCs w:val="20"/>
              </w:rPr>
            </w:pPr>
          </w:p>
        </w:tc>
        <w:tc>
          <w:tcPr>
            <w:tcW w:w="0" w:type="auto"/>
            <w:gridSpan w:val="3"/>
            <w:vAlign w:val="center"/>
            <w:hideMark/>
          </w:tcPr>
          <w:p w14:paraId="3A46FDEA" w14:textId="77777777" w:rsidR="00000000" w:rsidRDefault="0068293C">
            <w:pPr>
              <w:spacing w:after="100"/>
              <w:rPr>
                <w:rFonts w:eastAsia="Times New Roman"/>
                <w:sz w:val="20"/>
                <w:szCs w:val="20"/>
              </w:rPr>
            </w:pPr>
          </w:p>
        </w:tc>
        <w:tc>
          <w:tcPr>
            <w:tcW w:w="0" w:type="auto"/>
            <w:gridSpan w:val="3"/>
            <w:vAlign w:val="center"/>
            <w:hideMark/>
          </w:tcPr>
          <w:p w14:paraId="5087D80B" w14:textId="77777777" w:rsidR="00000000" w:rsidRDefault="0068293C">
            <w:pPr>
              <w:spacing w:after="100"/>
              <w:rPr>
                <w:rFonts w:eastAsia="Times New Roman"/>
                <w:sz w:val="20"/>
                <w:szCs w:val="20"/>
              </w:rPr>
            </w:pPr>
          </w:p>
        </w:tc>
        <w:tc>
          <w:tcPr>
            <w:tcW w:w="0" w:type="auto"/>
            <w:gridSpan w:val="3"/>
            <w:vAlign w:val="center"/>
            <w:hideMark/>
          </w:tcPr>
          <w:p w14:paraId="0677F644" w14:textId="77777777" w:rsidR="00000000" w:rsidRDefault="0068293C">
            <w:pPr>
              <w:spacing w:after="100"/>
              <w:rPr>
                <w:rFonts w:eastAsia="Times New Roman"/>
                <w:sz w:val="20"/>
                <w:szCs w:val="20"/>
              </w:rPr>
            </w:pPr>
          </w:p>
        </w:tc>
        <w:tc>
          <w:tcPr>
            <w:tcW w:w="0" w:type="auto"/>
            <w:gridSpan w:val="3"/>
            <w:vAlign w:val="center"/>
            <w:hideMark/>
          </w:tcPr>
          <w:p w14:paraId="432F4121" w14:textId="77777777" w:rsidR="00000000" w:rsidRDefault="0068293C">
            <w:pPr>
              <w:spacing w:after="100"/>
              <w:rPr>
                <w:rFonts w:eastAsia="Times New Roman"/>
                <w:sz w:val="20"/>
                <w:szCs w:val="20"/>
              </w:rPr>
            </w:pPr>
          </w:p>
        </w:tc>
        <w:tc>
          <w:tcPr>
            <w:tcW w:w="0" w:type="auto"/>
            <w:gridSpan w:val="3"/>
            <w:vAlign w:val="center"/>
            <w:hideMark/>
          </w:tcPr>
          <w:p w14:paraId="06E27232" w14:textId="77777777" w:rsidR="00000000" w:rsidRDefault="0068293C">
            <w:pPr>
              <w:spacing w:after="100"/>
              <w:rPr>
                <w:rFonts w:eastAsia="Times New Roman"/>
                <w:sz w:val="20"/>
                <w:szCs w:val="20"/>
              </w:rPr>
            </w:pPr>
          </w:p>
        </w:tc>
        <w:tc>
          <w:tcPr>
            <w:tcW w:w="0" w:type="auto"/>
            <w:gridSpan w:val="3"/>
            <w:vAlign w:val="center"/>
            <w:hideMark/>
          </w:tcPr>
          <w:p w14:paraId="3843AE86" w14:textId="77777777" w:rsidR="00000000" w:rsidRDefault="0068293C">
            <w:pPr>
              <w:spacing w:after="100"/>
              <w:rPr>
                <w:rFonts w:eastAsia="Times New Roman"/>
                <w:sz w:val="20"/>
                <w:szCs w:val="20"/>
              </w:rPr>
            </w:pPr>
          </w:p>
        </w:tc>
      </w:tr>
      <w:tr w:rsidR="00000000" w14:paraId="62223EA4" w14:textId="77777777">
        <w:trPr>
          <w:divId w:val="405225397"/>
          <w:jc w:val="center"/>
        </w:trPr>
        <w:tc>
          <w:tcPr>
            <w:tcW w:w="0" w:type="auto"/>
            <w:gridSpan w:val="3"/>
            <w:vAlign w:val="center"/>
            <w:hideMark/>
          </w:tcPr>
          <w:p w14:paraId="4D7E1116" w14:textId="77777777" w:rsidR="00000000" w:rsidRDefault="0068293C">
            <w:pPr>
              <w:spacing w:after="100"/>
              <w:rPr>
                <w:rFonts w:eastAsia="Times New Roman"/>
                <w:sz w:val="20"/>
                <w:szCs w:val="20"/>
              </w:rPr>
            </w:pPr>
          </w:p>
        </w:tc>
        <w:tc>
          <w:tcPr>
            <w:tcW w:w="0" w:type="auto"/>
            <w:gridSpan w:val="3"/>
            <w:vAlign w:val="center"/>
            <w:hideMark/>
          </w:tcPr>
          <w:p w14:paraId="786258E6" w14:textId="77777777" w:rsidR="00000000" w:rsidRDefault="0068293C">
            <w:pPr>
              <w:spacing w:after="100"/>
              <w:rPr>
                <w:rFonts w:eastAsia="Times New Roman"/>
                <w:sz w:val="20"/>
                <w:szCs w:val="20"/>
              </w:rPr>
            </w:pPr>
          </w:p>
        </w:tc>
        <w:tc>
          <w:tcPr>
            <w:tcW w:w="0" w:type="auto"/>
            <w:gridSpan w:val="3"/>
            <w:vAlign w:val="center"/>
            <w:hideMark/>
          </w:tcPr>
          <w:p w14:paraId="6FF95C93" w14:textId="77777777" w:rsidR="00000000" w:rsidRDefault="0068293C">
            <w:pPr>
              <w:spacing w:after="100"/>
              <w:rPr>
                <w:rFonts w:eastAsia="Times New Roman"/>
                <w:sz w:val="20"/>
                <w:szCs w:val="20"/>
              </w:rPr>
            </w:pPr>
          </w:p>
        </w:tc>
        <w:tc>
          <w:tcPr>
            <w:tcW w:w="0" w:type="auto"/>
            <w:gridSpan w:val="3"/>
            <w:vAlign w:val="center"/>
            <w:hideMark/>
          </w:tcPr>
          <w:p w14:paraId="4C615855" w14:textId="77777777" w:rsidR="00000000" w:rsidRDefault="0068293C">
            <w:pPr>
              <w:spacing w:after="100"/>
              <w:rPr>
                <w:rFonts w:eastAsia="Times New Roman"/>
                <w:sz w:val="20"/>
                <w:szCs w:val="20"/>
              </w:rPr>
            </w:pPr>
          </w:p>
        </w:tc>
        <w:tc>
          <w:tcPr>
            <w:tcW w:w="0" w:type="auto"/>
            <w:gridSpan w:val="3"/>
            <w:vAlign w:val="center"/>
            <w:hideMark/>
          </w:tcPr>
          <w:p w14:paraId="4D868221" w14:textId="77777777" w:rsidR="00000000" w:rsidRDefault="0068293C">
            <w:pPr>
              <w:spacing w:after="100"/>
              <w:rPr>
                <w:rFonts w:eastAsia="Times New Roman"/>
                <w:sz w:val="20"/>
                <w:szCs w:val="20"/>
              </w:rPr>
            </w:pPr>
          </w:p>
        </w:tc>
        <w:tc>
          <w:tcPr>
            <w:tcW w:w="0" w:type="auto"/>
            <w:gridSpan w:val="3"/>
            <w:vAlign w:val="center"/>
            <w:hideMark/>
          </w:tcPr>
          <w:p w14:paraId="3C3B103E" w14:textId="77777777" w:rsidR="00000000" w:rsidRDefault="0068293C">
            <w:pPr>
              <w:spacing w:after="100"/>
              <w:rPr>
                <w:rFonts w:eastAsia="Times New Roman"/>
                <w:sz w:val="20"/>
                <w:szCs w:val="20"/>
              </w:rPr>
            </w:pPr>
          </w:p>
        </w:tc>
        <w:tc>
          <w:tcPr>
            <w:tcW w:w="0" w:type="auto"/>
            <w:gridSpan w:val="3"/>
            <w:vAlign w:val="center"/>
            <w:hideMark/>
          </w:tcPr>
          <w:p w14:paraId="40EAF5B6" w14:textId="77777777" w:rsidR="00000000" w:rsidRDefault="0068293C">
            <w:pPr>
              <w:spacing w:after="100"/>
              <w:rPr>
                <w:rFonts w:eastAsia="Times New Roman"/>
                <w:sz w:val="20"/>
                <w:szCs w:val="20"/>
              </w:rPr>
            </w:pPr>
          </w:p>
        </w:tc>
        <w:tc>
          <w:tcPr>
            <w:tcW w:w="0" w:type="auto"/>
            <w:gridSpan w:val="3"/>
            <w:vAlign w:val="center"/>
            <w:hideMark/>
          </w:tcPr>
          <w:p w14:paraId="10E12322" w14:textId="77777777" w:rsidR="00000000" w:rsidRDefault="0068293C">
            <w:pPr>
              <w:spacing w:after="100"/>
              <w:rPr>
                <w:rFonts w:eastAsia="Times New Roman"/>
                <w:sz w:val="20"/>
                <w:szCs w:val="20"/>
              </w:rPr>
            </w:pPr>
          </w:p>
        </w:tc>
        <w:tc>
          <w:tcPr>
            <w:tcW w:w="0" w:type="auto"/>
            <w:gridSpan w:val="3"/>
            <w:vAlign w:val="center"/>
            <w:hideMark/>
          </w:tcPr>
          <w:p w14:paraId="280D84ED" w14:textId="77777777" w:rsidR="00000000" w:rsidRDefault="0068293C">
            <w:pPr>
              <w:spacing w:after="100"/>
              <w:rPr>
                <w:rFonts w:eastAsia="Times New Roman"/>
                <w:sz w:val="20"/>
                <w:szCs w:val="20"/>
              </w:rPr>
            </w:pPr>
          </w:p>
        </w:tc>
        <w:tc>
          <w:tcPr>
            <w:tcW w:w="0" w:type="auto"/>
            <w:gridSpan w:val="3"/>
            <w:vAlign w:val="center"/>
            <w:hideMark/>
          </w:tcPr>
          <w:p w14:paraId="29B14D11" w14:textId="77777777" w:rsidR="00000000" w:rsidRDefault="0068293C">
            <w:pPr>
              <w:spacing w:after="100"/>
              <w:rPr>
                <w:rFonts w:eastAsia="Times New Roman"/>
                <w:sz w:val="20"/>
                <w:szCs w:val="20"/>
              </w:rPr>
            </w:pPr>
          </w:p>
        </w:tc>
        <w:tc>
          <w:tcPr>
            <w:tcW w:w="0" w:type="auto"/>
            <w:gridSpan w:val="3"/>
            <w:vAlign w:val="center"/>
            <w:hideMark/>
          </w:tcPr>
          <w:p w14:paraId="11E65E45" w14:textId="77777777" w:rsidR="00000000" w:rsidRDefault="0068293C">
            <w:pPr>
              <w:spacing w:after="100"/>
              <w:rPr>
                <w:rFonts w:eastAsia="Times New Roman"/>
                <w:sz w:val="20"/>
                <w:szCs w:val="20"/>
              </w:rPr>
            </w:pPr>
          </w:p>
        </w:tc>
        <w:tc>
          <w:tcPr>
            <w:tcW w:w="0" w:type="auto"/>
            <w:gridSpan w:val="3"/>
            <w:vAlign w:val="center"/>
            <w:hideMark/>
          </w:tcPr>
          <w:p w14:paraId="4DBB2F6B" w14:textId="77777777" w:rsidR="00000000" w:rsidRDefault="0068293C">
            <w:pPr>
              <w:spacing w:after="100"/>
              <w:rPr>
                <w:rFonts w:eastAsia="Times New Roman"/>
                <w:sz w:val="20"/>
                <w:szCs w:val="20"/>
              </w:rPr>
            </w:pPr>
          </w:p>
        </w:tc>
        <w:tc>
          <w:tcPr>
            <w:tcW w:w="0" w:type="auto"/>
            <w:gridSpan w:val="3"/>
            <w:vAlign w:val="center"/>
            <w:hideMark/>
          </w:tcPr>
          <w:p w14:paraId="2116F81C" w14:textId="77777777" w:rsidR="00000000" w:rsidRDefault="0068293C">
            <w:pPr>
              <w:spacing w:after="100"/>
              <w:rPr>
                <w:rFonts w:eastAsia="Times New Roman"/>
                <w:sz w:val="20"/>
                <w:szCs w:val="20"/>
              </w:rPr>
            </w:pPr>
          </w:p>
        </w:tc>
        <w:tc>
          <w:tcPr>
            <w:tcW w:w="0" w:type="auto"/>
            <w:gridSpan w:val="3"/>
            <w:vAlign w:val="center"/>
            <w:hideMark/>
          </w:tcPr>
          <w:p w14:paraId="093914A7" w14:textId="77777777" w:rsidR="00000000" w:rsidRDefault="0068293C">
            <w:pPr>
              <w:spacing w:after="100"/>
              <w:rPr>
                <w:rFonts w:eastAsia="Times New Roman"/>
                <w:sz w:val="20"/>
                <w:szCs w:val="20"/>
              </w:rPr>
            </w:pPr>
          </w:p>
        </w:tc>
        <w:tc>
          <w:tcPr>
            <w:tcW w:w="0" w:type="auto"/>
            <w:gridSpan w:val="3"/>
            <w:vAlign w:val="center"/>
            <w:hideMark/>
          </w:tcPr>
          <w:p w14:paraId="6DDA1345" w14:textId="77777777" w:rsidR="00000000" w:rsidRDefault="0068293C">
            <w:pPr>
              <w:spacing w:after="100"/>
              <w:rPr>
                <w:rFonts w:eastAsia="Times New Roman"/>
                <w:sz w:val="20"/>
                <w:szCs w:val="20"/>
              </w:rPr>
            </w:pPr>
          </w:p>
        </w:tc>
      </w:tr>
    </w:tbl>
    <w:p w14:paraId="56CA0E17" w14:textId="77777777" w:rsidR="00000000" w:rsidRDefault="0068293C">
      <w:pPr>
        <w:jc w:val="center"/>
        <w:rPr>
          <w:rFonts w:eastAsia="Times New Roman"/>
        </w:rPr>
      </w:pPr>
      <w:r>
        <w:rPr>
          <w:rFonts w:eastAsia="Times New Roman"/>
          <w:color w:val="000000"/>
          <w:sz w:val="20"/>
          <w:szCs w:val="20"/>
        </w:rPr>
        <w:t>See Notes to Condensed Consolidated Financial Statements.</w:t>
      </w:r>
    </w:p>
    <w:p w14:paraId="208B7381" w14:textId="77777777" w:rsidR="00000000" w:rsidRDefault="0068293C">
      <w:pPr>
        <w:jc w:val="center"/>
        <w:rPr>
          <w:rFonts w:eastAsia="Times New Roman"/>
        </w:rPr>
      </w:pPr>
    </w:p>
    <w:p w14:paraId="20DAEBF7" w14:textId="77777777" w:rsidR="00000000" w:rsidRDefault="0068293C">
      <w:pPr>
        <w:divId w:val="256983439"/>
        <w:rPr>
          <w:rFonts w:eastAsia="Times New Roman"/>
        </w:rPr>
      </w:pPr>
    </w:p>
    <w:p w14:paraId="099B1CE1" w14:textId="77777777" w:rsidR="00000000" w:rsidRDefault="0068293C">
      <w:pPr>
        <w:jc w:val="center"/>
        <w:divId w:val="786123409"/>
        <w:rPr>
          <w:rFonts w:eastAsia="Times New Roman"/>
        </w:rPr>
      </w:pPr>
      <w:r>
        <w:rPr>
          <w:rFonts w:eastAsia="Times New Roman"/>
          <w:color w:val="000000"/>
          <w:sz w:val="20"/>
          <w:szCs w:val="20"/>
        </w:rPr>
        <w:t>8</w:t>
      </w:r>
    </w:p>
    <w:p w14:paraId="1EAF956B" w14:textId="77777777" w:rsidR="00000000" w:rsidRDefault="0068293C">
      <w:pPr>
        <w:rPr>
          <w:rFonts w:eastAsia="Times New Roman"/>
        </w:rPr>
      </w:pPr>
      <w:r>
        <w:rPr>
          <w:rFonts w:eastAsia="Times New Roman"/>
        </w:rPr>
        <w:pict w14:anchorId="4E80E38F">
          <v:rect id="_x0000_i1033" style="width:0;height:1.5pt" o:hralign="center" o:hrstd="t" o:hr="t" fillcolor="#a0a0a0" stroked="f"/>
        </w:pict>
      </w:r>
    </w:p>
    <w:p w14:paraId="5103EDC1" w14:textId="77777777" w:rsidR="00000000" w:rsidRDefault="0068293C">
      <w:pPr>
        <w:divId w:val="2085450160"/>
        <w:rPr>
          <w:rFonts w:eastAsia="Times New Roman"/>
        </w:rPr>
      </w:pPr>
      <w:hyperlink w:anchor="i78484f3d0d8e4e36a7c87ddd6ea9d725_7" w:history="1">
        <w:r>
          <w:rPr>
            <w:rStyle w:val="a3"/>
            <w:rFonts w:eastAsia="Times New Roman"/>
            <w:sz w:val="16"/>
            <w:szCs w:val="16"/>
          </w:rPr>
          <w:t>Table of Contents</w:t>
        </w:r>
      </w:hyperlink>
    </w:p>
    <w:p w14:paraId="1EC4F4AF" w14:textId="77777777" w:rsidR="00000000" w:rsidRDefault="0068293C">
      <w:pPr>
        <w:jc w:val="center"/>
        <w:rPr>
          <w:rFonts w:eastAsia="Times New Roman"/>
        </w:rPr>
      </w:pPr>
      <w:r>
        <w:rPr>
          <w:rFonts w:eastAsia="Times New Roman"/>
          <w:b/>
          <w:bCs/>
          <w:color w:val="000000"/>
          <w:sz w:val="20"/>
          <w:szCs w:val="20"/>
        </w:rPr>
        <w:t>NCR Corporation</w:t>
      </w:r>
    </w:p>
    <w:p w14:paraId="04EBA2D0" w14:textId="77777777" w:rsidR="00000000" w:rsidRDefault="0068293C">
      <w:pPr>
        <w:jc w:val="center"/>
        <w:divId w:val="349572401"/>
        <w:rPr>
          <w:rFonts w:eastAsia="Times New Roman"/>
        </w:rPr>
      </w:pPr>
      <w:r>
        <w:rPr>
          <w:rFonts w:eastAsia="Times New Roman"/>
          <w:b/>
          <w:bCs/>
          <w:color w:val="000000"/>
          <w:sz w:val="20"/>
          <w:szCs w:val="20"/>
        </w:rPr>
        <w:t>Notes to Condensed Consolidated Financial Statements (Unaudited)</w:t>
      </w:r>
    </w:p>
    <w:p w14:paraId="5ED1B2BE" w14:textId="77777777" w:rsidR="00000000" w:rsidRDefault="0068293C">
      <w:pPr>
        <w:jc w:val="center"/>
        <w:divId w:val="782771320"/>
        <w:rPr>
          <w:rFonts w:eastAsia="Times New Roman"/>
        </w:rPr>
      </w:pPr>
    </w:p>
    <w:p w14:paraId="2DC3112B" w14:textId="77777777" w:rsidR="00000000" w:rsidRDefault="0068293C">
      <w:pPr>
        <w:jc w:val="center"/>
        <w:rPr>
          <w:rFonts w:eastAsia="Times New Roman"/>
        </w:rPr>
      </w:pPr>
      <w:r>
        <w:rPr>
          <w:rFonts w:eastAsia="Times New Roman"/>
          <w:b/>
          <w:bCs/>
          <w:color w:val="000000"/>
          <w:sz w:val="20"/>
          <w:szCs w:val="20"/>
        </w:rPr>
        <w:t>Index to Financial Statements and Supplemental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8200"/>
        <w:gridCol w:w="38"/>
      </w:tblGrid>
      <w:tr w:rsidR="00000000" w14:paraId="36A5A732" w14:textId="77777777">
        <w:trPr>
          <w:divId w:val="1169758017"/>
          <w:jc w:val="center"/>
        </w:trPr>
        <w:tc>
          <w:tcPr>
            <w:tcW w:w="50" w:type="pct"/>
            <w:vAlign w:val="center"/>
            <w:hideMark/>
          </w:tcPr>
          <w:p w14:paraId="2F7678E9" w14:textId="77777777" w:rsidR="00000000" w:rsidRDefault="0068293C">
            <w:pPr>
              <w:jc w:val="center"/>
              <w:rPr>
                <w:rFonts w:eastAsia="Times New Roman"/>
              </w:rPr>
            </w:pPr>
          </w:p>
        </w:tc>
        <w:tc>
          <w:tcPr>
            <w:tcW w:w="4945" w:type="pct"/>
            <w:vAlign w:val="center"/>
            <w:hideMark/>
          </w:tcPr>
          <w:p w14:paraId="6F0957C3" w14:textId="77777777" w:rsidR="00000000" w:rsidRDefault="0068293C">
            <w:pPr>
              <w:spacing w:after="100"/>
              <w:rPr>
                <w:rFonts w:eastAsia="Times New Roman"/>
                <w:sz w:val="20"/>
                <w:szCs w:val="20"/>
              </w:rPr>
            </w:pPr>
          </w:p>
        </w:tc>
        <w:tc>
          <w:tcPr>
            <w:tcW w:w="5" w:type="pct"/>
            <w:vAlign w:val="center"/>
            <w:hideMark/>
          </w:tcPr>
          <w:p w14:paraId="5478BADE" w14:textId="77777777" w:rsidR="00000000" w:rsidRDefault="0068293C">
            <w:pPr>
              <w:spacing w:after="100"/>
              <w:rPr>
                <w:rFonts w:eastAsia="Times New Roman"/>
                <w:sz w:val="20"/>
                <w:szCs w:val="20"/>
              </w:rPr>
            </w:pPr>
          </w:p>
        </w:tc>
      </w:tr>
      <w:tr w:rsidR="00000000" w14:paraId="45601D93" w14:textId="77777777">
        <w:trPr>
          <w:divId w:val="1169758017"/>
          <w:trHeight w:val="300"/>
          <w:jc w:val="center"/>
        </w:trPr>
        <w:tc>
          <w:tcPr>
            <w:tcW w:w="0" w:type="auto"/>
            <w:gridSpan w:val="3"/>
            <w:tcMar>
              <w:top w:w="0" w:type="dxa"/>
              <w:left w:w="20" w:type="dxa"/>
              <w:bottom w:w="0" w:type="dxa"/>
              <w:right w:w="20" w:type="dxa"/>
            </w:tcMar>
            <w:vAlign w:val="center"/>
            <w:hideMark/>
          </w:tcPr>
          <w:p w14:paraId="0C0C0D1F" w14:textId="77777777" w:rsidR="00000000" w:rsidRDefault="0068293C">
            <w:pPr>
              <w:spacing w:after="100"/>
              <w:rPr>
                <w:rFonts w:eastAsia="Times New Roman"/>
                <w:sz w:val="20"/>
                <w:szCs w:val="20"/>
              </w:rPr>
            </w:pPr>
          </w:p>
        </w:tc>
      </w:tr>
      <w:tr w:rsidR="00000000" w14:paraId="37D35DFE" w14:textId="77777777">
        <w:trPr>
          <w:divId w:val="1169758017"/>
          <w:jc w:val="center"/>
        </w:trPr>
        <w:tc>
          <w:tcPr>
            <w:tcW w:w="0" w:type="auto"/>
            <w:gridSpan w:val="3"/>
            <w:tcMar>
              <w:top w:w="30" w:type="dxa"/>
              <w:left w:w="20" w:type="dxa"/>
              <w:bottom w:w="30" w:type="dxa"/>
              <w:right w:w="20" w:type="dxa"/>
            </w:tcMar>
            <w:vAlign w:val="bottom"/>
            <w:hideMark/>
          </w:tcPr>
          <w:p w14:paraId="135B7CE7" w14:textId="77777777" w:rsidR="00000000" w:rsidRDefault="0068293C">
            <w:pPr>
              <w:spacing w:after="100"/>
              <w:divId w:val="552084373"/>
              <w:rPr>
                <w:rFonts w:eastAsia="Times New Roman"/>
              </w:rPr>
            </w:pPr>
            <w:hyperlink w:anchor="i78484f3d0d8e4e36a7c87ddd6ea9d725_34" w:history="1">
              <w:r>
                <w:rPr>
                  <w:rStyle w:val="a3"/>
                  <w:rFonts w:eastAsia="Times New Roman"/>
                  <w:sz w:val="20"/>
                  <w:szCs w:val="20"/>
                </w:rPr>
                <w:t>Note 1. Basis of Presentation and Summary of Significant Accounting Policies</w:t>
              </w:r>
            </w:hyperlink>
          </w:p>
        </w:tc>
      </w:tr>
      <w:tr w:rsidR="00000000" w14:paraId="504AC14D" w14:textId="77777777">
        <w:trPr>
          <w:divId w:val="1169758017"/>
          <w:jc w:val="center"/>
        </w:trPr>
        <w:tc>
          <w:tcPr>
            <w:tcW w:w="0" w:type="auto"/>
            <w:gridSpan w:val="3"/>
            <w:tcMar>
              <w:top w:w="30" w:type="dxa"/>
              <w:left w:w="20" w:type="dxa"/>
              <w:bottom w:w="30" w:type="dxa"/>
              <w:right w:w="20" w:type="dxa"/>
            </w:tcMar>
            <w:vAlign w:val="bottom"/>
            <w:hideMark/>
          </w:tcPr>
          <w:p w14:paraId="42C9BC54" w14:textId="77777777" w:rsidR="00000000" w:rsidRDefault="0068293C">
            <w:pPr>
              <w:spacing w:after="100"/>
              <w:divId w:val="488177982"/>
              <w:rPr>
                <w:rFonts w:eastAsia="Times New Roman"/>
              </w:rPr>
            </w:pPr>
            <w:hyperlink w:anchor="i78484f3d0d8e4e36a7c87ddd6ea9d725_37" w:history="1">
              <w:r>
                <w:rPr>
                  <w:rStyle w:val="a3"/>
                  <w:rFonts w:eastAsia="Times New Roman"/>
                  <w:sz w:val="20"/>
                  <w:szCs w:val="20"/>
                </w:rPr>
                <w:t>Note 2. Business Combinations</w:t>
              </w:r>
            </w:hyperlink>
          </w:p>
        </w:tc>
      </w:tr>
      <w:tr w:rsidR="00000000" w14:paraId="4A9DEC1B" w14:textId="77777777">
        <w:trPr>
          <w:divId w:val="1169758017"/>
          <w:jc w:val="center"/>
        </w:trPr>
        <w:tc>
          <w:tcPr>
            <w:tcW w:w="0" w:type="auto"/>
            <w:gridSpan w:val="3"/>
            <w:tcMar>
              <w:top w:w="30" w:type="dxa"/>
              <w:left w:w="20" w:type="dxa"/>
              <w:bottom w:w="30" w:type="dxa"/>
              <w:right w:w="20" w:type="dxa"/>
            </w:tcMar>
            <w:vAlign w:val="bottom"/>
            <w:hideMark/>
          </w:tcPr>
          <w:p w14:paraId="5EE67832" w14:textId="77777777" w:rsidR="00000000" w:rsidRDefault="0068293C">
            <w:pPr>
              <w:spacing w:after="100"/>
              <w:divId w:val="1002583882"/>
              <w:rPr>
                <w:rFonts w:eastAsia="Times New Roman"/>
              </w:rPr>
            </w:pPr>
            <w:hyperlink w:anchor="i78484f3d0d8e4e36a7c87ddd6ea9d725_40" w:history="1">
              <w:r>
                <w:rPr>
                  <w:rStyle w:val="a3"/>
                  <w:rFonts w:eastAsia="Times New Roman"/>
                  <w:sz w:val="20"/>
                  <w:szCs w:val="20"/>
                </w:rPr>
                <w:t>Note 3. Goodwill and Long</w:t>
              </w:r>
              <w:r>
                <w:rPr>
                  <w:rStyle w:val="a3"/>
                  <w:rFonts w:eastAsia="Times New Roman"/>
                  <w:sz w:val="20"/>
                  <w:szCs w:val="20"/>
                </w:rPr>
                <w:t>-Lived Assets</w:t>
              </w:r>
            </w:hyperlink>
          </w:p>
        </w:tc>
      </w:tr>
      <w:tr w:rsidR="00000000" w14:paraId="35783858" w14:textId="77777777">
        <w:trPr>
          <w:divId w:val="1169758017"/>
          <w:jc w:val="center"/>
        </w:trPr>
        <w:tc>
          <w:tcPr>
            <w:tcW w:w="0" w:type="auto"/>
            <w:gridSpan w:val="3"/>
            <w:tcMar>
              <w:top w:w="30" w:type="dxa"/>
              <w:left w:w="20" w:type="dxa"/>
              <w:bottom w:w="30" w:type="dxa"/>
              <w:right w:w="20" w:type="dxa"/>
            </w:tcMar>
            <w:vAlign w:val="bottom"/>
            <w:hideMark/>
          </w:tcPr>
          <w:p w14:paraId="2777AEC3" w14:textId="77777777" w:rsidR="00000000" w:rsidRDefault="0068293C">
            <w:pPr>
              <w:spacing w:after="100"/>
              <w:divId w:val="525798674"/>
              <w:rPr>
                <w:rFonts w:eastAsia="Times New Roman"/>
              </w:rPr>
            </w:pPr>
            <w:hyperlink w:anchor="i78484f3d0d8e4e36a7c87ddd6ea9d725_43" w:history="1">
              <w:r>
                <w:rPr>
                  <w:rStyle w:val="a3"/>
                  <w:rFonts w:eastAsia="Times New Roman"/>
                  <w:sz w:val="20"/>
                  <w:szCs w:val="20"/>
                </w:rPr>
                <w:t>Note 4. Segment Information and Concentrations</w:t>
              </w:r>
            </w:hyperlink>
          </w:p>
        </w:tc>
      </w:tr>
      <w:tr w:rsidR="00000000" w14:paraId="56C9E753" w14:textId="77777777">
        <w:trPr>
          <w:divId w:val="1169758017"/>
          <w:jc w:val="center"/>
        </w:trPr>
        <w:tc>
          <w:tcPr>
            <w:tcW w:w="0" w:type="auto"/>
            <w:gridSpan w:val="3"/>
            <w:tcMar>
              <w:top w:w="30" w:type="dxa"/>
              <w:left w:w="20" w:type="dxa"/>
              <w:bottom w:w="30" w:type="dxa"/>
              <w:right w:w="20" w:type="dxa"/>
            </w:tcMar>
            <w:vAlign w:val="bottom"/>
            <w:hideMark/>
          </w:tcPr>
          <w:p w14:paraId="60166913" w14:textId="77777777" w:rsidR="00000000" w:rsidRDefault="0068293C">
            <w:pPr>
              <w:spacing w:after="100"/>
              <w:divId w:val="1867525222"/>
              <w:rPr>
                <w:rFonts w:eastAsia="Times New Roman"/>
              </w:rPr>
            </w:pPr>
            <w:hyperlink w:anchor="i78484f3d0d8e4e36a7c87ddd6ea9d725_46" w:history="1">
              <w:r>
                <w:rPr>
                  <w:rStyle w:val="a3"/>
                  <w:rFonts w:eastAsia="Times New Roman"/>
                  <w:sz w:val="20"/>
                  <w:szCs w:val="20"/>
                </w:rPr>
                <w:t>Note 5. Debt Obligations</w:t>
              </w:r>
            </w:hyperlink>
          </w:p>
        </w:tc>
      </w:tr>
      <w:tr w:rsidR="00000000" w14:paraId="448E4050" w14:textId="77777777">
        <w:trPr>
          <w:divId w:val="1169758017"/>
          <w:jc w:val="center"/>
        </w:trPr>
        <w:tc>
          <w:tcPr>
            <w:tcW w:w="0" w:type="auto"/>
            <w:gridSpan w:val="3"/>
            <w:tcMar>
              <w:top w:w="30" w:type="dxa"/>
              <w:left w:w="20" w:type="dxa"/>
              <w:bottom w:w="30" w:type="dxa"/>
              <w:right w:w="20" w:type="dxa"/>
            </w:tcMar>
            <w:vAlign w:val="bottom"/>
            <w:hideMark/>
          </w:tcPr>
          <w:p w14:paraId="1ABC4ACC" w14:textId="77777777" w:rsidR="00000000" w:rsidRDefault="0068293C">
            <w:pPr>
              <w:spacing w:after="100"/>
              <w:divId w:val="1375348653"/>
              <w:rPr>
                <w:rFonts w:eastAsia="Times New Roman"/>
              </w:rPr>
            </w:pPr>
            <w:hyperlink w:anchor="i78484f3d0d8e4e36a7c87ddd6ea9d725_52" w:history="1">
              <w:r>
                <w:rPr>
                  <w:rStyle w:val="a3"/>
                  <w:rFonts w:eastAsia="Times New Roman"/>
                  <w:sz w:val="20"/>
                  <w:szCs w:val="20"/>
                </w:rPr>
                <w:t>Note 6. Trade Receivables Facility</w:t>
              </w:r>
            </w:hyperlink>
          </w:p>
        </w:tc>
      </w:tr>
      <w:tr w:rsidR="00000000" w14:paraId="3A59DF91" w14:textId="77777777">
        <w:trPr>
          <w:divId w:val="1169758017"/>
          <w:jc w:val="center"/>
        </w:trPr>
        <w:tc>
          <w:tcPr>
            <w:tcW w:w="0" w:type="auto"/>
            <w:gridSpan w:val="3"/>
            <w:tcMar>
              <w:top w:w="30" w:type="dxa"/>
              <w:left w:w="20" w:type="dxa"/>
              <w:bottom w:w="30" w:type="dxa"/>
              <w:right w:w="20" w:type="dxa"/>
            </w:tcMar>
            <w:vAlign w:val="bottom"/>
            <w:hideMark/>
          </w:tcPr>
          <w:p w14:paraId="20460C7D" w14:textId="77777777" w:rsidR="00000000" w:rsidRDefault="0068293C">
            <w:pPr>
              <w:spacing w:after="100"/>
              <w:divId w:val="983967229"/>
              <w:rPr>
                <w:rFonts w:eastAsia="Times New Roman"/>
              </w:rPr>
            </w:pPr>
            <w:hyperlink w:anchor="i78484f3d0d8e4e36a7c87ddd6ea9d725_55" w:history="1">
              <w:r>
                <w:rPr>
                  <w:rStyle w:val="a3"/>
                  <w:rFonts w:eastAsia="Times New Roman"/>
                  <w:sz w:val="20"/>
                  <w:szCs w:val="20"/>
                </w:rPr>
                <w:t>Note 7. Income Taxes</w:t>
              </w:r>
            </w:hyperlink>
          </w:p>
        </w:tc>
      </w:tr>
      <w:tr w:rsidR="00000000" w14:paraId="236599EE" w14:textId="77777777">
        <w:trPr>
          <w:divId w:val="1169758017"/>
          <w:jc w:val="center"/>
        </w:trPr>
        <w:tc>
          <w:tcPr>
            <w:tcW w:w="0" w:type="auto"/>
            <w:gridSpan w:val="3"/>
            <w:tcMar>
              <w:top w:w="30" w:type="dxa"/>
              <w:left w:w="20" w:type="dxa"/>
              <w:bottom w:w="30" w:type="dxa"/>
              <w:right w:w="20" w:type="dxa"/>
            </w:tcMar>
            <w:vAlign w:val="bottom"/>
            <w:hideMark/>
          </w:tcPr>
          <w:p w14:paraId="24E29472" w14:textId="77777777" w:rsidR="00000000" w:rsidRDefault="0068293C">
            <w:pPr>
              <w:spacing w:after="100"/>
              <w:divId w:val="1579945972"/>
              <w:rPr>
                <w:rFonts w:eastAsia="Times New Roman"/>
              </w:rPr>
            </w:pPr>
            <w:hyperlink w:anchor="i78484f3d0d8e4e36a7c87ddd6ea9d725_58" w:history="1">
              <w:r>
                <w:rPr>
                  <w:rStyle w:val="a3"/>
                  <w:rFonts w:eastAsia="Times New Roman"/>
                  <w:sz w:val="20"/>
                  <w:szCs w:val="20"/>
                </w:rPr>
                <w:t>Note 8. Stock Com</w:t>
              </w:r>
              <w:r>
                <w:rPr>
                  <w:rStyle w:val="a3"/>
                  <w:rFonts w:eastAsia="Times New Roman"/>
                  <w:sz w:val="20"/>
                  <w:szCs w:val="20"/>
                </w:rPr>
                <w:t>pensation Plans</w:t>
              </w:r>
            </w:hyperlink>
          </w:p>
        </w:tc>
      </w:tr>
      <w:tr w:rsidR="00000000" w14:paraId="1F8C78DE" w14:textId="77777777">
        <w:trPr>
          <w:divId w:val="1169758017"/>
          <w:jc w:val="center"/>
        </w:trPr>
        <w:tc>
          <w:tcPr>
            <w:tcW w:w="0" w:type="auto"/>
            <w:gridSpan w:val="3"/>
            <w:tcMar>
              <w:top w:w="30" w:type="dxa"/>
              <w:left w:w="20" w:type="dxa"/>
              <w:bottom w:w="30" w:type="dxa"/>
              <w:right w:w="20" w:type="dxa"/>
            </w:tcMar>
            <w:vAlign w:val="bottom"/>
            <w:hideMark/>
          </w:tcPr>
          <w:p w14:paraId="0BCF0200" w14:textId="77777777" w:rsidR="00000000" w:rsidRDefault="0068293C">
            <w:pPr>
              <w:spacing w:after="100"/>
              <w:divId w:val="163280337"/>
              <w:rPr>
                <w:rFonts w:eastAsia="Times New Roman"/>
              </w:rPr>
            </w:pPr>
            <w:hyperlink w:anchor="i78484f3d0d8e4e36a7c87ddd6ea9d725_61" w:history="1">
              <w:r>
                <w:rPr>
                  <w:rStyle w:val="a3"/>
                  <w:rFonts w:eastAsia="Times New Roman"/>
                  <w:sz w:val="20"/>
                  <w:szCs w:val="20"/>
                </w:rPr>
                <w:t>Note 9. Employee Benefit Plans</w:t>
              </w:r>
            </w:hyperlink>
          </w:p>
        </w:tc>
      </w:tr>
      <w:tr w:rsidR="00000000" w14:paraId="51BE730B" w14:textId="77777777">
        <w:trPr>
          <w:divId w:val="1169758017"/>
          <w:jc w:val="center"/>
        </w:trPr>
        <w:tc>
          <w:tcPr>
            <w:tcW w:w="0" w:type="auto"/>
            <w:gridSpan w:val="3"/>
            <w:tcMar>
              <w:top w:w="30" w:type="dxa"/>
              <w:left w:w="20" w:type="dxa"/>
              <w:bottom w:w="30" w:type="dxa"/>
              <w:right w:w="20" w:type="dxa"/>
            </w:tcMar>
            <w:vAlign w:val="bottom"/>
            <w:hideMark/>
          </w:tcPr>
          <w:p w14:paraId="6B059F55" w14:textId="77777777" w:rsidR="00000000" w:rsidRDefault="0068293C">
            <w:pPr>
              <w:spacing w:after="100"/>
              <w:divId w:val="2064720035"/>
              <w:rPr>
                <w:rFonts w:eastAsia="Times New Roman"/>
              </w:rPr>
            </w:pPr>
            <w:hyperlink w:anchor="i78484f3d0d8e4e36a7c87ddd6ea9d725_64" w:history="1">
              <w:r>
                <w:rPr>
                  <w:rStyle w:val="a3"/>
                  <w:rFonts w:eastAsia="Times New Roman"/>
                  <w:sz w:val="20"/>
                  <w:szCs w:val="20"/>
                </w:rPr>
                <w:t>Note 10. Commitments and Contingencies</w:t>
              </w:r>
            </w:hyperlink>
          </w:p>
        </w:tc>
      </w:tr>
      <w:tr w:rsidR="00000000" w14:paraId="2DC88542" w14:textId="77777777">
        <w:trPr>
          <w:divId w:val="1169758017"/>
          <w:jc w:val="center"/>
        </w:trPr>
        <w:tc>
          <w:tcPr>
            <w:tcW w:w="0" w:type="auto"/>
            <w:gridSpan w:val="3"/>
            <w:vAlign w:val="center"/>
            <w:hideMark/>
          </w:tcPr>
          <w:p w14:paraId="12504DE2" w14:textId="77777777" w:rsidR="00000000" w:rsidRDefault="0068293C">
            <w:pPr>
              <w:spacing w:after="100"/>
              <w:rPr>
                <w:rFonts w:eastAsia="Times New Roman"/>
              </w:rPr>
            </w:pPr>
          </w:p>
        </w:tc>
      </w:tr>
      <w:tr w:rsidR="00000000" w14:paraId="097D40D8" w14:textId="77777777">
        <w:trPr>
          <w:divId w:val="1169758017"/>
          <w:jc w:val="center"/>
        </w:trPr>
        <w:tc>
          <w:tcPr>
            <w:tcW w:w="0" w:type="auto"/>
            <w:gridSpan w:val="3"/>
            <w:tcMar>
              <w:top w:w="30" w:type="dxa"/>
              <w:left w:w="20" w:type="dxa"/>
              <w:bottom w:w="30" w:type="dxa"/>
              <w:right w:w="20" w:type="dxa"/>
            </w:tcMar>
            <w:vAlign w:val="bottom"/>
            <w:hideMark/>
          </w:tcPr>
          <w:p w14:paraId="00AD0AA0" w14:textId="77777777" w:rsidR="00000000" w:rsidRDefault="0068293C">
            <w:pPr>
              <w:spacing w:after="100"/>
              <w:divId w:val="646595954"/>
              <w:rPr>
                <w:rFonts w:eastAsia="Times New Roman"/>
              </w:rPr>
            </w:pPr>
            <w:hyperlink w:anchor="i78484f3d0d8e4e36a7c87ddd6ea9d725_70" w:history="1">
              <w:r>
                <w:rPr>
                  <w:rStyle w:val="a3"/>
                  <w:rFonts w:eastAsia="Times New Roman"/>
                  <w:sz w:val="20"/>
                  <w:szCs w:val="20"/>
                </w:rPr>
                <w:t>Note 1</w:t>
              </w:r>
            </w:hyperlink>
            <w:hyperlink w:anchor="i78484f3d0d8e4e36a7c87ddd6ea9d725_70" w:history="1">
              <w:r>
                <w:rPr>
                  <w:rStyle w:val="a3"/>
                  <w:rFonts w:eastAsia="Times New Roman"/>
                  <w:sz w:val="20"/>
                  <w:szCs w:val="20"/>
                </w:rPr>
                <w:t>1</w:t>
              </w:r>
            </w:hyperlink>
            <w:hyperlink w:anchor="i78484f3d0d8e4e36a7c87ddd6ea9d725_70" w:history="1">
              <w:r>
                <w:rPr>
                  <w:rStyle w:val="a3"/>
                  <w:rFonts w:eastAsia="Times New Roman"/>
                  <w:sz w:val="20"/>
                  <w:szCs w:val="20"/>
                </w:rPr>
                <w:t>. Series A Convertible Preferred Stock</w:t>
              </w:r>
            </w:hyperlink>
          </w:p>
        </w:tc>
      </w:tr>
      <w:tr w:rsidR="00000000" w14:paraId="56B34DD4" w14:textId="77777777">
        <w:trPr>
          <w:divId w:val="1169758017"/>
          <w:jc w:val="center"/>
        </w:trPr>
        <w:tc>
          <w:tcPr>
            <w:tcW w:w="0" w:type="auto"/>
            <w:gridSpan w:val="3"/>
            <w:tcMar>
              <w:top w:w="30" w:type="dxa"/>
              <w:left w:w="20" w:type="dxa"/>
              <w:bottom w:w="30" w:type="dxa"/>
              <w:right w:w="20" w:type="dxa"/>
            </w:tcMar>
            <w:vAlign w:val="bottom"/>
            <w:hideMark/>
          </w:tcPr>
          <w:p w14:paraId="252D5219" w14:textId="77777777" w:rsidR="00000000" w:rsidRDefault="0068293C">
            <w:pPr>
              <w:spacing w:after="100"/>
              <w:divId w:val="1047756741"/>
              <w:rPr>
                <w:rFonts w:eastAsia="Times New Roman"/>
              </w:rPr>
            </w:pPr>
            <w:hyperlink w:anchor="i78484f3d0d8e4e36a7c87ddd6ea9d725_73" w:history="1">
              <w:r>
                <w:rPr>
                  <w:rStyle w:val="a3"/>
                  <w:rFonts w:eastAsia="Times New Roman"/>
                  <w:sz w:val="20"/>
                  <w:szCs w:val="20"/>
                </w:rPr>
                <w:t>Note 1</w:t>
              </w:r>
            </w:hyperlink>
            <w:hyperlink w:anchor="i78484f3d0d8e4e36a7c87ddd6ea9d725_73" w:history="1">
              <w:r>
                <w:rPr>
                  <w:rStyle w:val="a3"/>
                  <w:rFonts w:eastAsia="Times New Roman"/>
                  <w:sz w:val="20"/>
                  <w:szCs w:val="20"/>
                </w:rPr>
                <w:t>2</w:t>
              </w:r>
            </w:hyperlink>
            <w:hyperlink w:anchor="i78484f3d0d8e4e36a7c87ddd6ea9d725_73" w:history="1">
              <w:r>
                <w:rPr>
                  <w:rStyle w:val="a3"/>
                  <w:rFonts w:eastAsia="Times New Roman"/>
                  <w:sz w:val="20"/>
                  <w:szCs w:val="20"/>
                </w:rPr>
                <w:t>. Earnings Per Share</w:t>
              </w:r>
            </w:hyperlink>
          </w:p>
        </w:tc>
      </w:tr>
      <w:tr w:rsidR="00000000" w14:paraId="005C03FE" w14:textId="77777777">
        <w:trPr>
          <w:divId w:val="1169758017"/>
          <w:jc w:val="center"/>
        </w:trPr>
        <w:tc>
          <w:tcPr>
            <w:tcW w:w="0" w:type="auto"/>
            <w:gridSpan w:val="3"/>
            <w:tcMar>
              <w:top w:w="30" w:type="dxa"/>
              <w:left w:w="20" w:type="dxa"/>
              <w:bottom w:w="30" w:type="dxa"/>
              <w:right w:w="20" w:type="dxa"/>
            </w:tcMar>
            <w:vAlign w:val="bottom"/>
            <w:hideMark/>
          </w:tcPr>
          <w:p w14:paraId="37BD9DD0" w14:textId="77777777" w:rsidR="00000000" w:rsidRDefault="0068293C">
            <w:pPr>
              <w:spacing w:after="100"/>
              <w:divId w:val="1622954867"/>
              <w:rPr>
                <w:rFonts w:eastAsia="Times New Roman"/>
              </w:rPr>
            </w:pPr>
            <w:hyperlink w:anchor="i78484f3d0d8e4e36a7c87ddd6ea9d725_76" w:history="1">
              <w:r>
                <w:rPr>
                  <w:rStyle w:val="a3"/>
                  <w:rFonts w:eastAsia="Times New Roman"/>
                  <w:sz w:val="20"/>
                  <w:szCs w:val="20"/>
                </w:rPr>
                <w:t>Note 1</w:t>
              </w:r>
            </w:hyperlink>
            <w:hyperlink w:anchor="i78484f3d0d8e4e36a7c87ddd6ea9d725_76" w:history="1">
              <w:r>
                <w:rPr>
                  <w:rStyle w:val="a3"/>
                  <w:rFonts w:eastAsia="Times New Roman"/>
                  <w:sz w:val="20"/>
                  <w:szCs w:val="20"/>
                </w:rPr>
                <w:t>3</w:t>
              </w:r>
            </w:hyperlink>
            <w:hyperlink w:anchor="i78484f3d0d8e4e36a7c87ddd6ea9d725_76" w:history="1">
              <w:r>
                <w:rPr>
                  <w:rStyle w:val="a3"/>
                  <w:rFonts w:eastAsia="Times New Roman"/>
                  <w:sz w:val="20"/>
                  <w:szCs w:val="20"/>
                </w:rPr>
                <w:t>. Derivatives and Hedging Instruments</w:t>
              </w:r>
            </w:hyperlink>
          </w:p>
        </w:tc>
      </w:tr>
      <w:tr w:rsidR="00000000" w14:paraId="765B67F1" w14:textId="77777777">
        <w:trPr>
          <w:divId w:val="1169758017"/>
          <w:jc w:val="center"/>
        </w:trPr>
        <w:tc>
          <w:tcPr>
            <w:tcW w:w="0" w:type="auto"/>
            <w:gridSpan w:val="3"/>
            <w:tcMar>
              <w:top w:w="30" w:type="dxa"/>
              <w:left w:w="20" w:type="dxa"/>
              <w:bottom w:w="30" w:type="dxa"/>
              <w:right w:w="20" w:type="dxa"/>
            </w:tcMar>
            <w:vAlign w:val="bottom"/>
            <w:hideMark/>
          </w:tcPr>
          <w:p w14:paraId="6511C910" w14:textId="77777777" w:rsidR="00000000" w:rsidRDefault="0068293C">
            <w:pPr>
              <w:spacing w:after="100"/>
              <w:divId w:val="2128566"/>
              <w:rPr>
                <w:rFonts w:eastAsia="Times New Roman"/>
              </w:rPr>
            </w:pPr>
            <w:hyperlink w:anchor="i78484f3d0d8e4e36a7c87ddd6ea9d725_82" w:history="1">
              <w:r>
                <w:rPr>
                  <w:rStyle w:val="a3"/>
                  <w:rFonts w:eastAsia="Times New Roman"/>
                  <w:sz w:val="20"/>
                  <w:szCs w:val="20"/>
                </w:rPr>
                <w:t>Note 1</w:t>
              </w:r>
            </w:hyperlink>
            <w:hyperlink w:anchor="i78484f3d0d8e4e36a7c87ddd6ea9d725_82" w:history="1">
              <w:r>
                <w:rPr>
                  <w:rStyle w:val="a3"/>
                  <w:rFonts w:eastAsia="Times New Roman"/>
                  <w:sz w:val="20"/>
                  <w:szCs w:val="20"/>
                </w:rPr>
                <w:t>4</w:t>
              </w:r>
            </w:hyperlink>
            <w:hyperlink w:anchor="i78484f3d0d8e4e36a7c87ddd6ea9d725_82" w:history="1">
              <w:r>
                <w:rPr>
                  <w:rStyle w:val="a3"/>
                  <w:rFonts w:eastAsia="Times New Roman"/>
                  <w:sz w:val="20"/>
                  <w:szCs w:val="20"/>
                </w:rPr>
                <w:t>. Fair Value of Assets and Liabilities</w:t>
              </w:r>
            </w:hyperlink>
          </w:p>
        </w:tc>
      </w:tr>
      <w:tr w:rsidR="00000000" w14:paraId="067A78BF" w14:textId="77777777">
        <w:trPr>
          <w:divId w:val="1169758017"/>
          <w:jc w:val="center"/>
        </w:trPr>
        <w:tc>
          <w:tcPr>
            <w:tcW w:w="0" w:type="auto"/>
            <w:gridSpan w:val="3"/>
            <w:tcMar>
              <w:top w:w="30" w:type="dxa"/>
              <w:left w:w="20" w:type="dxa"/>
              <w:bottom w:w="30" w:type="dxa"/>
              <w:right w:w="20" w:type="dxa"/>
            </w:tcMar>
            <w:vAlign w:val="bottom"/>
            <w:hideMark/>
          </w:tcPr>
          <w:p w14:paraId="2BAF7DD1" w14:textId="77777777" w:rsidR="00000000" w:rsidRDefault="0068293C">
            <w:pPr>
              <w:spacing w:after="100"/>
              <w:divId w:val="1470518120"/>
              <w:rPr>
                <w:rFonts w:eastAsia="Times New Roman"/>
              </w:rPr>
            </w:pPr>
            <w:hyperlink w:anchor="i78484f3d0d8e4e36a7c87ddd6ea9d725_88" w:history="1">
              <w:r>
                <w:rPr>
                  <w:rStyle w:val="a3"/>
                  <w:rFonts w:eastAsia="Times New Roman"/>
                  <w:sz w:val="20"/>
                  <w:szCs w:val="20"/>
                </w:rPr>
                <w:t>Note 1</w:t>
              </w:r>
            </w:hyperlink>
            <w:hyperlink w:anchor="i78484f3d0d8e4e36a7c87ddd6ea9d725_88" w:history="1">
              <w:r>
                <w:rPr>
                  <w:rStyle w:val="a3"/>
                  <w:rFonts w:eastAsia="Times New Roman"/>
                  <w:sz w:val="20"/>
                  <w:szCs w:val="20"/>
                </w:rPr>
                <w:t>5</w:t>
              </w:r>
            </w:hyperlink>
            <w:hyperlink w:anchor="i78484f3d0d8e4e36a7c87ddd6ea9d725_88" w:history="1">
              <w:r>
                <w:rPr>
                  <w:rStyle w:val="a3"/>
                  <w:rFonts w:eastAsia="Times New Roman"/>
                  <w:sz w:val="20"/>
                  <w:szCs w:val="20"/>
                </w:rPr>
                <w:t>. Accumulated Other Comprehensive Income (Loss) (AOCI)</w:t>
              </w:r>
            </w:hyperlink>
          </w:p>
        </w:tc>
      </w:tr>
      <w:tr w:rsidR="00000000" w14:paraId="23455BA9" w14:textId="77777777">
        <w:trPr>
          <w:divId w:val="1169758017"/>
          <w:jc w:val="center"/>
        </w:trPr>
        <w:tc>
          <w:tcPr>
            <w:tcW w:w="0" w:type="auto"/>
            <w:gridSpan w:val="3"/>
            <w:tcMar>
              <w:top w:w="30" w:type="dxa"/>
              <w:left w:w="20" w:type="dxa"/>
              <w:bottom w:w="30" w:type="dxa"/>
              <w:right w:w="20" w:type="dxa"/>
            </w:tcMar>
            <w:vAlign w:val="bottom"/>
            <w:hideMark/>
          </w:tcPr>
          <w:p w14:paraId="2376E53F" w14:textId="77777777" w:rsidR="00000000" w:rsidRDefault="0068293C">
            <w:pPr>
              <w:spacing w:after="100"/>
              <w:divId w:val="1297880866"/>
              <w:rPr>
                <w:rFonts w:eastAsia="Times New Roman"/>
              </w:rPr>
            </w:pPr>
            <w:hyperlink w:anchor="i78484f3d0d8e4e36a7c87ddd6ea9d725_91" w:history="1">
              <w:r>
                <w:rPr>
                  <w:rStyle w:val="a3"/>
                  <w:rFonts w:eastAsia="Times New Roman"/>
                  <w:sz w:val="20"/>
                  <w:szCs w:val="20"/>
                </w:rPr>
                <w:t>Note 1</w:t>
              </w:r>
            </w:hyperlink>
            <w:hyperlink w:anchor="i78484f3d0d8e4e36a7c87ddd6ea9d725_91" w:history="1">
              <w:r>
                <w:rPr>
                  <w:rStyle w:val="a3"/>
                  <w:rFonts w:eastAsia="Times New Roman"/>
                  <w:sz w:val="20"/>
                  <w:szCs w:val="20"/>
                </w:rPr>
                <w:t>6</w:t>
              </w:r>
            </w:hyperlink>
            <w:hyperlink w:anchor="i78484f3d0d8e4e36a7c87ddd6ea9d725_91" w:history="1">
              <w:r>
                <w:rPr>
                  <w:rStyle w:val="a3"/>
                  <w:rFonts w:eastAsia="Times New Roman"/>
                  <w:sz w:val="20"/>
                  <w:szCs w:val="20"/>
                </w:rPr>
                <w:t>. Supplemental Financial Information</w:t>
              </w:r>
            </w:hyperlink>
          </w:p>
        </w:tc>
      </w:tr>
    </w:tbl>
    <w:p w14:paraId="36DA1798" w14:textId="77777777" w:rsidR="00000000" w:rsidRDefault="0068293C">
      <w:pPr>
        <w:jc w:val="center"/>
        <w:rPr>
          <w:rFonts w:eastAsia="Times New Roman"/>
        </w:rPr>
      </w:pPr>
    </w:p>
    <w:p w14:paraId="67C7FAB5" w14:textId="77777777" w:rsidR="00000000" w:rsidRDefault="0068293C">
      <w:pPr>
        <w:ind w:firstLine="720"/>
        <w:divId w:val="621231932"/>
        <w:rPr>
          <w:rFonts w:eastAsia="Times New Roman"/>
        </w:rPr>
      </w:pPr>
    </w:p>
    <w:p w14:paraId="7DE9DF72" w14:textId="77777777" w:rsidR="00000000" w:rsidRDefault="0068293C">
      <w:pPr>
        <w:divId w:val="1790662216"/>
        <w:rPr>
          <w:rFonts w:eastAsia="Times New Roman"/>
        </w:rPr>
      </w:pPr>
      <w:r>
        <w:rPr>
          <w:rFonts w:eastAsia="Times New Roman"/>
          <w:b/>
          <w:bCs/>
          <w:color w:val="54B948"/>
          <w:sz w:val="20"/>
          <w:szCs w:val="20"/>
        </w:rPr>
        <w:t>1. BASIS OF PRESENTATION AND SUMMARY OF SIGNIFICANT ACCOUNTING POLICIES</w:t>
      </w:r>
      <w:r>
        <w:rPr>
          <w:rFonts w:eastAsia="Times New Roman"/>
          <w:b/>
          <w:bCs/>
          <w:color w:val="000000"/>
          <w:sz w:val="20"/>
          <w:szCs w:val="20"/>
        </w:rPr>
        <w:t xml:space="preserve"> </w:t>
      </w:r>
    </w:p>
    <w:p w14:paraId="102E159F" w14:textId="77777777" w:rsidR="00000000" w:rsidRDefault="0068293C">
      <w:pPr>
        <w:divId w:val="424303512"/>
        <w:rPr>
          <w:rFonts w:eastAsia="Times New Roman"/>
        </w:rPr>
      </w:pPr>
    </w:p>
    <w:p w14:paraId="53003C51" w14:textId="77777777" w:rsidR="00000000" w:rsidRDefault="0068293C">
      <w:pPr>
        <w:jc w:val="both"/>
        <w:rPr>
          <w:rFonts w:eastAsia="Times New Roman"/>
        </w:rPr>
      </w:pPr>
      <w:r>
        <w:rPr>
          <w:rFonts w:eastAsia="Times New Roman"/>
          <w:color w:val="000000"/>
          <w:sz w:val="20"/>
          <w:szCs w:val="20"/>
        </w:rPr>
        <w:t>The accompanying Condensed Consolidated Financial Statements have been prepared by NCR Corporation (“NCR”, the “Company”, “we” or “us”) without audit pursuant to the rules and regul</w:t>
      </w:r>
      <w:r>
        <w:rPr>
          <w:rFonts w:eastAsia="Times New Roman"/>
          <w:color w:val="000000"/>
          <w:sz w:val="20"/>
          <w:szCs w:val="20"/>
        </w:rPr>
        <w:t xml:space="preserve">ations of the U.S. Securities and Exchange Commission (“SEC”) and, in the opinion of management, include all adjustments (consisting of normal, recurring adjustments, unless otherwise disclosed) necessary for a fair statement of the condensed consolidated </w:t>
      </w:r>
      <w:r>
        <w:rPr>
          <w:rFonts w:eastAsia="Times New Roman"/>
          <w:color w:val="000000"/>
          <w:sz w:val="20"/>
          <w:szCs w:val="20"/>
        </w:rPr>
        <w:t>results of operations, financial position, and cash flows for each period presented. The consolidated results for the interim periods are not necessarily indicative of results to be expected for the full year. The 2021 year-end Condensed Consolidated Balan</w:t>
      </w:r>
      <w:r>
        <w:rPr>
          <w:rFonts w:eastAsia="Times New Roman"/>
          <w:color w:val="000000"/>
          <w:sz w:val="20"/>
          <w:szCs w:val="20"/>
        </w:rPr>
        <w:t>ce Sheet was derived from audited financial statements, but does not include all disclosures required by accounting principles generally accepted in the United States (GAAP). These financial statements should be read in conjunction with NCR’s Form 10-K for</w:t>
      </w:r>
      <w:r>
        <w:rPr>
          <w:rFonts w:eastAsia="Times New Roman"/>
          <w:color w:val="000000"/>
          <w:sz w:val="20"/>
          <w:szCs w:val="20"/>
        </w:rPr>
        <w:t xml:space="preserve"> the year ended December 31, 2021. </w:t>
      </w:r>
    </w:p>
    <w:p w14:paraId="4B16DB2C" w14:textId="77777777" w:rsidR="00000000" w:rsidRDefault="0068293C">
      <w:pPr>
        <w:jc w:val="both"/>
        <w:rPr>
          <w:rFonts w:eastAsia="Times New Roman"/>
        </w:rPr>
      </w:pPr>
    </w:p>
    <w:p w14:paraId="46E30877" w14:textId="77777777" w:rsidR="00000000" w:rsidRDefault="0068293C">
      <w:pPr>
        <w:jc w:val="both"/>
        <w:rPr>
          <w:rFonts w:eastAsia="Times New Roman"/>
        </w:rPr>
      </w:pPr>
      <w:r>
        <w:rPr>
          <w:rFonts w:eastAsia="Times New Roman"/>
          <w:i/>
          <w:iCs/>
          <w:color w:val="000000"/>
          <w:sz w:val="20"/>
          <w:szCs w:val="20"/>
        </w:rPr>
        <w:t>Change in reportable segments</w:t>
      </w:r>
      <w:r>
        <w:rPr>
          <w:rFonts w:eastAsia="Times New Roman"/>
          <w:color w:val="000000"/>
          <w:sz w:val="20"/>
          <w:szCs w:val="20"/>
        </w:rPr>
        <w:t xml:space="preserve"> Effective January 1, 2022, the Company realigned its reportable segments to correspond with changes to its operating model, management structure and organizational responsibilities. The re</w:t>
      </w:r>
      <w:r>
        <w:rPr>
          <w:rFonts w:eastAsia="Times New Roman"/>
          <w:color w:val="000000"/>
          <w:sz w:val="20"/>
          <w:szCs w:val="20"/>
        </w:rPr>
        <w:t>portable segments effective January 1, 2022 include: Payments &amp; Network, Digital Banking, Self-Service Banking, Retail, and Hospitality. Additionally, effective January 1, 2022, the Company manages Corporate &amp; Other, which includes income and expenses that</w:t>
      </w:r>
      <w:r>
        <w:rPr>
          <w:rFonts w:eastAsia="Times New Roman"/>
          <w:color w:val="000000"/>
          <w:sz w:val="20"/>
          <w:szCs w:val="20"/>
        </w:rPr>
        <w:t xml:space="preserve"> are not specifically attributable to an individual reportable segment and thus will be reflected only in consolidated results, as well as our Telecommunications &amp; Technology business, an immaterial operating segment. We have reclassified prior period segm</w:t>
      </w:r>
      <w:r>
        <w:rPr>
          <w:rFonts w:eastAsia="Times New Roman"/>
          <w:color w:val="000000"/>
          <w:sz w:val="20"/>
          <w:szCs w:val="20"/>
        </w:rPr>
        <w:t>ent disclosures to conform to current period presentation. Refer to Note 4, “Segment Information and Concentrations”, for additional information on our reportable segments.</w:t>
      </w:r>
    </w:p>
    <w:p w14:paraId="0EC8A323" w14:textId="77777777" w:rsidR="00000000" w:rsidRDefault="0068293C">
      <w:pPr>
        <w:jc w:val="both"/>
        <w:rPr>
          <w:rFonts w:eastAsia="Times New Roman"/>
        </w:rPr>
      </w:pPr>
    </w:p>
    <w:p w14:paraId="42272A64" w14:textId="77777777" w:rsidR="00000000" w:rsidRDefault="0068293C">
      <w:pPr>
        <w:jc w:val="both"/>
        <w:rPr>
          <w:rFonts w:eastAsia="Times New Roman"/>
        </w:rPr>
      </w:pPr>
      <w:r>
        <w:rPr>
          <w:rFonts w:eastAsia="Times New Roman"/>
          <w:i/>
          <w:iCs/>
          <w:color w:val="000000"/>
          <w:sz w:val="20"/>
          <w:szCs w:val="20"/>
        </w:rPr>
        <w:t>Conflict in Eastern Europe</w:t>
      </w:r>
      <w:r>
        <w:rPr>
          <w:rFonts w:eastAsia="Times New Roman"/>
          <w:color w:val="000000"/>
          <w:sz w:val="20"/>
          <w:szCs w:val="20"/>
        </w:rPr>
        <w:t xml:space="preserve"> </w:t>
      </w:r>
      <w:r>
        <w:rPr>
          <w:rFonts w:eastAsia="Times New Roman"/>
          <w:color w:val="000000"/>
          <w:sz w:val="20"/>
          <w:szCs w:val="20"/>
        </w:rPr>
        <w:t>The war in Eastern Europe and related sanctions imposed on Russia and related actors by the United States and other jurisdictions required us to orderly wind down our operations in Russia beginning in the first quarter of 2022. As a result of these actions</w:t>
      </w:r>
      <w:r>
        <w:rPr>
          <w:rFonts w:eastAsia="Times New Roman"/>
          <w:color w:val="000000"/>
          <w:sz w:val="20"/>
          <w:szCs w:val="20"/>
        </w:rPr>
        <w:t>, the operations of the business in Russia were significantly reduced, and our results for the three months ending March 31, 2022 reflect the impact of the impairment and write down of the assets and liabilities of the entity, severance charges, and the as</w:t>
      </w:r>
      <w:r>
        <w:rPr>
          <w:rFonts w:eastAsia="Times New Roman"/>
          <w:color w:val="000000"/>
          <w:sz w:val="20"/>
          <w:szCs w:val="20"/>
        </w:rPr>
        <w:t>sessment of collectability on revenue recognition. We recognized a loss of $19 million for the three months ending March 31, 2022 related to these actions, recognized primarily in Cost of products, Cost of services and Selling, general and administrative e</w:t>
      </w:r>
      <w:r>
        <w:rPr>
          <w:rFonts w:eastAsia="Times New Roman"/>
          <w:color w:val="000000"/>
          <w:sz w:val="20"/>
          <w:szCs w:val="20"/>
        </w:rPr>
        <w:t>xpenses on the Condensed Consolidated Statement of Operations.</w:t>
      </w:r>
    </w:p>
    <w:p w14:paraId="73920C67" w14:textId="77777777" w:rsidR="00000000" w:rsidRDefault="0068293C">
      <w:pPr>
        <w:jc w:val="center"/>
        <w:divId w:val="1810510821"/>
        <w:rPr>
          <w:rFonts w:eastAsia="Times New Roman"/>
        </w:rPr>
      </w:pPr>
      <w:r>
        <w:rPr>
          <w:rFonts w:eastAsia="Times New Roman"/>
          <w:color w:val="000000"/>
          <w:sz w:val="20"/>
          <w:szCs w:val="20"/>
        </w:rPr>
        <w:t>9</w:t>
      </w:r>
    </w:p>
    <w:p w14:paraId="44F2AF99" w14:textId="77777777" w:rsidR="00000000" w:rsidRDefault="0068293C">
      <w:pPr>
        <w:rPr>
          <w:rFonts w:eastAsia="Times New Roman"/>
        </w:rPr>
      </w:pPr>
      <w:r>
        <w:rPr>
          <w:rFonts w:eastAsia="Times New Roman"/>
        </w:rPr>
        <w:pict w14:anchorId="41A6CF6C">
          <v:rect id="_x0000_i1034" style="width:0;height:1.5pt" o:hralign="center" o:hrstd="t" o:hr="t" fillcolor="#a0a0a0" stroked="f"/>
        </w:pict>
      </w:r>
    </w:p>
    <w:p w14:paraId="2D4754E1" w14:textId="77777777" w:rsidR="00000000" w:rsidRDefault="0068293C">
      <w:pPr>
        <w:ind w:firstLine="720"/>
        <w:divId w:val="1475030515"/>
        <w:rPr>
          <w:rFonts w:eastAsia="Times New Roman"/>
        </w:rPr>
      </w:pPr>
      <w:hyperlink w:anchor="i78484f3d0d8e4e36a7c87ddd6ea9d725_7" w:history="1">
        <w:r>
          <w:rPr>
            <w:rStyle w:val="a3"/>
            <w:rFonts w:eastAsia="Times New Roman"/>
            <w:sz w:val="16"/>
            <w:szCs w:val="16"/>
          </w:rPr>
          <w:t>Table of Content</w:t>
        </w:r>
      </w:hyperlink>
    </w:p>
    <w:p w14:paraId="248FFC7A" w14:textId="77777777" w:rsidR="00000000" w:rsidRDefault="0068293C">
      <w:pPr>
        <w:jc w:val="center"/>
        <w:divId w:val="1624997325"/>
        <w:rPr>
          <w:rFonts w:eastAsia="Times New Roman"/>
        </w:rPr>
      </w:pPr>
      <w:r>
        <w:rPr>
          <w:rFonts w:eastAsia="Times New Roman"/>
          <w:b/>
          <w:bCs/>
          <w:color w:val="000000"/>
          <w:sz w:val="20"/>
          <w:szCs w:val="20"/>
        </w:rPr>
        <w:t>NCR Corporation</w:t>
      </w:r>
    </w:p>
    <w:p w14:paraId="42D5ABC3" w14:textId="77777777" w:rsidR="00000000" w:rsidRDefault="0068293C">
      <w:pPr>
        <w:jc w:val="center"/>
        <w:divId w:val="1624997325"/>
        <w:rPr>
          <w:rFonts w:eastAsia="Times New Roman"/>
        </w:rPr>
      </w:pPr>
      <w:r>
        <w:rPr>
          <w:rFonts w:eastAsia="Times New Roman"/>
          <w:b/>
          <w:bCs/>
          <w:color w:val="000000"/>
          <w:sz w:val="20"/>
          <w:szCs w:val="20"/>
        </w:rPr>
        <w:t>Notes to Condensed Consolidated Financial Statements (Unaudited)—(Continued)</w:t>
      </w:r>
    </w:p>
    <w:p w14:paraId="1A2B30B5" w14:textId="77777777" w:rsidR="00000000" w:rsidRDefault="0068293C">
      <w:pPr>
        <w:jc w:val="both"/>
        <w:rPr>
          <w:rFonts w:eastAsia="Times New Roman"/>
        </w:rPr>
      </w:pPr>
    </w:p>
    <w:p w14:paraId="05F85391" w14:textId="77777777" w:rsidR="00000000" w:rsidRDefault="0068293C">
      <w:pPr>
        <w:jc w:val="both"/>
        <w:rPr>
          <w:rFonts w:eastAsia="Times New Roman"/>
        </w:rPr>
      </w:pPr>
      <w:r>
        <w:rPr>
          <w:rFonts w:eastAsia="Times New Roman"/>
          <w:b/>
          <w:bCs/>
          <w:color w:val="000000"/>
          <w:sz w:val="20"/>
          <w:szCs w:val="20"/>
        </w:rPr>
        <w:t>Use of Estimates</w:t>
      </w:r>
      <w:r>
        <w:rPr>
          <w:rFonts w:eastAsia="Times New Roman"/>
          <w:color w:val="000000"/>
          <w:sz w:val="20"/>
          <w:szCs w:val="20"/>
        </w:rPr>
        <w:t xml:space="preserve"> The preparation of financial statements in accordance with GAAP requires management to make estimates and judgments that affect the reported amounts of assets a</w:t>
      </w:r>
      <w:r>
        <w:rPr>
          <w:rFonts w:eastAsia="Times New Roman"/>
          <w:color w:val="000000"/>
          <w:sz w:val="20"/>
          <w:szCs w:val="20"/>
        </w:rPr>
        <w:t xml:space="preserve">nd liabilities, the disclosure of contingent assets and liabilities at the date of the financial statements, and revenue and expenses during the period reported. </w:t>
      </w:r>
    </w:p>
    <w:p w14:paraId="22AAA3EA" w14:textId="77777777" w:rsidR="00000000" w:rsidRDefault="0068293C">
      <w:pPr>
        <w:jc w:val="both"/>
        <w:rPr>
          <w:rFonts w:eastAsia="Times New Roman"/>
        </w:rPr>
      </w:pPr>
    </w:p>
    <w:p w14:paraId="075F115E" w14:textId="77777777" w:rsidR="00000000" w:rsidRDefault="0068293C">
      <w:pPr>
        <w:jc w:val="both"/>
        <w:rPr>
          <w:rFonts w:eastAsia="Times New Roman"/>
        </w:rPr>
      </w:pPr>
      <w:r>
        <w:rPr>
          <w:rFonts w:eastAsia="Times New Roman"/>
          <w:color w:val="000000"/>
          <w:sz w:val="20"/>
          <w:szCs w:val="20"/>
        </w:rPr>
        <w:t>Although our estimates contemplate current and expected future conditions, as applicable, i</w:t>
      </w:r>
      <w:r>
        <w:rPr>
          <w:rFonts w:eastAsia="Times New Roman"/>
          <w:color w:val="000000"/>
          <w:sz w:val="20"/>
          <w:szCs w:val="20"/>
        </w:rPr>
        <w:t>t is reasonably possible that actual conditions could differ from our expectations, which could materially affect our results of operations and financial position. In particular, a number of estimates have been and will continue to be affected by the ongoi</w:t>
      </w:r>
      <w:r>
        <w:rPr>
          <w:rFonts w:eastAsia="Times New Roman"/>
          <w:color w:val="000000"/>
          <w:sz w:val="20"/>
          <w:szCs w:val="20"/>
        </w:rPr>
        <w:t>ng variants of the novel coronavirus (COVID-19) pandemic, macroeconomic pressures and geopolitical challenges. The ultimate impact on our overall financial condition and operating results will depend on the currently unknowable duration and severity of the</w:t>
      </w:r>
      <w:r>
        <w:rPr>
          <w:rFonts w:eastAsia="Times New Roman"/>
          <w:color w:val="000000"/>
          <w:sz w:val="20"/>
          <w:szCs w:val="20"/>
        </w:rPr>
        <w:t xml:space="preserve"> pandemic, supply chain challenges and cost escalations including materials, interest, labor and freight, and any additional governmental and public actions taken in response. As a result, our accounting estimates and assumptions may change over time as a </w:t>
      </w:r>
      <w:r>
        <w:rPr>
          <w:rFonts w:eastAsia="Times New Roman"/>
          <w:color w:val="000000"/>
          <w:sz w:val="20"/>
          <w:szCs w:val="20"/>
        </w:rPr>
        <w:t>consequence of the effects of COVID-19 and other external factors. Such changes could result in future impairments of goodwill, intangible assets, long-lived assets, incremental credit losses on accounts receivable and decreases in the carrying amount of o</w:t>
      </w:r>
      <w:r>
        <w:rPr>
          <w:rFonts w:eastAsia="Times New Roman"/>
          <w:color w:val="000000"/>
          <w:sz w:val="20"/>
          <w:szCs w:val="20"/>
        </w:rPr>
        <w:t>ur tax assets.</w:t>
      </w:r>
    </w:p>
    <w:p w14:paraId="6529EFF4" w14:textId="77777777" w:rsidR="00000000" w:rsidRDefault="0068293C">
      <w:pPr>
        <w:jc w:val="both"/>
        <w:rPr>
          <w:rFonts w:eastAsia="Times New Roman"/>
        </w:rPr>
      </w:pPr>
    </w:p>
    <w:p w14:paraId="14E7554F" w14:textId="77777777" w:rsidR="00000000" w:rsidRDefault="0068293C">
      <w:pPr>
        <w:jc w:val="both"/>
        <w:rPr>
          <w:rFonts w:eastAsia="Times New Roman"/>
        </w:rPr>
      </w:pPr>
      <w:r>
        <w:rPr>
          <w:rFonts w:eastAsia="Times New Roman"/>
          <w:b/>
          <w:bCs/>
          <w:color w:val="000000"/>
          <w:sz w:val="20"/>
          <w:szCs w:val="20"/>
        </w:rPr>
        <w:t>Evaluation of Subsequent Events</w:t>
      </w:r>
      <w:r>
        <w:rPr>
          <w:rFonts w:eastAsia="Times New Roman"/>
          <w:color w:val="000000"/>
          <w:sz w:val="20"/>
          <w:szCs w:val="20"/>
        </w:rPr>
        <w:t> The Company evaluated subsequent events through the date that our Condensed Consolidated Financial Statements were issued. No matters were identified that required adjustment to the Condensed Consolidated Fi</w:t>
      </w:r>
      <w:r>
        <w:rPr>
          <w:rFonts w:eastAsia="Times New Roman"/>
          <w:color w:val="000000"/>
          <w:sz w:val="20"/>
          <w:szCs w:val="20"/>
        </w:rPr>
        <w:t>nancial Statements or additional disclosure other than subsequent events disclosed within the notes to the Condensed Consolidated Financial Statements.</w:t>
      </w:r>
    </w:p>
    <w:p w14:paraId="09C0803C" w14:textId="77777777" w:rsidR="00000000" w:rsidRDefault="0068293C">
      <w:pPr>
        <w:jc w:val="both"/>
        <w:rPr>
          <w:rFonts w:eastAsia="Times New Roman"/>
        </w:rPr>
      </w:pPr>
    </w:p>
    <w:p w14:paraId="39042AAE" w14:textId="77777777" w:rsidR="00000000" w:rsidRDefault="0068293C">
      <w:pPr>
        <w:jc w:val="both"/>
        <w:rPr>
          <w:rFonts w:eastAsia="Times New Roman"/>
        </w:rPr>
      </w:pPr>
      <w:r>
        <w:rPr>
          <w:rFonts w:eastAsia="Times New Roman"/>
          <w:b/>
          <w:bCs/>
          <w:color w:val="000000"/>
          <w:sz w:val="20"/>
          <w:szCs w:val="20"/>
        </w:rPr>
        <w:t>Reclassifications</w:t>
      </w:r>
      <w:r>
        <w:rPr>
          <w:rFonts w:eastAsia="Times New Roman"/>
          <w:color w:val="000000"/>
          <w:sz w:val="20"/>
          <w:szCs w:val="20"/>
        </w:rPr>
        <w:t xml:space="preserve"> Certain prior-period amounts have been reclassified in the accompanying Condensed Co</w:t>
      </w:r>
      <w:r>
        <w:rPr>
          <w:rFonts w:eastAsia="Times New Roman"/>
          <w:color w:val="000000"/>
          <w:sz w:val="20"/>
          <w:szCs w:val="20"/>
        </w:rPr>
        <w:t>nsolidated Financial Statements and Notes thereto in order to conform to the current period presentation. Reclassifications had no effect on prior year net income or shareholders’ equity.</w:t>
      </w:r>
    </w:p>
    <w:p w14:paraId="6FE6277B" w14:textId="77777777" w:rsidR="00000000" w:rsidRDefault="0068293C">
      <w:pPr>
        <w:jc w:val="both"/>
        <w:rPr>
          <w:rFonts w:eastAsia="Times New Roman"/>
        </w:rPr>
      </w:pPr>
    </w:p>
    <w:p w14:paraId="6B858474" w14:textId="77777777" w:rsidR="00000000" w:rsidRDefault="0068293C">
      <w:pPr>
        <w:jc w:val="both"/>
        <w:rPr>
          <w:rFonts w:eastAsia="Times New Roman"/>
        </w:rPr>
      </w:pPr>
    </w:p>
    <w:p w14:paraId="7C375032" w14:textId="77777777" w:rsidR="00000000" w:rsidRDefault="0068293C">
      <w:pPr>
        <w:jc w:val="both"/>
        <w:rPr>
          <w:rFonts w:eastAsia="Times New Roman"/>
        </w:rPr>
      </w:pPr>
      <w:r>
        <w:rPr>
          <w:rFonts w:eastAsia="Times New Roman"/>
          <w:b/>
          <w:bCs/>
          <w:color w:val="000000"/>
          <w:sz w:val="20"/>
          <w:szCs w:val="20"/>
        </w:rPr>
        <w:t xml:space="preserve">Cash, Cash Equivalents, and Restricted Cash </w:t>
      </w:r>
      <w:r>
        <w:rPr>
          <w:rFonts w:eastAsia="Times New Roman"/>
          <w:color w:val="000000"/>
          <w:sz w:val="20"/>
          <w:szCs w:val="20"/>
        </w:rPr>
        <w:t>The reconciliation o</w:t>
      </w:r>
      <w:r>
        <w:rPr>
          <w:rFonts w:eastAsia="Times New Roman"/>
          <w:color w:val="000000"/>
          <w:sz w:val="20"/>
          <w:szCs w:val="20"/>
        </w:rPr>
        <w:t>f cash, cash equivalents and restricted cash in the Condensed Consolidated Statements of Cash Flows is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3549"/>
        <w:gridCol w:w="36"/>
        <w:gridCol w:w="36"/>
        <w:gridCol w:w="36"/>
        <w:gridCol w:w="36"/>
        <w:gridCol w:w="38"/>
        <w:gridCol w:w="2334"/>
        <w:gridCol w:w="37"/>
        <w:gridCol w:w="36"/>
        <w:gridCol w:w="36"/>
        <w:gridCol w:w="36"/>
        <w:gridCol w:w="120"/>
        <w:gridCol w:w="748"/>
        <w:gridCol w:w="36"/>
        <w:gridCol w:w="36"/>
        <w:gridCol w:w="36"/>
        <w:gridCol w:w="36"/>
        <w:gridCol w:w="120"/>
        <w:gridCol w:w="884"/>
        <w:gridCol w:w="36"/>
      </w:tblGrid>
      <w:tr w:rsidR="00000000" w14:paraId="448C46D7" w14:textId="77777777">
        <w:tc>
          <w:tcPr>
            <w:tcW w:w="50" w:type="pct"/>
            <w:vAlign w:val="center"/>
            <w:hideMark/>
          </w:tcPr>
          <w:p w14:paraId="710C8A51" w14:textId="77777777" w:rsidR="00000000" w:rsidRDefault="0068293C">
            <w:pPr>
              <w:jc w:val="both"/>
              <w:rPr>
                <w:rFonts w:eastAsia="Times New Roman"/>
              </w:rPr>
            </w:pPr>
          </w:p>
        </w:tc>
        <w:tc>
          <w:tcPr>
            <w:tcW w:w="2159" w:type="pct"/>
            <w:vAlign w:val="center"/>
            <w:hideMark/>
          </w:tcPr>
          <w:p w14:paraId="092344E2" w14:textId="77777777" w:rsidR="00000000" w:rsidRDefault="0068293C">
            <w:pPr>
              <w:spacing w:after="100"/>
              <w:rPr>
                <w:rFonts w:eastAsia="Times New Roman"/>
                <w:sz w:val="20"/>
                <w:szCs w:val="20"/>
              </w:rPr>
            </w:pPr>
          </w:p>
        </w:tc>
        <w:tc>
          <w:tcPr>
            <w:tcW w:w="5" w:type="pct"/>
            <w:vAlign w:val="center"/>
            <w:hideMark/>
          </w:tcPr>
          <w:p w14:paraId="29164488" w14:textId="77777777" w:rsidR="00000000" w:rsidRDefault="0068293C">
            <w:pPr>
              <w:spacing w:after="100"/>
              <w:rPr>
                <w:rFonts w:eastAsia="Times New Roman"/>
                <w:sz w:val="20"/>
                <w:szCs w:val="20"/>
              </w:rPr>
            </w:pPr>
          </w:p>
        </w:tc>
        <w:tc>
          <w:tcPr>
            <w:tcW w:w="5" w:type="pct"/>
            <w:vAlign w:val="center"/>
            <w:hideMark/>
          </w:tcPr>
          <w:p w14:paraId="564FD23F" w14:textId="77777777" w:rsidR="00000000" w:rsidRDefault="0068293C">
            <w:pPr>
              <w:spacing w:after="100"/>
              <w:rPr>
                <w:rFonts w:eastAsia="Times New Roman"/>
                <w:sz w:val="20"/>
                <w:szCs w:val="20"/>
              </w:rPr>
            </w:pPr>
          </w:p>
        </w:tc>
        <w:tc>
          <w:tcPr>
            <w:tcW w:w="41" w:type="pct"/>
            <w:vAlign w:val="center"/>
            <w:hideMark/>
          </w:tcPr>
          <w:p w14:paraId="4F41A79B" w14:textId="77777777" w:rsidR="00000000" w:rsidRDefault="0068293C">
            <w:pPr>
              <w:spacing w:after="100"/>
              <w:rPr>
                <w:rFonts w:eastAsia="Times New Roman"/>
                <w:sz w:val="20"/>
                <w:szCs w:val="20"/>
              </w:rPr>
            </w:pPr>
          </w:p>
        </w:tc>
        <w:tc>
          <w:tcPr>
            <w:tcW w:w="5" w:type="pct"/>
            <w:vAlign w:val="center"/>
            <w:hideMark/>
          </w:tcPr>
          <w:p w14:paraId="24C7D4A7" w14:textId="77777777" w:rsidR="00000000" w:rsidRDefault="0068293C">
            <w:pPr>
              <w:spacing w:after="100"/>
              <w:rPr>
                <w:rFonts w:eastAsia="Times New Roman"/>
                <w:sz w:val="20"/>
                <w:szCs w:val="20"/>
              </w:rPr>
            </w:pPr>
          </w:p>
        </w:tc>
        <w:tc>
          <w:tcPr>
            <w:tcW w:w="50" w:type="pct"/>
            <w:vAlign w:val="center"/>
            <w:hideMark/>
          </w:tcPr>
          <w:p w14:paraId="2135E15D" w14:textId="77777777" w:rsidR="00000000" w:rsidRDefault="0068293C">
            <w:pPr>
              <w:spacing w:after="100"/>
              <w:rPr>
                <w:rFonts w:eastAsia="Times New Roman"/>
                <w:sz w:val="20"/>
                <w:szCs w:val="20"/>
              </w:rPr>
            </w:pPr>
          </w:p>
        </w:tc>
        <w:tc>
          <w:tcPr>
            <w:tcW w:w="1428" w:type="pct"/>
            <w:vAlign w:val="center"/>
            <w:hideMark/>
          </w:tcPr>
          <w:p w14:paraId="2B136655" w14:textId="77777777" w:rsidR="00000000" w:rsidRDefault="0068293C">
            <w:pPr>
              <w:spacing w:after="100"/>
              <w:rPr>
                <w:rFonts w:eastAsia="Times New Roman"/>
                <w:sz w:val="20"/>
                <w:szCs w:val="20"/>
              </w:rPr>
            </w:pPr>
          </w:p>
        </w:tc>
        <w:tc>
          <w:tcPr>
            <w:tcW w:w="5" w:type="pct"/>
            <w:vAlign w:val="center"/>
            <w:hideMark/>
          </w:tcPr>
          <w:p w14:paraId="2249918A" w14:textId="77777777" w:rsidR="00000000" w:rsidRDefault="0068293C">
            <w:pPr>
              <w:spacing w:after="100"/>
              <w:rPr>
                <w:rFonts w:eastAsia="Times New Roman"/>
                <w:sz w:val="20"/>
                <w:szCs w:val="20"/>
              </w:rPr>
            </w:pPr>
          </w:p>
        </w:tc>
        <w:tc>
          <w:tcPr>
            <w:tcW w:w="5" w:type="pct"/>
            <w:vAlign w:val="center"/>
            <w:hideMark/>
          </w:tcPr>
          <w:p w14:paraId="7B61199F" w14:textId="77777777" w:rsidR="00000000" w:rsidRDefault="0068293C">
            <w:pPr>
              <w:spacing w:after="100"/>
              <w:rPr>
                <w:rFonts w:eastAsia="Times New Roman"/>
                <w:sz w:val="20"/>
                <w:szCs w:val="20"/>
              </w:rPr>
            </w:pPr>
          </w:p>
        </w:tc>
        <w:tc>
          <w:tcPr>
            <w:tcW w:w="41" w:type="pct"/>
            <w:vAlign w:val="center"/>
            <w:hideMark/>
          </w:tcPr>
          <w:p w14:paraId="5720D555" w14:textId="77777777" w:rsidR="00000000" w:rsidRDefault="0068293C">
            <w:pPr>
              <w:spacing w:after="100"/>
              <w:rPr>
                <w:rFonts w:eastAsia="Times New Roman"/>
                <w:sz w:val="20"/>
                <w:szCs w:val="20"/>
              </w:rPr>
            </w:pPr>
          </w:p>
        </w:tc>
        <w:tc>
          <w:tcPr>
            <w:tcW w:w="5" w:type="pct"/>
            <w:vAlign w:val="center"/>
            <w:hideMark/>
          </w:tcPr>
          <w:p w14:paraId="21A4FF5D" w14:textId="77777777" w:rsidR="00000000" w:rsidRDefault="0068293C">
            <w:pPr>
              <w:spacing w:after="100"/>
              <w:rPr>
                <w:rFonts w:eastAsia="Times New Roman"/>
                <w:sz w:val="20"/>
                <w:szCs w:val="20"/>
              </w:rPr>
            </w:pPr>
          </w:p>
        </w:tc>
        <w:tc>
          <w:tcPr>
            <w:tcW w:w="50" w:type="pct"/>
            <w:vAlign w:val="center"/>
            <w:hideMark/>
          </w:tcPr>
          <w:p w14:paraId="51E55253" w14:textId="77777777" w:rsidR="00000000" w:rsidRDefault="0068293C">
            <w:pPr>
              <w:spacing w:after="100"/>
              <w:rPr>
                <w:rFonts w:eastAsia="Times New Roman"/>
                <w:sz w:val="20"/>
                <w:szCs w:val="20"/>
              </w:rPr>
            </w:pPr>
          </w:p>
        </w:tc>
        <w:tc>
          <w:tcPr>
            <w:tcW w:w="478" w:type="pct"/>
            <w:vAlign w:val="center"/>
            <w:hideMark/>
          </w:tcPr>
          <w:p w14:paraId="65941530" w14:textId="77777777" w:rsidR="00000000" w:rsidRDefault="0068293C">
            <w:pPr>
              <w:spacing w:after="100"/>
              <w:rPr>
                <w:rFonts w:eastAsia="Times New Roman"/>
                <w:sz w:val="20"/>
                <w:szCs w:val="20"/>
              </w:rPr>
            </w:pPr>
          </w:p>
        </w:tc>
        <w:tc>
          <w:tcPr>
            <w:tcW w:w="5" w:type="pct"/>
            <w:vAlign w:val="center"/>
            <w:hideMark/>
          </w:tcPr>
          <w:p w14:paraId="7CFDC6DF" w14:textId="77777777" w:rsidR="00000000" w:rsidRDefault="0068293C">
            <w:pPr>
              <w:spacing w:after="100"/>
              <w:rPr>
                <w:rFonts w:eastAsia="Times New Roman"/>
                <w:sz w:val="20"/>
                <w:szCs w:val="20"/>
              </w:rPr>
            </w:pPr>
          </w:p>
        </w:tc>
        <w:tc>
          <w:tcPr>
            <w:tcW w:w="5" w:type="pct"/>
            <w:vAlign w:val="center"/>
            <w:hideMark/>
          </w:tcPr>
          <w:p w14:paraId="2EC3638E" w14:textId="77777777" w:rsidR="00000000" w:rsidRDefault="0068293C">
            <w:pPr>
              <w:spacing w:after="100"/>
              <w:rPr>
                <w:rFonts w:eastAsia="Times New Roman"/>
                <w:sz w:val="20"/>
                <w:szCs w:val="20"/>
              </w:rPr>
            </w:pPr>
          </w:p>
        </w:tc>
        <w:tc>
          <w:tcPr>
            <w:tcW w:w="41" w:type="pct"/>
            <w:vAlign w:val="center"/>
            <w:hideMark/>
          </w:tcPr>
          <w:p w14:paraId="18CF12E2" w14:textId="77777777" w:rsidR="00000000" w:rsidRDefault="0068293C">
            <w:pPr>
              <w:spacing w:after="100"/>
              <w:rPr>
                <w:rFonts w:eastAsia="Times New Roman"/>
                <w:sz w:val="20"/>
                <w:szCs w:val="20"/>
              </w:rPr>
            </w:pPr>
          </w:p>
        </w:tc>
        <w:tc>
          <w:tcPr>
            <w:tcW w:w="5" w:type="pct"/>
            <w:vAlign w:val="center"/>
            <w:hideMark/>
          </w:tcPr>
          <w:p w14:paraId="5B1428D7" w14:textId="77777777" w:rsidR="00000000" w:rsidRDefault="0068293C">
            <w:pPr>
              <w:spacing w:after="100"/>
              <w:rPr>
                <w:rFonts w:eastAsia="Times New Roman"/>
                <w:sz w:val="20"/>
                <w:szCs w:val="20"/>
              </w:rPr>
            </w:pPr>
          </w:p>
        </w:tc>
        <w:tc>
          <w:tcPr>
            <w:tcW w:w="50" w:type="pct"/>
            <w:vAlign w:val="center"/>
            <w:hideMark/>
          </w:tcPr>
          <w:p w14:paraId="2F6F978C" w14:textId="77777777" w:rsidR="00000000" w:rsidRDefault="0068293C">
            <w:pPr>
              <w:spacing w:after="100"/>
              <w:rPr>
                <w:rFonts w:eastAsia="Times New Roman"/>
                <w:sz w:val="20"/>
                <w:szCs w:val="20"/>
              </w:rPr>
            </w:pPr>
          </w:p>
        </w:tc>
        <w:tc>
          <w:tcPr>
            <w:tcW w:w="559" w:type="pct"/>
            <w:vAlign w:val="center"/>
            <w:hideMark/>
          </w:tcPr>
          <w:p w14:paraId="6715AEB9" w14:textId="77777777" w:rsidR="00000000" w:rsidRDefault="0068293C">
            <w:pPr>
              <w:spacing w:after="100"/>
              <w:rPr>
                <w:rFonts w:eastAsia="Times New Roman"/>
                <w:sz w:val="20"/>
                <w:szCs w:val="20"/>
              </w:rPr>
            </w:pPr>
          </w:p>
        </w:tc>
        <w:tc>
          <w:tcPr>
            <w:tcW w:w="5" w:type="pct"/>
            <w:vAlign w:val="center"/>
            <w:hideMark/>
          </w:tcPr>
          <w:p w14:paraId="45DCD961" w14:textId="77777777" w:rsidR="00000000" w:rsidRDefault="0068293C">
            <w:pPr>
              <w:spacing w:after="100"/>
              <w:rPr>
                <w:rFonts w:eastAsia="Times New Roman"/>
                <w:sz w:val="20"/>
                <w:szCs w:val="20"/>
              </w:rPr>
            </w:pPr>
          </w:p>
        </w:tc>
      </w:tr>
      <w:tr w:rsidR="00000000" w14:paraId="1470A0A1" w14:textId="77777777">
        <w:trPr>
          <w:trHeight w:val="240"/>
        </w:trPr>
        <w:tc>
          <w:tcPr>
            <w:tcW w:w="0" w:type="auto"/>
            <w:gridSpan w:val="3"/>
            <w:vMerge w:val="restart"/>
            <w:tcMar>
              <w:top w:w="30" w:type="dxa"/>
              <w:left w:w="20" w:type="dxa"/>
              <w:bottom w:w="30" w:type="dxa"/>
              <w:right w:w="20" w:type="dxa"/>
            </w:tcMar>
            <w:vAlign w:val="bottom"/>
            <w:hideMark/>
          </w:tcPr>
          <w:p w14:paraId="54866F76"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446ED50A"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6AEFABEF"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A3DEB9"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4A40C17" w14:textId="77777777" w:rsidR="00000000" w:rsidRDefault="0068293C">
            <w:pPr>
              <w:spacing w:after="100"/>
              <w:jc w:val="center"/>
              <w:rPr>
                <w:rFonts w:eastAsia="Times New Roman"/>
              </w:rPr>
            </w:pPr>
            <w:r>
              <w:rPr>
                <w:rFonts w:eastAsia="Times New Roman"/>
                <w:b/>
                <w:bCs/>
                <w:color w:val="000000"/>
                <w:sz w:val="16"/>
                <w:szCs w:val="16"/>
              </w:rPr>
              <w:t>March 31</w:t>
            </w:r>
          </w:p>
        </w:tc>
      </w:tr>
      <w:tr w:rsidR="00000000" w14:paraId="48287270" w14:textId="77777777">
        <w:trPr>
          <w:trHeight w:val="300"/>
        </w:trPr>
        <w:tc>
          <w:tcPr>
            <w:tcW w:w="0" w:type="auto"/>
            <w:gridSpan w:val="3"/>
            <w:vMerge/>
            <w:vAlign w:val="center"/>
            <w:hideMark/>
          </w:tcPr>
          <w:p w14:paraId="3FCF04E6"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03FBBF2E"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E1F018" w14:textId="77777777" w:rsidR="00000000" w:rsidRDefault="0068293C">
            <w:pPr>
              <w:spacing w:after="100"/>
              <w:jc w:val="center"/>
              <w:rPr>
                <w:rFonts w:eastAsia="Times New Roman"/>
              </w:rPr>
            </w:pPr>
            <w:r>
              <w:rPr>
                <w:rFonts w:eastAsia="Times New Roman"/>
                <w:b/>
                <w:bCs/>
                <w:color w:val="000000"/>
                <w:sz w:val="16"/>
                <w:szCs w:val="16"/>
              </w:rPr>
              <w:t>Balance Sheet Location</w:t>
            </w:r>
          </w:p>
        </w:tc>
        <w:tc>
          <w:tcPr>
            <w:tcW w:w="0" w:type="auto"/>
            <w:gridSpan w:val="3"/>
            <w:tcMar>
              <w:top w:w="0" w:type="dxa"/>
              <w:left w:w="20" w:type="dxa"/>
              <w:bottom w:w="0" w:type="dxa"/>
              <w:right w:w="20" w:type="dxa"/>
            </w:tcMar>
            <w:vAlign w:val="center"/>
            <w:hideMark/>
          </w:tcPr>
          <w:p w14:paraId="55C4C540"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CFFDE4"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E4C0545"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730235"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18363800" w14:textId="77777777">
        <w:tc>
          <w:tcPr>
            <w:tcW w:w="0" w:type="auto"/>
            <w:gridSpan w:val="3"/>
            <w:shd w:val="clear" w:color="auto" w:fill="CCEEFF"/>
            <w:tcMar>
              <w:top w:w="30" w:type="dxa"/>
              <w:left w:w="245" w:type="dxa"/>
              <w:bottom w:w="30" w:type="dxa"/>
              <w:right w:w="20" w:type="dxa"/>
            </w:tcMar>
            <w:vAlign w:val="center"/>
            <w:hideMark/>
          </w:tcPr>
          <w:p w14:paraId="52BAFB98" w14:textId="77777777" w:rsidR="00000000" w:rsidRDefault="0068293C">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6A52C5F1" w14:textId="77777777" w:rsidR="00000000" w:rsidRDefault="0068293C">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4809296" w14:textId="77777777" w:rsidR="00000000" w:rsidRDefault="0068293C">
            <w:pPr>
              <w:spacing w:after="100"/>
              <w:jc w:val="cente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53842469" w14:textId="77777777" w:rsidR="00000000" w:rsidRDefault="0068293C">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F75B886"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34A121" w14:textId="77777777" w:rsidR="00000000" w:rsidRDefault="0068293C">
            <w:pPr>
              <w:spacing w:after="100"/>
              <w:jc w:val="right"/>
              <w:rPr>
                <w:rFonts w:eastAsia="Times New Roman"/>
              </w:rPr>
            </w:pPr>
            <w:r>
              <w:rPr>
                <w:rFonts w:eastAsia="Times New Roman"/>
                <w:color w:val="000000"/>
                <w:sz w:val="20"/>
                <w:szCs w:val="20"/>
              </w:rPr>
              <w:t>412 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164E8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F34DB"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A2BAF04"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8E61739" w14:textId="77777777" w:rsidR="00000000" w:rsidRDefault="0068293C">
            <w:pPr>
              <w:spacing w:after="100"/>
              <w:jc w:val="right"/>
              <w:rPr>
                <w:rFonts w:eastAsia="Times New Roman"/>
              </w:rPr>
            </w:pPr>
            <w:r>
              <w:rPr>
                <w:rFonts w:eastAsia="Times New Roman"/>
                <w:color w:val="000000"/>
                <w:sz w:val="20"/>
                <w:szCs w:val="20"/>
              </w:rPr>
              <w:t>319 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15DFC4" w14:textId="77777777" w:rsidR="00000000" w:rsidRDefault="0068293C">
            <w:pPr>
              <w:spacing w:after="100"/>
              <w:jc w:val="right"/>
              <w:rPr>
                <w:rFonts w:eastAsia="Times New Roman"/>
              </w:rPr>
            </w:pPr>
          </w:p>
        </w:tc>
      </w:tr>
      <w:tr w:rsidR="00000000" w14:paraId="606FC8C0" w14:textId="77777777">
        <w:tc>
          <w:tcPr>
            <w:tcW w:w="0" w:type="auto"/>
            <w:gridSpan w:val="3"/>
            <w:tcMar>
              <w:top w:w="30" w:type="dxa"/>
              <w:left w:w="245" w:type="dxa"/>
              <w:bottom w:w="30" w:type="dxa"/>
              <w:right w:w="20" w:type="dxa"/>
            </w:tcMar>
            <w:vAlign w:val="center"/>
            <w:hideMark/>
          </w:tcPr>
          <w:p w14:paraId="730F0AA6" w14:textId="77777777" w:rsidR="00000000" w:rsidRDefault="0068293C">
            <w:pPr>
              <w:spacing w:after="100"/>
              <w:rPr>
                <w:rFonts w:eastAsia="Times New Roman"/>
              </w:rPr>
            </w:pPr>
            <w:r>
              <w:rPr>
                <w:rFonts w:eastAsia="Times New Roman"/>
                <w:color w:val="000000"/>
                <w:sz w:val="20"/>
                <w:szCs w:val="20"/>
              </w:rPr>
              <w:t>Long term restricted cash</w:t>
            </w:r>
          </w:p>
        </w:tc>
        <w:tc>
          <w:tcPr>
            <w:tcW w:w="0" w:type="auto"/>
            <w:gridSpan w:val="3"/>
            <w:tcMar>
              <w:top w:w="0" w:type="dxa"/>
              <w:left w:w="20" w:type="dxa"/>
              <w:bottom w:w="0" w:type="dxa"/>
              <w:right w:w="20" w:type="dxa"/>
            </w:tcMar>
            <w:vAlign w:val="center"/>
            <w:hideMark/>
          </w:tcPr>
          <w:p w14:paraId="23187A6B" w14:textId="77777777" w:rsidR="00000000" w:rsidRDefault="0068293C">
            <w:pPr>
              <w:spacing w:after="100"/>
              <w:rPr>
                <w:rFonts w:eastAsia="Times New Roman"/>
              </w:rPr>
            </w:pPr>
          </w:p>
        </w:tc>
        <w:tc>
          <w:tcPr>
            <w:tcW w:w="0" w:type="auto"/>
            <w:gridSpan w:val="3"/>
            <w:tcMar>
              <w:top w:w="30" w:type="dxa"/>
              <w:left w:w="20" w:type="dxa"/>
              <w:bottom w:w="30" w:type="dxa"/>
              <w:right w:w="20" w:type="dxa"/>
            </w:tcMar>
            <w:vAlign w:val="bottom"/>
            <w:hideMark/>
          </w:tcPr>
          <w:p w14:paraId="7D1D14F0" w14:textId="77777777" w:rsidR="00000000" w:rsidRDefault="0068293C">
            <w:pPr>
              <w:spacing w:after="100"/>
              <w:jc w:val="center"/>
              <w:rPr>
                <w:rFonts w:eastAsia="Times New Roman"/>
              </w:rPr>
            </w:pPr>
            <w:r>
              <w:rPr>
                <w:rFonts w:eastAsia="Times New Roman"/>
                <w:color w:val="000000"/>
                <w:sz w:val="20"/>
                <w:szCs w:val="20"/>
              </w:rPr>
              <w:t>Other assets</w:t>
            </w:r>
          </w:p>
        </w:tc>
        <w:tc>
          <w:tcPr>
            <w:tcW w:w="0" w:type="auto"/>
            <w:gridSpan w:val="3"/>
            <w:tcMar>
              <w:top w:w="0" w:type="dxa"/>
              <w:left w:w="20" w:type="dxa"/>
              <w:bottom w:w="0" w:type="dxa"/>
              <w:right w:w="20" w:type="dxa"/>
            </w:tcMar>
            <w:vAlign w:val="center"/>
            <w:hideMark/>
          </w:tcPr>
          <w:p w14:paraId="5FB9329F" w14:textId="77777777" w:rsidR="00000000" w:rsidRDefault="0068293C">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5ED7EC48" w14:textId="77777777" w:rsidR="00000000" w:rsidRDefault="0068293C">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14:paraId="1C905CED"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949B09C" w14:textId="77777777" w:rsidR="00000000" w:rsidRDefault="006829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B093992" w14:textId="77777777" w:rsidR="00000000" w:rsidRDefault="0068293C">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14:paraId="3BF27B45" w14:textId="77777777" w:rsidR="00000000" w:rsidRDefault="0068293C">
            <w:pPr>
              <w:spacing w:after="100"/>
              <w:jc w:val="right"/>
              <w:rPr>
                <w:rFonts w:eastAsia="Times New Roman"/>
              </w:rPr>
            </w:pPr>
          </w:p>
        </w:tc>
      </w:tr>
      <w:tr w:rsidR="00000000" w14:paraId="340BF861" w14:textId="77777777">
        <w:tc>
          <w:tcPr>
            <w:tcW w:w="0" w:type="auto"/>
            <w:gridSpan w:val="3"/>
            <w:shd w:val="clear" w:color="auto" w:fill="CCEEFF"/>
            <w:tcMar>
              <w:top w:w="30" w:type="dxa"/>
              <w:left w:w="245" w:type="dxa"/>
              <w:bottom w:w="30" w:type="dxa"/>
              <w:right w:w="20" w:type="dxa"/>
            </w:tcMar>
            <w:vAlign w:val="center"/>
            <w:hideMark/>
          </w:tcPr>
          <w:p w14:paraId="3B7560EA" w14:textId="77777777" w:rsidR="00000000" w:rsidRDefault="0068293C">
            <w:pPr>
              <w:spacing w:after="100"/>
              <w:rPr>
                <w:rFonts w:eastAsia="Times New Roman"/>
              </w:rPr>
            </w:pPr>
            <w:r>
              <w:rPr>
                <w:rFonts w:eastAsia="Times New Roman"/>
                <w:color w:val="000000"/>
                <w:sz w:val="20"/>
                <w:szCs w:val="20"/>
              </w:rPr>
              <w:t>Funds held for client</w:t>
            </w:r>
          </w:p>
        </w:tc>
        <w:tc>
          <w:tcPr>
            <w:tcW w:w="0" w:type="auto"/>
            <w:gridSpan w:val="3"/>
            <w:shd w:val="clear" w:color="auto" w:fill="CCEEFF"/>
            <w:tcMar>
              <w:top w:w="0" w:type="dxa"/>
              <w:left w:w="20" w:type="dxa"/>
              <w:bottom w:w="0" w:type="dxa"/>
              <w:right w:w="20" w:type="dxa"/>
            </w:tcMar>
            <w:vAlign w:val="center"/>
            <w:hideMark/>
          </w:tcPr>
          <w:p w14:paraId="2113D1D1" w14:textId="77777777" w:rsidR="00000000" w:rsidRDefault="0068293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650C7B" w14:textId="77777777" w:rsidR="00000000" w:rsidRDefault="0068293C">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CCEEFF"/>
            <w:tcMar>
              <w:top w:w="0" w:type="dxa"/>
              <w:left w:w="20" w:type="dxa"/>
              <w:bottom w:w="0" w:type="dxa"/>
              <w:right w:w="20" w:type="dxa"/>
            </w:tcMar>
            <w:vAlign w:val="center"/>
            <w:hideMark/>
          </w:tcPr>
          <w:p w14:paraId="0F9C7E16" w14:textId="77777777" w:rsidR="00000000" w:rsidRDefault="0068293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9DDCB3" w14:textId="77777777" w:rsidR="00000000" w:rsidRDefault="0068293C">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2028762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A6A33"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D9014F" w14:textId="77777777" w:rsidR="00000000" w:rsidRDefault="0068293C">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2013D62B" w14:textId="77777777" w:rsidR="00000000" w:rsidRDefault="0068293C">
            <w:pPr>
              <w:spacing w:after="100"/>
              <w:jc w:val="right"/>
              <w:rPr>
                <w:rFonts w:eastAsia="Times New Roman"/>
              </w:rPr>
            </w:pPr>
          </w:p>
        </w:tc>
      </w:tr>
      <w:tr w:rsidR="00000000" w14:paraId="5A07EA37" w14:textId="77777777">
        <w:tc>
          <w:tcPr>
            <w:tcW w:w="0" w:type="auto"/>
            <w:gridSpan w:val="3"/>
            <w:tcMar>
              <w:top w:w="30" w:type="dxa"/>
              <w:left w:w="245" w:type="dxa"/>
              <w:bottom w:w="30" w:type="dxa"/>
              <w:right w:w="20" w:type="dxa"/>
            </w:tcMar>
            <w:vAlign w:val="center"/>
            <w:hideMark/>
          </w:tcPr>
          <w:p w14:paraId="4A446E87" w14:textId="77777777" w:rsidR="00000000" w:rsidRDefault="0068293C">
            <w:pPr>
              <w:spacing w:after="100"/>
              <w:rPr>
                <w:rFonts w:eastAsia="Times New Roman"/>
              </w:rPr>
            </w:pPr>
            <w:r>
              <w:rPr>
                <w:rFonts w:eastAsia="Times New Roman"/>
                <w:color w:val="000000"/>
                <w:sz w:val="20"/>
                <w:szCs w:val="20"/>
              </w:rPr>
              <w:t>Cash included in settlement processing assets</w:t>
            </w:r>
          </w:p>
        </w:tc>
        <w:tc>
          <w:tcPr>
            <w:tcW w:w="0" w:type="auto"/>
            <w:gridSpan w:val="3"/>
            <w:tcMar>
              <w:top w:w="0" w:type="dxa"/>
              <w:left w:w="20" w:type="dxa"/>
              <w:bottom w:w="0" w:type="dxa"/>
              <w:right w:w="20" w:type="dxa"/>
            </w:tcMar>
            <w:vAlign w:val="center"/>
            <w:hideMark/>
          </w:tcPr>
          <w:p w14:paraId="3E51059A" w14:textId="77777777" w:rsidR="00000000" w:rsidRDefault="0068293C">
            <w:pPr>
              <w:spacing w:after="100"/>
              <w:rPr>
                <w:rFonts w:eastAsia="Times New Roman"/>
              </w:rPr>
            </w:pPr>
          </w:p>
        </w:tc>
        <w:tc>
          <w:tcPr>
            <w:tcW w:w="0" w:type="auto"/>
            <w:gridSpan w:val="3"/>
            <w:tcMar>
              <w:top w:w="30" w:type="dxa"/>
              <w:left w:w="20" w:type="dxa"/>
              <w:bottom w:w="30" w:type="dxa"/>
              <w:right w:w="20" w:type="dxa"/>
            </w:tcMar>
            <w:vAlign w:val="bottom"/>
            <w:hideMark/>
          </w:tcPr>
          <w:p w14:paraId="4550AAEE" w14:textId="77777777" w:rsidR="00000000" w:rsidRDefault="0068293C">
            <w:pPr>
              <w:spacing w:after="100"/>
              <w:jc w:val="center"/>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14:paraId="42BA38F6" w14:textId="77777777" w:rsidR="00000000" w:rsidRDefault="0068293C">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7D2820A9" w14:textId="77777777" w:rsidR="00000000" w:rsidRDefault="0068293C">
            <w:pPr>
              <w:spacing w:after="100"/>
              <w:jc w:val="right"/>
              <w:rPr>
                <w:rFonts w:eastAsia="Times New Roman"/>
              </w:rPr>
            </w:pPr>
            <w:r>
              <w:rPr>
                <w:rFonts w:eastAsia="Times New Roman"/>
                <w:color w:val="000000"/>
                <w:sz w:val="20"/>
                <w:szCs w:val="20"/>
              </w:rPr>
              <w:t>219 </w:t>
            </w:r>
          </w:p>
        </w:tc>
        <w:tc>
          <w:tcPr>
            <w:tcW w:w="0" w:type="auto"/>
            <w:tcMar>
              <w:top w:w="30" w:type="dxa"/>
              <w:left w:w="0" w:type="dxa"/>
              <w:bottom w:w="30" w:type="dxa"/>
              <w:right w:w="20" w:type="dxa"/>
            </w:tcMar>
            <w:vAlign w:val="bottom"/>
            <w:hideMark/>
          </w:tcPr>
          <w:p w14:paraId="0779F7CC" w14:textId="77777777" w:rsidR="00000000" w:rsidRDefault="0068293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23FF16" w14:textId="77777777" w:rsidR="00000000" w:rsidRDefault="006829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8FDCEC1" w14:textId="77777777" w:rsidR="00000000" w:rsidRDefault="0068293C">
            <w:pPr>
              <w:spacing w:after="100"/>
              <w:jc w:val="right"/>
              <w:rPr>
                <w:rFonts w:eastAsia="Times New Roman"/>
              </w:rPr>
            </w:pPr>
            <w:r>
              <w:rPr>
                <w:rFonts w:eastAsia="Times New Roman"/>
                <w:color w:val="000000"/>
                <w:sz w:val="20"/>
                <w:szCs w:val="20"/>
              </w:rPr>
              <w:t>20 </w:t>
            </w:r>
          </w:p>
        </w:tc>
        <w:tc>
          <w:tcPr>
            <w:tcW w:w="0" w:type="auto"/>
            <w:tcMar>
              <w:top w:w="30" w:type="dxa"/>
              <w:left w:w="0" w:type="dxa"/>
              <w:bottom w:w="30" w:type="dxa"/>
              <w:right w:w="20" w:type="dxa"/>
            </w:tcMar>
            <w:vAlign w:val="bottom"/>
            <w:hideMark/>
          </w:tcPr>
          <w:p w14:paraId="5BF17AFC" w14:textId="77777777" w:rsidR="00000000" w:rsidRDefault="0068293C">
            <w:pPr>
              <w:spacing w:after="100"/>
              <w:jc w:val="right"/>
              <w:rPr>
                <w:rFonts w:eastAsia="Times New Roman"/>
              </w:rPr>
            </w:pPr>
          </w:p>
        </w:tc>
      </w:tr>
      <w:tr w:rsidR="00000000" w14:paraId="4412D960" w14:textId="77777777">
        <w:tc>
          <w:tcPr>
            <w:tcW w:w="0" w:type="auto"/>
            <w:gridSpan w:val="3"/>
            <w:shd w:val="clear" w:color="auto" w:fill="CCEEFF"/>
            <w:tcMar>
              <w:top w:w="30" w:type="dxa"/>
              <w:left w:w="20" w:type="dxa"/>
              <w:bottom w:w="30" w:type="dxa"/>
              <w:right w:w="20" w:type="dxa"/>
            </w:tcMar>
            <w:vAlign w:val="center"/>
            <w:hideMark/>
          </w:tcPr>
          <w:p w14:paraId="7CB1238F" w14:textId="77777777" w:rsidR="00000000" w:rsidRDefault="0068293C">
            <w:pPr>
              <w:spacing w:after="100"/>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14:paraId="32AE0E26"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1A28B"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A5870F" w14:textId="77777777" w:rsidR="00000000" w:rsidRDefault="0068293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F3B3F1C"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EF10E54" w14:textId="77777777" w:rsidR="00000000" w:rsidRDefault="0068293C">
            <w:pPr>
              <w:spacing w:after="100"/>
              <w:jc w:val="right"/>
              <w:rPr>
                <w:rFonts w:eastAsia="Times New Roman"/>
              </w:rPr>
            </w:pPr>
            <w:r>
              <w:rPr>
                <w:rFonts w:eastAsia="Times New Roman"/>
                <w:color w:val="000000"/>
                <w:sz w:val="20"/>
                <w:szCs w:val="20"/>
              </w:rPr>
              <w:t>692 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0BFA1B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B5387"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1B0336B"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FB158DA" w14:textId="77777777" w:rsidR="00000000" w:rsidRDefault="0068293C">
            <w:pPr>
              <w:spacing w:after="100"/>
              <w:jc w:val="right"/>
              <w:rPr>
                <w:rFonts w:eastAsia="Times New Roman"/>
              </w:rPr>
            </w:pPr>
            <w:r>
              <w:rPr>
                <w:rFonts w:eastAsia="Times New Roman"/>
                <w:color w:val="000000"/>
                <w:sz w:val="20"/>
                <w:szCs w:val="20"/>
              </w:rPr>
              <w:t>391 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1AA79E3" w14:textId="77777777" w:rsidR="00000000" w:rsidRDefault="0068293C">
            <w:pPr>
              <w:spacing w:after="100"/>
              <w:jc w:val="right"/>
              <w:rPr>
                <w:rFonts w:eastAsia="Times New Roman"/>
              </w:rPr>
            </w:pPr>
          </w:p>
        </w:tc>
      </w:tr>
    </w:tbl>
    <w:p w14:paraId="2229FE89" w14:textId="77777777" w:rsidR="00000000" w:rsidRDefault="0068293C">
      <w:pPr>
        <w:jc w:val="both"/>
        <w:rPr>
          <w:rFonts w:eastAsia="Times New Roman"/>
        </w:rPr>
      </w:pPr>
    </w:p>
    <w:p w14:paraId="40168C43" w14:textId="77777777" w:rsidR="00000000" w:rsidRDefault="0068293C">
      <w:pPr>
        <w:jc w:val="both"/>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The following table presents the net contract asset and contract liability balances as of March 31, 2022 and December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531"/>
        <w:gridCol w:w="36"/>
        <w:gridCol w:w="46"/>
        <w:gridCol w:w="3018"/>
        <w:gridCol w:w="36"/>
        <w:gridCol w:w="36"/>
        <w:gridCol w:w="36"/>
        <w:gridCol w:w="36"/>
        <w:gridCol w:w="120"/>
        <w:gridCol w:w="1019"/>
        <w:gridCol w:w="36"/>
        <w:gridCol w:w="36"/>
        <w:gridCol w:w="36"/>
        <w:gridCol w:w="36"/>
        <w:gridCol w:w="121"/>
        <w:gridCol w:w="1045"/>
        <w:gridCol w:w="36"/>
      </w:tblGrid>
      <w:tr w:rsidR="00000000" w14:paraId="42D5FB62" w14:textId="77777777">
        <w:trPr>
          <w:divId w:val="256132022"/>
          <w:jc w:val="center"/>
        </w:trPr>
        <w:tc>
          <w:tcPr>
            <w:tcW w:w="50" w:type="pct"/>
            <w:vAlign w:val="center"/>
            <w:hideMark/>
          </w:tcPr>
          <w:p w14:paraId="3C0FAC8C" w14:textId="77777777" w:rsidR="00000000" w:rsidRDefault="0068293C">
            <w:pPr>
              <w:jc w:val="both"/>
              <w:rPr>
                <w:rFonts w:eastAsia="Times New Roman"/>
              </w:rPr>
            </w:pPr>
          </w:p>
        </w:tc>
        <w:tc>
          <w:tcPr>
            <w:tcW w:w="1545" w:type="pct"/>
            <w:vAlign w:val="center"/>
            <w:hideMark/>
          </w:tcPr>
          <w:p w14:paraId="405B5844" w14:textId="77777777" w:rsidR="00000000" w:rsidRDefault="0068293C">
            <w:pPr>
              <w:spacing w:after="100"/>
              <w:rPr>
                <w:rFonts w:eastAsia="Times New Roman"/>
                <w:sz w:val="20"/>
                <w:szCs w:val="20"/>
              </w:rPr>
            </w:pPr>
          </w:p>
        </w:tc>
        <w:tc>
          <w:tcPr>
            <w:tcW w:w="5" w:type="pct"/>
            <w:vAlign w:val="center"/>
            <w:hideMark/>
          </w:tcPr>
          <w:p w14:paraId="0B5607A4" w14:textId="77777777" w:rsidR="00000000" w:rsidRDefault="0068293C">
            <w:pPr>
              <w:spacing w:after="100"/>
              <w:rPr>
                <w:rFonts w:eastAsia="Times New Roman"/>
                <w:sz w:val="20"/>
                <w:szCs w:val="20"/>
              </w:rPr>
            </w:pPr>
          </w:p>
        </w:tc>
        <w:tc>
          <w:tcPr>
            <w:tcW w:w="50" w:type="pct"/>
            <w:vAlign w:val="center"/>
            <w:hideMark/>
          </w:tcPr>
          <w:p w14:paraId="7E6FD75F" w14:textId="77777777" w:rsidR="00000000" w:rsidRDefault="0068293C">
            <w:pPr>
              <w:spacing w:after="100"/>
              <w:rPr>
                <w:rFonts w:eastAsia="Times New Roman"/>
                <w:sz w:val="20"/>
                <w:szCs w:val="20"/>
              </w:rPr>
            </w:pPr>
          </w:p>
        </w:tc>
        <w:tc>
          <w:tcPr>
            <w:tcW w:w="1838" w:type="pct"/>
            <w:vAlign w:val="center"/>
            <w:hideMark/>
          </w:tcPr>
          <w:p w14:paraId="23A64B94" w14:textId="77777777" w:rsidR="00000000" w:rsidRDefault="0068293C">
            <w:pPr>
              <w:spacing w:after="100"/>
              <w:rPr>
                <w:rFonts w:eastAsia="Times New Roman"/>
                <w:sz w:val="20"/>
                <w:szCs w:val="20"/>
              </w:rPr>
            </w:pPr>
          </w:p>
        </w:tc>
        <w:tc>
          <w:tcPr>
            <w:tcW w:w="5" w:type="pct"/>
            <w:vAlign w:val="center"/>
            <w:hideMark/>
          </w:tcPr>
          <w:p w14:paraId="3DAE2E2E" w14:textId="77777777" w:rsidR="00000000" w:rsidRDefault="0068293C">
            <w:pPr>
              <w:spacing w:after="100"/>
              <w:rPr>
                <w:rFonts w:eastAsia="Times New Roman"/>
                <w:sz w:val="20"/>
                <w:szCs w:val="20"/>
              </w:rPr>
            </w:pPr>
          </w:p>
        </w:tc>
        <w:tc>
          <w:tcPr>
            <w:tcW w:w="5" w:type="pct"/>
            <w:vAlign w:val="center"/>
            <w:hideMark/>
          </w:tcPr>
          <w:p w14:paraId="5E2E6424" w14:textId="77777777" w:rsidR="00000000" w:rsidRDefault="0068293C">
            <w:pPr>
              <w:spacing w:after="100"/>
              <w:rPr>
                <w:rFonts w:eastAsia="Times New Roman"/>
                <w:sz w:val="20"/>
                <w:szCs w:val="20"/>
              </w:rPr>
            </w:pPr>
          </w:p>
        </w:tc>
        <w:tc>
          <w:tcPr>
            <w:tcW w:w="26" w:type="pct"/>
            <w:vAlign w:val="center"/>
            <w:hideMark/>
          </w:tcPr>
          <w:p w14:paraId="34C49338" w14:textId="77777777" w:rsidR="00000000" w:rsidRDefault="0068293C">
            <w:pPr>
              <w:spacing w:after="100"/>
              <w:rPr>
                <w:rFonts w:eastAsia="Times New Roman"/>
                <w:sz w:val="20"/>
                <w:szCs w:val="20"/>
              </w:rPr>
            </w:pPr>
          </w:p>
        </w:tc>
        <w:tc>
          <w:tcPr>
            <w:tcW w:w="5" w:type="pct"/>
            <w:vAlign w:val="center"/>
            <w:hideMark/>
          </w:tcPr>
          <w:p w14:paraId="74509286" w14:textId="77777777" w:rsidR="00000000" w:rsidRDefault="0068293C">
            <w:pPr>
              <w:spacing w:after="100"/>
              <w:rPr>
                <w:rFonts w:eastAsia="Times New Roman"/>
                <w:sz w:val="20"/>
                <w:szCs w:val="20"/>
              </w:rPr>
            </w:pPr>
          </w:p>
        </w:tc>
        <w:tc>
          <w:tcPr>
            <w:tcW w:w="50" w:type="pct"/>
            <w:vAlign w:val="center"/>
            <w:hideMark/>
          </w:tcPr>
          <w:p w14:paraId="52120DF3" w14:textId="77777777" w:rsidR="00000000" w:rsidRDefault="0068293C">
            <w:pPr>
              <w:spacing w:after="100"/>
              <w:rPr>
                <w:rFonts w:eastAsia="Times New Roman"/>
                <w:sz w:val="20"/>
                <w:szCs w:val="20"/>
              </w:rPr>
            </w:pPr>
          </w:p>
        </w:tc>
        <w:tc>
          <w:tcPr>
            <w:tcW w:w="654" w:type="pct"/>
            <w:vAlign w:val="center"/>
            <w:hideMark/>
          </w:tcPr>
          <w:p w14:paraId="19ADF314" w14:textId="77777777" w:rsidR="00000000" w:rsidRDefault="0068293C">
            <w:pPr>
              <w:spacing w:after="100"/>
              <w:rPr>
                <w:rFonts w:eastAsia="Times New Roman"/>
                <w:sz w:val="20"/>
                <w:szCs w:val="20"/>
              </w:rPr>
            </w:pPr>
          </w:p>
        </w:tc>
        <w:tc>
          <w:tcPr>
            <w:tcW w:w="5" w:type="pct"/>
            <w:vAlign w:val="center"/>
            <w:hideMark/>
          </w:tcPr>
          <w:p w14:paraId="41530AE6" w14:textId="77777777" w:rsidR="00000000" w:rsidRDefault="0068293C">
            <w:pPr>
              <w:spacing w:after="100"/>
              <w:rPr>
                <w:rFonts w:eastAsia="Times New Roman"/>
                <w:sz w:val="20"/>
                <w:szCs w:val="20"/>
              </w:rPr>
            </w:pPr>
          </w:p>
        </w:tc>
        <w:tc>
          <w:tcPr>
            <w:tcW w:w="5" w:type="pct"/>
            <w:vAlign w:val="center"/>
            <w:hideMark/>
          </w:tcPr>
          <w:p w14:paraId="29D60215" w14:textId="77777777" w:rsidR="00000000" w:rsidRDefault="0068293C">
            <w:pPr>
              <w:spacing w:after="100"/>
              <w:rPr>
                <w:rFonts w:eastAsia="Times New Roman"/>
                <w:sz w:val="20"/>
                <w:szCs w:val="20"/>
              </w:rPr>
            </w:pPr>
          </w:p>
        </w:tc>
        <w:tc>
          <w:tcPr>
            <w:tcW w:w="26" w:type="pct"/>
            <w:vAlign w:val="center"/>
            <w:hideMark/>
          </w:tcPr>
          <w:p w14:paraId="121AA205" w14:textId="77777777" w:rsidR="00000000" w:rsidRDefault="0068293C">
            <w:pPr>
              <w:spacing w:after="100"/>
              <w:rPr>
                <w:rFonts w:eastAsia="Times New Roman"/>
                <w:sz w:val="20"/>
                <w:szCs w:val="20"/>
              </w:rPr>
            </w:pPr>
          </w:p>
        </w:tc>
        <w:tc>
          <w:tcPr>
            <w:tcW w:w="5" w:type="pct"/>
            <w:vAlign w:val="center"/>
            <w:hideMark/>
          </w:tcPr>
          <w:p w14:paraId="22C64ABF" w14:textId="77777777" w:rsidR="00000000" w:rsidRDefault="0068293C">
            <w:pPr>
              <w:spacing w:after="100"/>
              <w:rPr>
                <w:rFonts w:eastAsia="Times New Roman"/>
                <w:sz w:val="20"/>
                <w:szCs w:val="20"/>
              </w:rPr>
            </w:pPr>
          </w:p>
        </w:tc>
        <w:tc>
          <w:tcPr>
            <w:tcW w:w="50" w:type="pct"/>
            <w:vAlign w:val="center"/>
            <w:hideMark/>
          </w:tcPr>
          <w:p w14:paraId="2C2E4C51" w14:textId="77777777" w:rsidR="00000000" w:rsidRDefault="0068293C">
            <w:pPr>
              <w:spacing w:after="100"/>
              <w:rPr>
                <w:rFonts w:eastAsia="Times New Roman"/>
                <w:sz w:val="20"/>
                <w:szCs w:val="20"/>
              </w:rPr>
            </w:pPr>
          </w:p>
        </w:tc>
        <w:tc>
          <w:tcPr>
            <w:tcW w:w="668" w:type="pct"/>
            <w:vAlign w:val="center"/>
            <w:hideMark/>
          </w:tcPr>
          <w:p w14:paraId="07328B7B" w14:textId="77777777" w:rsidR="00000000" w:rsidRDefault="0068293C">
            <w:pPr>
              <w:spacing w:after="100"/>
              <w:rPr>
                <w:rFonts w:eastAsia="Times New Roman"/>
                <w:sz w:val="20"/>
                <w:szCs w:val="20"/>
              </w:rPr>
            </w:pPr>
          </w:p>
        </w:tc>
        <w:tc>
          <w:tcPr>
            <w:tcW w:w="5" w:type="pct"/>
            <w:vAlign w:val="center"/>
            <w:hideMark/>
          </w:tcPr>
          <w:p w14:paraId="391DAF2C" w14:textId="77777777" w:rsidR="00000000" w:rsidRDefault="0068293C">
            <w:pPr>
              <w:spacing w:after="100"/>
              <w:rPr>
                <w:rFonts w:eastAsia="Times New Roman"/>
                <w:sz w:val="20"/>
                <w:szCs w:val="20"/>
              </w:rPr>
            </w:pPr>
          </w:p>
        </w:tc>
      </w:tr>
      <w:tr w:rsidR="00000000" w14:paraId="23C49368" w14:textId="77777777">
        <w:trPr>
          <w:divId w:val="256132022"/>
          <w:jc w:val="center"/>
        </w:trPr>
        <w:tc>
          <w:tcPr>
            <w:tcW w:w="0" w:type="auto"/>
            <w:gridSpan w:val="3"/>
            <w:tcMar>
              <w:top w:w="30" w:type="dxa"/>
              <w:left w:w="20" w:type="dxa"/>
              <w:bottom w:w="30" w:type="dxa"/>
              <w:right w:w="20" w:type="dxa"/>
            </w:tcMar>
            <w:vAlign w:val="bottom"/>
            <w:hideMark/>
          </w:tcPr>
          <w:p w14:paraId="2619B49F"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4332FF52" w14:textId="77777777" w:rsidR="00000000" w:rsidRDefault="0068293C">
            <w:pPr>
              <w:spacing w:after="100"/>
              <w:jc w:val="center"/>
              <w:rPr>
                <w:rFonts w:eastAsia="Times New Roman"/>
              </w:rPr>
            </w:pPr>
            <w:r>
              <w:rPr>
                <w:rFonts w:eastAsia="Times New Roman"/>
                <w:b/>
                <w:bCs/>
                <w:color w:val="000000"/>
                <w:sz w:val="16"/>
                <w:szCs w:val="16"/>
              </w:rPr>
              <w:t>Location in the Condensed Consolidated Balance Sheet</w:t>
            </w:r>
          </w:p>
        </w:tc>
        <w:tc>
          <w:tcPr>
            <w:tcW w:w="0" w:type="auto"/>
            <w:gridSpan w:val="3"/>
            <w:tcMar>
              <w:top w:w="0" w:type="dxa"/>
              <w:left w:w="20" w:type="dxa"/>
              <w:bottom w:w="0" w:type="dxa"/>
              <w:right w:w="20" w:type="dxa"/>
            </w:tcMar>
            <w:vAlign w:val="center"/>
            <w:hideMark/>
          </w:tcPr>
          <w:p w14:paraId="1679B22D"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B52377" w14:textId="77777777" w:rsidR="00000000" w:rsidRDefault="0068293C">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211E7223"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0D5D64"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52CA16A0" w14:textId="77777777">
        <w:trPr>
          <w:divId w:val="256132022"/>
          <w:jc w:val="center"/>
        </w:trPr>
        <w:tc>
          <w:tcPr>
            <w:tcW w:w="0" w:type="auto"/>
            <w:gridSpan w:val="3"/>
            <w:shd w:val="clear" w:color="auto" w:fill="CCEEFF"/>
            <w:tcMar>
              <w:top w:w="30" w:type="dxa"/>
              <w:left w:w="20" w:type="dxa"/>
              <w:bottom w:w="30" w:type="dxa"/>
              <w:right w:w="20" w:type="dxa"/>
            </w:tcMar>
            <w:vAlign w:val="bottom"/>
            <w:hideMark/>
          </w:tcPr>
          <w:p w14:paraId="4757BA99" w14:textId="77777777" w:rsidR="00000000" w:rsidRDefault="0068293C">
            <w:pPr>
              <w:spacing w:after="100"/>
              <w:rPr>
                <w:rFonts w:eastAsia="Times New Roman"/>
              </w:rPr>
            </w:pPr>
            <w:r>
              <w:rPr>
                <w:rFonts w:eastAsia="Times New Roman"/>
                <w:color w:val="000000"/>
                <w:sz w:val="20"/>
                <w:szCs w:val="20"/>
              </w:rPr>
              <w:t>Current portion of contract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9E53CE" w14:textId="77777777" w:rsidR="00000000" w:rsidRDefault="0068293C">
            <w:pPr>
              <w:spacing w:after="100"/>
              <w:rPr>
                <w:rFonts w:eastAsia="Times New Roman"/>
              </w:rPr>
            </w:pPr>
            <w:r>
              <w:rPr>
                <w:rFonts w:eastAsia="Times New Roman"/>
                <w:color w:val="000000"/>
                <w:sz w:val="20"/>
                <w:szCs w:val="20"/>
              </w:rPr>
              <w:t>Contract liabilities</w:t>
            </w:r>
          </w:p>
        </w:tc>
        <w:tc>
          <w:tcPr>
            <w:tcW w:w="0" w:type="auto"/>
            <w:gridSpan w:val="3"/>
            <w:shd w:val="clear" w:color="auto" w:fill="CCEEFF"/>
            <w:tcMar>
              <w:top w:w="0" w:type="dxa"/>
              <w:left w:w="20" w:type="dxa"/>
              <w:bottom w:w="0" w:type="dxa"/>
              <w:right w:w="20" w:type="dxa"/>
            </w:tcMar>
            <w:vAlign w:val="center"/>
            <w:hideMark/>
          </w:tcPr>
          <w:p w14:paraId="5401BF9B"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2078DF"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C9DB81" w14:textId="77777777" w:rsidR="00000000" w:rsidRDefault="0068293C">
            <w:pPr>
              <w:spacing w:after="100"/>
              <w:jc w:val="right"/>
              <w:rPr>
                <w:rFonts w:eastAsia="Times New Roman"/>
              </w:rPr>
            </w:pPr>
            <w:r>
              <w:rPr>
                <w:rFonts w:eastAsia="Times New Roman"/>
                <w:color w:val="000000"/>
                <w:sz w:val="20"/>
                <w:szCs w:val="20"/>
              </w:rPr>
              <w:t>625 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F6AB3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2740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F9383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EE2E09" w14:textId="77777777" w:rsidR="00000000" w:rsidRDefault="0068293C">
            <w:pPr>
              <w:spacing w:after="100"/>
              <w:jc w:val="right"/>
              <w:rPr>
                <w:rFonts w:eastAsia="Times New Roman"/>
              </w:rPr>
            </w:pPr>
            <w:r>
              <w:rPr>
                <w:rFonts w:eastAsia="Times New Roman"/>
                <w:color w:val="000000"/>
                <w:sz w:val="20"/>
                <w:szCs w:val="20"/>
              </w:rPr>
              <w:t>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68CE95" w14:textId="77777777" w:rsidR="00000000" w:rsidRDefault="0068293C">
            <w:pPr>
              <w:spacing w:after="100"/>
              <w:jc w:val="right"/>
              <w:rPr>
                <w:rFonts w:eastAsia="Times New Roman"/>
              </w:rPr>
            </w:pPr>
          </w:p>
        </w:tc>
      </w:tr>
      <w:tr w:rsidR="00000000" w14:paraId="47ED54EF" w14:textId="77777777">
        <w:trPr>
          <w:divId w:val="256132022"/>
          <w:jc w:val="center"/>
        </w:trPr>
        <w:tc>
          <w:tcPr>
            <w:tcW w:w="0" w:type="auto"/>
            <w:gridSpan w:val="3"/>
            <w:shd w:val="clear" w:color="auto" w:fill="FFFFFF"/>
            <w:tcMar>
              <w:top w:w="30" w:type="dxa"/>
              <w:left w:w="20" w:type="dxa"/>
              <w:bottom w:w="30" w:type="dxa"/>
              <w:right w:w="20" w:type="dxa"/>
            </w:tcMar>
            <w:vAlign w:val="bottom"/>
            <w:hideMark/>
          </w:tcPr>
          <w:p w14:paraId="2DD2D291" w14:textId="77777777" w:rsidR="00000000" w:rsidRDefault="0068293C">
            <w:pPr>
              <w:spacing w:after="100"/>
              <w:rPr>
                <w:rFonts w:eastAsia="Times New Roman"/>
              </w:rPr>
            </w:pPr>
            <w:r>
              <w:rPr>
                <w:rFonts w:eastAsia="Times New Roman"/>
                <w:color w:val="000000"/>
                <w:sz w:val="20"/>
                <w:szCs w:val="20"/>
              </w:rPr>
              <w:t>Non-current portion of contract liabilities</w:t>
            </w:r>
          </w:p>
        </w:tc>
        <w:tc>
          <w:tcPr>
            <w:tcW w:w="0" w:type="auto"/>
            <w:gridSpan w:val="3"/>
            <w:shd w:val="clear" w:color="auto" w:fill="FFFFFF"/>
            <w:tcMar>
              <w:top w:w="30" w:type="dxa"/>
              <w:left w:w="20" w:type="dxa"/>
              <w:bottom w:w="30" w:type="dxa"/>
              <w:right w:w="20" w:type="dxa"/>
            </w:tcMar>
            <w:vAlign w:val="bottom"/>
            <w:hideMark/>
          </w:tcPr>
          <w:p w14:paraId="0BE4C15F" w14:textId="77777777" w:rsidR="00000000" w:rsidRDefault="0068293C">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14:paraId="61DB11EE"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C4BCF0C"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352D54D" w14:textId="77777777" w:rsidR="00000000" w:rsidRDefault="0068293C">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4BCDD1E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B3AC1"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09C6CC"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1C3AEE" w14:textId="77777777" w:rsidR="00000000" w:rsidRDefault="0068293C">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14:paraId="5E0D867D" w14:textId="77777777" w:rsidR="00000000" w:rsidRDefault="0068293C">
            <w:pPr>
              <w:spacing w:after="100"/>
              <w:jc w:val="right"/>
              <w:rPr>
                <w:rFonts w:eastAsia="Times New Roman"/>
              </w:rPr>
            </w:pPr>
          </w:p>
        </w:tc>
      </w:tr>
    </w:tbl>
    <w:p w14:paraId="76E02166" w14:textId="77777777" w:rsidR="00000000" w:rsidRDefault="0068293C">
      <w:pPr>
        <w:jc w:val="both"/>
        <w:rPr>
          <w:rFonts w:eastAsia="Times New Roman"/>
        </w:rPr>
      </w:pPr>
    </w:p>
    <w:p w14:paraId="0F6E3853" w14:textId="77777777" w:rsidR="00000000" w:rsidRDefault="0068293C">
      <w:pPr>
        <w:jc w:val="both"/>
        <w:rPr>
          <w:rFonts w:eastAsia="Times New Roman"/>
        </w:rPr>
      </w:pPr>
      <w:r>
        <w:rPr>
          <w:rFonts w:eastAsia="Times New Roman"/>
          <w:color w:val="000000"/>
          <w:sz w:val="20"/>
          <w:szCs w:val="20"/>
        </w:rPr>
        <w:t xml:space="preserve">During the three months ended March 31, 2022, the Company recognized </w:t>
      </w:r>
      <w:r>
        <w:rPr>
          <w:rFonts w:eastAsia="Times New Roman"/>
          <w:color w:val="000000"/>
          <w:sz w:val="20"/>
          <w:szCs w:val="20"/>
          <w:shd w:val="clear" w:color="auto" w:fill="FFFFFF"/>
        </w:rPr>
        <w:t xml:space="preserve">$228 million </w:t>
      </w:r>
      <w:r>
        <w:rPr>
          <w:rFonts w:eastAsia="Times New Roman"/>
          <w:color w:val="000000"/>
          <w:sz w:val="20"/>
          <w:szCs w:val="20"/>
        </w:rPr>
        <w:t>in revenue that was included in contract liabilities as of December 31, 2021. During the three months ended March 31, 2021 the Company recognized</w:t>
      </w:r>
      <w:r>
        <w:rPr>
          <w:rFonts w:eastAsia="Times New Roman"/>
          <w:color w:val="000000"/>
          <w:sz w:val="20"/>
          <w:szCs w:val="20"/>
          <w:shd w:val="clear" w:color="auto" w:fill="FFFFFF"/>
        </w:rPr>
        <w:t xml:space="preserve"> $255 million </w:t>
      </w:r>
      <w:r>
        <w:rPr>
          <w:rFonts w:eastAsia="Times New Roman"/>
          <w:color w:val="000000"/>
          <w:sz w:val="20"/>
          <w:szCs w:val="20"/>
        </w:rPr>
        <w:t>in revenue that was included in contract liabilities as of December 31, 2020.</w:t>
      </w:r>
    </w:p>
    <w:p w14:paraId="12737BC8" w14:textId="77777777" w:rsidR="00000000" w:rsidRDefault="0068293C">
      <w:pPr>
        <w:jc w:val="both"/>
        <w:rPr>
          <w:rFonts w:eastAsia="Times New Roman"/>
        </w:rPr>
      </w:pPr>
    </w:p>
    <w:p w14:paraId="736060E6" w14:textId="77777777" w:rsidR="00000000" w:rsidRDefault="0068293C">
      <w:pPr>
        <w:jc w:val="both"/>
        <w:rPr>
          <w:rFonts w:eastAsia="Times New Roman"/>
        </w:rPr>
      </w:pPr>
      <w:r>
        <w:rPr>
          <w:rFonts w:eastAsia="Times New Roman"/>
          <w:b/>
          <w:bCs/>
          <w:color w:val="000000"/>
          <w:sz w:val="20"/>
          <w:szCs w:val="20"/>
        </w:rPr>
        <w:t>Remaining Perform</w:t>
      </w:r>
      <w:r>
        <w:rPr>
          <w:rFonts w:eastAsia="Times New Roman"/>
          <w:b/>
          <w:bCs/>
          <w:color w:val="000000"/>
          <w:sz w:val="20"/>
          <w:szCs w:val="20"/>
        </w:rPr>
        <w:t xml:space="preserve">ance Obligations </w:t>
      </w:r>
      <w:r>
        <w:rPr>
          <w:rFonts w:eastAsia="Times New Roman"/>
          <w:color w:val="000000"/>
          <w:sz w:val="20"/>
          <w:szCs w:val="20"/>
        </w:rPr>
        <w:t>Remaining performance obligations represent the transaction price of orders for which products have not been delivered or services have not been performed. As of March 31, 2022, </w:t>
      </w:r>
      <w:r>
        <w:rPr>
          <w:rFonts w:eastAsia="Times New Roman"/>
          <w:color w:val="000000"/>
          <w:sz w:val="20"/>
          <w:szCs w:val="20"/>
        </w:rPr>
        <w:t>the aggregate amount of the transaction price allocated to remaining performance obligations was approximately </w:t>
      </w:r>
      <w:r>
        <w:rPr>
          <w:rFonts w:eastAsia="Times New Roman"/>
          <w:color w:val="000000"/>
          <w:sz w:val="20"/>
          <w:szCs w:val="20"/>
          <w:shd w:val="clear" w:color="auto" w:fill="FFFFFF"/>
        </w:rPr>
        <w:t>$4.2 billion</w:t>
      </w:r>
      <w:r>
        <w:rPr>
          <w:rFonts w:eastAsia="Times New Roman"/>
          <w:color w:val="000000"/>
          <w:sz w:val="20"/>
          <w:szCs w:val="20"/>
        </w:rPr>
        <w:t xml:space="preserve">. The Company expects to recognize revenue on approximately three-quarters of the remaining performance obligations over the next 12 </w:t>
      </w:r>
      <w:r>
        <w:rPr>
          <w:rFonts w:eastAsia="Times New Roman"/>
          <w:color w:val="000000"/>
          <w:sz w:val="20"/>
          <w:szCs w:val="20"/>
        </w:rPr>
        <w:t>months, with the remainder recognized thereafter. The majority of our professional services are expected to be recognized over the next 12 months but this is contingent upon a number of factors, including customers’ needs and schedules.</w:t>
      </w:r>
    </w:p>
    <w:p w14:paraId="53724F11" w14:textId="77777777" w:rsidR="00000000" w:rsidRDefault="0068293C">
      <w:pPr>
        <w:jc w:val="both"/>
        <w:rPr>
          <w:rFonts w:eastAsia="Times New Roman"/>
        </w:rPr>
      </w:pPr>
    </w:p>
    <w:p w14:paraId="63500E39" w14:textId="77777777" w:rsidR="00000000" w:rsidRDefault="0068293C">
      <w:pPr>
        <w:jc w:val="both"/>
        <w:rPr>
          <w:rFonts w:eastAsia="Times New Roman"/>
        </w:rPr>
      </w:pPr>
      <w:r>
        <w:rPr>
          <w:rFonts w:eastAsia="Times New Roman"/>
          <w:color w:val="000000"/>
          <w:sz w:val="20"/>
          <w:szCs w:val="20"/>
        </w:rPr>
        <w:t>The Company has m</w:t>
      </w:r>
      <w:r>
        <w:rPr>
          <w:rFonts w:eastAsia="Times New Roman"/>
          <w:color w:val="000000"/>
          <w:sz w:val="20"/>
          <w:szCs w:val="20"/>
        </w:rPr>
        <w:t xml:space="preserve">ade three elections which affect the value of remaining performance obligations described above. We do </w:t>
      </w:r>
    </w:p>
    <w:p w14:paraId="113E92C0" w14:textId="77777777" w:rsidR="00000000" w:rsidRDefault="0068293C">
      <w:pPr>
        <w:jc w:val="center"/>
        <w:divId w:val="1027633707"/>
        <w:rPr>
          <w:rFonts w:eastAsia="Times New Roman"/>
        </w:rPr>
      </w:pPr>
      <w:r>
        <w:rPr>
          <w:rFonts w:eastAsia="Times New Roman"/>
          <w:color w:val="000000"/>
          <w:sz w:val="20"/>
          <w:szCs w:val="20"/>
        </w:rPr>
        <w:t>10</w:t>
      </w:r>
    </w:p>
    <w:p w14:paraId="289094C3" w14:textId="77777777" w:rsidR="00000000" w:rsidRDefault="0068293C">
      <w:pPr>
        <w:rPr>
          <w:rFonts w:eastAsia="Times New Roman"/>
        </w:rPr>
      </w:pPr>
      <w:r>
        <w:rPr>
          <w:rFonts w:eastAsia="Times New Roman"/>
        </w:rPr>
        <w:pict w14:anchorId="37704058">
          <v:rect id="_x0000_i1035" style="width:0;height:1.5pt" o:hralign="center" o:hrstd="t" o:hr="t" fillcolor="#a0a0a0" stroked="f"/>
        </w:pict>
      </w:r>
    </w:p>
    <w:p w14:paraId="4DA7BB7B" w14:textId="77777777" w:rsidR="00000000" w:rsidRDefault="0068293C">
      <w:pPr>
        <w:ind w:firstLine="720"/>
        <w:divId w:val="730420380"/>
        <w:rPr>
          <w:rFonts w:eastAsia="Times New Roman"/>
        </w:rPr>
      </w:pPr>
      <w:hyperlink w:anchor="i78484f3d0d8e4e36a7c87ddd6ea9d725_7" w:history="1">
        <w:r>
          <w:rPr>
            <w:rStyle w:val="a3"/>
            <w:rFonts w:eastAsia="Times New Roman"/>
            <w:sz w:val="16"/>
            <w:szCs w:val="16"/>
          </w:rPr>
          <w:t>Table of Content</w:t>
        </w:r>
      </w:hyperlink>
    </w:p>
    <w:p w14:paraId="36D031D4" w14:textId="77777777" w:rsidR="00000000" w:rsidRDefault="0068293C">
      <w:pPr>
        <w:jc w:val="center"/>
        <w:divId w:val="229275385"/>
        <w:rPr>
          <w:rFonts w:eastAsia="Times New Roman"/>
        </w:rPr>
      </w:pPr>
      <w:r>
        <w:rPr>
          <w:rFonts w:eastAsia="Times New Roman"/>
          <w:b/>
          <w:bCs/>
          <w:color w:val="000000"/>
          <w:sz w:val="20"/>
          <w:szCs w:val="20"/>
        </w:rPr>
        <w:t>NCR Corporation</w:t>
      </w:r>
    </w:p>
    <w:p w14:paraId="6C146B2E" w14:textId="77777777" w:rsidR="00000000" w:rsidRDefault="0068293C">
      <w:pPr>
        <w:jc w:val="center"/>
        <w:divId w:val="229275385"/>
        <w:rPr>
          <w:rFonts w:eastAsia="Times New Roman"/>
        </w:rPr>
      </w:pPr>
      <w:r>
        <w:rPr>
          <w:rFonts w:eastAsia="Times New Roman"/>
          <w:b/>
          <w:bCs/>
          <w:color w:val="000000"/>
          <w:sz w:val="20"/>
          <w:szCs w:val="20"/>
        </w:rPr>
        <w:t>Notes to Condensed Co</w:t>
      </w:r>
      <w:r>
        <w:rPr>
          <w:rFonts w:eastAsia="Times New Roman"/>
          <w:b/>
          <w:bCs/>
          <w:color w:val="000000"/>
          <w:sz w:val="20"/>
          <w:szCs w:val="20"/>
        </w:rPr>
        <w:t>nsolidated Financial Statements (Unaudited)—(Continued)</w:t>
      </w:r>
    </w:p>
    <w:p w14:paraId="6660A364" w14:textId="77777777" w:rsidR="00000000" w:rsidRDefault="0068293C">
      <w:pPr>
        <w:jc w:val="both"/>
        <w:rPr>
          <w:rFonts w:eastAsia="Times New Roman"/>
        </w:rPr>
      </w:pPr>
      <w:r>
        <w:rPr>
          <w:rFonts w:eastAsia="Times New Roman"/>
          <w:color w:val="000000"/>
          <w:sz w:val="20"/>
          <w:szCs w:val="20"/>
        </w:rPr>
        <w:t>not disclose remaining performance obligations for contracts where variable consideration is directly allocated based on usage or when the original expected duration is one year or less. Additionally,</w:t>
      </w:r>
      <w:r>
        <w:rPr>
          <w:rFonts w:eastAsia="Times New Roman"/>
          <w:color w:val="000000"/>
          <w:sz w:val="20"/>
          <w:szCs w:val="20"/>
        </w:rPr>
        <w:t xml:space="preserve"> we do not disclose remaining performance obligations for contracts where we recognize revenue from the satisfaction of the performance obligation in accordance with the 'right to invoice' practical expedient. </w:t>
      </w:r>
    </w:p>
    <w:p w14:paraId="246931E2" w14:textId="77777777" w:rsidR="00000000" w:rsidRDefault="0068293C">
      <w:pPr>
        <w:jc w:val="both"/>
        <w:rPr>
          <w:rFonts w:eastAsia="Times New Roman"/>
        </w:rPr>
      </w:pPr>
    </w:p>
    <w:p w14:paraId="72AB7CEC" w14:textId="77777777" w:rsidR="00000000" w:rsidRDefault="0068293C">
      <w:pPr>
        <w:jc w:val="both"/>
        <w:rPr>
          <w:rFonts w:eastAsia="Times New Roman"/>
        </w:rPr>
      </w:pPr>
      <w:r>
        <w:rPr>
          <w:rFonts w:eastAsia="Times New Roman"/>
          <w:b/>
          <w:bCs/>
          <w:color w:val="000000"/>
          <w:sz w:val="20"/>
          <w:szCs w:val="20"/>
        </w:rPr>
        <w:t>Recent Accounting Pronouncements</w:t>
      </w:r>
      <w:r>
        <w:rPr>
          <w:rFonts w:eastAsia="Times New Roman"/>
          <w:color w:val="000000"/>
          <w:sz w:val="20"/>
          <w:szCs w:val="20"/>
        </w:rPr>
        <w:t xml:space="preserve"> </w:t>
      </w:r>
    </w:p>
    <w:p w14:paraId="37E45110" w14:textId="77777777" w:rsidR="00000000" w:rsidRDefault="0068293C">
      <w:pPr>
        <w:jc w:val="both"/>
        <w:rPr>
          <w:rFonts w:eastAsia="Times New Roman"/>
        </w:rPr>
      </w:pPr>
    </w:p>
    <w:p w14:paraId="4D0698DF" w14:textId="77777777" w:rsidR="00000000" w:rsidRDefault="0068293C">
      <w:pPr>
        <w:jc w:val="both"/>
        <w:rPr>
          <w:rFonts w:eastAsia="Times New Roman"/>
        </w:rPr>
      </w:pPr>
      <w:r>
        <w:rPr>
          <w:rFonts w:eastAsia="Times New Roman"/>
          <w:i/>
          <w:iCs/>
          <w:color w:val="000000"/>
          <w:sz w:val="20"/>
          <w:szCs w:val="20"/>
        </w:rPr>
        <w:t>Adoptio</w:t>
      </w:r>
      <w:r>
        <w:rPr>
          <w:rFonts w:eastAsia="Times New Roman"/>
          <w:i/>
          <w:iCs/>
          <w:color w:val="000000"/>
          <w:sz w:val="20"/>
          <w:szCs w:val="20"/>
        </w:rPr>
        <w:t>n of New Accounting Pronouncements</w:t>
      </w:r>
    </w:p>
    <w:p w14:paraId="1123767C" w14:textId="77777777" w:rsidR="00000000" w:rsidRDefault="0068293C">
      <w:pPr>
        <w:jc w:val="both"/>
        <w:rPr>
          <w:rFonts w:eastAsia="Times New Roman"/>
        </w:rPr>
      </w:pPr>
    </w:p>
    <w:p w14:paraId="188533DD" w14:textId="77777777" w:rsidR="00000000" w:rsidRDefault="0068293C">
      <w:pPr>
        <w:jc w:val="both"/>
        <w:rPr>
          <w:rFonts w:eastAsia="Times New Roman"/>
        </w:rPr>
      </w:pPr>
      <w:r>
        <w:rPr>
          <w:rFonts w:eastAsia="Times New Roman"/>
          <w:color w:val="000000"/>
          <w:sz w:val="20"/>
          <w:szCs w:val="20"/>
        </w:rPr>
        <w:t xml:space="preserve">In August 2020, the Financial Accounting Standards Board (“FASB”) issued ASU 2020-06, </w:t>
      </w:r>
      <w:r>
        <w:rPr>
          <w:rFonts w:eastAsia="Times New Roman"/>
          <w:i/>
          <w:iCs/>
          <w:color w:val="000000"/>
          <w:sz w:val="20"/>
          <w:szCs w:val="20"/>
        </w:rPr>
        <w:t xml:space="preserve">Debt—Debt with Conversion and Other Options (Subtopic 470-20) and Derivatives and Hedging—Contracts in Entity’s Own Equity (Subtopic </w:t>
      </w:r>
      <w:r>
        <w:rPr>
          <w:rFonts w:eastAsia="Times New Roman"/>
          <w:i/>
          <w:iCs/>
          <w:color w:val="000000"/>
          <w:sz w:val="20"/>
          <w:szCs w:val="20"/>
        </w:rPr>
        <w:t>815-40): Accounting for Convertible Instruments and Contracts in an Entity’s Own Equity</w:t>
      </w:r>
      <w:r>
        <w:rPr>
          <w:rFonts w:eastAsia="Times New Roman"/>
          <w:color w:val="000000"/>
          <w:sz w:val="20"/>
          <w:szCs w:val="20"/>
        </w:rPr>
        <w:t>, with new guidance for convertible preferred stock, which eliminates considerations related to the beneficial conversion feature model. The standard also requires an av</w:t>
      </w:r>
      <w:r>
        <w:rPr>
          <w:rFonts w:eastAsia="Times New Roman"/>
          <w:color w:val="000000"/>
          <w:sz w:val="20"/>
          <w:szCs w:val="20"/>
        </w:rPr>
        <w:t>erage stock price when calculating the denominator for diluted earnings per share to be used for stock units where the settlement of the number of shares is based on the stock price. The new standard is effective for fiscal years, and interim periods withi</w:t>
      </w:r>
      <w:r>
        <w:rPr>
          <w:rFonts w:eastAsia="Times New Roman"/>
          <w:color w:val="000000"/>
          <w:sz w:val="20"/>
          <w:szCs w:val="20"/>
        </w:rPr>
        <w:t>n those fiscal years, beginning after December 15, 2021. Early adoption was permitted no earlier than fiscal years beginning after December 15, 2020 and interim periods within those fiscal years. The adoption of this accounting standards update did not hav</w:t>
      </w:r>
      <w:r>
        <w:rPr>
          <w:rFonts w:eastAsia="Times New Roman"/>
          <w:color w:val="000000"/>
          <w:sz w:val="20"/>
          <w:szCs w:val="20"/>
        </w:rPr>
        <w:t>e a material effect on the Company's net income, cash flows, earnings per share or financial condition.</w:t>
      </w:r>
    </w:p>
    <w:p w14:paraId="49235D55" w14:textId="77777777" w:rsidR="00000000" w:rsidRDefault="0068293C">
      <w:pPr>
        <w:jc w:val="both"/>
        <w:rPr>
          <w:rFonts w:eastAsia="Times New Roman"/>
        </w:rPr>
      </w:pPr>
    </w:p>
    <w:p w14:paraId="6CC05A9F" w14:textId="77777777" w:rsidR="00000000" w:rsidRDefault="0068293C">
      <w:pPr>
        <w:jc w:val="both"/>
        <w:rPr>
          <w:rFonts w:eastAsia="Times New Roman"/>
        </w:rPr>
      </w:pPr>
      <w:r>
        <w:rPr>
          <w:rFonts w:eastAsia="Times New Roman"/>
          <w:color w:val="000000"/>
          <w:sz w:val="20"/>
          <w:szCs w:val="20"/>
        </w:rPr>
        <w:t xml:space="preserve">In May 2021, the FASB issued ASU 2021-04, </w:t>
      </w:r>
      <w:r>
        <w:rPr>
          <w:rFonts w:eastAsia="Times New Roman"/>
          <w:i/>
          <w:iCs/>
          <w:color w:val="000000"/>
          <w:sz w:val="20"/>
          <w:szCs w:val="20"/>
        </w:rPr>
        <w:t>Earnings Per Share (Topic 260), Debt—Modifications and Extinguishments (Subtopic 470-50), Compensation—Stock</w:t>
      </w:r>
      <w:r>
        <w:rPr>
          <w:rFonts w:eastAsia="Times New Roman"/>
          <w:i/>
          <w:iCs/>
          <w:color w:val="000000"/>
          <w:sz w:val="20"/>
          <w:szCs w:val="20"/>
        </w:rPr>
        <w:t xml:space="preserve"> Compensation (Topic 718), and Derivatives and Hedging—Contracts in Entity’s Own Equity (Subtopic 815-40): Issuer’s Accounting for Certain Modifications or Exchanges of Freestanding Equity-Classified Written Call Options,</w:t>
      </w:r>
      <w:r>
        <w:rPr>
          <w:rFonts w:eastAsia="Times New Roman"/>
          <w:color w:val="000000"/>
          <w:sz w:val="20"/>
          <w:szCs w:val="20"/>
        </w:rPr>
        <w:t xml:space="preserve"> with new guidance for freestanding</w:t>
      </w:r>
      <w:r>
        <w:rPr>
          <w:rFonts w:eastAsia="Times New Roman"/>
          <w:color w:val="000000"/>
          <w:sz w:val="20"/>
          <w:szCs w:val="20"/>
        </w:rPr>
        <w:t xml:space="preserve"> equity-classified written call options. The new guidance requires issuers to account for modifications or exchanges of freestanding equity-classified written call options that remain equity classified after the modification or exchange based on the econom</w:t>
      </w:r>
      <w:r>
        <w:rPr>
          <w:rFonts w:eastAsia="Times New Roman"/>
          <w:color w:val="000000"/>
          <w:sz w:val="20"/>
          <w:szCs w:val="20"/>
        </w:rPr>
        <w:t xml:space="preserve">ic substance of the modification or exchange. The new standard is effective for fiscal years, and interim periods within those fiscal years, beginning after December 15, 2021, with early adoption permitted. The adoption of this accounting standards update </w:t>
      </w:r>
      <w:r>
        <w:rPr>
          <w:rFonts w:eastAsia="Times New Roman"/>
          <w:color w:val="000000"/>
          <w:sz w:val="20"/>
          <w:szCs w:val="20"/>
        </w:rPr>
        <w:t xml:space="preserve">did not have a material effect on the Company's net income, cash flows, earnings per share or financial condition. </w:t>
      </w:r>
    </w:p>
    <w:p w14:paraId="2A617050" w14:textId="77777777" w:rsidR="00000000" w:rsidRDefault="0068293C">
      <w:pPr>
        <w:jc w:val="both"/>
        <w:rPr>
          <w:rFonts w:eastAsia="Times New Roman"/>
        </w:rPr>
      </w:pPr>
    </w:p>
    <w:p w14:paraId="771E6BED" w14:textId="77777777" w:rsidR="00000000" w:rsidRDefault="0068293C">
      <w:pPr>
        <w:jc w:val="both"/>
        <w:rPr>
          <w:rFonts w:eastAsia="Times New Roman"/>
        </w:rPr>
      </w:pPr>
      <w:r>
        <w:rPr>
          <w:rFonts w:eastAsia="Times New Roman"/>
          <w:i/>
          <w:iCs/>
          <w:color w:val="000000"/>
          <w:sz w:val="20"/>
          <w:szCs w:val="20"/>
        </w:rPr>
        <w:t>Accounting Pronouncements Issued But Not Yet Adopted</w:t>
      </w:r>
    </w:p>
    <w:p w14:paraId="651F4C25" w14:textId="77777777" w:rsidR="00000000" w:rsidRDefault="0068293C">
      <w:pPr>
        <w:jc w:val="both"/>
        <w:rPr>
          <w:rFonts w:eastAsia="Times New Roman"/>
        </w:rPr>
      </w:pPr>
    </w:p>
    <w:p w14:paraId="7CB91AC1" w14:textId="77777777" w:rsidR="00000000" w:rsidRDefault="0068293C">
      <w:pPr>
        <w:jc w:val="both"/>
        <w:rPr>
          <w:rFonts w:eastAsia="Times New Roman"/>
        </w:rPr>
      </w:pPr>
      <w:r>
        <w:rPr>
          <w:rFonts w:eastAsia="Times New Roman"/>
          <w:color w:val="000000"/>
          <w:sz w:val="20"/>
          <w:szCs w:val="20"/>
        </w:rPr>
        <w:t xml:space="preserve">In October 2021, the FASB issued accounting standards update (“ASU”) 2021-08, </w:t>
      </w:r>
      <w:r>
        <w:rPr>
          <w:rFonts w:eastAsia="Times New Roman"/>
          <w:i/>
          <w:iCs/>
          <w:color w:val="000000"/>
          <w:sz w:val="20"/>
          <w:szCs w:val="20"/>
        </w:rPr>
        <w:t>Busin</w:t>
      </w:r>
      <w:r>
        <w:rPr>
          <w:rFonts w:eastAsia="Times New Roman"/>
          <w:i/>
          <w:iCs/>
          <w:color w:val="000000"/>
          <w:sz w:val="20"/>
          <w:szCs w:val="20"/>
        </w:rPr>
        <w:t>ess Combinations (Topic 805): Accounting for Contract Assets and Contract Liabilities from Contracts with Customers</w:t>
      </w:r>
      <w:r>
        <w:rPr>
          <w:rFonts w:eastAsia="Times New Roman"/>
          <w:color w:val="000000"/>
          <w:sz w:val="20"/>
          <w:szCs w:val="20"/>
        </w:rPr>
        <w:t>, with new guidance for contract assets and contract liabilities acquired in a business combination. The new guidance requires contract asset</w:t>
      </w:r>
      <w:r>
        <w:rPr>
          <w:rFonts w:eastAsia="Times New Roman"/>
          <w:color w:val="000000"/>
          <w:sz w:val="20"/>
          <w:szCs w:val="20"/>
        </w:rPr>
        <w:t xml:space="preserve">s and contract liabilities, such as deferred revenue, acquired in a business combination to be recognized and measured by the acquirer on the acquisition date in accordance with Accounting Standard Codification (“ASC”) 606, </w:t>
      </w:r>
      <w:r>
        <w:rPr>
          <w:rFonts w:eastAsia="Times New Roman"/>
          <w:i/>
          <w:iCs/>
          <w:color w:val="000000"/>
          <w:sz w:val="20"/>
          <w:szCs w:val="20"/>
        </w:rPr>
        <w:t>Revenue from Contracts with Cust</w:t>
      </w:r>
      <w:r>
        <w:rPr>
          <w:rFonts w:eastAsia="Times New Roman"/>
          <w:i/>
          <w:iCs/>
          <w:color w:val="000000"/>
          <w:sz w:val="20"/>
          <w:szCs w:val="20"/>
        </w:rPr>
        <w:t>omers</w:t>
      </w:r>
      <w:r>
        <w:rPr>
          <w:rFonts w:eastAsia="Times New Roman"/>
          <w:color w:val="000000"/>
          <w:sz w:val="20"/>
          <w:szCs w:val="20"/>
        </w:rPr>
        <w:t>. Prior to the issuance of this guidance, contract assets and contract liabilities were recognized by the acquirer at fair value on the acquisition date. The accounting standards update is effective for fiscal years, and interim periods within those f</w:t>
      </w:r>
      <w:r>
        <w:rPr>
          <w:rFonts w:eastAsia="Times New Roman"/>
          <w:color w:val="000000"/>
          <w:sz w:val="20"/>
          <w:szCs w:val="20"/>
        </w:rPr>
        <w:t xml:space="preserve">iscal years, beginning after December 15, 2022, with early adoption permitted and should be applied prospectively to acquisitions occurring on or after the effective date. The adoption of this accounting standards update is not expected to have a material </w:t>
      </w:r>
      <w:r>
        <w:rPr>
          <w:rFonts w:eastAsia="Times New Roman"/>
          <w:color w:val="000000"/>
          <w:sz w:val="20"/>
          <w:szCs w:val="20"/>
        </w:rPr>
        <w:t xml:space="preserve">effect on the Company's net income, cash flows, earnings per share or financial condition. </w:t>
      </w:r>
    </w:p>
    <w:p w14:paraId="64444CDB" w14:textId="77777777" w:rsidR="00000000" w:rsidRDefault="0068293C">
      <w:pPr>
        <w:jc w:val="both"/>
        <w:rPr>
          <w:rFonts w:eastAsia="Times New Roman"/>
        </w:rPr>
      </w:pPr>
    </w:p>
    <w:p w14:paraId="2B455962" w14:textId="77777777" w:rsidR="00000000" w:rsidRDefault="0068293C">
      <w:pPr>
        <w:jc w:val="both"/>
        <w:rPr>
          <w:rFonts w:eastAsia="Times New Roman"/>
        </w:rPr>
      </w:pPr>
      <w:r>
        <w:rPr>
          <w:rFonts w:eastAsia="Times New Roman"/>
          <w:color w:val="000000"/>
          <w:sz w:val="20"/>
          <w:szCs w:val="20"/>
        </w:rPr>
        <w:t>Although there are several other new accounting pronouncements issued by FASB, the Company does not believe any of these accounting pronouncements had or will hav</w:t>
      </w:r>
      <w:r>
        <w:rPr>
          <w:rFonts w:eastAsia="Times New Roman"/>
          <w:color w:val="000000"/>
          <w:sz w:val="20"/>
          <w:szCs w:val="20"/>
        </w:rPr>
        <w:t>e a material impact on its consolidated financial statements.</w:t>
      </w:r>
    </w:p>
    <w:p w14:paraId="1E82C6B1" w14:textId="77777777" w:rsidR="00000000" w:rsidRDefault="0068293C">
      <w:pPr>
        <w:divId w:val="1190488286"/>
        <w:rPr>
          <w:rFonts w:eastAsia="Times New Roman"/>
        </w:rPr>
      </w:pPr>
    </w:p>
    <w:p w14:paraId="1A0D2FB9" w14:textId="77777777" w:rsidR="00000000" w:rsidRDefault="0068293C">
      <w:pPr>
        <w:divId w:val="570702685"/>
        <w:rPr>
          <w:rFonts w:eastAsia="Times New Roman"/>
        </w:rPr>
      </w:pPr>
    </w:p>
    <w:p w14:paraId="06EC8143" w14:textId="77777777" w:rsidR="00000000" w:rsidRDefault="0068293C">
      <w:pPr>
        <w:divId w:val="2071536633"/>
        <w:rPr>
          <w:rFonts w:eastAsia="Times New Roman"/>
        </w:rPr>
      </w:pPr>
      <w:r>
        <w:rPr>
          <w:rFonts w:eastAsia="Times New Roman"/>
          <w:b/>
          <w:bCs/>
          <w:color w:val="54B948"/>
          <w:sz w:val="20"/>
          <w:szCs w:val="20"/>
        </w:rPr>
        <w:t>2. BUSINESS COMBINATIONS</w:t>
      </w:r>
    </w:p>
    <w:p w14:paraId="3A278B88" w14:textId="77777777" w:rsidR="00000000" w:rsidRDefault="0068293C">
      <w:pPr>
        <w:divId w:val="436024150"/>
        <w:rPr>
          <w:rFonts w:eastAsia="Times New Roman"/>
        </w:rPr>
      </w:pPr>
    </w:p>
    <w:p w14:paraId="1A20AFFC" w14:textId="77777777" w:rsidR="00000000" w:rsidRDefault="0068293C">
      <w:pPr>
        <w:divId w:val="324943886"/>
        <w:rPr>
          <w:rFonts w:eastAsia="Times New Roman"/>
        </w:rPr>
      </w:pPr>
      <w:r>
        <w:rPr>
          <w:rFonts w:eastAsia="Times New Roman"/>
          <w:b/>
          <w:bCs/>
          <w:color w:val="000000"/>
          <w:sz w:val="20"/>
          <w:szCs w:val="20"/>
        </w:rPr>
        <w:t>Acquisition of LibertyX</w:t>
      </w:r>
    </w:p>
    <w:p w14:paraId="730C0646" w14:textId="77777777" w:rsidR="00000000" w:rsidRDefault="0068293C">
      <w:pPr>
        <w:divId w:val="2146969213"/>
        <w:rPr>
          <w:rFonts w:eastAsia="Times New Roman"/>
        </w:rPr>
      </w:pPr>
    </w:p>
    <w:p w14:paraId="2F59A052" w14:textId="77777777" w:rsidR="00000000" w:rsidRDefault="0068293C">
      <w:pPr>
        <w:jc w:val="both"/>
        <w:rPr>
          <w:rFonts w:eastAsia="Times New Roman"/>
        </w:rPr>
      </w:pPr>
      <w:r>
        <w:rPr>
          <w:rFonts w:eastAsia="Times New Roman"/>
          <w:color w:val="000000"/>
          <w:sz w:val="20"/>
          <w:szCs w:val="20"/>
        </w:rPr>
        <w:t>On January 5, 2022, NCR completed its acquisition of Moon Inc., dba LibertyX, a leading cryptocurrency software provider, with the goal of enabling NCR to provide a complete digital currency solution, including the ability to buy and sell cryptocurrency, c</w:t>
      </w:r>
      <w:r>
        <w:rPr>
          <w:rFonts w:eastAsia="Times New Roman"/>
          <w:color w:val="000000"/>
          <w:sz w:val="20"/>
          <w:szCs w:val="20"/>
        </w:rPr>
        <w:t xml:space="preserve">onduct cross-border remittance, and accept digital currency payments across digital and physical channels. We purchased all outstanding shares of LibertyX for $1 million cash consideration and approximately 1.4 million shares of the Company's common stock </w:t>
      </w:r>
      <w:r>
        <w:rPr>
          <w:rFonts w:eastAsia="Times New Roman"/>
          <w:color w:val="000000"/>
          <w:sz w:val="20"/>
          <w:szCs w:val="20"/>
        </w:rPr>
        <w:t>at a price of $42.13 per share. The Company also converted approximately 0.2 million outstanding unvested LibertyX option awards into NCR awards pursuant to an exchange ratio as defined in the acquisition agreement. LibertyX stock option awards were conver</w:t>
      </w:r>
      <w:r>
        <w:rPr>
          <w:rFonts w:eastAsia="Times New Roman"/>
          <w:color w:val="000000"/>
          <w:sz w:val="20"/>
          <w:szCs w:val="20"/>
        </w:rPr>
        <w:t xml:space="preserve">ted into NCR stock option awards with an exercise price per share for option awards equal to the exercise price per share of such stock option award immediately prior to the completion of the acquisition divided </w:t>
      </w:r>
    </w:p>
    <w:p w14:paraId="1C682B0E" w14:textId="77777777" w:rsidR="00000000" w:rsidRDefault="0068293C">
      <w:pPr>
        <w:jc w:val="center"/>
        <w:divId w:val="462504352"/>
        <w:rPr>
          <w:rFonts w:eastAsia="Times New Roman"/>
        </w:rPr>
      </w:pPr>
      <w:r>
        <w:rPr>
          <w:rFonts w:eastAsia="Times New Roman"/>
          <w:color w:val="000000"/>
          <w:sz w:val="20"/>
          <w:szCs w:val="20"/>
        </w:rPr>
        <w:t>11</w:t>
      </w:r>
    </w:p>
    <w:p w14:paraId="63487394" w14:textId="77777777" w:rsidR="00000000" w:rsidRDefault="0068293C">
      <w:pPr>
        <w:rPr>
          <w:rFonts w:eastAsia="Times New Roman"/>
        </w:rPr>
      </w:pPr>
      <w:r>
        <w:rPr>
          <w:rFonts w:eastAsia="Times New Roman"/>
        </w:rPr>
        <w:pict w14:anchorId="68614F33">
          <v:rect id="_x0000_i1036" style="width:0;height:1.5pt" o:hralign="center" o:hrstd="t" o:hr="t" fillcolor="#a0a0a0" stroked="f"/>
        </w:pict>
      </w:r>
    </w:p>
    <w:p w14:paraId="6D86D725" w14:textId="77777777" w:rsidR="00000000" w:rsidRDefault="0068293C">
      <w:pPr>
        <w:ind w:firstLine="720"/>
        <w:divId w:val="257251032"/>
        <w:rPr>
          <w:rFonts w:eastAsia="Times New Roman"/>
        </w:rPr>
      </w:pPr>
      <w:hyperlink w:anchor="i78484f3d0d8e4e36a7c87ddd6ea9d725_7" w:history="1">
        <w:r>
          <w:rPr>
            <w:rStyle w:val="a3"/>
            <w:rFonts w:eastAsia="Times New Roman"/>
            <w:sz w:val="16"/>
            <w:szCs w:val="16"/>
          </w:rPr>
          <w:t>Table of Content</w:t>
        </w:r>
      </w:hyperlink>
    </w:p>
    <w:p w14:paraId="68F8933C" w14:textId="77777777" w:rsidR="00000000" w:rsidRDefault="0068293C">
      <w:pPr>
        <w:jc w:val="center"/>
        <w:divId w:val="1268733440"/>
        <w:rPr>
          <w:rFonts w:eastAsia="Times New Roman"/>
        </w:rPr>
      </w:pPr>
      <w:r>
        <w:rPr>
          <w:rFonts w:eastAsia="Times New Roman"/>
          <w:b/>
          <w:bCs/>
          <w:color w:val="000000"/>
          <w:sz w:val="20"/>
          <w:szCs w:val="20"/>
        </w:rPr>
        <w:t>NCR Corporation</w:t>
      </w:r>
    </w:p>
    <w:p w14:paraId="23355B1C" w14:textId="77777777" w:rsidR="00000000" w:rsidRDefault="0068293C">
      <w:pPr>
        <w:jc w:val="center"/>
        <w:divId w:val="1268733440"/>
        <w:rPr>
          <w:rFonts w:eastAsia="Times New Roman"/>
        </w:rPr>
      </w:pPr>
      <w:r>
        <w:rPr>
          <w:rFonts w:eastAsia="Times New Roman"/>
          <w:b/>
          <w:bCs/>
          <w:color w:val="000000"/>
          <w:sz w:val="20"/>
          <w:szCs w:val="20"/>
        </w:rPr>
        <w:t>Notes to Condensed Consolidated Financial Statements (Unaudited)—(Continued)</w:t>
      </w:r>
    </w:p>
    <w:p w14:paraId="50F513BE" w14:textId="77777777" w:rsidR="00000000" w:rsidRDefault="0068293C">
      <w:pPr>
        <w:jc w:val="both"/>
        <w:rPr>
          <w:rFonts w:eastAsia="Times New Roman"/>
        </w:rPr>
      </w:pPr>
      <w:r>
        <w:rPr>
          <w:rFonts w:eastAsia="Times New Roman"/>
          <w:color w:val="000000"/>
          <w:sz w:val="20"/>
          <w:szCs w:val="20"/>
        </w:rPr>
        <w:t>by the exchange ratio, and vested immediately. The v</w:t>
      </w:r>
      <w:r>
        <w:rPr>
          <w:rFonts w:eastAsia="Times New Roman"/>
          <w:color w:val="000000"/>
          <w:sz w:val="20"/>
          <w:szCs w:val="20"/>
        </w:rPr>
        <w:t>alue of the option awards was deemed attributable to services already rendered and was included as a portion of the purchase price. Total purchase consideration for the LibertyX acquisition was approximately $69 million. As a result of the acquisition, Lib</w:t>
      </w:r>
      <w:r>
        <w:rPr>
          <w:rFonts w:eastAsia="Times New Roman"/>
          <w:color w:val="000000"/>
          <w:sz w:val="20"/>
          <w:szCs w:val="20"/>
        </w:rPr>
        <w:t xml:space="preserve">ertyX became a wholly-owned subsidiary of NCR. </w:t>
      </w:r>
    </w:p>
    <w:p w14:paraId="6503404E" w14:textId="77777777" w:rsidR="00000000" w:rsidRDefault="0068293C">
      <w:pPr>
        <w:jc w:val="both"/>
        <w:rPr>
          <w:rFonts w:eastAsia="Times New Roman"/>
        </w:rPr>
      </w:pPr>
    </w:p>
    <w:p w14:paraId="48C6D9D6" w14:textId="77777777" w:rsidR="00000000" w:rsidRDefault="0068293C">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The fair value of consideration transferred was allocated to the identifiable assets acquired and liabilities assumed based upon their estimated fair val</w:t>
      </w:r>
      <w:r>
        <w:rPr>
          <w:rFonts w:eastAsia="Times New Roman"/>
          <w:color w:val="000000"/>
          <w:sz w:val="20"/>
          <w:szCs w:val="20"/>
        </w:rPr>
        <w:t>ues as of the date of the acquisition as set forth below. The provisional amounts for intangible assets are based on third-party valuations performed. The allocation of the purchase price is provisional as of March 31, 2022 and may be subject to future adj</w:t>
      </w:r>
      <w:r>
        <w:rPr>
          <w:rFonts w:eastAsia="Times New Roman"/>
          <w:color w:val="000000"/>
          <w:sz w:val="20"/>
          <w:szCs w:val="20"/>
        </w:rPr>
        <w:t>ustments, within the measurement period, as the Company obtains additional information to finalize the accounting for the business combination, including additional refinement to finalize valuations, among other items. The preliminary allocation of the pur</w:t>
      </w:r>
      <w:r>
        <w:rPr>
          <w:rFonts w:eastAsia="Times New Roman"/>
          <w:color w:val="000000"/>
          <w:sz w:val="20"/>
          <w:szCs w:val="20"/>
        </w:rPr>
        <w:t>chase price is as follows:</w:t>
      </w:r>
    </w:p>
    <w:p w14:paraId="0F9FB6FE" w14:textId="77777777" w:rsidR="00000000" w:rsidRDefault="0068293C">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39"/>
        <w:gridCol w:w="121"/>
        <w:gridCol w:w="1054"/>
        <w:gridCol w:w="36"/>
      </w:tblGrid>
      <w:tr w:rsidR="00000000" w14:paraId="34E55F01" w14:textId="77777777">
        <w:tc>
          <w:tcPr>
            <w:tcW w:w="50" w:type="pct"/>
            <w:vAlign w:val="center"/>
            <w:hideMark/>
          </w:tcPr>
          <w:p w14:paraId="7D3BF65A" w14:textId="77777777" w:rsidR="00000000" w:rsidRDefault="0068293C">
            <w:pPr>
              <w:jc w:val="both"/>
              <w:rPr>
                <w:rFonts w:eastAsia="Times New Roman"/>
              </w:rPr>
            </w:pPr>
          </w:p>
        </w:tc>
        <w:tc>
          <w:tcPr>
            <w:tcW w:w="4231" w:type="pct"/>
            <w:vAlign w:val="center"/>
            <w:hideMark/>
          </w:tcPr>
          <w:p w14:paraId="0066D0DD" w14:textId="77777777" w:rsidR="00000000" w:rsidRDefault="0068293C">
            <w:pPr>
              <w:spacing w:after="100"/>
              <w:rPr>
                <w:rFonts w:eastAsia="Times New Roman"/>
                <w:sz w:val="20"/>
                <w:szCs w:val="20"/>
              </w:rPr>
            </w:pPr>
          </w:p>
        </w:tc>
        <w:tc>
          <w:tcPr>
            <w:tcW w:w="5" w:type="pct"/>
            <w:vAlign w:val="center"/>
            <w:hideMark/>
          </w:tcPr>
          <w:p w14:paraId="03674CA3" w14:textId="77777777" w:rsidR="00000000" w:rsidRDefault="0068293C">
            <w:pPr>
              <w:spacing w:after="100"/>
              <w:rPr>
                <w:rFonts w:eastAsia="Times New Roman"/>
                <w:sz w:val="20"/>
                <w:szCs w:val="20"/>
              </w:rPr>
            </w:pPr>
          </w:p>
        </w:tc>
        <w:tc>
          <w:tcPr>
            <w:tcW w:w="50" w:type="pct"/>
            <w:vAlign w:val="center"/>
            <w:hideMark/>
          </w:tcPr>
          <w:p w14:paraId="2CF3ABFC" w14:textId="77777777" w:rsidR="00000000" w:rsidRDefault="0068293C">
            <w:pPr>
              <w:spacing w:after="100"/>
              <w:rPr>
                <w:rFonts w:eastAsia="Times New Roman"/>
                <w:sz w:val="20"/>
                <w:szCs w:val="20"/>
              </w:rPr>
            </w:pPr>
          </w:p>
        </w:tc>
        <w:tc>
          <w:tcPr>
            <w:tcW w:w="658" w:type="pct"/>
            <w:vAlign w:val="center"/>
            <w:hideMark/>
          </w:tcPr>
          <w:p w14:paraId="1B19AF30" w14:textId="77777777" w:rsidR="00000000" w:rsidRDefault="0068293C">
            <w:pPr>
              <w:spacing w:after="100"/>
              <w:rPr>
                <w:rFonts w:eastAsia="Times New Roman"/>
                <w:sz w:val="20"/>
                <w:szCs w:val="20"/>
              </w:rPr>
            </w:pPr>
          </w:p>
        </w:tc>
        <w:tc>
          <w:tcPr>
            <w:tcW w:w="5" w:type="pct"/>
            <w:vAlign w:val="center"/>
            <w:hideMark/>
          </w:tcPr>
          <w:p w14:paraId="4362806B" w14:textId="77777777" w:rsidR="00000000" w:rsidRDefault="0068293C">
            <w:pPr>
              <w:spacing w:after="100"/>
              <w:rPr>
                <w:rFonts w:eastAsia="Times New Roman"/>
                <w:sz w:val="20"/>
                <w:szCs w:val="20"/>
              </w:rPr>
            </w:pPr>
          </w:p>
        </w:tc>
      </w:tr>
      <w:tr w:rsidR="00000000" w14:paraId="5D63A22C" w14:textId="77777777">
        <w:tc>
          <w:tcPr>
            <w:tcW w:w="0" w:type="auto"/>
            <w:gridSpan w:val="3"/>
            <w:tcMar>
              <w:top w:w="30" w:type="dxa"/>
              <w:left w:w="20" w:type="dxa"/>
              <w:bottom w:w="30" w:type="dxa"/>
              <w:right w:w="20" w:type="dxa"/>
            </w:tcMar>
            <w:vAlign w:val="bottom"/>
            <w:hideMark/>
          </w:tcPr>
          <w:p w14:paraId="5E7A6827"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18FA8240" w14:textId="77777777" w:rsidR="00000000" w:rsidRDefault="0068293C">
            <w:pPr>
              <w:spacing w:after="100"/>
              <w:jc w:val="center"/>
              <w:rPr>
                <w:rFonts w:eastAsia="Times New Roman"/>
              </w:rPr>
            </w:pPr>
            <w:r>
              <w:rPr>
                <w:rFonts w:eastAsia="Times New Roman"/>
                <w:b/>
                <w:bCs/>
                <w:color w:val="000000"/>
                <w:sz w:val="16"/>
                <w:szCs w:val="16"/>
              </w:rPr>
              <w:t>Fair Value</w:t>
            </w:r>
          </w:p>
        </w:tc>
      </w:tr>
      <w:tr w:rsidR="00000000" w14:paraId="7D5F236E" w14:textId="77777777">
        <w:tc>
          <w:tcPr>
            <w:tcW w:w="0" w:type="auto"/>
            <w:gridSpan w:val="3"/>
            <w:shd w:val="clear" w:color="auto" w:fill="CCEEFF"/>
            <w:tcMar>
              <w:top w:w="30" w:type="dxa"/>
              <w:left w:w="20" w:type="dxa"/>
              <w:bottom w:w="30" w:type="dxa"/>
              <w:right w:w="20" w:type="dxa"/>
            </w:tcMar>
            <w:vAlign w:val="center"/>
            <w:hideMark/>
          </w:tcPr>
          <w:p w14:paraId="5251526B" w14:textId="77777777" w:rsidR="00000000" w:rsidRDefault="0068293C">
            <w:pPr>
              <w:spacing w:after="100"/>
              <w:rPr>
                <w:rFonts w:eastAsia="Times New Roman"/>
              </w:rPr>
            </w:pPr>
            <w:r>
              <w:rPr>
                <w:rFonts w:eastAsia="Times New Roman"/>
                <w:color w:val="000000"/>
                <w:sz w:val="20"/>
                <w:szCs w:val="20"/>
              </w:rPr>
              <w:t>Cash acquired</w:t>
            </w:r>
          </w:p>
        </w:tc>
        <w:tc>
          <w:tcPr>
            <w:tcW w:w="0" w:type="auto"/>
            <w:shd w:val="clear" w:color="auto" w:fill="CCEEFF"/>
            <w:tcMar>
              <w:top w:w="30" w:type="dxa"/>
              <w:left w:w="20" w:type="dxa"/>
              <w:bottom w:w="30" w:type="dxa"/>
              <w:right w:w="0" w:type="dxa"/>
            </w:tcMar>
            <w:vAlign w:val="bottom"/>
            <w:hideMark/>
          </w:tcPr>
          <w:p w14:paraId="14D3A3F2"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4542EC" w14:textId="77777777" w:rsidR="00000000" w:rsidRDefault="0068293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7A252090" w14:textId="77777777" w:rsidR="00000000" w:rsidRDefault="0068293C">
            <w:pPr>
              <w:spacing w:after="100"/>
              <w:jc w:val="right"/>
              <w:rPr>
                <w:rFonts w:eastAsia="Times New Roman"/>
              </w:rPr>
            </w:pPr>
          </w:p>
        </w:tc>
      </w:tr>
      <w:tr w:rsidR="00000000" w14:paraId="212E3DB6" w14:textId="77777777">
        <w:tc>
          <w:tcPr>
            <w:tcW w:w="0" w:type="auto"/>
            <w:gridSpan w:val="3"/>
            <w:shd w:val="clear" w:color="auto" w:fill="FFFFFF"/>
            <w:tcMar>
              <w:top w:w="30" w:type="dxa"/>
              <w:left w:w="20" w:type="dxa"/>
              <w:bottom w:w="30" w:type="dxa"/>
              <w:right w:w="20" w:type="dxa"/>
            </w:tcMar>
            <w:vAlign w:val="center"/>
            <w:hideMark/>
          </w:tcPr>
          <w:p w14:paraId="45DF1B30" w14:textId="77777777" w:rsidR="00000000" w:rsidRDefault="0068293C">
            <w:pPr>
              <w:spacing w:after="100"/>
              <w:rPr>
                <w:rFonts w:eastAsia="Times New Roman"/>
              </w:rPr>
            </w:pPr>
            <w:r>
              <w:rPr>
                <w:rFonts w:eastAsia="Times New Roman"/>
                <w:color w:val="000000"/>
                <w:sz w:val="20"/>
                <w:szCs w:val="20"/>
              </w:rPr>
              <w:t>Tangible assets acquired</w:t>
            </w:r>
          </w:p>
        </w:tc>
        <w:tc>
          <w:tcPr>
            <w:tcW w:w="0" w:type="auto"/>
            <w:gridSpan w:val="3"/>
            <w:shd w:val="clear" w:color="auto" w:fill="FFFFFF"/>
            <w:tcMar>
              <w:top w:w="30" w:type="dxa"/>
              <w:left w:w="20" w:type="dxa"/>
              <w:bottom w:w="30" w:type="dxa"/>
              <w:right w:w="20" w:type="dxa"/>
            </w:tcMar>
            <w:vAlign w:val="bottom"/>
            <w:hideMark/>
          </w:tcPr>
          <w:p w14:paraId="1B22CD64" w14:textId="77777777" w:rsidR="00000000" w:rsidRDefault="0068293C">
            <w:pPr>
              <w:spacing w:after="100"/>
              <w:jc w:val="right"/>
              <w:rPr>
                <w:rFonts w:eastAsia="Times New Roman"/>
              </w:rPr>
            </w:pPr>
            <w:r>
              <w:rPr>
                <w:rFonts w:eastAsia="Times New Roman"/>
                <w:color w:val="000000"/>
                <w:sz w:val="20"/>
                <w:szCs w:val="20"/>
              </w:rPr>
              <w:t>3</w:t>
            </w:r>
          </w:p>
        </w:tc>
      </w:tr>
      <w:tr w:rsidR="00000000" w14:paraId="6DEA6031" w14:textId="77777777">
        <w:tc>
          <w:tcPr>
            <w:tcW w:w="0" w:type="auto"/>
            <w:gridSpan w:val="3"/>
            <w:shd w:val="clear" w:color="auto" w:fill="CCEEFF"/>
            <w:tcMar>
              <w:top w:w="30" w:type="dxa"/>
              <w:left w:w="20" w:type="dxa"/>
              <w:bottom w:w="30" w:type="dxa"/>
              <w:right w:w="20" w:type="dxa"/>
            </w:tcMar>
            <w:vAlign w:val="center"/>
            <w:hideMark/>
          </w:tcPr>
          <w:p w14:paraId="0602346E" w14:textId="77777777" w:rsidR="00000000" w:rsidRDefault="0068293C">
            <w:pPr>
              <w:spacing w:after="100"/>
              <w:rPr>
                <w:rFonts w:eastAsia="Times New Roman"/>
              </w:rPr>
            </w:pPr>
            <w:r>
              <w:rPr>
                <w:rFonts w:eastAsia="Times New Roman"/>
                <w:color w:val="000000"/>
                <w:sz w:val="20"/>
                <w:szCs w:val="20"/>
              </w:rPr>
              <w:t>Acquired intangible assets other than goodwill</w:t>
            </w:r>
          </w:p>
        </w:tc>
        <w:tc>
          <w:tcPr>
            <w:tcW w:w="0" w:type="auto"/>
            <w:gridSpan w:val="3"/>
            <w:shd w:val="clear" w:color="auto" w:fill="CCEEFF"/>
            <w:tcMar>
              <w:top w:w="30" w:type="dxa"/>
              <w:left w:w="20" w:type="dxa"/>
              <w:bottom w:w="30" w:type="dxa"/>
              <w:right w:w="20" w:type="dxa"/>
            </w:tcMar>
            <w:vAlign w:val="bottom"/>
            <w:hideMark/>
          </w:tcPr>
          <w:p w14:paraId="1DA2141D" w14:textId="77777777" w:rsidR="00000000" w:rsidRDefault="0068293C">
            <w:pPr>
              <w:spacing w:after="100"/>
              <w:jc w:val="right"/>
              <w:rPr>
                <w:rFonts w:eastAsia="Times New Roman"/>
              </w:rPr>
            </w:pPr>
            <w:r>
              <w:rPr>
                <w:rFonts w:eastAsia="Times New Roman"/>
                <w:color w:val="000000"/>
                <w:sz w:val="20"/>
                <w:szCs w:val="20"/>
              </w:rPr>
              <w:t>38</w:t>
            </w:r>
          </w:p>
        </w:tc>
      </w:tr>
      <w:tr w:rsidR="00000000" w14:paraId="69258F32" w14:textId="77777777">
        <w:tc>
          <w:tcPr>
            <w:tcW w:w="0" w:type="auto"/>
            <w:gridSpan w:val="3"/>
            <w:shd w:val="clear" w:color="auto" w:fill="FFFFFF"/>
            <w:tcMar>
              <w:top w:w="30" w:type="dxa"/>
              <w:left w:w="20" w:type="dxa"/>
              <w:bottom w:w="30" w:type="dxa"/>
              <w:right w:w="20" w:type="dxa"/>
            </w:tcMar>
            <w:vAlign w:val="center"/>
            <w:hideMark/>
          </w:tcPr>
          <w:p w14:paraId="537938D4" w14:textId="77777777" w:rsidR="00000000" w:rsidRDefault="0068293C">
            <w:pPr>
              <w:spacing w:after="100"/>
              <w:rPr>
                <w:rFonts w:eastAsia="Times New Roman"/>
              </w:rPr>
            </w:pPr>
            <w:r>
              <w:rPr>
                <w:rFonts w:eastAsia="Times New Roman"/>
                <w:color w:val="000000"/>
                <w:sz w:val="20"/>
                <w:szCs w:val="20"/>
              </w:rPr>
              <w:t>Acquired goodwill</w:t>
            </w:r>
          </w:p>
        </w:tc>
        <w:tc>
          <w:tcPr>
            <w:tcW w:w="0" w:type="auto"/>
            <w:gridSpan w:val="3"/>
            <w:shd w:val="clear" w:color="auto" w:fill="FFFFFF"/>
            <w:tcMar>
              <w:top w:w="30" w:type="dxa"/>
              <w:left w:w="20" w:type="dxa"/>
              <w:bottom w:w="30" w:type="dxa"/>
              <w:right w:w="20" w:type="dxa"/>
            </w:tcMar>
            <w:vAlign w:val="bottom"/>
            <w:hideMark/>
          </w:tcPr>
          <w:p w14:paraId="6C85EEC3" w14:textId="77777777" w:rsidR="00000000" w:rsidRDefault="0068293C">
            <w:pPr>
              <w:spacing w:after="100"/>
              <w:jc w:val="right"/>
              <w:rPr>
                <w:rFonts w:eastAsia="Times New Roman"/>
              </w:rPr>
            </w:pPr>
            <w:r>
              <w:rPr>
                <w:rFonts w:eastAsia="Times New Roman"/>
                <w:color w:val="000000"/>
                <w:sz w:val="20"/>
                <w:szCs w:val="20"/>
              </w:rPr>
              <w:t>41</w:t>
            </w:r>
          </w:p>
        </w:tc>
      </w:tr>
      <w:tr w:rsidR="00000000" w14:paraId="0196EC6D" w14:textId="77777777">
        <w:tc>
          <w:tcPr>
            <w:tcW w:w="0" w:type="auto"/>
            <w:gridSpan w:val="3"/>
            <w:shd w:val="clear" w:color="auto" w:fill="CCEEFF"/>
            <w:tcMar>
              <w:top w:w="30" w:type="dxa"/>
              <w:left w:w="20" w:type="dxa"/>
              <w:bottom w:w="30" w:type="dxa"/>
              <w:right w:w="20" w:type="dxa"/>
            </w:tcMar>
            <w:vAlign w:val="center"/>
            <w:hideMark/>
          </w:tcPr>
          <w:p w14:paraId="60F361C8" w14:textId="77777777" w:rsidR="00000000" w:rsidRDefault="0068293C">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30" w:type="dxa"/>
              <w:left w:w="20" w:type="dxa"/>
              <w:bottom w:w="30" w:type="dxa"/>
              <w:right w:w="20" w:type="dxa"/>
            </w:tcMar>
            <w:vAlign w:val="bottom"/>
            <w:hideMark/>
          </w:tcPr>
          <w:p w14:paraId="73FB0FB8" w14:textId="77777777" w:rsidR="00000000" w:rsidRDefault="0068293C">
            <w:pPr>
              <w:spacing w:after="100"/>
              <w:jc w:val="right"/>
              <w:rPr>
                <w:rFonts w:eastAsia="Times New Roman"/>
              </w:rPr>
            </w:pPr>
            <w:r>
              <w:rPr>
                <w:rFonts w:eastAsia="Times New Roman"/>
                <w:color w:val="000000"/>
                <w:sz w:val="20"/>
                <w:szCs w:val="20"/>
              </w:rPr>
              <w:t>(11)</w:t>
            </w:r>
          </w:p>
        </w:tc>
      </w:tr>
      <w:tr w:rsidR="00000000" w14:paraId="6D1109E1" w14:textId="77777777">
        <w:tc>
          <w:tcPr>
            <w:tcW w:w="0" w:type="auto"/>
            <w:gridSpan w:val="3"/>
            <w:shd w:val="clear" w:color="auto" w:fill="FFFFFF"/>
            <w:tcMar>
              <w:top w:w="30" w:type="dxa"/>
              <w:left w:w="20" w:type="dxa"/>
              <w:bottom w:w="30" w:type="dxa"/>
              <w:right w:w="20" w:type="dxa"/>
            </w:tcMar>
            <w:vAlign w:val="center"/>
            <w:hideMark/>
          </w:tcPr>
          <w:p w14:paraId="15F8B857" w14:textId="77777777" w:rsidR="00000000" w:rsidRDefault="0068293C">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30" w:type="dxa"/>
              <w:left w:w="20" w:type="dxa"/>
              <w:bottom w:w="30" w:type="dxa"/>
              <w:right w:w="20" w:type="dxa"/>
            </w:tcMar>
            <w:vAlign w:val="bottom"/>
            <w:hideMark/>
          </w:tcPr>
          <w:p w14:paraId="01C49191" w14:textId="77777777" w:rsidR="00000000" w:rsidRDefault="0068293C">
            <w:pPr>
              <w:spacing w:after="100"/>
              <w:jc w:val="right"/>
              <w:rPr>
                <w:rFonts w:eastAsia="Times New Roman"/>
              </w:rPr>
            </w:pPr>
            <w:r>
              <w:rPr>
                <w:rFonts w:eastAsia="Times New Roman"/>
                <w:color w:val="000000"/>
                <w:sz w:val="20"/>
                <w:szCs w:val="20"/>
              </w:rPr>
              <w:t>(4)</w:t>
            </w:r>
          </w:p>
        </w:tc>
      </w:tr>
      <w:tr w:rsidR="00000000" w14:paraId="4B0824BB" w14:textId="77777777">
        <w:tc>
          <w:tcPr>
            <w:tcW w:w="0" w:type="auto"/>
            <w:gridSpan w:val="3"/>
            <w:shd w:val="clear" w:color="auto" w:fill="CCEEFF"/>
            <w:tcMar>
              <w:top w:w="30" w:type="dxa"/>
              <w:left w:w="20" w:type="dxa"/>
              <w:bottom w:w="30" w:type="dxa"/>
              <w:right w:w="20" w:type="dxa"/>
            </w:tcMar>
            <w:vAlign w:val="center"/>
            <w:hideMark/>
          </w:tcPr>
          <w:p w14:paraId="41B4E6A7" w14:textId="77777777" w:rsidR="00000000" w:rsidRDefault="0068293C">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0168D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1ECCBA" w14:textId="77777777" w:rsidR="00000000" w:rsidRDefault="0068293C">
            <w:pPr>
              <w:spacing w:after="100"/>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A0DB42" w14:textId="77777777" w:rsidR="00000000" w:rsidRDefault="0068293C">
            <w:pPr>
              <w:spacing w:after="100"/>
              <w:jc w:val="right"/>
              <w:rPr>
                <w:rFonts w:eastAsia="Times New Roman"/>
              </w:rPr>
            </w:pPr>
          </w:p>
        </w:tc>
      </w:tr>
    </w:tbl>
    <w:p w14:paraId="1275E4CA" w14:textId="77777777" w:rsidR="00000000" w:rsidRDefault="0068293C">
      <w:pPr>
        <w:jc w:val="both"/>
        <w:rPr>
          <w:rFonts w:eastAsia="Times New Roman"/>
        </w:rPr>
      </w:pPr>
    </w:p>
    <w:p w14:paraId="4FD6DE77" w14:textId="77777777" w:rsidR="00000000" w:rsidRDefault="0068293C">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 consists of revenue and cost synergies expected from combining the operation</w:t>
      </w:r>
      <w:r>
        <w:rPr>
          <w:rFonts w:eastAsia="Times New Roman"/>
          <w:color w:val="000000"/>
          <w:sz w:val="20"/>
          <w:szCs w:val="20"/>
        </w:rPr>
        <w:t xml:space="preserve">s of NCR and LibertyX and is not deductible for tax purposes. The goodwill arising from the LibertyX acquisition has been allocated to our Payments &amp; Network segment. Refer to Note 3, “Goodwill and Purchased Intangible Assets”, for the carrying amounts of </w:t>
      </w:r>
      <w:r>
        <w:rPr>
          <w:rFonts w:eastAsia="Times New Roman"/>
          <w:color w:val="000000"/>
          <w:sz w:val="20"/>
          <w:szCs w:val="20"/>
        </w:rPr>
        <w:t xml:space="preserve">goodwill by segment. </w:t>
      </w:r>
    </w:p>
    <w:p w14:paraId="01216735" w14:textId="77777777" w:rsidR="00000000" w:rsidRDefault="0068293C">
      <w:pPr>
        <w:jc w:val="both"/>
        <w:rPr>
          <w:rFonts w:eastAsia="Times New Roman"/>
        </w:rPr>
      </w:pPr>
    </w:p>
    <w:p w14:paraId="798105E9" w14:textId="77777777" w:rsidR="00000000" w:rsidRDefault="0068293C">
      <w:pPr>
        <w:divId w:val="1577276889"/>
        <w:rPr>
          <w:rFonts w:eastAsia="Times New Roman"/>
        </w:rPr>
      </w:pPr>
      <w:r>
        <w:rPr>
          <w:rFonts w:eastAsia="Times New Roman"/>
          <w:color w:val="000000"/>
          <w:sz w:val="20"/>
          <w:szCs w:val="20"/>
        </w:rPr>
        <w:t xml:space="preserve">The following table sets forth the components of the intangible assets acquired as of the acquisition date: </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14:paraId="6A27E3D2" w14:textId="77777777">
        <w:trPr>
          <w:divId w:val="793717212"/>
          <w:jc w:val="center"/>
        </w:trPr>
        <w:tc>
          <w:tcPr>
            <w:tcW w:w="50" w:type="pct"/>
            <w:vAlign w:val="center"/>
            <w:hideMark/>
          </w:tcPr>
          <w:p w14:paraId="65CCBB8C" w14:textId="77777777" w:rsidR="00000000" w:rsidRDefault="0068293C">
            <w:pPr>
              <w:rPr>
                <w:rFonts w:eastAsia="Times New Roman"/>
              </w:rPr>
            </w:pPr>
          </w:p>
        </w:tc>
        <w:tc>
          <w:tcPr>
            <w:tcW w:w="3062" w:type="pct"/>
            <w:vAlign w:val="center"/>
            <w:hideMark/>
          </w:tcPr>
          <w:p w14:paraId="7A43D1A2" w14:textId="77777777" w:rsidR="00000000" w:rsidRDefault="0068293C">
            <w:pPr>
              <w:spacing w:after="100"/>
              <w:rPr>
                <w:rFonts w:eastAsia="Times New Roman"/>
                <w:sz w:val="20"/>
                <w:szCs w:val="20"/>
              </w:rPr>
            </w:pPr>
          </w:p>
        </w:tc>
        <w:tc>
          <w:tcPr>
            <w:tcW w:w="5" w:type="pct"/>
            <w:vAlign w:val="center"/>
            <w:hideMark/>
          </w:tcPr>
          <w:p w14:paraId="16CE23A6" w14:textId="77777777" w:rsidR="00000000" w:rsidRDefault="0068293C">
            <w:pPr>
              <w:spacing w:after="100"/>
              <w:rPr>
                <w:rFonts w:eastAsia="Times New Roman"/>
                <w:sz w:val="20"/>
                <w:szCs w:val="20"/>
              </w:rPr>
            </w:pPr>
          </w:p>
        </w:tc>
        <w:tc>
          <w:tcPr>
            <w:tcW w:w="50" w:type="pct"/>
            <w:vAlign w:val="center"/>
            <w:hideMark/>
          </w:tcPr>
          <w:p w14:paraId="7D3A4B14" w14:textId="77777777" w:rsidR="00000000" w:rsidRDefault="0068293C">
            <w:pPr>
              <w:spacing w:after="100"/>
              <w:rPr>
                <w:rFonts w:eastAsia="Times New Roman"/>
                <w:sz w:val="20"/>
                <w:szCs w:val="20"/>
              </w:rPr>
            </w:pPr>
          </w:p>
        </w:tc>
        <w:tc>
          <w:tcPr>
            <w:tcW w:w="856" w:type="pct"/>
            <w:vAlign w:val="center"/>
            <w:hideMark/>
          </w:tcPr>
          <w:p w14:paraId="405F2BD0" w14:textId="77777777" w:rsidR="00000000" w:rsidRDefault="0068293C">
            <w:pPr>
              <w:spacing w:after="100"/>
              <w:rPr>
                <w:rFonts w:eastAsia="Times New Roman"/>
                <w:sz w:val="20"/>
                <w:szCs w:val="20"/>
              </w:rPr>
            </w:pPr>
          </w:p>
        </w:tc>
        <w:tc>
          <w:tcPr>
            <w:tcW w:w="5" w:type="pct"/>
            <w:vAlign w:val="center"/>
            <w:hideMark/>
          </w:tcPr>
          <w:p w14:paraId="1E20939F" w14:textId="77777777" w:rsidR="00000000" w:rsidRDefault="0068293C">
            <w:pPr>
              <w:spacing w:after="100"/>
              <w:rPr>
                <w:rFonts w:eastAsia="Times New Roman"/>
                <w:sz w:val="20"/>
                <w:szCs w:val="20"/>
              </w:rPr>
            </w:pPr>
          </w:p>
        </w:tc>
        <w:tc>
          <w:tcPr>
            <w:tcW w:w="5" w:type="pct"/>
            <w:vAlign w:val="center"/>
            <w:hideMark/>
          </w:tcPr>
          <w:p w14:paraId="62CBF20F" w14:textId="77777777" w:rsidR="00000000" w:rsidRDefault="0068293C">
            <w:pPr>
              <w:spacing w:after="100"/>
              <w:rPr>
                <w:rFonts w:eastAsia="Times New Roman"/>
                <w:sz w:val="20"/>
                <w:szCs w:val="20"/>
              </w:rPr>
            </w:pPr>
          </w:p>
        </w:tc>
        <w:tc>
          <w:tcPr>
            <w:tcW w:w="41" w:type="pct"/>
            <w:vAlign w:val="center"/>
            <w:hideMark/>
          </w:tcPr>
          <w:p w14:paraId="4512053D" w14:textId="77777777" w:rsidR="00000000" w:rsidRDefault="0068293C">
            <w:pPr>
              <w:spacing w:after="100"/>
              <w:rPr>
                <w:rFonts w:eastAsia="Times New Roman"/>
                <w:sz w:val="20"/>
                <w:szCs w:val="20"/>
              </w:rPr>
            </w:pPr>
          </w:p>
        </w:tc>
        <w:tc>
          <w:tcPr>
            <w:tcW w:w="5" w:type="pct"/>
            <w:vAlign w:val="center"/>
            <w:hideMark/>
          </w:tcPr>
          <w:p w14:paraId="5F5FBC31" w14:textId="77777777" w:rsidR="00000000" w:rsidRDefault="0068293C">
            <w:pPr>
              <w:spacing w:after="100"/>
              <w:rPr>
                <w:rFonts w:eastAsia="Times New Roman"/>
                <w:sz w:val="20"/>
                <w:szCs w:val="20"/>
              </w:rPr>
            </w:pPr>
          </w:p>
        </w:tc>
        <w:tc>
          <w:tcPr>
            <w:tcW w:w="50" w:type="pct"/>
            <w:vAlign w:val="center"/>
            <w:hideMark/>
          </w:tcPr>
          <w:p w14:paraId="76C38521" w14:textId="77777777" w:rsidR="00000000" w:rsidRDefault="0068293C">
            <w:pPr>
              <w:spacing w:after="100"/>
              <w:rPr>
                <w:rFonts w:eastAsia="Times New Roman"/>
                <w:sz w:val="20"/>
                <w:szCs w:val="20"/>
              </w:rPr>
            </w:pPr>
          </w:p>
        </w:tc>
        <w:tc>
          <w:tcPr>
            <w:tcW w:w="864" w:type="pct"/>
            <w:vAlign w:val="center"/>
            <w:hideMark/>
          </w:tcPr>
          <w:p w14:paraId="45D74151" w14:textId="77777777" w:rsidR="00000000" w:rsidRDefault="0068293C">
            <w:pPr>
              <w:spacing w:after="100"/>
              <w:rPr>
                <w:rFonts w:eastAsia="Times New Roman"/>
                <w:sz w:val="20"/>
                <w:szCs w:val="20"/>
              </w:rPr>
            </w:pPr>
          </w:p>
        </w:tc>
        <w:tc>
          <w:tcPr>
            <w:tcW w:w="5" w:type="pct"/>
            <w:vAlign w:val="center"/>
            <w:hideMark/>
          </w:tcPr>
          <w:p w14:paraId="6DF1A3DA" w14:textId="77777777" w:rsidR="00000000" w:rsidRDefault="0068293C">
            <w:pPr>
              <w:spacing w:after="100"/>
              <w:rPr>
                <w:rFonts w:eastAsia="Times New Roman"/>
                <w:sz w:val="20"/>
                <w:szCs w:val="20"/>
              </w:rPr>
            </w:pPr>
          </w:p>
        </w:tc>
      </w:tr>
      <w:tr w:rsidR="00000000" w14:paraId="22B81B66" w14:textId="77777777">
        <w:trPr>
          <w:divId w:val="793717212"/>
          <w:jc w:val="center"/>
        </w:trPr>
        <w:tc>
          <w:tcPr>
            <w:tcW w:w="0" w:type="auto"/>
            <w:gridSpan w:val="3"/>
            <w:tcMar>
              <w:top w:w="0" w:type="dxa"/>
              <w:left w:w="20" w:type="dxa"/>
              <w:bottom w:w="0" w:type="dxa"/>
              <w:right w:w="20" w:type="dxa"/>
            </w:tcMar>
            <w:vAlign w:val="center"/>
            <w:hideMark/>
          </w:tcPr>
          <w:p w14:paraId="175BD26C"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8A438A0" w14:textId="77777777" w:rsidR="00000000" w:rsidRDefault="0068293C">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0F1D1F3B"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43CA63" w14:textId="77777777" w:rsidR="00000000" w:rsidRDefault="0068293C">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14:paraId="50A0E3FB" w14:textId="77777777">
        <w:trPr>
          <w:divId w:val="793717212"/>
          <w:jc w:val="center"/>
        </w:trPr>
        <w:tc>
          <w:tcPr>
            <w:tcW w:w="0" w:type="auto"/>
            <w:gridSpan w:val="3"/>
            <w:tcMar>
              <w:top w:w="0" w:type="dxa"/>
              <w:left w:w="20" w:type="dxa"/>
              <w:bottom w:w="0" w:type="dxa"/>
              <w:right w:w="20" w:type="dxa"/>
            </w:tcMar>
            <w:vAlign w:val="center"/>
            <w:hideMark/>
          </w:tcPr>
          <w:p w14:paraId="0BFFCD0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696F7D" w14:textId="77777777" w:rsidR="00000000" w:rsidRDefault="0068293C">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AE70878"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C3CB963" w14:textId="77777777" w:rsidR="00000000" w:rsidRDefault="0068293C">
            <w:pPr>
              <w:spacing w:after="100"/>
              <w:jc w:val="center"/>
              <w:rPr>
                <w:rFonts w:eastAsia="Times New Roman"/>
              </w:rPr>
            </w:pPr>
            <w:r>
              <w:rPr>
                <w:rFonts w:eastAsia="Times New Roman"/>
                <w:b/>
                <w:bCs/>
                <w:color w:val="000000"/>
                <w:sz w:val="16"/>
                <w:szCs w:val="16"/>
              </w:rPr>
              <w:t>(In years)</w:t>
            </w:r>
          </w:p>
        </w:tc>
      </w:tr>
      <w:tr w:rsidR="00000000" w14:paraId="4C5E665A" w14:textId="77777777">
        <w:trPr>
          <w:divId w:val="793717212"/>
          <w:jc w:val="center"/>
        </w:trPr>
        <w:tc>
          <w:tcPr>
            <w:tcW w:w="0" w:type="auto"/>
            <w:gridSpan w:val="3"/>
            <w:shd w:val="clear" w:color="auto" w:fill="CCEEFF"/>
            <w:tcMar>
              <w:top w:w="30" w:type="dxa"/>
              <w:left w:w="20" w:type="dxa"/>
              <w:bottom w:w="30" w:type="dxa"/>
              <w:right w:w="20" w:type="dxa"/>
            </w:tcMar>
            <w:vAlign w:val="bottom"/>
            <w:hideMark/>
          </w:tcPr>
          <w:p w14:paraId="4756E5EE" w14:textId="77777777" w:rsidR="00000000" w:rsidRDefault="0068293C">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14:paraId="6BBFBBD1"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5953165" w14:textId="77777777" w:rsidR="00000000" w:rsidRDefault="0068293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14:paraId="3794BBE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90F9D"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0D8E88D" w14:textId="77777777" w:rsidR="00000000" w:rsidRDefault="0068293C">
            <w:pPr>
              <w:spacing w:after="100"/>
              <w:jc w:val="right"/>
              <w:rPr>
                <w:rFonts w:eastAsia="Times New Roman"/>
              </w:rPr>
            </w:pPr>
            <w:r>
              <w:rPr>
                <w:rFonts w:eastAsia="Times New Roman"/>
                <w:color w:val="000000"/>
                <w:sz w:val="20"/>
                <w:szCs w:val="20"/>
              </w:rPr>
              <w:t>10</w:t>
            </w:r>
          </w:p>
        </w:tc>
      </w:tr>
      <w:tr w:rsidR="00000000" w14:paraId="52CEA35F" w14:textId="77777777">
        <w:trPr>
          <w:divId w:val="793717212"/>
          <w:jc w:val="center"/>
        </w:trPr>
        <w:tc>
          <w:tcPr>
            <w:tcW w:w="0" w:type="auto"/>
            <w:gridSpan w:val="3"/>
            <w:shd w:val="clear" w:color="auto" w:fill="FFFFFF"/>
            <w:tcMar>
              <w:top w:w="30" w:type="dxa"/>
              <w:left w:w="20" w:type="dxa"/>
              <w:bottom w:w="30" w:type="dxa"/>
              <w:right w:w="20" w:type="dxa"/>
            </w:tcMar>
            <w:vAlign w:val="bottom"/>
            <w:hideMark/>
          </w:tcPr>
          <w:p w14:paraId="5C8971B8" w14:textId="77777777" w:rsidR="00000000" w:rsidRDefault="0068293C">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14:paraId="1FDC96AF" w14:textId="77777777" w:rsidR="00000000" w:rsidRDefault="0068293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6C8D6E3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95DF7"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026927D" w14:textId="77777777" w:rsidR="00000000" w:rsidRDefault="0068293C">
            <w:pPr>
              <w:spacing w:after="100"/>
              <w:jc w:val="right"/>
              <w:rPr>
                <w:rFonts w:eastAsia="Times New Roman"/>
              </w:rPr>
            </w:pPr>
            <w:r>
              <w:rPr>
                <w:rFonts w:eastAsia="Times New Roman"/>
                <w:color w:val="000000"/>
                <w:sz w:val="20"/>
                <w:szCs w:val="20"/>
              </w:rPr>
              <w:t>13</w:t>
            </w:r>
          </w:p>
        </w:tc>
      </w:tr>
      <w:tr w:rsidR="00000000" w14:paraId="5119DDFD" w14:textId="77777777">
        <w:trPr>
          <w:divId w:val="793717212"/>
          <w:jc w:val="center"/>
        </w:trPr>
        <w:tc>
          <w:tcPr>
            <w:tcW w:w="0" w:type="auto"/>
            <w:gridSpan w:val="3"/>
            <w:shd w:val="clear" w:color="auto" w:fill="CCEEFF"/>
            <w:tcMar>
              <w:top w:w="30" w:type="dxa"/>
              <w:left w:w="20" w:type="dxa"/>
              <w:bottom w:w="30" w:type="dxa"/>
              <w:right w:w="20" w:type="dxa"/>
            </w:tcMar>
            <w:vAlign w:val="bottom"/>
            <w:hideMark/>
          </w:tcPr>
          <w:p w14:paraId="5C5E44CF" w14:textId="77777777" w:rsidR="00000000" w:rsidRDefault="0068293C">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14:paraId="2782961D"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57C5930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5573E"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F10C31C" w14:textId="77777777" w:rsidR="00000000" w:rsidRDefault="0068293C">
            <w:pPr>
              <w:spacing w:after="100"/>
              <w:jc w:val="right"/>
              <w:rPr>
                <w:rFonts w:eastAsia="Times New Roman"/>
              </w:rPr>
            </w:pPr>
            <w:r>
              <w:rPr>
                <w:rFonts w:eastAsia="Times New Roman"/>
                <w:color w:val="000000"/>
                <w:sz w:val="20"/>
                <w:szCs w:val="20"/>
              </w:rPr>
              <w:t>1</w:t>
            </w:r>
          </w:p>
        </w:tc>
      </w:tr>
      <w:tr w:rsidR="00000000" w14:paraId="3DED5931" w14:textId="77777777">
        <w:trPr>
          <w:divId w:val="793717212"/>
          <w:jc w:val="center"/>
        </w:trPr>
        <w:tc>
          <w:tcPr>
            <w:tcW w:w="0" w:type="auto"/>
            <w:gridSpan w:val="3"/>
            <w:shd w:val="clear" w:color="auto" w:fill="FFFFFF"/>
            <w:tcMar>
              <w:top w:w="30" w:type="dxa"/>
              <w:left w:w="20" w:type="dxa"/>
              <w:bottom w:w="30" w:type="dxa"/>
              <w:right w:w="20" w:type="dxa"/>
            </w:tcMar>
            <w:vAlign w:val="bottom"/>
            <w:hideMark/>
          </w:tcPr>
          <w:p w14:paraId="6866246D" w14:textId="77777777" w:rsidR="00000000" w:rsidRDefault="0068293C">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14:paraId="31904A8E" w14:textId="77777777" w:rsidR="00000000" w:rsidRDefault="0068293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789051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47B6D"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14FD00E" w14:textId="77777777" w:rsidR="00000000" w:rsidRDefault="0068293C">
            <w:pPr>
              <w:spacing w:after="100"/>
              <w:jc w:val="right"/>
              <w:rPr>
                <w:rFonts w:eastAsia="Times New Roman"/>
              </w:rPr>
            </w:pPr>
            <w:r>
              <w:rPr>
                <w:rFonts w:eastAsia="Times New Roman"/>
                <w:color w:val="000000"/>
                <w:sz w:val="20"/>
                <w:szCs w:val="20"/>
              </w:rPr>
              <w:t>2</w:t>
            </w:r>
          </w:p>
        </w:tc>
      </w:tr>
      <w:tr w:rsidR="00000000" w14:paraId="30C4A376" w14:textId="77777777">
        <w:trPr>
          <w:divId w:val="793717212"/>
          <w:jc w:val="center"/>
        </w:trPr>
        <w:tc>
          <w:tcPr>
            <w:tcW w:w="0" w:type="auto"/>
            <w:gridSpan w:val="3"/>
            <w:shd w:val="clear" w:color="auto" w:fill="CCEEFF"/>
            <w:tcMar>
              <w:top w:w="30" w:type="dxa"/>
              <w:left w:w="20" w:type="dxa"/>
              <w:bottom w:w="30" w:type="dxa"/>
              <w:right w:w="20" w:type="dxa"/>
            </w:tcMar>
            <w:vAlign w:val="center"/>
            <w:hideMark/>
          </w:tcPr>
          <w:p w14:paraId="558377CE" w14:textId="77777777" w:rsidR="00000000" w:rsidRDefault="0068293C">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97ECDC"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667149" w14:textId="77777777" w:rsidR="00000000" w:rsidRDefault="0068293C">
            <w:pPr>
              <w:spacing w:after="100"/>
              <w:jc w:val="right"/>
              <w:rPr>
                <w:rFonts w:eastAsia="Times New Roman"/>
              </w:rPr>
            </w:pPr>
            <w:r>
              <w:rPr>
                <w:rFonts w:eastAsia="Times New Roman"/>
                <w:color w:val="000000"/>
                <w:sz w:val="20"/>
                <w:szCs w:val="20"/>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14F4A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AA3AD"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660B19" w14:textId="77777777" w:rsidR="00000000" w:rsidRDefault="0068293C">
            <w:pPr>
              <w:spacing w:after="100"/>
              <w:rPr>
                <w:rFonts w:eastAsia="Times New Roman"/>
                <w:sz w:val="20"/>
                <w:szCs w:val="20"/>
              </w:rPr>
            </w:pPr>
          </w:p>
        </w:tc>
      </w:tr>
    </w:tbl>
    <w:p w14:paraId="02BFB67E" w14:textId="77777777" w:rsidR="00000000" w:rsidRDefault="0068293C">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18"/>
          <w:szCs w:val="18"/>
        </w:rPr>
        <w:t>ets with definite lives is recognized over the period of time the assets are expected to contribute to future cash flows.</w:t>
      </w:r>
    </w:p>
    <w:p w14:paraId="0FC8C456" w14:textId="77777777" w:rsidR="00000000" w:rsidRDefault="0068293C">
      <w:pPr>
        <w:jc w:val="both"/>
        <w:rPr>
          <w:rFonts w:eastAsia="Times New Roman"/>
        </w:rPr>
      </w:pPr>
    </w:p>
    <w:p w14:paraId="2420D271" w14:textId="77777777" w:rsidR="00000000" w:rsidRDefault="0068293C">
      <w:pPr>
        <w:jc w:val="both"/>
        <w:rPr>
          <w:rFonts w:eastAsia="Times New Roman"/>
        </w:rPr>
      </w:pPr>
      <w:r>
        <w:rPr>
          <w:rFonts w:eastAsia="Times New Roman"/>
          <w:color w:val="000000"/>
          <w:sz w:val="20"/>
          <w:szCs w:val="20"/>
        </w:rPr>
        <w:t>The operating results of LibertyX have been included within NCR's results since the closing date of the acquisition. Supplemental pr</w:t>
      </w:r>
      <w:r>
        <w:rPr>
          <w:rFonts w:eastAsia="Times New Roman"/>
          <w:color w:val="000000"/>
          <w:sz w:val="20"/>
          <w:szCs w:val="20"/>
        </w:rPr>
        <w:t xml:space="preserve">o forma information and actual revenue and earnings since the acquisition date have not been provided as the acquisition did not have a material impact on the Company's Condensed Consolidated Statements of Operations. </w:t>
      </w:r>
    </w:p>
    <w:p w14:paraId="1A35F033" w14:textId="77777777" w:rsidR="00000000" w:rsidRDefault="0068293C">
      <w:pPr>
        <w:divId w:val="1930113884"/>
        <w:rPr>
          <w:rFonts w:eastAsia="Times New Roman"/>
        </w:rPr>
      </w:pPr>
    </w:p>
    <w:p w14:paraId="224CA261" w14:textId="77777777" w:rsidR="00000000" w:rsidRDefault="0068293C">
      <w:pPr>
        <w:divId w:val="1639143872"/>
        <w:rPr>
          <w:rFonts w:eastAsia="Times New Roman"/>
        </w:rPr>
      </w:pPr>
      <w:r>
        <w:rPr>
          <w:rFonts w:eastAsia="Times New Roman"/>
          <w:b/>
          <w:bCs/>
          <w:color w:val="000000"/>
          <w:sz w:val="20"/>
          <w:szCs w:val="20"/>
        </w:rPr>
        <w:t>Acquisition of Cardtronics plc (202</w:t>
      </w:r>
      <w:r>
        <w:rPr>
          <w:rFonts w:eastAsia="Times New Roman"/>
          <w:b/>
          <w:bCs/>
          <w:color w:val="000000"/>
          <w:sz w:val="20"/>
          <w:szCs w:val="20"/>
        </w:rPr>
        <w:t>1)</w:t>
      </w:r>
    </w:p>
    <w:p w14:paraId="70FE3282" w14:textId="77777777" w:rsidR="00000000" w:rsidRDefault="0068293C">
      <w:pPr>
        <w:divId w:val="1194341575"/>
        <w:rPr>
          <w:rFonts w:eastAsia="Times New Roman"/>
        </w:rPr>
      </w:pPr>
    </w:p>
    <w:p w14:paraId="62E4AC2C" w14:textId="77777777" w:rsidR="00000000" w:rsidRDefault="0068293C">
      <w:pPr>
        <w:jc w:val="both"/>
        <w:rPr>
          <w:rFonts w:eastAsia="Times New Roman"/>
        </w:rPr>
      </w:pPr>
      <w:r>
        <w:rPr>
          <w:rFonts w:eastAsia="Times New Roman"/>
          <w:color w:val="000000"/>
          <w:sz w:val="20"/>
          <w:szCs w:val="20"/>
        </w:rPr>
        <w:t xml:space="preserve">On June 21, 2021, NCR acquired all outstanding shares of Cardtronics plc (“Cardtronics”) for $39.00 per share (the “Cardtronics Transaction”). The fair value of consideration transferred to acquire Cardtronics was allocated to the identifiable assets </w:t>
      </w:r>
      <w:r>
        <w:rPr>
          <w:rFonts w:eastAsia="Times New Roman"/>
          <w:color w:val="000000"/>
          <w:sz w:val="20"/>
          <w:szCs w:val="20"/>
        </w:rPr>
        <w:t>acquired and liabilities assumed based upon their estimated fair values as of the date of the acquisition. The valuation of assets acquired and liabilities assumed is subject to revision. If additional information becomes available, the Company may further</w:t>
      </w:r>
      <w:r>
        <w:rPr>
          <w:rFonts w:eastAsia="Times New Roman"/>
          <w:color w:val="000000"/>
          <w:sz w:val="20"/>
          <w:szCs w:val="20"/>
        </w:rPr>
        <w:t xml:space="preserve"> revise the purchase price allocation as soon as practical, but no later than one year from the acquisition date; however, material changes are not excepted. There have been no material adjustments to the allocation of purchase price since December 31, 202</w:t>
      </w:r>
      <w:r>
        <w:rPr>
          <w:rFonts w:eastAsia="Times New Roman"/>
          <w:color w:val="000000"/>
          <w:sz w:val="20"/>
          <w:szCs w:val="20"/>
        </w:rPr>
        <w:t xml:space="preserve">1. </w:t>
      </w:r>
    </w:p>
    <w:p w14:paraId="79ADF311" w14:textId="77777777" w:rsidR="00000000" w:rsidRDefault="0068293C">
      <w:pPr>
        <w:jc w:val="both"/>
        <w:rPr>
          <w:rFonts w:eastAsia="Times New Roman"/>
        </w:rPr>
      </w:pPr>
    </w:p>
    <w:p w14:paraId="2152C046" w14:textId="77777777" w:rsidR="00000000" w:rsidRDefault="0068293C">
      <w:pPr>
        <w:divId w:val="1454783310"/>
        <w:rPr>
          <w:rFonts w:eastAsia="Times New Roman"/>
        </w:rPr>
      </w:pPr>
    </w:p>
    <w:p w14:paraId="7EA702E2" w14:textId="77777777" w:rsidR="00000000" w:rsidRDefault="0068293C">
      <w:pPr>
        <w:jc w:val="center"/>
        <w:divId w:val="869730236"/>
        <w:rPr>
          <w:rFonts w:eastAsia="Times New Roman"/>
        </w:rPr>
      </w:pPr>
      <w:r>
        <w:rPr>
          <w:rFonts w:eastAsia="Times New Roman"/>
          <w:color w:val="000000"/>
          <w:sz w:val="20"/>
          <w:szCs w:val="20"/>
        </w:rPr>
        <w:t>12</w:t>
      </w:r>
    </w:p>
    <w:p w14:paraId="6826A6EA" w14:textId="77777777" w:rsidR="00000000" w:rsidRDefault="0068293C">
      <w:pPr>
        <w:rPr>
          <w:rFonts w:eastAsia="Times New Roman"/>
        </w:rPr>
      </w:pPr>
      <w:r>
        <w:rPr>
          <w:rFonts w:eastAsia="Times New Roman"/>
        </w:rPr>
        <w:pict w14:anchorId="7828528E">
          <v:rect id="_x0000_i1037" style="width:0;height:1.5pt" o:hralign="center" o:hrstd="t" o:hr="t" fillcolor="#a0a0a0" stroked="f"/>
        </w:pict>
      </w:r>
    </w:p>
    <w:p w14:paraId="2DDE40F1" w14:textId="77777777" w:rsidR="00000000" w:rsidRDefault="0068293C">
      <w:pPr>
        <w:ind w:firstLine="720"/>
        <w:divId w:val="1181122346"/>
        <w:rPr>
          <w:rFonts w:eastAsia="Times New Roman"/>
        </w:rPr>
      </w:pPr>
      <w:hyperlink w:anchor="i78484f3d0d8e4e36a7c87ddd6ea9d725_7" w:history="1">
        <w:r>
          <w:rPr>
            <w:rStyle w:val="a3"/>
            <w:rFonts w:eastAsia="Times New Roman"/>
            <w:sz w:val="16"/>
            <w:szCs w:val="16"/>
          </w:rPr>
          <w:t>Table of Content</w:t>
        </w:r>
      </w:hyperlink>
    </w:p>
    <w:p w14:paraId="426E2089" w14:textId="77777777" w:rsidR="00000000" w:rsidRDefault="0068293C">
      <w:pPr>
        <w:jc w:val="center"/>
        <w:divId w:val="449781624"/>
        <w:rPr>
          <w:rFonts w:eastAsia="Times New Roman"/>
        </w:rPr>
      </w:pPr>
      <w:r>
        <w:rPr>
          <w:rFonts w:eastAsia="Times New Roman"/>
          <w:b/>
          <w:bCs/>
          <w:color w:val="000000"/>
          <w:sz w:val="20"/>
          <w:szCs w:val="20"/>
        </w:rPr>
        <w:t>NCR Corporation</w:t>
      </w:r>
    </w:p>
    <w:p w14:paraId="15E31072" w14:textId="77777777" w:rsidR="00000000" w:rsidRDefault="0068293C">
      <w:pPr>
        <w:jc w:val="center"/>
        <w:divId w:val="449781624"/>
        <w:rPr>
          <w:rFonts w:eastAsia="Times New Roman"/>
        </w:rPr>
      </w:pPr>
      <w:r>
        <w:rPr>
          <w:rFonts w:eastAsia="Times New Roman"/>
          <w:b/>
          <w:bCs/>
          <w:color w:val="000000"/>
          <w:sz w:val="20"/>
          <w:szCs w:val="20"/>
        </w:rPr>
        <w:t>Notes to Condensed Consolidated Financial Statements (Unaudited)—(Continued)</w:t>
      </w:r>
    </w:p>
    <w:p w14:paraId="42FAB5BD" w14:textId="77777777" w:rsidR="00000000" w:rsidRDefault="0068293C">
      <w:pPr>
        <w:divId w:val="1220437623"/>
        <w:rPr>
          <w:rFonts w:eastAsia="Times New Roman"/>
        </w:rPr>
      </w:pPr>
      <w:r>
        <w:rPr>
          <w:rFonts w:eastAsia="Times New Roman"/>
          <w:b/>
          <w:bCs/>
          <w:color w:val="54B948"/>
          <w:sz w:val="20"/>
          <w:szCs w:val="20"/>
        </w:rPr>
        <w:t>3. GOODWILL AND PURCHASED INTANGIBLE ASSETS</w:t>
      </w:r>
      <w:r>
        <w:rPr>
          <w:rFonts w:eastAsia="Times New Roman"/>
          <w:b/>
          <w:bCs/>
          <w:color w:val="000000"/>
          <w:sz w:val="20"/>
          <w:szCs w:val="20"/>
        </w:rPr>
        <w:t xml:space="preserve"> </w:t>
      </w:r>
    </w:p>
    <w:p w14:paraId="271AE2B6" w14:textId="77777777" w:rsidR="00000000" w:rsidRDefault="0068293C">
      <w:pPr>
        <w:divId w:val="107824339"/>
        <w:rPr>
          <w:rFonts w:eastAsia="Times New Roman"/>
        </w:rPr>
      </w:pPr>
    </w:p>
    <w:p w14:paraId="4D782BCB" w14:textId="77777777" w:rsidR="00000000" w:rsidRDefault="0068293C">
      <w:pPr>
        <w:jc w:val="both"/>
        <w:rPr>
          <w:rFonts w:eastAsia="Times New Roman"/>
        </w:rPr>
      </w:pPr>
      <w:r>
        <w:rPr>
          <w:rFonts w:eastAsia="Times New Roman"/>
          <w:i/>
          <w:iCs/>
          <w:color w:val="000000"/>
          <w:sz w:val="20"/>
          <w:szCs w:val="20"/>
        </w:rPr>
        <w:t>Goodw</w:t>
      </w:r>
      <w:r>
        <w:rPr>
          <w:rFonts w:eastAsia="Times New Roman"/>
          <w:i/>
          <w:iCs/>
          <w:color w:val="000000"/>
          <w:sz w:val="20"/>
          <w:szCs w:val="20"/>
        </w:rPr>
        <w:t xml:space="preserve">ill by Segment </w:t>
      </w:r>
      <w:r>
        <w:rPr>
          <w:rFonts w:eastAsia="Times New Roman"/>
          <w:color w:val="000000"/>
          <w:sz w:val="20"/>
          <w:szCs w:val="20"/>
        </w:rPr>
        <w:t xml:space="preserve">As described in Note 1, “Basis of Presentation and Summary of Significant Accounting Policies”, effective January 1, 2022, the Company realigned its reportable segments to correspond with changes to its operating model, management structure </w:t>
      </w:r>
      <w:r>
        <w:rPr>
          <w:rFonts w:eastAsia="Times New Roman"/>
          <w:color w:val="000000"/>
          <w:sz w:val="20"/>
          <w:szCs w:val="20"/>
        </w:rPr>
        <w:t>and organizational responsibilities. In connection with the change in reportable segments, during the first quarter of 2022, the Company determined its reporting units and then assigned goodwill to the new reporting units based on the relative fair value a</w:t>
      </w:r>
      <w:r>
        <w:rPr>
          <w:rFonts w:eastAsia="Times New Roman"/>
          <w:color w:val="000000"/>
          <w:sz w:val="20"/>
          <w:szCs w:val="20"/>
        </w:rPr>
        <w:t>llocation approach. We have reclassified prior period goodwill disclosures to conform to the current period presentation.</w:t>
      </w:r>
    </w:p>
    <w:p w14:paraId="1634F61F" w14:textId="77777777" w:rsidR="00000000" w:rsidRDefault="0068293C">
      <w:pPr>
        <w:jc w:val="both"/>
        <w:rPr>
          <w:rFonts w:eastAsia="Times New Roman"/>
        </w:rPr>
      </w:pPr>
    </w:p>
    <w:p w14:paraId="08D2C1E8" w14:textId="77777777" w:rsidR="00000000" w:rsidRDefault="0068293C">
      <w:pPr>
        <w:jc w:val="both"/>
        <w:rPr>
          <w:rFonts w:eastAsia="Times New Roman"/>
        </w:rPr>
      </w:pPr>
      <w:r>
        <w:rPr>
          <w:rFonts w:eastAsia="Times New Roman"/>
          <w:color w:val="000000"/>
          <w:sz w:val="20"/>
          <w:szCs w:val="20"/>
        </w:rPr>
        <w:t>The carrying amounts of goodwill by segment as of March 31, 2022 and December 31, 2021 are included in the table below. Foreign curr</w:t>
      </w:r>
      <w:r>
        <w:rPr>
          <w:rFonts w:eastAsia="Times New Roman"/>
          <w:color w:val="000000"/>
          <w:sz w:val="20"/>
          <w:szCs w:val="20"/>
        </w:rPr>
        <w:t>ency fluctuations are included within other adjustments</w:t>
      </w:r>
      <w:r>
        <w:rPr>
          <w:rFonts w:eastAsia="Times New Roman"/>
          <w:color w:val="000000"/>
          <w:sz w:val="16"/>
          <w:szCs w:val="16"/>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876"/>
        <w:gridCol w:w="37"/>
        <w:gridCol w:w="121"/>
        <w:gridCol w:w="581"/>
        <w:gridCol w:w="36"/>
        <w:gridCol w:w="121"/>
        <w:gridCol w:w="846"/>
        <w:gridCol w:w="36"/>
        <w:gridCol w:w="120"/>
        <w:gridCol w:w="500"/>
        <w:gridCol w:w="36"/>
        <w:gridCol w:w="36"/>
        <w:gridCol w:w="36"/>
        <w:gridCol w:w="36"/>
        <w:gridCol w:w="36"/>
        <w:gridCol w:w="36"/>
        <w:gridCol w:w="121"/>
        <w:gridCol w:w="606"/>
        <w:gridCol w:w="36"/>
        <w:gridCol w:w="36"/>
        <w:gridCol w:w="36"/>
        <w:gridCol w:w="36"/>
        <w:gridCol w:w="121"/>
        <w:gridCol w:w="763"/>
        <w:gridCol w:w="36"/>
        <w:gridCol w:w="36"/>
        <w:gridCol w:w="36"/>
        <w:gridCol w:w="36"/>
        <w:gridCol w:w="121"/>
        <w:gridCol w:w="370"/>
        <w:gridCol w:w="36"/>
        <w:gridCol w:w="36"/>
        <w:gridCol w:w="36"/>
        <w:gridCol w:w="36"/>
        <w:gridCol w:w="121"/>
        <w:gridCol w:w="576"/>
        <w:gridCol w:w="36"/>
        <w:gridCol w:w="121"/>
        <w:gridCol w:w="846"/>
        <w:gridCol w:w="36"/>
        <w:gridCol w:w="120"/>
        <w:gridCol w:w="500"/>
        <w:gridCol w:w="36"/>
      </w:tblGrid>
      <w:tr w:rsidR="00000000" w14:paraId="24D5F5FC" w14:textId="77777777">
        <w:trPr>
          <w:divId w:val="90200169"/>
          <w:jc w:val="center"/>
        </w:trPr>
        <w:tc>
          <w:tcPr>
            <w:tcW w:w="50" w:type="pct"/>
            <w:vAlign w:val="center"/>
            <w:hideMark/>
          </w:tcPr>
          <w:p w14:paraId="18658F11" w14:textId="77777777" w:rsidR="00000000" w:rsidRDefault="0068293C">
            <w:pPr>
              <w:jc w:val="both"/>
              <w:rPr>
                <w:rFonts w:eastAsia="Times New Roman"/>
              </w:rPr>
            </w:pPr>
          </w:p>
        </w:tc>
        <w:tc>
          <w:tcPr>
            <w:tcW w:w="904" w:type="pct"/>
            <w:vAlign w:val="center"/>
            <w:hideMark/>
          </w:tcPr>
          <w:p w14:paraId="0B2E31FB" w14:textId="77777777" w:rsidR="00000000" w:rsidRDefault="0068293C">
            <w:pPr>
              <w:spacing w:after="100"/>
              <w:rPr>
                <w:rFonts w:eastAsia="Times New Roman"/>
                <w:sz w:val="20"/>
                <w:szCs w:val="20"/>
              </w:rPr>
            </w:pPr>
          </w:p>
        </w:tc>
        <w:tc>
          <w:tcPr>
            <w:tcW w:w="5" w:type="pct"/>
            <w:vAlign w:val="center"/>
            <w:hideMark/>
          </w:tcPr>
          <w:p w14:paraId="06402382" w14:textId="77777777" w:rsidR="00000000" w:rsidRDefault="0068293C">
            <w:pPr>
              <w:spacing w:after="100"/>
              <w:rPr>
                <w:rFonts w:eastAsia="Times New Roman"/>
                <w:sz w:val="20"/>
                <w:szCs w:val="20"/>
              </w:rPr>
            </w:pPr>
          </w:p>
        </w:tc>
        <w:tc>
          <w:tcPr>
            <w:tcW w:w="50" w:type="pct"/>
            <w:vAlign w:val="center"/>
            <w:hideMark/>
          </w:tcPr>
          <w:p w14:paraId="659EE3FA" w14:textId="77777777" w:rsidR="00000000" w:rsidRDefault="0068293C">
            <w:pPr>
              <w:spacing w:after="100"/>
              <w:rPr>
                <w:rFonts w:eastAsia="Times New Roman"/>
                <w:sz w:val="20"/>
                <w:szCs w:val="20"/>
              </w:rPr>
            </w:pPr>
          </w:p>
        </w:tc>
        <w:tc>
          <w:tcPr>
            <w:tcW w:w="391" w:type="pct"/>
            <w:vAlign w:val="center"/>
            <w:hideMark/>
          </w:tcPr>
          <w:p w14:paraId="1B9CDF0A" w14:textId="77777777" w:rsidR="00000000" w:rsidRDefault="0068293C">
            <w:pPr>
              <w:spacing w:after="100"/>
              <w:rPr>
                <w:rFonts w:eastAsia="Times New Roman"/>
                <w:sz w:val="20"/>
                <w:szCs w:val="20"/>
              </w:rPr>
            </w:pPr>
          </w:p>
        </w:tc>
        <w:tc>
          <w:tcPr>
            <w:tcW w:w="5" w:type="pct"/>
            <w:vAlign w:val="center"/>
            <w:hideMark/>
          </w:tcPr>
          <w:p w14:paraId="6C2547B7" w14:textId="77777777" w:rsidR="00000000" w:rsidRDefault="0068293C">
            <w:pPr>
              <w:spacing w:after="100"/>
              <w:rPr>
                <w:rFonts w:eastAsia="Times New Roman"/>
                <w:sz w:val="20"/>
                <w:szCs w:val="20"/>
              </w:rPr>
            </w:pPr>
          </w:p>
        </w:tc>
        <w:tc>
          <w:tcPr>
            <w:tcW w:w="50" w:type="pct"/>
            <w:vAlign w:val="center"/>
            <w:hideMark/>
          </w:tcPr>
          <w:p w14:paraId="6D3D2373" w14:textId="77777777" w:rsidR="00000000" w:rsidRDefault="0068293C">
            <w:pPr>
              <w:spacing w:after="100"/>
              <w:rPr>
                <w:rFonts w:eastAsia="Times New Roman"/>
                <w:sz w:val="20"/>
                <w:szCs w:val="20"/>
              </w:rPr>
            </w:pPr>
          </w:p>
        </w:tc>
        <w:tc>
          <w:tcPr>
            <w:tcW w:w="464" w:type="pct"/>
            <w:vAlign w:val="center"/>
            <w:hideMark/>
          </w:tcPr>
          <w:p w14:paraId="5D85E93D" w14:textId="77777777" w:rsidR="00000000" w:rsidRDefault="0068293C">
            <w:pPr>
              <w:spacing w:after="100"/>
              <w:rPr>
                <w:rFonts w:eastAsia="Times New Roman"/>
                <w:sz w:val="20"/>
                <w:szCs w:val="20"/>
              </w:rPr>
            </w:pPr>
          </w:p>
        </w:tc>
        <w:tc>
          <w:tcPr>
            <w:tcW w:w="5" w:type="pct"/>
            <w:vAlign w:val="center"/>
            <w:hideMark/>
          </w:tcPr>
          <w:p w14:paraId="7551A9BD" w14:textId="77777777" w:rsidR="00000000" w:rsidRDefault="0068293C">
            <w:pPr>
              <w:spacing w:after="100"/>
              <w:rPr>
                <w:rFonts w:eastAsia="Times New Roman"/>
                <w:sz w:val="20"/>
                <w:szCs w:val="20"/>
              </w:rPr>
            </w:pPr>
          </w:p>
        </w:tc>
        <w:tc>
          <w:tcPr>
            <w:tcW w:w="50" w:type="pct"/>
            <w:vAlign w:val="center"/>
            <w:hideMark/>
          </w:tcPr>
          <w:p w14:paraId="58E9BD08" w14:textId="77777777" w:rsidR="00000000" w:rsidRDefault="0068293C">
            <w:pPr>
              <w:spacing w:after="100"/>
              <w:rPr>
                <w:rFonts w:eastAsia="Times New Roman"/>
                <w:sz w:val="20"/>
                <w:szCs w:val="20"/>
              </w:rPr>
            </w:pPr>
          </w:p>
        </w:tc>
        <w:tc>
          <w:tcPr>
            <w:tcW w:w="391" w:type="pct"/>
            <w:vAlign w:val="center"/>
            <w:hideMark/>
          </w:tcPr>
          <w:p w14:paraId="1A05C209" w14:textId="77777777" w:rsidR="00000000" w:rsidRDefault="0068293C">
            <w:pPr>
              <w:spacing w:after="100"/>
              <w:rPr>
                <w:rFonts w:eastAsia="Times New Roman"/>
                <w:sz w:val="20"/>
                <w:szCs w:val="20"/>
              </w:rPr>
            </w:pPr>
          </w:p>
        </w:tc>
        <w:tc>
          <w:tcPr>
            <w:tcW w:w="5" w:type="pct"/>
            <w:vAlign w:val="center"/>
            <w:hideMark/>
          </w:tcPr>
          <w:p w14:paraId="69F19CD9" w14:textId="77777777" w:rsidR="00000000" w:rsidRDefault="0068293C">
            <w:pPr>
              <w:spacing w:after="100"/>
              <w:rPr>
                <w:rFonts w:eastAsia="Times New Roman"/>
                <w:sz w:val="20"/>
                <w:szCs w:val="20"/>
              </w:rPr>
            </w:pPr>
          </w:p>
        </w:tc>
        <w:tc>
          <w:tcPr>
            <w:tcW w:w="5" w:type="pct"/>
            <w:vAlign w:val="center"/>
            <w:hideMark/>
          </w:tcPr>
          <w:p w14:paraId="751B18E8" w14:textId="77777777" w:rsidR="00000000" w:rsidRDefault="0068293C">
            <w:pPr>
              <w:spacing w:after="100"/>
              <w:rPr>
                <w:rFonts w:eastAsia="Times New Roman"/>
                <w:sz w:val="20"/>
                <w:szCs w:val="20"/>
              </w:rPr>
            </w:pPr>
          </w:p>
        </w:tc>
        <w:tc>
          <w:tcPr>
            <w:tcW w:w="26" w:type="pct"/>
            <w:vAlign w:val="center"/>
            <w:hideMark/>
          </w:tcPr>
          <w:p w14:paraId="2B976196" w14:textId="77777777" w:rsidR="00000000" w:rsidRDefault="0068293C">
            <w:pPr>
              <w:spacing w:after="100"/>
              <w:rPr>
                <w:rFonts w:eastAsia="Times New Roman"/>
                <w:sz w:val="20"/>
                <w:szCs w:val="20"/>
              </w:rPr>
            </w:pPr>
          </w:p>
        </w:tc>
        <w:tc>
          <w:tcPr>
            <w:tcW w:w="5" w:type="pct"/>
            <w:vAlign w:val="center"/>
            <w:hideMark/>
          </w:tcPr>
          <w:p w14:paraId="69878125" w14:textId="77777777" w:rsidR="00000000" w:rsidRDefault="0068293C">
            <w:pPr>
              <w:spacing w:after="100"/>
              <w:rPr>
                <w:rFonts w:eastAsia="Times New Roman"/>
                <w:sz w:val="20"/>
                <w:szCs w:val="20"/>
              </w:rPr>
            </w:pPr>
          </w:p>
        </w:tc>
        <w:tc>
          <w:tcPr>
            <w:tcW w:w="0" w:type="auto"/>
            <w:vAlign w:val="center"/>
            <w:hideMark/>
          </w:tcPr>
          <w:p w14:paraId="0E72577D" w14:textId="77777777" w:rsidR="00000000" w:rsidRDefault="0068293C">
            <w:pPr>
              <w:spacing w:after="100"/>
              <w:rPr>
                <w:rFonts w:eastAsia="Times New Roman"/>
                <w:sz w:val="20"/>
                <w:szCs w:val="20"/>
              </w:rPr>
            </w:pPr>
          </w:p>
        </w:tc>
        <w:tc>
          <w:tcPr>
            <w:tcW w:w="0" w:type="auto"/>
            <w:vAlign w:val="center"/>
            <w:hideMark/>
          </w:tcPr>
          <w:p w14:paraId="5393113A" w14:textId="77777777" w:rsidR="00000000" w:rsidRDefault="0068293C">
            <w:pPr>
              <w:spacing w:after="100"/>
              <w:rPr>
                <w:rFonts w:eastAsia="Times New Roman"/>
                <w:sz w:val="20"/>
                <w:szCs w:val="20"/>
              </w:rPr>
            </w:pPr>
          </w:p>
        </w:tc>
        <w:tc>
          <w:tcPr>
            <w:tcW w:w="50" w:type="pct"/>
            <w:vAlign w:val="center"/>
            <w:hideMark/>
          </w:tcPr>
          <w:p w14:paraId="4C08CE76" w14:textId="77777777" w:rsidR="00000000" w:rsidRDefault="0068293C">
            <w:pPr>
              <w:spacing w:after="100"/>
              <w:rPr>
                <w:rFonts w:eastAsia="Times New Roman"/>
                <w:sz w:val="20"/>
                <w:szCs w:val="20"/>
              </w:rPr>
            </w:pPr>
          </w:p>
        </w:tc>
        <w:tc>
          <w:tcPr>
            <w:tcW w:w="332" w:type="pct"/>
            <w:vAlign w:val="center"/>
            <w:hideMark/>
          </w:tcPr>
          <w:p w14:paraId="08E57065" w14:textId="77777777" w:rsidR="00000000" w:rsidRDefault="0068293C">
            <w:pPr>
              <w:spacing w:after="100"/>
              <w:rPr>
                <w:rFonts w:eastAsia="Times New Roman"/>
                <w:sz w:val="20"/>
                <w:szCs w:val="20"/>
              </w:rPr>
            </w:pPr>
          </w:p>
        </w:tc>
        <w:tc>
          <w:tcPr>
            <w:tcW w:w="5" w:type="pct"/>
            <w:vAlign w:val="center"/>
            <w:hideMark/>
          </w:tcPr>
          <w:p w14:paraId="651578E7" w14:textId="77777777" w:rsidR="00000000" w:rsidRDefault="0068293C">
            <w:pPr>
              <w:spacing w:after="100"/>
              <w:rPr>
                <w:rFonts w:eastAsia="Times New Roman"/>
                <w:sz w:val="20"/>
                <w:szCs w:val="20"/>
              </w:rPr>
            </w:pPr>
          </w:p>
        </w:tc>
        <w:tc>
          <w:tcPr>
            <w:tcW w:w="5" w:type="pct"/>
            <w:vAlign w:val="center"/>
            <w:hideMark/>
          </w:tcPr>
          <w:p w14:paraId="03CC2830" w14:textId="77777777" w:rsidR="00000000" w:rsidRDefault="0068293C">
            <w:pPr>
              <w:spacing w:after="100"/>
              <w:rPr>
                <w:rFonts w:eastAsia="Times New Roman"/>
                <w:sz w:val="20"/>
                <w:szCs w:val="20"/>
              </w:rPr>
            </w:pPr>
          </w:p>
        </w:tc>
        <w:tc>
          <w:tcPr>
            <w:tcW w:w="26" w:type="pct"/>
            <w:vAlign w:val="center"/>
            <w:hideMark/>
          </w:tcPr>
          <w:p w14:paraId="4A2E6CFD" w14:textId="77777777" w:rsidR="00000000" w:rsidRDefault="0068293C">
            <w:pPr>
              <w:spacing w:after="100"/>
              <w:rPr>
                <w:rFonts w:eastAsia="Times New Roman"/>
                <w:sz w:val="20"/>
                <w:szCs w:val="20"/>
              </w:rPr>
            </w:pPr>
          </w:p>
        </w:tc>
        <w:tc>
          <w:tcPr>
            <w:tcW w:w="5" w:type="pct"/>
            <w:vAlign w:val="center"/>
            <w:hideMark/>
          </w:tcPr>
          <w:p w14:paraId="7217FE8C" w14:textId="77777777" w:rsidR="00000000" w:rsidRDefault="0068293C">
            <w:pPr>
              <w:spacing w:after="100"/>
              <w:rPr>
                <w:rFonts w:eastAsia="Times New Roman"/>
                <w:sz w:val="20"/>
                <w:szCs w:val="20"/>
              </w:rPr>
            </w:pPr>
          </w:p>
        </w:tc>
        <w:tc>
          <w:tcPr>
            <w:tcW w:w="50" w:type="pct"/>
            <w:vAlign w:val="center"/>
            <w:hideMark/>
          </w:tcPr>
          <w:p w14:paraId="1D8D3C7E" w14:textId="77777777" w:rsidR="00000000" w:rsidRDefault="0068293C">
            <w:pPr>
              <w:spacing w:after="100"/>
              <w:rPr>
                <w:rFonts w:eastAsia="Times New Roman"/>
                <w:sz w:val="20"/>
                <w:szCs w:val="20"/>
              </w:rPr>
            </w:pPr>
          </w:p>
        </w:tc>
        <w:tc>
          <w:tcPr>
            <w:tcW w:w="406" w:type="pct"/>
            <w:vAlign w:val="center"/>
            <w:hideMark/>
          </w:tcPr>
          <w:p w14:paraId="4E567C86" w14:textId="77777777" w:rsidR="00000000" w:rsidRDefault="0068293C">
            <w:pPr>
              <w:spacing w:after="100"/>
              <w:rPr>
                <w:rFonts w:eastAsia="Times New Roman"/>
                <w:sz w:val="20"/>
                <w:szCs w:val="20"/>
              </w:rPr>
            </w:pPr>
          </w:p>
        </w:tc>
        <w:tc>
          <w:tcPr>
            <w:tcW w:w="5" w:type="pct"/>
            <w:vAlign w:val="center"/>
            <w:hideMark/>
          </w:tcPr>
          <w:p w14:paraId="66F3F6D8" w14:textId="77777777" w:rsidR="00000000" w:rsidRDefault="0068293C">
            <w:pPr>
              <w:spacing w:after="100"/>
              <w:rPr>
                <w:rFonts w:eastAsia="Times New Roman"/>
                <w:sz w:val="20"/>
                <w:szCs w:val="20"/>
              </w:rPr>
            </w:pPr>
          </w:p>
        </w:tc>
        <w:tc>
          <w:tcPr>
            <w:tcW w:w="5" w:type="pct"/>
            <w:vAlign w:val="center"/>
            <w:hideMark/>
          </w:tcPr>
          <w:p w14:paraId="3851B853" w14:textId="77777777" w:rsidR="00000000" w:rsidRDefault="0068293C">
            <w:pPr>
              <w:spacing w:after="100"/>
              <w:rPr>
                <w:rFonts w:eastAsia="Times New Roman"/>
                <w:sz w:val="20"/>
                <w:szCs w:val="20"/>
              </w:rPr>
            </w:pPr>
          </w:p>
        </w:tc>
        <w:tc>
          <w:tcPr>
            <w:tcW w:w="26" w:type="pct"/>
            <w:vAlign w:val="center"/>
            <w:hideMark/>
          </w:tcPr>
          <w:p w14:paraId="32192BA9" w14:textId="77777777" w:rsidR="00000000" w:rsidRDefault="0068293C">
            <w:pPr>
              <w:spacing w:after="100"/>
              <w:rPr>
                <w:rFonts w:eastAsia="Times New Roman"/>
                <w:sz w:val="20"/>
                <w:szCs w:val="20"/>
              </w:rPr>
            </w:pPr>
          </w:p>
        </w:tc>
        <w:tc>
          <w:tcPr>
            <w:tcW w:w="5" w:type="pct"/>
            <w:vAlign w:val="center"/>
            <w:hideMark/>
          </w:tcPr>
          <w:p w14:paraId="0AACAE44" w14:textId="77777777" w:rsidR="00000000" w:rsidRDefault="0068293C">
            <w:pPr>
              <w:spacing w:after="100"/>
              <w:rPr>
                <w:rFonts w:eastAsia="Times New Roman"/>
                <w:sz w:val="20"/>
                <w:szCs w:val="20"/>
              </w:rPr>
            </w:pPr>
          </w:p>
        </w:tc>
        <w:tc>
          <w:tcPr>
            <w:tcW w:w="50" w:type="pct"/>
            <w:vAlign w:val="center"/>
            <w:hideMark/>
          </w:tcPr>
          <w:p w14:paraId="1DA61F34" w14:textId="77777777" w:rsidR="00000000" w:rsidRDefault="0068293C">
            <w:pPr>
              <w:spacing w:after="100"/>
              <w:rPr>
                <w:rFonts w:eastAsia="Times New Roman"/>
                <w:sz w:val="20"/>
                <w:szCs w:val="20"/>
              </w:rPr>
            </w:pPr>
          </w:p>
        </w:tc>
        <w:tc>
          <w:tcPr>
            <w:tcW w:w="259" w:type="pct"/>
            <w:vAlign w:val="center"/>
            <w:hideMark/>
          </w:tcPr>
          <w:p w14:paraId="0907BFB9" w14:textId="77777777" w:rsidR="00000000" w:rsidRDefault="0068293C">
            <w:pPr>
              <w:spacing w:after="100"/>
              <w:rPr>
                <w:rFonts w:eastAsia="Times New Roman"/>
                <w:sz w:val="20"/>
                <w:szCs w:val="20"/>
              </w:rPr>
            </w:pPr>
          </w:p>
        </w:tc>
        <w:tc>
          <w:tcPr>
            <w:tcW w:w="5" w:type="pct"/>
            <w:vAlign w:val="center"/>
            <w:hideMark/>
          </w:tcPr>
          <w:p w14:paraId="0952C7AB" w14:textId="77777777" w:rsidR="00000000" w:rsidRDefault="0068293C">
            <w:pPr>
              <w:spacing w:after="100"/>
              <w:rPr>
                <w:rFonts w:eastAsia="Times New Roman"/>
                <w:sz w:val="20"/>
                <w:szCs w:val="20"/>
              </w:rPr>
            </w:pPr>
          </w:p>
        </w:tc>
        <w:tc>
          <w:tcPr>
            <w:tcW w:w="5" w:type="pct"/>
            <w:vAlign w:val="center"/>
            <w:hideMark/>
          </w:tcPr>
          <w:p w14:paraId="47C2AC15" w14:textId="77777777" w:rsidR="00000000" w:rsidRDefault="0068293C">
            <w:pPr>
              <w:spacing w:after="100"/>
              <w:rPr>
                <w:rFonts w:eastAsia="Times New Roman"/>
                <w:sz w:val="20"/>
                <w:szCs w:val="20"/>
              </w:rPr>
            </w:pPr>
          </w:p>
        </w:tc>
        <w:tc>
          <w:tcPr>
            <w:tcW w:w="26" w:type="pct"/>
            <w:vAlign w:val="center"/>
            <w:hideMark/>
          </w:tcPr>
          <w:p w14:paraId="12508DFA" w14:textId="77777777" w:rsidR="00000000" w:rsidRDefault="0068293C">
            <w:pPr>
              <w:spacing w:after="100"/>
              <w:rPr>
                <w:rFonts w:eastAsia="Times New Roman"/>
                <w:sz w:val="20"/>
                <w:szCs w:val="20"/>
              </w:rPr>
            </w:pPr>
          </w:p>
        </w:tc>
        <w:tc>
          <w:tcPr>
            <w:tcW w:w="5" w:type="pct"/>
            <w:vAlign w:val="center"/>
            <w:hideMark/>
          </w:tcPr>
          <w:p w14:paraId="37637C53" w14:textId="77777777" w:rsidR="00000000" w:rsidRDefault="0068293C">
            <w:pPr>
              <w:spacing w:after="100"/>
              <w:rPr>
                <w:rFonts w:eastAsia="Times New Roman"/>
                <w:sz w:val="20"/>
                <w:szCs w:val="20"/>
              </w:rPr>
            </w:pPr>
          </w:p>
        </w:tc>
        <w:tc>
          <w:tcPr>
            <w:tcW w:w="50" w:type="pct"/>
            <w:vAlign w:val="center"/>
            <w:hideMark/>
          </w:tcPr>
          <w:p w14:paraId="7EA54115" w14:textId="77777777" w:rsidR="00000000" w:rsidRDefault="0068293C">
            <w:pPr>
              <w:spacing w:after="100"/>
              <w:rPr>
                <w:rFonts w:eastAsia="Times New Roman"/>
                <w:sz w:val="20"/>
                <w:szCs w:val="20"/>
              </w:rPr>
            </w:pPr>
          </w:p>
        </w:tc>
        <w:tc>
          <w:tcPr>
            <w:tcW w:w="362" w:type="pct"/>
            <w:vAlign w:val="center"/>
            <w:hideMark/>
          </w:tcPr>
          <w:p w14:paraId="24BEC707" w14:textId="77777777" w:rsidR="00000000" w:rsidRDefault="0068293C">
            <w:pPr>
              <w:spacing w:after="100"/>
              <w:rPr>
                <w:rFonts w:eastAsia="Times New Roman"/>
                <w:sz w:val="20"/>
                <w:szCs w:val="20"/>
              </w:rPr>
            </w:pPr>
          </w:p>
        </w:tc>
        <w:tc>
          <w:tcPr>
            <w:tcW w:w="5" w:type="pct"/>
            <w:vAlign w:val="center"/>
            <w:hideMark/>
          </w:tcPr>
          <w:p w14:paraId="45E62FE2" w14:textId="77777777" w:rsidR="00000000" w:rsidRDefault="0068293C">
            <w:pPr>
              <w:spacing w:after="100"/>
              <w:rPr>
                <w:rFonts w:eastAsia="Times New Roman"/>
                <w:sz w:val="20"/>
                <w:szCs w:val="20"/>
              </w:rPr>
            </w:pPr>
          </w:p>
        </w:tc>
        <w:tc>
          <w:tcPr>
            <w:tcW w:w="50" w:type="pct"/>
            <w:vAlign w:val="center"/>
            <w:hideMark/>
          </w:tcPr>
          <w:p w14:paraId="2AC7D0DD" w14:textId="77777777" w:rsidR="00000000" w:rsidRDefault="0068293C">
            <w:pPr>
              <w:spacing w:after="100"/>
              <w:rPr>
                <w:rFonts w:eastAsia="Times New Roman"/>
                <w:sz w:val="20"/>
                <w:szCs w:val="20"/>
              </w:rPr>
            </w:pPr>
          </w:p>
        </w:tc>
        <w:tc>
          <w:tcPr>
            <w:tcW w:w="464" w:type="pct"/>
            <w:vAlign w:val="center"/>
            <w:hideMark/>
          </w:tcPr>
          <w:p w14:paraId="4EA46701" w14:textId="77777777" w:rsidR="00000000" w:rsidRDefault="0068293C">
            <w:pPr>
              <w:spacing w:after="100"/>
              <w:rPr>
                <w:rFonts w:eastAsia="Times New Roman"/>
                <w:sz w:val="20"/>
                <w:szCs w:val="20"/>
              </w:rPr>
            </w:pPr>
          </w:p>
        </w:tc>
        <w:tc>
          <w:tcPr>
            <w:tcW w:w="5" w:type="pct"/>
            <w:vAlign w:val="center"/>
            <w:hideMark/>
          </w:tcPr>
          <w:p w14:paraId="14107E76" w14:textId="77777777" w:rsidR="00000000" w:rsidRDefault="0068293C">
            <w:pPr>
              <w:spacing w:after="100"/>
              <w:rPr>
                <w:rFonts w:eastAsia="Times New Roman"/>
                <w:sz w:val="20"/>
                <w:szCs w:val="20"/>
              </w:rPr>
            </w:pPr>
          </w:p>
        </w:tc>
        <w:tc>
          <w:tcPr>
            <w:tcW w:w="50" w:type="pct"/>
            <w:vAlign w:val="center"/>
            <w:hideMark/>
          </w:tcPr>
          <w:p w14:paraId="57D03A53" w14:textId="77777777" w:rsidR="00000000" w:rsidRDefault="0068293C">
            <w:pPr>
              <w:spacing w:after="100"/>
              <w:rPr>
                <w:rFonts w:eastAsia="Times New Roman"/>
                <w:sz w:val="20"/>
                <w:szCs w:val="20"/>
              </w:rPr>
            </w:pPr>
          </w:p>
        </w:tc>
        <w:tc>
          <w:tcPr>
            <w:tcW w:w="325" w:type="pct"/>
            <w:vAlign w:val="center"/>
            <w:hideMark/>
          </w:tcPr>
          <w:p w14:paraId="6A5A6A9A" w14:textId="77777777" w:rsidR="00000000" w:rsidRDefault="0068293C">
            <w:pPr>
              <w:spacing w:after="100"/>
              <w:rPr>
                <w:rFonts w:eastAsia="Times New Roman"/>
                <w:sz w:val="20"/>
                <w:szCs w:val="20"/>
              </w:rPr>
            </w:pPr>
          </w:p>
        </w:tc>
        <w:tc>
          <w:tcPr>
            <w:tcW w:w="5" w:type="pct"/>
            <w:vAlign w:val="center"/>
            <w:hideMark/>
          </w:tcPr>
          <w:p w14:paraId="29B877BA" w14:textId="77777777" w:rsidR="00000000" w:rsidRDefault="0068293C">
            <w:pPr>
              <w:spacing w:after="100"/>
              <w:rPr>
                <w:rFonts w:eastAsia="Times New Roman"/>
                <w:sz w:val="20"/>
                <w:szCs w:val="20"/>
              </w:rPr>
            </w:pPr>
          </w:p>
        </w:tc>
      </w:tr>
      <w:tr w:rsidR="00000000" w14:paraId="66D01B1A" w14:textId="77777777">
        <w:trPr>
          <w:divId w:val="90200169"/>
          <w:jc w:val="center"/>
        </w:trPr>
        <w:tc>
          <w:tcPr>
            <w:tcW w:w="0" w:type="auto"/>
            <w:gridSpan w:val="3"/>
            <w:tcMar>
              <w:top w:w="0" w:type="dxa"/>
              <w:left w:w="20" w:type="dxa"/>
              <w:bottom w:w="0" w:type="dxa"/>
              <w:right w:w="20" w:type="dxa"/>
            </w:tcMar>
            <w:vAlign w:val="center"/>
            <w:hideMark/>
          </w:tcPr>
          <w:p w14:paraId="3F4A8F1A"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A60A805" w14:textId="77777777" w:rsidR="00000000" w:rsidRDefault="0068293C">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14:paraId="591A9DE8" w14:textId="77777777" w:rsidR="00000000" w:rsidRDefault="0068293C">
            <w:pPr>
              <w:spacing w:after="100"/>
              <w:jc w:val="center"/>
              <w:rPr>
                <w:rFonts w:eastAsia="Times New Roman"/>
              </w:rPr>
            </w:pPr>
          </w:p>
        </w:tc>
        <w:tc>
          <w:tcPr>
            <w:tcW w:w="0" w:type="auto"/>
            <w:vAlign w:val="center"/>
            <w:hideMark/>
          </w:tcPr>
          <w:p w14:paraId="6D28C22B" w14:textId="77777777" w:rsidR="00000000" w:rsidRDefault="0068293C">
            <w:pPr>
              <w:spacing w:after="100"/>
              <w:rPr>
                <w:rFonts w:eastAsia="Times New Roman"/>
                <w:sz w:val="20"/>
                <w:szCs w:val="20"/>
              </w:rPr>
            </w:pPr>
          </w:p>
        </w:tc>
        <w:tc>
          <w:tcPr>
            <w:tcW w:w="0" w:type="auto"/>
            <w:vAlign w:val="center"/>
            <w:hideMark/>
          </w:tcPr>
          <w:p w14:paraId="4FADD33F"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8DF9D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B5B047"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38561B"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4C1A2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935966"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D9901A"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279D43E" w14:textId="77777777" w:rsidR="00000000" w:rsidRDefault="0068293C">
            <w:pPr>
              <w:spacing w:after="100"/>
              <w:jc w:val="center"/>
              <w:rPr>
                <w:rFonts w:eastAsia="Times New Roman"/>
              </w:rPr>
            </w:pPr>
            <w:r>
              <w:rPr>
                <w:rFonts w:eastAsia="Times New Roman"/>
                <w:b/>
                <w:bCs/>
                <w:color w:val="000000"/>
                <w:sz w:val="16"/>
                <w:szCs w:val="16"/>
              </w:rPr>
              <w:t>March 31, 2022</w:t>
            </w:r>
          </w:p>
        </w:tc>
      </w:tr>
      <w:tr w:rsidR="00000000" w14:paraId="24FCC015" w14:textId="77777777">
        <w:trPr>
          <w:divId w:val="90200169"/>
          <w:jc w:val="center"/>
        </w:trPr>
        <w:tc>
          <w:tcPr>
            <w:tcW w:w="0" w:type="auto"/>
            <w:gridSpan w:val="3"/>
            <w:tcMar>
              <w:top w:w="30" w:type="dxa"/>
              <w:left w:w="20" w:type="dxa"/>
              <w:bottom w:w="30" w:type="dxa"/>
              <w:right w:w="20" w:type="dxa"/>
            </w:tcMar>
            <w:vAlign w:val="bottom"/>
            <w:hideMark/>
          </w:tcPr>
          <w:p w14:paraId="58AC9759"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037288A" w14:textId="77777777" w:rsidR="00000000" w:rsidRDefault="0068293C">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14:paraId="0F1B35F7" w14:textId="77777777" w:rsidR="00000000" w:rsidRDefault="0068293C">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14:paraId="21F1F3B6" w14:textId="77777777" w:rsidR="00000000" w:rsidRDefault="0068293C">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A1F62AF" w14:textId="77777777" w:rsidR="00000000" w:rsidRDefault="0068293C">
            <w:pPr>
              <w:spacing w:after="100"/>
              <w:jc w:val="center"/>
              <w:rPr>
                <w:rFonts w:eastAsia="Times New Roman"/>
              </w:rPr>
            </w:pPr>
          </w:p>
        </w:tc>
        <w:tc>
          <w:tcPr>
            <w:tcW w:w="0" w:type="auto"/>
            <w:vAlign w:val="center"/>
            <w:hideMark/>
          </w:tcPr>
          <w:p w14:paraId="0119BE0D" w14:textId="77777777" w:rsidR="00000000" w:rsidRDefault="0068293C">
            <w:pPr>
              <w:spacing w:after="100"/>
              <w:rPr>
                <w:rFonts w:eastAsia="Times New Roman"/>
                <w:sz w:val="20"/>
                <w:szCs w:val="20"/>
              </w:rPr>
            </w:pPr>
          </w:p>
        </w:tc>
        <w:tc>
          <w:tcPr>
            <w:tcW w:w="0" w:type="auto"/>
            <w:vAlign w:val="center"/>
            <w:hideMark/>
          </w:tcPr>
          <w:p w14:paraId="539CB078" w14:textId="77777777" w:rsidR="00000000" w:rsidRDefault="006829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2ACAD4" w14:textId="77777777" w:rsidR="00000000" w:rsidRDefault="0068293C">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14:paraId="2DB40726"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83185D" w14:textId="77777777" w:rsidR="00000000" w:rsidRDefault="0068293C">
            <w:pPr>
              <w:spacing w:after="100"/>
              <w:jc w:val="center"/>
              <w:rPr>
                <w:rFonts w:eastAsia="Times New Roman"/>
              </w:rPr>
            </w:pPr>
            <w:r>
              <w:rPr>
                <w:rFonts w:eastAsia="Times New Roman"/>
                <w:b/>
                <w:bCs/>
                <w:color w:val="000000"/>
                <w:sz w:val="16"/>
                <w:szCs w:val="16"/>
              </w:rPr>
              <w:t>Impairment</w:t>
            </w:r>
          </w:p>
        </w:tc>
        <w:tc>
          <w:tcPr>
            <w:tcW w:w="0" w:type="auto"/>
            <w:gridSpan w:val="3"/>
            <w:tcMar>
              <w:top w:w="0" w:type="dxa"/>
              <w:left w:w="20" w:type="dxa"/>
              <w:bottom w:w="0" w:type="dxa"/>
              <w:right w:w="20" w:type="dxa"/>
            </w:tcMar>
            <w:vAlign w:val="center"/>
            <w:hideMark/>
          </w:tcPr>
          <w:p w14:paraId="364AA6A4"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E7A8FC" w14:textId="77777777" w:rsidR="00000000" w:rsidRDefault="0068293C">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14:paraId="1A4AA95C"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4FF1C8" w14:textId="77777777" w:rsidR="00000000" w:rsidRDefault="0068293C">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14:paraId="3EFB6ACF" w14:textId="77777777" w:rsidR="00000000" w:rsidRDefault="0068293C">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14:paraId="4E3D6948" w14:textId="77777777" w:rsidR="00000000" w:rsidRDefault="0068293C">
            <w:pPr>
              <w:spacing w:after="100"/>
              <w:jc w:val="center"/>
              <w:rPr>
                <w:rFonts w:eastAsia="Times New Roman"/>
              </w:rPr>
            </w:pPr>
            <w:r>
              <w:rPr>
                <w:rFonts w:eastAsia="Times New Roman"/>
                <w:b/>
                <w:bCs/>
                <w:color w:val="000000"/>
                <w:sz w:val="16"/>
                <w:szCs w:val="16"/>
              </w:rPr>
              <w:t>Total</w:t>
            </w:r>
          </w:p>
        </w:tc>
      </w:tr>
      <w:tr w:rsidR="00000000" w14:paraId="0C393418" w14:textId="77777777">
        <w:trPr>
          <w:divId w:val="90200169"/>
          <w:jc w:val="center"/>
        </w:trPr>
        <w:tc>
          <w:tcPr>
            <w:tcW w:w="0" w:type="auto"/>
            <w:gridSpan w:val="3"/>
            <w:vAlign w:val="center"/>
            <w:hideMark/>
          </w:tcPr>
          <w:p w14:paraId="0F619FB4" w14:textId="77777777" w:rsidR="00000000" w:rsidRDefault="0068293C">
            <w:pPr>
              <w:spacing w:after="100"/>
              <w:jc w:val="center"/>
              <w:rPr>
                <w:rFonts w:eastAsia="Times New Roman"/>
              </w:rPr>
            </w:pPr>
          </w:p>
        </w:tc>
        <w:tc>
          <w:tcPr>
            <w:tcW w:w="0" w:type="auto"/>
            <w:gridSpan w:val="3"/>
            <w:vAlign w:val="center"/>
            <w:hideMark/>
          </w:tcPr>
          <w:p w14:paraId="2F38671A" w14:textId="77777777" w:rsidR="00000000" w:rsidRDefault="0068293C">
            <w:pPr>
              <w:spacing w:after="100"/>
              <w:rPr>
                <w:rFonts w:eastAsia="Times New Roman"/>
                <w:sz w:val="20"/>
                <w:szCs w:val="20"/>
              </w:rPr>
            </w:pPr>
          </w:p>
        </w:tc>
        <w:tc>
          <w:tcPr>
            <w:tcW w:w="0" w:type="auto"/>
            <w:gridSpan w:val="3"/>
            <w:vAlign w:val="center"/>
            <w:hideMark/>
          </w:tcPr>
          <w:p w14:paraId="21D81874" w14:textId="77777777" w:rsidR="00000000" w:rsidRDefault="0068293C">
            <w:pPr>
              <w:spacing w:after="100"/>
              <w:rPr>
                <w:rFonts w:eastAsia="Times New Roman"/>
                <w:sz w:val="20"/>
                <w:szCs w:val="20"/>
              </w:rPr>
            </w:pPr>
          </w:p>
        </w:tc>
        <w:tc>
          <w:tcPr>
            <w:tcW w:w="0" w:type="auto"/>
            <w:gridSpan w:val="3"/>
            <w:vAlign w:val="center"/>
            <w:hideMark/>
          </w:tcPr>
          <w:p w14:paraId="7A2EE2F8" w14:textId="77777777" w:rsidR="00000000" w:rsidRDefault="0068293C">
            <w:pPr>
              <w:spacing w:after="100"/>
              <w:rPr>
                <w:rFonts w:eastAsia="Times New Roman"/>
                <w:sz w:val="20"/>
                <w:szCs w:val="20"/>
              </w:rPr>
            </w:pPr>
          </w:p>
        </w:tc>
        <w:tc>
          <w:tcPr>
            <w:tcW w:w="0" w:type="auto"/>
            <w:gridSpan w:val="3"/>
            <w:vAlign w:val="center"/>
            <w:hideMark/>
          </w:tcPr>
          <w:p w14:paraId="73C63336" w14:textId="77777777" w:rsidR="00000000" w:rsidRDefault="0068293C">
            <w:pPr>
              <w:spacing w:after="100"/>
              <w:rPr>
                <w:rFonts w:eastAsia="Times New Roman"/>
                <w:sz w:val="20"/>
                <w:szCs w:val="20"/>
              </w:rPr>
            </w:pPr>
          </w:p>
        </w:tc>
        <w:tc>
          <w:tcPr>
            <w:tcW w:w="0" w:type="auto"/>
            <w:vAlign w:val="center"/>
            <w:hideMark/>
          </w:tcPr>
          <w:p w14:paraId="15A786D8" w14:textId="77777777" w:rsidR="00000000" w:rsidRDefault="0068293C">
            <w:pPr>
              <w:spacing w:after="100"/>
              <w:rPr>
                <w:rFonts w:eastAsia="Times New Roman"/>
                <w:sz w:val="20"/>
                <w:szCs w:val="20"/>
              </w:rPr>
            </w:pPr>
          </w:p>
        </w:tc>
        <w:tc>
          <w:tcPr>
            <w:tcW w:w="0" w:type="auto"/>
            <w:vAlign w:val="center"/>
            <w:hideMark/>
          </w:tcPr>
          <w:p w14:paraId="56ECD96B" w14:textId="77777777" w:rsidR="00000000" w:rsidRDefault="0068293C">
            <w:pPr>
              <w:spacing w:after="100"/>
              <w:rPr>
                <w:rFonts w:eastAsia="Times New Roman"/>
                <w:sz w:val="20"/>
                <w:szCs w:val="20"/>
              </w:rPr>
            </w:pPr>
          </w:p>
        </w:tc>
        <w:tc>
          <w:tcPr>
            <w:tcW w:w="0" w:type="auto"/>
            <w:gridSpan w:val="3"/>
            <w:vAlign w:val="center"/>
            <w:hideMark/>
          </w:tcPr>
          <w:p w14:paraId="575DCC9D" w14:textId="77777777" w:rsidR="00000000" w:rsidRDefault="0068293C">
            <w:pPr>
              <w:spacing w:after="100"/>
              <w:rPr>
                <w:rFonts w:eastAsia="Times New Roman"/>
                <w:sz w:val="20"/>
                <w:szCs w:val="20"/>
              </w:rPr>
            </w:pPr>
          </w:p>
        </w:tc>
        <w:tc>
          <w:tcPr>
            <w:tcW w:w="0" w:type="auto"/>
            <w:gridSpan w:val="3"/>
            <w:vAlign w:val="center"/>
            <w:hideMark/>
          </w:tcPr>
          <w:p w14:paraId="447F8EB5" w14:textId="77777777" w:rsidR="00000000" w:rsidRDefault="0068293C">
            <w:pPr>
              <w:spacing w:after="100"/>
              <w:rPr>
                <w:rFonts w:eastAsia="Times New Roman"/>
                <w:sz w:val="20"/>
                <w:szCs w:val="20"/>
              </w:rPr>
            </w:pPr>
          </w:p>
        </w:tc>
        <w:tc>
          <w:tcPr>
            <w:tcW w:w="0" w:type="auto"/>
            <w:gridSpan w:val="3"/>
            <w:vAlign w:val="center"/>
            <w:hideMark/>
          </w:tcPr>
          <w:p w14:paraId="6C929044" w14:textId="77777777" w:rsidR="00000000" w:rsidRDefault="0068293C">
            <w:pPr>
              <w:spacing w:after="100"/>
              <w:rPr>
                <w:rFonts w:eastAsia="Times New Roman"/>
                <w:sz w:val="20"/>
                <w:szCs w:val="20"/>
              </w:rPr>
            </w:pPr>
          </w:p>
        </w:tc>
        <w:tc>
          <w:tcPr>
            <w:tcW w:w="0" w:type="auto"/>
            <w:gridSpan w:val="3"/>
            <w:vAlign w:val="center"/>
            <w:hideMark/>
          </w:tcPr>
          <w:p w14:paraId="4DB56ABA" w14:textId="77777777" w:rsidR="00000000" w:rsidRDefault="0068293C">
            <w:pPr>
              <w:spacing w:after="100"/>
              <w:rPr>
                <w:rFonts w:eastAsia="Times New Roman"/>
                <w:sz w:val="20"/>
                <w:szCs w:val="20"/>
              </w:rPr>
            </w:pPr>
          </w:p>
        </w:tc>
        <w:tc>
          <w:tcPr>
            <w:tcW w:w="0" w:type="auto"/>
            <w:gridSpan w:val="3"/>
            <w:vAlign w:val="center"/>
            <w:hideMark/>
          </w:tcPr>
          <w:p w14:paraId="43CC3C4F" w14:textId="77777777" w:rsidR="00000000" w:rsidRDefault="0068293C">
            <w:pPr>
              <w:spacing w:after="100"/>
              <w:rPr>
                <w:rFonts w:eastAsia="Times New Roman"/>
                <w:sz w:val="20"/>
                <w:szCs w:val="20"/>
              </w:rPr>
            </w:pPr>
          </w:p>
        </w:tc>
        <w:tc>
          <w:tcPr>
            <w:tcW w:w="0" w:type="auto"/>
            <w:gridSpan w:val="3"/>
            <w:vAlign w:val="center"/>
            <w:hideMark/>
          </w:tcPr>
          <w:p w14:paraId="0D327B45" w14:textId="77777777" w:rsidR="00000000" w:rsidRDefault="0068293C">
            <w:pPr>
              <w:spacing w:after="100"/>
              <w:rPr>
                <w:rFonts w:eastAsia="Times New Roman"/>
                <w:sz w:val="20"/>
                <w:szCs w:val="20"/>
              </w:rPr>
            </w:pPr>
          </w:p>
        </w:tc>
        <w:tc>
          <w:tcPr>
            <w:tcW w:w="0" w:type="auto"/>
            <w:gridSpan w:val="3"/>
            <w:vAlign w:val="center"/>
            <w:hideMark/>
          </w:tcPr>
          <w:p w14:paraId="64AFAE00" w14:textId="77777777" w:rsidR="00000000" w:rsidRDefault="0068293C">
            <w:pPr>
              <w:spacing w:after="100"/>
              <w:rPr>
                <w:rFonts w:eastAsia="Times New Roman"/>
                <w:sz w:val="20"/>
                <w:szCs w:val="20"/>
              </w:rPr>
            </w:pPr>
          </w:p>
        </w:tc>
        <w:tc>
          <w:tcPr>
            <w:tcW w:w="0" w:type="auto"/>
            <w:gridSpan w:val="3"/>
            <w:vAlign w:val="center"/>
            <w:hideMark/>
          </w:tcPr>
          <w:p w14:paraId="42B32F16" w14:textId="77777777" w:rsidR="00000000" w:rsidRDefault="0068293C">
            <w:pPr>
              <w:spacing w:after="100"/>
              <w:rPr>
                <w:rFonts w:eastAsia="Times New Roman"/>
                <w:sz w:val="20"/>
                <w:szCs w:val="20"/>
              </w:rPr>
            </w:pPr>
          </w:p>
        </w:tc>
        <w:tc>
          <w:tcPr>
            <w:tcW w:w="0" w:type="auto"/>
            <w:gridSpan w:val="3"/>
            <w:vAlign w:val="center"/>
            <w:hideMark/>
          </w:tcPr>
          <w:p w14:paraId="6F2226D9" w14:textId="77777777" w:rsidR="00000000" w:rsidRDefault="0068293C">
            <w:pPr>
              <w:spacing w:after="100"/>
              <w:rPr>
                <w:rFonts w:eastAsia="Times New Roman"/>
                <w:sz w:val="20"/>
                <w:szCs w:val="20"/>
              </w:rPr>
            </w:pPr>
          </w:p>
        </w:tc>
      </w:tr>
      <w:tr w:rsidR="0068293C" w14:paraId="163C6A5E" w14:textId="77777777">
        <w:trPr>
          <w:divId w:val="90200169"/>
          <w:jc w:val="center"/>
        </w:trPr>
        <w:tc>
          <w:tcPr>
            <w:tcW w:w="0" w:type="auto"/>
            <w:gridSpan w:val="3"/>
            <w:shd w:val="clear" w:color="auto" w:fill="CCEEFF"/>
            <w:tcMar>
              <w:top w:w="30" w:type="dxa"/>
              <w:left w:w="20" w:type="dxa"/>
              <w:bottom w:w="30" w:type="dxa"/>
              <w:right w:w="20" w:type="dxa"/>
            </w:tcMar>
            <w:vAlign w:val="bottom"/>
            <w:hideMark/>
          </w:tcPr>
          <w:p w14:paraId="09902782" w14:textId="77777777" w:rsidR="00000000" w:rsidRDefault="0068293C">
            <w:pPr>
              <w:spacing w:after="100"/>
              <w:rPr>
                <w:rFonts w:eastAsia="Times New Roman"/>
              </w:rPr>
            </w:pPr>
            <w:r>
              <w:rPr>
                <w:rFonts w:eastAsia="Times New Roman"/>
                <w:color w:val="000000"/>
                <w:sz w:val="20"/>
                <w:szCs w:val="20"/>
              </w:rPr>
              <w:t>Payments &amp; Network</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484ED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0552D1" w14:textId="77777777" w:rsidR="00000000" w:rsidRDefault="0068293C">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46E522" w14:textId="77777777" w:rsidR="00000000" w:rsidRDefault="0068293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D10E9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29640A"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EF9B6A" w14:textId="77777777" w:rsidR="00000000" w:rsidRDefault="0068293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2A0BC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13663B" w14:textId="77777777" w:rsidR="00000000" w:rsidRDefault="0068293C">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45A61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1DD8F" w14:textId="77777777" w:rsidR="00000000" w:rsidRDefault="0068293C">
            <w:pPr>
              <w:spacing w:after="100"/>
              <w:jc w:val="right"/>
              <w:rPr>
                <w:rFonts w:eastAsia="Times New Roman"/>
                <w:sz w:val="20"/>
                <w:szCs w:val="20"/>
              </w:rPr>
            </w:pPr>
          </w:p>
        </w:tc>
        <w:tc>
          <w:tcPr>
            <w:tcW w:w="0" w:type="auto"/>
            <w:vAlign w:val="center"/>
            <w:hideMark/>
          </w:tcPr>
          <w:p w14:paraId="049D6D93" w14:textId="77777777" w:rsidR="00000000" w:rsidRDefault="0068293C">
            <w:pPr>
              <w:spacing w:after="100"/>
              <w:rPr>
                <w:rFonts w:eastAsia="Times New Roman"/>
                <w:sz w:val="20"/>
                <w:szCs w:val="20"/>
              </w:rPr>
            </w:pPr>
          </w:p>
        </w:tc>
        <w:tc>
          <w:tcPr>
            <w:tcW w:w="0" w:type="auto"/>
            <w:vAlign w:val="center"/>
            <w:hideMark/>
          </w:tcPr>
          <w:p w14:paraId="268163D7"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DFF4D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C1A03F" w14:textId="77777777" w:rsidR="00000000" w:rsidRDefault="0068293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2D623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C81FD"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B3836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C3EA1E"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F95E7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A8FDD"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5E02C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9E5382" w14:textId="77777777" w:rsidR="00000000" w:rsidRDefault="0068293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F65E5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D3D3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714CA1"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958F6E" w14:textId="77777777" w:rsidR="00000000" w:rsidRDefault="0068293C">
            <w:pPr>
              <w:spacing w:after="100"/>
              <w:jc w:val="right"/>
              <w:rPr>
                <w:rFonts w:eastAsia="Times New Roman"/>
              </w:rPr>
            </w:pPr>
            <w:r>
              <w:rPr>
                <w:rFonts w:eastAsia="Times New Roman"/>
                <w:b/>
                <w:bCs/>
                <w:color w:val="000000"/>
                <w:sz w:val="20"/>
                <w:szCs w:val="20"/>
              </w:rPr>
              <w:t>1,035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AC7216" w14:textId="77777777" w:rsidR="00000000" w:rsidRDefault="0068293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A18B0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5FB853"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2F431C" w14:textId="77777777" w:rsidR="00000000" w:rsidRDefault="0068293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2E65D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0676D9" w14:textId="77777777" w:rsidR="00000000" w:rsidRDefault="0068293C">
            <w:pPr>
              <w:spacing w:after="100"/>
              <w:jc w:val="right"/>
              <w:rPr>
                <w:rFonts w:eastAsia="Times New Roman"/>
              </w:rPr>
            </w:pPr>
            <w:r>
              <w:rPr>
                <w:rFonts w:eastAsia="Times New Roman"/>
                <w:b/>
                <w:bCs/>
                <w:color w:val="000000"/>
                <w:sz w:val="20"/>
                <w:szCs w:val="20"/>
              </w:rPr>
              <w:t>1,035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0A3914" w14:textId="77777777" w:rsidR="00000000" w:rsidRDefault="0068293C">
            <w:pPr>
              <w:spacing w:after="100"/>
              <w:jc w:val="right"/>
              <w:rPr>
                <w:rFonts w:eastAsia="Times New Roman"/>
              </w:rPr>
            </w:pPr>
          </w:p>
        </w:tc>
      </w:tr>
      <w:tr w:rsidR="00000000" w14:paraId="6113E5C8" w14:textId="77777777">
        <w:trPr>
          <w:divId w:val="90200169"/>
          <w:jc w:val="center"/>
        </w:trPr>
        <w:tc>
          <w:tcPr>
            <w:tcW w:w="0" w:type="auto"/>
            <w:gridSpan w:val="3"/>
            <w:shd w:val="clear" w:color="auto" w:fill="FFFFFF"/>
            <w:tcMar>
              <w:top w:w="30" w:type="dxa"/>
              <w:left w:w="20" w:type="dxa"/>
              <w:bottom w:w="30" w:type="dxa"/>
              <w:right w:w="20" w:type="dxa"/>
            </w:tcMar>
            <w:vAlign w:val="bottom"/>
            <w:hideMark/>
          </w:tcPr>
          <w:p w14:paraId="26C9512C" w14:textId="77777777" w:rsidR="00000000" w:rsidRDefault="0068293C">
            <w:pPr>
              <w:spacing w:after="100"/>
              <w:rPr>
                <w:rFonts w:eastAsia="Times New Roman"/>
              </w:rPr>
            </w:pPr>
            <w:r>
              <w:rPr>
                <w:rFonts w:eastAsia="Times New Roman"/>
                <w:color w:val="000000"/>
                <w:sz w:val="20"/>
                <w:szCs w:val="20"/>
              </w:rPr>
              <w:t>Digital Banking</w:t>
            </w:r>
          </w:p>
        </w:tc>
        <w:tc>
          <w:tcPr>
            <w:tcW w:w="0" w:type="auto"/>
            <w:gridSpan w:val="2"/>
            <w:shd w:val="clear" w:color="auto" w:fill="FFFFFF"/>
            <w:tcMar>
              <w:top w:w="30" w:type="dxa"/>
              <w:left w:w="20" w:type="dxa"/>
              <w:bottom w:w="30" w:type="dxa"/>
              <w:right w:w="0" w:type="dxa"/>
            </w:tcMar>
            <w:vAlign w:val="bottom"/>
            <w:hideMark/>
          </w:tcPr>
          <w:p w14:paraId="143BC13B" w14:textId="77777777" w:rsidR="00000000" w:rsidRDefault="0068293C">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70A968"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1FE4BB"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96ADA0"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8FCF36" w14:textId="77777777" w:rsidR="00000000" w:rsidRDefault="0068293C">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0CF64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1BDD7" w14:textId="77777777" w:rsidR="00000000" w:rsidRDefault="0068293C">
            <w:pPr>
              <w:spacing w:after="100"/>
              <w:jc w:val="right"/>
              <w:rPr>
                <w:rFonts w:eastAsia="Times New Roman"/>
                <w:sz w:val="20"/>
                <w:szCs w:val="20"/>
              </w:rPr>
            </w:pPr>
          </w:p>
        </w:tc>
        <w:tc>
          <w:tcPr>
            <w:tcW w:w="0" w:type="auto"/>
            <w:vAlign w:val="center"/>
            <w:hideMark/>
          </w:tcPr>
          <w:p w14:paraId="5FECC116" w14:textId="77777777" w:rsidR="00000000" w:rsidRDefault="0068293C">
            <w:pPr>
              <w:spacing w:after="100"/>
              <w:rPr>
                <w:rFonts w:eastAsia="Times New Roman"/>
                <w:sz w:val="20"/>
                <w:szCs w:val="20"/>
              </w:rPr>
            </w:pPr>
          </w:p>
        </w:tc>
        <w:tc>
          <w:tcPr>
            <w:tcW w:w="0" w:type="auto"/>
            <w:vAlign w:val="center"/>
            <w:hideMark/>
          </w:tcPr>
          <w:p w14:paraId="18B85CFC" w14:textId="77777777" w:rsidR="00000000" w:rsidRDefault="0068293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3E9EA"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C1A2F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548AD"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1ED1D"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C24A5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A355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CDD0C8"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CF51A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BB0E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E9430" w14:textId="77777777" w:rsidR="00000000" w:rsidRDefault="0068293C">
            <w:pPr>
              <w:spacing w:after="100"/>
              <w:jc w:val="right"/>
              <w:rPr>
                <w:rFonts w:eastAsia="Times New Roman"/>
              </w:rPr>
            </w:pPr>
            <w:r>
              <w:rPr>
                <w:rFonts w:eastAsia="Times New Roman"/>
                <w:b/>
                <w:bCs/>
                <w:color w:val="000000"/>
                <w:sz w:val="20"/>
                <w:szCs w:val="20"/>
              </w:rPr>
              <w:t>596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C7E275"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47875C"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209AA1"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D8F3E5" w14:textId="77777777" w:rsidR="00000000" w:rsidRDefault="0068293C">
            <w:pPr>
              <w:spacing w:after="100"/>
              <w:jc w:val="right"/>
              <w:rPr>
                <w:rFonts w:eastAsia="Times New Roman"/>
              </w:rPr>
            </w:pPr>
            <w:r>
              <w:rPr>
                <w:rFonts w:eastAsia="Times New Roman"/>
                <w:b/>
                <w:bCs/>
                <w:color w:val="000000"/>
                <w:sz w:val="20"/>
                <w:szCs w:val="20"/>
              </w:rPr>
              <w:t>596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117720" w14:textId="77777777" w:rsidR="00000000" w:rsidRDefault="0068293C">
            <w:pPr>
              <w:spacing w:after="100"/>
              <w:jc w:val="right"/>
              <w:rPr>
                <w:rFonts w:eastAsia="Times New Roman"/>
              </w:rPr>
            </w:pPr>
          </w:p>
        </w:tc>
      </w:tr>
      <w:tr w:rsidR="00000000" w14:paraId="47FEE058" w14:textId="77777777">
        <w:trPr>
          <w:divId w:val="90200169"/>
          <w:jc w:val="center"/>
        </w:trPr>
        <w:tc>
          <w:tcPr>
            <w:tcW w:w="0" w:type="auto"/>
            <w:gridSpan w:val="3"/>
            <w:shd w:val="clear" w:color="auto" w:fill="CCEEFF"/>
            <w:tcMar>
              <w:top w:w="30" w:type="dxa"/>
              <w:left w:w="20" w:type="dxa"/>
              <w:bottom w:w="30" w:type="dxa"/>
              <w:right w:w="20" w:type="dxa"/>
            </w:tcMar>
            <w:vAlign w:val="bottom"/>
            <w:hideMark/>
          </w:tcPr>
          <w:p w14:paraId="53631DB8" w14:textId="77777777" w:rsidR="00000000" w:rsidRDefault="0068293C">
            <w:pPr>
              <w:spacing w:after="100"/>
              <w:rPr>
                <w:rFonts w:eastAsia="Times New Roman"/>
              </w:rPr>
            </w:pPr>
            <w:r>
              <w:rPr>
                <w:rFonts w:eastAsia="Times New Roman"/>
                <w:color w:val="000000"/>
                <w:sz w:val="20"/>
                <w:szCs w:val="20"/>
              </w:rPr>
              <w:t>Self-Service Banking</w:t>
            </w:r>
          </w:p>
        </w:tc>
        <w:tc>
          <w:tcPr>
            <w:tcW w:w="0" w:type="auto"/>
            <w:gridSpan w:val="2"/>
            <w:shd w:val="clear" w:color="auto" w:fill="CCEEFF"/>
            <w:tcMar>
              <w:top w:w="30" w:type="dxa"/>
              <w:left w:w="20" w:type="dxa"/>
              <w:bottom w:w="30" w:type="dxa"/>
              <w:right w:w="0" w:type="dxa"/>
            </w:tcMar>
            <w:vAlign w:val="bottom"/>
            <w:hideMark/>
          </w:tcPr>
          <w:p w14:paraId="1C78038C" w14:textId="77777777" w:rsidR="00000000" w:rsidRDefault="0068293C">
            <w:pPr>
              <w:spacing w:after="100"/>
              <w:jc w:val="right"/>
              <w:rPr>
                <w:rFonts w:eastAsia="Times New Roman"/>
              </w:rPr>
            </w:pPr>
            <w:r>
              <w:rPr>
                <w:rFonts w:eastAsia="Times New Roman"/>
                <w:b/>
                <w:bCs/>
                <w:color w:val="000000"/>
                <w:sz w:val="20"/>
                <w:szCs w:val="20"/>
              </w:rPr>
              <w:t>1,635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2CD452"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DA2C0D" w14:textId="77777777" w:rsidR="00000000" w:rsidRDefault="0068293C">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14:paraId="31D8B588"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B8EED5" w14:textId="77777777" w:rsidR="00000000" w:rsidRDefault="0068293C">
            <w:pPr>
              <w:spacing w:after="100"/>
              <w:jc w:val="right"/>
              <w:rPr>
                <w:rFonts w:eastAsia="Times New Roman"/>
              </w:rPr>
            </w:pPr>
            <w:r>
              <w:rPr>
                <w:rFonts w:eastAsia="Times New Roman"/>
                <w:b/>
                <w:bCs/>
                <w:color w:val="000000"/>
                <w:sz w:val="20"/>
                <w:szCs w:val="20"/>
              </w:rPr>
              <w:t>1,534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AF45B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212E8" w14:textId="77777777" w:rsidR="00000000" w:rsidRDefault="0068293C">
            <w:pPr>
              <w:spacing w:after="100"/>
              <w:jc w:val="right"/>
              <w:rPr>
                <w:rFonts w:eastAsia="Times New Roman"/>
                <w:sz w:val="20"/>
                <w:szCs w:val="20"/>
              </w:rPr>
            </w:pPr>
          </w:p>
        </w:tc>
        <w:tc>
          <w:tcPr>
            <w:tcW w:w="0" w:type="auto"/>
            <w:vAlign w:val="center"/>
            <w:hideMark/>
          </w:tcPr>
          <w:p w14:paraId="516C4C89" w14:textId="77777777" w:rsidR="00000000" w:rsidRDefault="0068293C">
            <w:pPr>
              <w:spacing w:after="100"/>
              <w:rPr>
                <w:rFonts w:eastAsia="Times New Roman"/>
                <w:sz w:val="20"/>
                <w:szCs w:val="20"/>
              </w:rPr>
            </w:pPr>
          </w:p>
        </w:tc>
        <w:tc>
          <w:tcPr>
            <w:tcW w:w="0" w:type="auto"/>
            <w:vAlign w:val="center"/>
            <w:hideMark/>
          </w:tcPr>
          <w:p w14:paraId="42C10028" w14:textId="77777777" w:rsidR="00000000" w:rsidRDefault="0068293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FD6F3"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55E8A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AB68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C9C51B"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9B6D6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08FE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5DBDC7" w14:textId="77777777" w:rsidR="00000000" w:rsidRDefault="0068293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4656D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EE80D"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99020F" w14:textId="77777777" w:rsidR="00000000" w:rsidRDefault="0068293C">
            <w:pPr>
              <w:spacing w:after="100"/>
              <w:jc w:val="right"/>
              <w:rPr>
                <w:rFonts w:eastAsia="Times New Roman"/>
              </w:rPr>
            </w:pPr>
            <w:r>
              <w:rPr>
                <w:rFonts w:eastAsia="Times New Roman"/>
                <w:b/>
                <w:bCs/>
                <w:color w:val="000000"/>
                <w:sz w:val="20"/>
                <w:szCs w:val="20"/>
              </w:rPr>
              <w:t>1,639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F0A9ED"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B3D6F2" w14:textId="77777777" w:rsidR="00000000" w:rsidRDefault="0068293C">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14:paraId="0E49C055"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643C1F" w14:textId="77777777" w:rsidR="00000000" w:rsidRDefault="0068293C">
            <w:pPr>
              <w:spacing w:after="100"/>
              <w:jc w:val="right"/>
              <w:rPr>
                <w:rFonts w:eastAsia="Times New Roman"/>
              </w:rPr>
            </w:pPr>
            <w:r>
              <w:rPr>
                <w:rFonts w:eastAsia="Times New Roman"/>
                <w:b/>
                <w:bCs/>
                <w:color w:val="000000"/>
                <w:sz w:val="20"/>
                <w:szCs w:val="20"/>
              </w:rPr>
              <w:t>1,538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633BEE" w14:textId="77777777" w:rsidR="00000000" w:rsidRDefault="0068293C">
            <w:pPr>
              <w:spacing w:after="100"/>
              <w:jc w:val="right"/>
              <w:rPr>
                <w:rFonts w:eastAsia="Times New Roman"/>
              </w:rPr>
            </w:pPr>
          </w:p>
        </w:tc>
      </w:tr>
      <w:tr w:rsidR="00000000" w14:paraId="37FA12F9" w14:textId="77777777">
        <w:trPr>
          <w:divId w:val="90200169"/>
          <w:jc w:val="center"/>
        </w:trPr>
        <w:tc>
          <w:tcPr>
            <w:tcW w:w="0" w:type="auto"/>
            <w:gridSpan w:val="3"/>
            <w:shd w:val="clear" w:color="auto" w:fill="FFFFFF"/>
            <w:tcMar>
              <w:top w:w="30" w:type="dxa"/>
              <w:left w:w="20" w:type="dxa"/>
              <w:bottom w:w="30" w:type="dxa"/>
              <w:right w:w="20" w:type="dxa"/>
            </w:tcMar>
            <w:vAlign w:val="bottom"/>
            <w:hideMark/>
          </w:tcPr>
          <w:p w14:paraId="17F1635E" w14:textId="77777777" w:rsidR="00000000" w:rsidRDefault="0068293C">
            <w:pPr>
              <w:spacing w:after="100"/>
              <w:rPr>
                <w:rFonts w:eastAsia="Times New Roman"/>
              </w:rPr>
            </w:pPr>
            <w:r>
              <w:rPr>
                <w:rFonts w:eastAsia="Times New Roman"/>
                <w:color w:val="000000"/>
                <w:sz w:val="20"/>
                <w:szCs w:val="20"/>
              </w:rPr>
              <w:t xml:space="preserve">Retail </w:t>
            </w:r>
          </w:p>
        </w:tc>
        <w:tc>
          <w:tcPr>
            <w:tcW w:w="0" w:type="auto"/>
            <w:gridSpan w:val="2"/>
            <w:shd w:val="clear" w:color="auto" w:fill="FFFFFF"/>
            <w:tcMar>
              <w:top w:w="30" w:type="dxa"/>
              <w:left w:w="20" w:type="dxa"/>
              <w:bottom w:w="30" w:type="dxa"/>
              <w:right w:w="0" w:type="dxa"/>
            </w:tcMar>
            <w:vAlign w:val="bottom"/>
            <w:hideMark/>
          </w:tcPr>
          <w:p w14:paraId="227DC6FF" w14:textId="77777777" w:rsidR="00000000" w:rsidRDefault="0068293C">
            <w:pPr>
              <w:spacing w:after="100"/>
              <w:jc w:val="right"/>
              <w:rPr>
                <w:rFonts w:eastAsia="Times New Roman"/>
              </w:rPr>
            </w:pPr>
            <w:r>
              <w:rPr>
                <w:rFonts w:eastAsia="Times New Roman"/>
                <w:b/>
                <w:bCs/>
                <w:color w:val="000000"/>
                <w:sz w:val="20"/>
                <w:szCs w:val="20"/>
              </w:rPr>
              <w:t>1,015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47E0CE"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881335" w14:textId="77777777" w:rsidR="00000000" w:rsidRDefault="0068293C">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14:paraId="1D559FF6"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E673AF" w14:textId="77777777" w:rsidR="00000000" w:rsidRDefault="0068293C">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F1002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0A513" w14:textId="77777777" w:rsidR="00000000" w:rsidRDefault="0068293C">
            <w:pPr>
              <w:spacing w:after="100"/>
              <w:jc w:val="right"/>
              <w:rPr>
                <w:rFonts w:eastAsia="Times New Roman"/>
                <w:sz w:val="20"/>
                <w:szCs w:val="20"/>
              </w:rPr>
            </w:pPr>
          </w:p>
        </w:tc>
        <w:tc>
          <w:tcPr>
            <w:tcW w:w="0" w:type="auto"/>
            <w:vAlign w:val="center"/>
            <w:hideMark/>
          </w:tcPr>
          <w:p w14:paraId="58E9A4DD" w14:textId="77777777" w:rsidR="00000000" w:rsidRDefault="0068293C">
            <w:pPr>
              <w:spacing w:after="100"/>
              <w:rPr>
                <w:rFonts w:eastAsia="Times New Roman"/>
                <w:sz w:val="20"/>
                <w:szCs w:val="20"/>
              </w:rPr>
            </w:pPr>
          </w:p>
        </w:tc>
        <w:tc>
          <w:tcPr>
            <w:tcW w:w="0" w:type="auto"/>
            <w:vAlign w:val="center"/>
            <w:hideMark/>
          </w:tcPr>
          <w:p w14:paraId="16669FC2" w14:textId="77777777" w:rsidR="00000000" w:rsidRDefault="0068293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B9769"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BC915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10D6D"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0CDF60"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E2120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9B00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35D40"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595D569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EA4E2"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985262" w14:textId="77777777" w:rsidR="00000000" w:rsidRDefault="0068293C">
            <w:pPr>
              <w:spacing w:after="100"/>
              <w:jc w:val="right"/>
              <w:rPr>
                <w:rFonts w:eastAsia="Times New Roman"/>
              </w:rPr>
            </w:pPr>
            <w:r>
              <w:rPr>
                <w:rFonts w:eastAsia="Times New Roman"/>
                <w:b/>
                <w:bCs/>
                <w:color w:val="000000"/>
                <w:sz w:val="20"/>
                <w:szCs w:val="20"/>
              </w:rPr>
              <w:t>1,014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9D632D"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F28C90" w14:textId="77777777" w:rsidR="00000000" w:rsidRDefault="0068293C">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14:paraId="48075AA3"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2CEF63" w14:textId="77777777" w:rsidR="00000000" w:rsidRDefault="0068293C">
            <w:pPr>
              <w:spacing w:after="100"/>
              <w:jc w:val="right"/>
              <w:rPr>
                <w:rFonts w:eastAsia="Times New Roman"/>
              </w:rPr>
            </w:pPr>
            <w:r>
              <w:rPr>
                <w:rFonts w:eastAsia="Times New Roman"/>
                <w:b/>
                <w:bCs/>
                <w:color w:val="000000"/>
                <w:sz w:val="20"/>
                <w:szCs w:val="20"/>
              </w:rPr>
              <w:t>980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E89071" w14:textId="77777777" w:rsidR="00000000" w:rsidRDefault="0068293C">
            <w:pPr>
              <w:spacing w:after="100"/>
              <w:jc w:val="right"/>
              <w:rPr>
                <w:rFonts w:eastAsia="Times New Roman"/>
              </w:rPr>
            </w:pPr>
          </w:p>
        </w:tc>
      </w:tr>
      <w:tr w:rsidR="00000000" w14:paraId="47F9BA7F" w14:textId="77777777">
        <w:trPr>
          <w:divId w:val="90200169"/>
          <w:jc w:val="center"/>
        </w:trPr>
        <w:tc>
          <w:tcPr>
            <w:tcW w:w="0" w:type="auto"/>
            <w:gridSpan w:val="3"/>
            <w:shd w:val="clear" w:color="auto" w:fill="CCEEFF"/>
            <w:tcMar>
              <w:top w:w="30" w:type="dxa"/>
              <w:left w:w="20" w:type="dxa"/>
              <w:bottom w:w="30" w:type="dxa"/>
              <w:right w:w="20" w:type="dxa"/>
            </w:tcMar>
            <w:vAlign w:val="bottom"/>
            <w:hideMark/>
          </w:tcPr>
          <w:p w14:paraId="0FB69EB8" w14:textId="77777777" w:rsidR="00000000" w:rsidRDefault="0068293C">
            <w:pPr>
              <w:spacing w:after="100"/>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14:paraId="6BF3BE86" w14:textId="77777777" w:rsidR="00000000" w:rsidRDefault="0068293C">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E1180A"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63E6C3" w14:textId="77777777" w:rsidR="00000000" w:rsidRDefault="0068293C">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14:paraId="5198AA58"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CBDFA9" w14:textId="77777777" w:rsidR="00000000" w:rsidRDefault="0068293C">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50539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A4026D" w14:textId="77777777" w:rsidR="00000000" w:rsidRDefault="0068293C">
            <w:pPr>
              <w:spacing w:after="100"/>
              <w:jc w:val="right"/>
              <w:rPr>
                <w:rFonts w:eastAsia="Times New Roman"/>
                <w:sz w:val="20"/>
                <w:szCs w:val="20"/>
              </w:rPr>
            </w:pPr>
          </w:p>
        </w:tc>
        <w:tc>
          <w:tcPr>
            <w:tcW w:w="0" w:type="auto"/>
            <w:vAlign w:val="center"/>
            <w:hideMark/>
          </w:tcPr>
          <w:p w14:paraId="32FDF487" w14:textId="77777777" w:rsidR="00000000" w:rsidRDefault="0068293C">
            <w:pPr>
              <w:spacing w:after="100"/>
              <w:rPr>
                <w:rFonts w:eastAsia="Times New Roman"/>
                <w:sz w:val="20"/>
                <w:szCs w:val="20"/>
              </w:rPr>
            </w:pPr>
          </w:p>
        </w:tc>
        <w:tc>
          <w:tcPr>
            <w:tcW w:w="0" w:type="auto"/>
            <w:vAlign w:val="center"/>
            <w:hideMark/>
          </w:tcPr>
          <w:p w14:paraId="539AAC38" w14:textId="77777777" w:rsidR="00000000" w:rsidRDefault="0068293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CDBDA0"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F0A8C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875C0"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9FFD8"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78EB0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DDC4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8CDD1"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DC709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91EE3"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2BADC" w14:textId="77777777" w:rsidR="00000000" w:rsidRDefault="0068293C">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47864D"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F825E4" w14:textId="77777777" w:rsidR="00000000" w:rsidRDefault="0068293C">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14:paraId="4CD287A6"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AAD3D4" w14:textId="77777777" w:rsidR="00000000" w:rsidRDefault="0068293C">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8D54C5" w14:textId="77777777" w:rsidR="00000000" w:rsidRDefault="0068293C">
            <w:pPr>
              <w:spacing w:after="100"/>
              <w:jc w:val="right"/>
              <w:rPr>
                <w:rFonts w:eastAsia="Times New Roman"/>
              </w:rPr>
            </w:pPr>
          </w:p>
        </w:tc>
      </w:tr>
      <w:tr w:rsidR="00000000" w14:paraId="69820867" w14:textId="77777777">
        <w:trPr>
          <w:divId w:val="90200169"/>
          <w:jc w:val="center"/>
        </w:trPr>
        <w:tc>
          <w:tcPr>
            <w:tcW w:w="0" w:type="auto"/>
            <w:gridSpan w:val="3"/>
            <w:shd w:val="clear" w:color="auto" w:fill="FFFFFF"/>
            <w:tcMar>
              <w:top w:w="30" w:type="dxa"/>
              <w:left w:w="20" w:type="dxa"/>
              <w:bottom w:w="30" w:type="dxa"/>
              <w:right w:w="20" w:type="dxa"/>
            </w:tcMar>
            <w:vAlign w:val="bottom"/>
            <w:hideMark/>
          </w:tcPr>
          <w:p w14:paraId="52746510" w14:textId="77777777" w:rsidR="00000000" w:rsidRDefault="0068293C">
            <w:pPr>
              <w:spacing w:after="100"/>
              <w:divId w:val="1885557865"/>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656093A" w14:textId="77777777" w:rsidR="00000000" w:rsidRDefault="0068293C">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ACDDEC"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CA7722" w14:textId="77777777" w:rsidR="00000000" w:rsidRDefault="0068293C">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14:paraId="1149295F"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C4E912" w14:textId="77777777" w:rsidR="00000000" w:rsidRDefault="0068293C">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2E1CE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86B37" w14:textId="77777777" w:rsidR="00000000" w:rsidRDefault="0068293C">
            <w:pPr>
              <w:spacing w:after="100"/>
              <w:jc w:val="right"/>
              <w:rPr>
                <w:rFonts w:eastAsia="Times New Roman"/>
                <w:sz w:val="20"/>
                <w:szCs w:val="20"/>
              </w:rPr>
            </w:pPr>
          </w:p>
        </w:tc>
        <w:tc>
          <w:tcPr>
            <w:tcW w:w="0" w:type="auto"/>
            <w:vAlign w:val="center"/>
            <w:hideMark/>
          </w:tcPr>
          <w:p w14:paraId="32D602E2" w14:textId="77777777" w:rsidR="00000000" w:rsidRDefault="0068293C">
            <w:pPr>
              <w:spacing w:after="100"/>
              <w:rPr>
                <w:rFonts w:eastAsia="Times New Roman"/>
                <w:sz w:val="20"/>
                <w:szCs w:val="20"/>
              </w:rPr>
            </w:pPr>
          </w:p>
        </w:tc>
        <w:tc>
          <w:tcPr>
            <w:tcW w:w="0" w:type="auto"/>
            <w:vAlign w:val="center"/>
            <w:hideMark/>
          </w:tcPr>
          <w:p w14:paraId="57397323" w14:textId="77777777" w:rsidR="00000000" w:rsidRDefault="0068293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2FA27"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438E5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8C08D"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BFC15B"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699B9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3FB4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4AB404"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E901A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040D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F4A9FD" w14:textId="77777777" w:rsidR="00000000" w:rsidRDefault="0068293C">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2A0AA0"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E69368" w14:textId="77777777" w:rsidR="00000000" w:rsidRDefault="0068293C">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14:paraId="06B20395"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4015E9" w14:textId="77777777" w:rsidR="00000000" w:rsidRDefault="0068293C">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9580FC" w14:textId="77777777" w:rsidR="00000000" w:rsidRDefault="0068293C">
            <w:pPr>
              <w:spacing w:after="100"/>
              <w:jc w:val="right"/>
              <w:rPr>
                <w:rFonts w:eastAsia="Times New Roman"/>
              </w:rPr>
            </w:pPr>
          </w:p>
        </w:tc>
      </w:tr>
      <w:tr w:rsidR="0068293C" w14:paraId="15C936AF" w14:textId="77777777">
        <w:trPr>
          <w:divId w:val="90200169"/>
          <w:jc w:val="center"/>
        </w:trPr>
        <w:tc>
          <w:tcPr>
            <w:tcW w:w="0" w:type="auto"/>
            <w:gridSpan w:val="3"/>
            <w:shd w:val="clear" w:color="auto" w:fill="CCEEFF"/>
            <w:tcMar>
              <w:top w:w="30" w:type="dxa"/>
              <w:left w:w="20" w:type="dxa"/>
              <w:bottom w:w="30" w:type="dxa"/>
              <w:right w:w="20" w:type="dxa"/>
            </w:tcMar>
            <w:vAlign w:val="bottom"/>
            <w:hideMark/>
          </w:tcPr>
          <w:p w14:paraId="3C8954D9" w14:textId="77777777" w:rsidR="00000000" w:rsidRDefault="0068293C">
            <w:pPr>
              <w:spacing w:after="100"/>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88E537"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CE6DC2" w14:textId="77777777" w:rsidR="00000000" w:rsidRDefault="0068293C">
            <w:pPr>
              <w:spacing w:after="100"/>
              <w:jc w:val="right"/>
              <w:rPr>
                <w:rFonts w:eastAsia="Times New Roman"/>
              </w:rPr>
            </w:pPr>
            <w:r>
              <w:rPr>
                <w:rFonts w:eastAsia="Times New Roman"/>
                <w:b/>
                <w:bCs/>
                <w:color w:val="000000"/>
                <w:sz w:val="20"/>
                <w:szCs w:val="20"/>
              </w:rPr>
              <w:t>4,688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559235" w14:textId="77777777" w:rsidR="00000000" w:rsidRDefault="0068293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D6AFD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252BAB" w14:textId="77777777" w:rsidR="00000000" w:rsidRDefault="0068293C">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09010F" w14:textId="77777777" w:rsidR="00000000" w:rsidRDefault="0068293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7A704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32D0E7" w14:textId="77777777" w:rsidR="00000000" w:rsidRDefault="0068293C">
            <w:pPr>
              <w:spacing w:after="100"/>
              <w:jc w:val="right"/>
              <w:rPr>
                <w:rFonts w:eastAsia="Times New Roman"/>
              </w:rPr>
            </w:pPr>
            <w:r>
              <w:rPr>
                <w:rFonts w:eastAsia="Times New Roman"/>
                <w:b/>
                <w:bCs/>
                <w:color w:val="000000"/>
                <w:sz w:val="20"/>
                <w:szCs w:val="20"/>
              </w:rPr>
              <w:t>4,519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84F7B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04AD4" w14:textId="77777777" w:rsidR="00000000" w:rsidRDefault="0068293C">
            <w:pPr>
              <w:spacing w:after="100"/>
              <w:jc w:val="right"/>
              <w:rPr>
                <w:rFonts w:eastAsia="Times New Roman"/>
                <w:sz w:val="20"/>
                <w:szCs w:val="20"/>
              </w:rPr>
            </w:pPr>
          </w:p>
        </w:tc>
        <w:tc>
          <w:tcPr>
            <w:tcW w:w="0" w:type="auto"/>
            <w:vAlign w:val="center"/>
            <w:hideMark/>
          </w:tcPr>
          <w:p w14:paraId="35E35998" w14:textId="77777777" w:rsidR="00000000" w:rsidRDefault="0068293C">
            <w:pPr>
              <w:spacing w:after="100"/>
              <w:rPr>
                <w:rFonts w:eastAsia="Times New Roman"/>
                <w:sz w:val="20"/>
                <w:szCs w:val="20"/>
              </w:rPr>
            </w:pPr>
          </w:p>
        </w:tc>
        <w:tc>
          <w:tcPr>
            <w:tcW w:w="0" w:type="auto"/>
            <w:vAlign w:val="center"/>
            <w:hideMark/>
          </w:tcPr>
          <w:p w14:paraId="6DF0E6FF" w14:textId="77777777" w:rsidR="00000000" w:rsidRDefault="0068293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DAA91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96ADB4" w14:textId="77777777" w:rsidR="00000000" w:rsidRDefault="0068293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92A90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A8AAB"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568CE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683808"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3A7B0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D7EA7"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40835F"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FC8E8E" w14:textId="77777777" w:rsidR="00000000" w:rsidRDefault="0068293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F5BC8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E197B"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342B0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634685" w14:textId="77777777" w:rsidR="00000000" w:rsidRDefault="0068293C">
            <w:pPr>
              <w:spacing w:after="100"/>
              <w:jc w:val="right"/>
              <w:rPr>
                <w:rFonts w:eastAsia="Times New Roman"/>
              </w:rPr>
            </w:pPr>
            <w:r>
              <w:rPr>
                <w:rFonts w:eastAsia="Times New Roman"/>
                <w:b/>
                <w:bCs/>
                <w:color w:val="000000"/>
                <w:sz w:val="20"/>
                <w:szCs w:val="20"/>
              </w:rPr>
              <w:t>4,739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951EC7" w14:textId="77777777" w:rsidR="00000000" w:rsidRDefault="0068293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CA968E"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FE8C66" w14:textId="77777777" w:rsidR="00000000" w:rsidRDefault="0068293C">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5CCB1F" w14:textId="77777777" w:rsidR="00000000" w:rsidRDefault="0068293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E9223B"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D2ED3A" w14:textId="77777777" w:rsidR="00000000" w:rsidRDefault="0068293C">
            <w:pPr>
              <w:spacing w:after="100"/>
              <w:jc w:val="right"/>
              <w:rPr>
                <w:rFonts w:eastAsia="Times New Roman"/>
              </w:rPr>
            </w:pPr>
            <w:r>
              <w:rPr>
                <w:rFonts w:eastAsia="Times New Roman"/>
                <w:b/>
                <w:bCs/>
                <w:color w:val="000000"/>
                <w:sz w:val="20"/>
                <w:szCs w:val="20"/>
              </w:rPr>
              <w:t>4,570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E3A1F5" w14:textId="77777777" w:rsidR="00000000" w:rsidRDefault="0068293C">
            <w:pPr>
              <w:spacing w:after="100"/>
              <w:jc w:val="right"/>
              <w:rPr>
                <w:rFonts w:eastAsia="Times New Roman"/>
              </w:rPr>
            </w:pPr>
          </w:p>
        </w:tc>
      </w:tr>
    </w:tbl>
    <w:p w14:paraId="634382A8" w14:textId="77777777" w:rsidR="00000000" w:rsidRDefault="0068293C">
      <w:pPr>
        <w:jc w:val="both"/>
        <w:rPr>
          <w:rFonts w:eastAsia="Times New Roman"/>
        </w:rPr>
      </w:pPr>
    </w:p>
    <w:p w14:paraId="2FF851E1" w14:textId="77777777" w:rsidR="00000000" w:rsidRDefault="0068293C">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Other segment includes the goodwill associated with our Technology &amp; Telecommunications reporting unit.</w:t>
      </w:r>
    </w:p>
    <w:p w14:paraId="6469FF53" w14:textId="77777777" w:rsidR="00000000" w:rsidRDefault="0068293C">
      <w:pPr>
        <w:jc w:val="both"/>
        <w:rPr>
          <w:rFonts w:eastAsia="Times New Roman"/>
        </w:rPr>
      </w:pPr>
    </w:p>
    <w:p w14:paraId="51750425" w14:textId="77777777" w:rsidR="00000000" w:rsidRDefault="0068293C">
      <w:pPr>
        <w:jc w:val="both"/>
        <w:rPr>
          <w:rFonts w:eastAsia="Times New Roman"/>
        </w:rPr>
      </w:pPr>
      <w:r>
        <w:rPr>
          <w:rFonts w:eastAsia="Times New Roman"/>
          <w:color w:val="000000"/>
          <w:sz w:val="20"/>
          <w:szCs w:val="20"/>
        </w:rPr>
        <w:t>Additions during the first quarter of 2022 include immaterial purchase accounting adjustments related to the Cardtronics acquisition as well as the go</w:t>
      </w:r>
      <w:r>
        <w:rPr>
          <w:rFonts w:eastAsia="Times New Roman"/>
          <w:color w:val="000000"/>
          <w:sz w:val="20"/>
          <w:szCs w:val="20"/>
        </w:rPr>
        <w:t>odwill acquired through the LibertyX transaction on January 5, 2022. For additional information on these business combinations, refer to Note 2, “Business Combinations”.</w:t>
      </w:r>
    </w:p>
    <w:p w14:paraId="112CD5FD" w14:textId="77777777" w:rsidR="00000000" w:rsidRDefault="0068293C">
      <w:pPr>
        <w:jc w:val="both"/>
        <w:rPr>
          <w:rFonts w:eastAsia="Times New Roman"/>
        </w:rPr>
      </w:pPr>
    </w:p>
    <w:p w14:paraId="0019F686" w14:textId="77777777" w:rsidR="00000000" w:rsidRDefault="0068293C">
      <w:pPr>
        <w:jc w:val="both"/>
        <w:rPr>
          <w:rFonts w:eastAsia="Times New Roman"/>
        </w:rPr>
      </w:pPr>
      <w:r>
        <w:rPr>
          <w:rFonts w:eastAsia="Times New Roman"/>
          <w:color w:val="000000"/>
          <w:sz w:val="20"/>
          <w:szCs w:val="20"/>
        </w:rPr>
        <w:t>Due to the change in reportable segments, management performed an interim goodwill i</w:t>
      </w:r>
      <w:r>
        <w:rPr>
          <w:rFonts w:eastAsia="Times New Roman"/>
          <w:color w:val="000000"/>
          <w:sz w:val="20"/>
          <w:szCs w:val="20"/>
        </w:rPr>
        <w:t>mpairment analysis immediately before and as of the effective date of January 1, 2022. The assessment as of December 31, 2021 was performed based on a qualitative assessment of the historical Banking, Retail, Hospitality and Telecommunications &amp; Technology</w:t>
      </w:r>
      <w:r>
        <w:rPr>
          <w:rFonts w:eastAsia="Times New Roman"/>
          <w:color w:val="000000"/>
          <w:sz w:val="20"/>
          <w:szCs w:val="20"/>
        </w:rPr>
        <w:t xml:space="preserve"> reporting units. No impairment was identified. The assessment as of January 1, 2022 was performed using a weighted combination of both guideline public company and discounted cash flow valuation methods. This assessment included, but was not limited to, o</w:t>
      </w:r>
      <w:r>
        <w:rPr>
          <w:rFonts w:eastAsia="Times New Roman"/>
          <w:color w:val="000000"/>
          <w:sz w:val="20"/>
          <w:szCs w:val="20"/>
        </w:rPr>
        <w:t>ur consideration of the potential impacts of the COVID-19 pandemic to the current and future cash flows as well as macroeconomic conditions, industry and market considerations, and financial performance, including forecasted revenue, earnings and capital e</w:t>
      </w:r>
      <w:r>
        <w:rPr>
          <w:rFonts w:eastAsia="Times New Roman"/>
          <w:color w:val="000000"/>
          <w:sz w:val="20"/>
          <w:szCs w:val="20"/>
        </w:rPr>
        <w:t>xpenditures of each reporting unit. Based on this analysis, it was determined that the fair value of all reporting units were substantially in excess of the carrying value. However, if the actual results differ from our expectations for any of our reportin</w:t>
      </w:r>
      <w:r>
        <w:rPr>
          <w:rFonts w:eastAsia="Times New Roman"/>
          <w:color w:val="000000"/>
          <w:sz w:val="20"/>
          <w:szCs w:val="20"/>
        </w:rPr>
        <w:t>g units, there is a possibility we would have to perform additional interim impairment tests, which could lead to an impairment of goodwill or other assets.</w:t>
      </w:r>
    </w:p>
    <w:p w14:paraId="7F131B36" w14:textId="77777777" w:rsidR="00000000" w:rsidRDefault="0068293C">
      <w:pPr>
        <w:jc w:val="both"/>
        <w:rPr>
          <w:rFonts w:eastAsia="Times New Roman"/>
        </w:rPr>
      </w:pPr>
    </w:p>
    <w:p w14:paraId="1B07F117" w14:textId="77777777" w:rsidR="00000000" w:rsidRDefault="0068293C">
      <w:pPr>
        <w:jc w:val="both"/>
        <w:rPr>
          <w:rFonts w:eastAsia="Times New Roman"/>
        </w:rPr>
      </w:pPr>
      <w:r>
        <w:rPr>
          <w:rFonts w:eastAsia="Times New Roman"/>
          <w:i/>
          <w:iCs/>
          <w:color w:val="000000"/>
          <w:sz w:val="20"/>
          <w:szCs w:val="20"/>
        </w:rPr>
        <w:t xml:space="preserve">Identifiable Intangible Assets </w:t>
      </w:r>
      <w:r>
        <w:rPr>
          <w:rFonts w:eastAsia="Times New Roman"/>
          <w:color w:val="000000"/>
          <w:sz w:val="20"/>
          <w:szCs w:val="20"/>
        </w:rPr>
        <w:t xml:space="preserve">NCR's purchased intangible assets, reported in Intangibles, net in the Condensed Consolidated Balance Sheets, were specifically identified when acquired, and are deemed to have finite lives. The gross carrying amount and accumulated amortization for NCR’s </w:t>
      </w:r>
      <w:r>
        <w:rPr>
          <w:rFonts w:eastAsia="Times New Roman"/>
          <w:color w:val="000000"/>
          <w:sz w:val="20"/>
          <w:szCs w:val="20"/>
        </w:rPr>
        <w:t xml:space="preserve">identifiable intangible assets were as set forth in the table below.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969"/>
        <w:gridCol w:w="36"/>
        <w:gridCol w:w="81"/>
        <w:gridCol w:w="867"/>
        <w:gridCol w:w="36"/>
        <w:gridCol w:w="36"/>
        <w:gridCol w:w="36"/>
        <w:gridCol w:w="36"/>
        <w:gridCol w:w="121"/>
        <w:gridCol w:w="742"/>
        <w:gridCol w:w="36"/>
        <w:gridCol w:w="36"/>
        <w:gridCol w:w="36"/>
        <w:gridCol w:w="36"/>
        <w:gridCol w:w="121"/>
        <w:gridCol w:w="867"/>
        <w:gridCol w:w="36"/>
        <w:gridCol w:w="36"/>
        <w:gridCol w:w="36"/>
        <w:gridCol w:w="36"/>
        <w:gridCol w:w="121"/>
        <w:gridCol w:w="701"/>
        <w:gridCol w:w="36"/>
        <w:gridCol w:w="36"/>
        <w:gridCol w:w="36"/>
        <w:gridCol w:w="36"/>
        <w:gridCol w:w="121"/>
        <w:gridCol w:w="872"/>
        <w:gridCol w:w="36"/>
      </w:tblGrid>
      <w:tr w:rsidR="00000000" w14:paraId="57557623" w14:textId="77777777">
        <w:trPr>
          <w:jc w:val="center"/>
        </w:trPr>
        <w:tc>
          <w:tcPr>
            <w:tcW w:w="50" w:type="pct"/>
            <w:vAlign w:val="center"/>
            <w:hideMark/>
          </w:tcPr>
          <w:p w14:paraId="1AB8B408" w14:textId="77777777" w:rsidR="00000000" w:rsidRDefault="0068293C">
            <w:pPr>
              <w:jc w:val="both"/>
              <w:rPr>
                <w:rFonts w:eastAsia="Times New Roman"/>
              </w:rPr>
            </w:pPr>
          </w:p>
        </w:tc>
        <w:tc>
          <w:tcPr>
            <w:tcW w:w="1824" w:type="pct"/>
            <w:vAlign w:val="center"/>
            <w:hideMark/>
          </w:tcPr>
          <w:p w14:paraId="3ADF64FB" w14:textId="77777777" w:rsidR="00000000" w:rsidRDefault="0068293C">
            <w:pPr>
              <w:spacing w:after="100"/>
              <w:rPr>
                <w:rFonts w:eastAsia="Times New Roman"/>
                <w:sz w:val="20"/>
                <w:szCs w:val="20"/>
              </w:rPr>
            </w:pPr>
          </w:p>
        </w:tc>
        <w:tc>
          <w:tcPr>
            <w:tcW w:w="5" w:type="pct"/>
            <w:vAlign w:val="center"/>
            <w:hideMark/>
          </w:tcPr>
          <w:p w14:paraId="2731D55D" w14:textId="77777777" w:rsidR="00000000" w:rsidRDefault="0068293C">
            <w:pPr>
              <w:spacing w:after="100"/>
              <w:rPr>
                <w:rFonts w:eastAsia="Times New Roman"/>
                <w:sz w:val="20"/>
                <w:szCs w:val="20"/>
              </w:rPr>
            </w:pPr>
          </w:p>
        </w:tc>
        <w:tc>
          <w:tcPr>
            <w:tcW w:w="50" w:type="pct"/>
            <w:vAlign w:val="center"/>
            <w:hideMark/>
          </w:tcPr>
          <w:p w14:paraId="3DD32501" w14:textId="77777777" w:rsidR="00000000" w:rsidRDefault="0068293C">
            <w:pPr>
              <w:spacing w:after="100"/>
              <w:rPr>
                <w:rFonts w:eastAsia="Times New Roman"/>
                <w:sz w:val="20"/>
                <w:szCs w:val="20"/>
              </w:rPr>
            </w:pPr>
          </w:p>
        </w:tc>
        <w:tc>
          <w:tcPr>
            <w:tcW w:w="539" w:type="pct"/>
            <w:vAlign w:val="center"/>
            <w:hideMark/>
          </w:tcPr>
          <w:p w14:paraId="683F777F" w14:textId="77777777" w:rsidR="00000000" w:rsidRDefault="0068293C">
            <w:pPr>
              <w:spacing w:after="100"/>
              <w:rPr>
                <w:rFonts w:eastAsia="Times New Roman"/>
                <w:sz w:val="20"/>
                <w:szCs w:val="20"/>
              </w:rPr>
            </w:pPr>
          </w:p>
        </w:tc>
        <w:tc>
          <w:tcPr>
            <w:tcW w:w="5" w:type="pct"/>
            <w:vAlign w:val="center"/>
            <w:hideMark/>
          </w:tcPr>
          <w:p w14:paraId="65D81EB2" w14:textId="77777777" w:rsidR="00000000" w:rsidRDefault="0068293C">
            <w:pPr>
              <w:spacing w:after="100"/>
              <w:rPr>
                <w:rFonts w:eastAsia="Times New Roman"/>
                <w:sz w:val="20"/>
                <w:szCs w:val="20"/>
              </w:rPr>
            </w:pPr>
          </w:p>
        </w:tc>
        <w:tc>
          <w:tcPr>
            <w:tcW w:w="5" w:type="pct"/>
            <w:vAlign w:val="center"/>
            <w:hideMark/>
          </w:tcPr>
          <w:p w14:paraId="2F1E9185" w14:textId="77777777" w:rsidR="00000000" w:rsidRDefault="0068293C">
            <w:pPr>
              <w:spacing w:after="100"/>
              <w:rPr>
                <w:rFonts w:eastAsia="Times New Roman"/>
                <w:sz w:val="20"/>
                <w:szCs w:val="20"/>
              </w:rPr>
            </w:pPr>
          </w:p>
        </w:tc>
        <w:tc>
          <w:tcPr>
            <w:tcW w:w="26" w:type="pct"/>
            <w:vAlign w:val="center"/>
            <w:hideMark/>
          </w:tcPr>
          <w:p w14:paraId="42C162A6" w14:textId="77777777" w:rsidR="00000000" w:rsidRDefault="0068293C">
            <w:pPr>
              <w:spacing w:after="100"/>
              <w:rPr>
                <w:rFonts w:eastAsia="Times New Roman"/>
                <w:sz w:val="20"/>
                <w:szCs w:val="20"/>
              </w:rPr>
            </w:pPr>
          </w:p>
        </w:tc>
        <w:tc>
          <w:tcPr>
            <w:tcW w:w="5" w:type="pct"/>
            <w:vAlign w:val="center"/>
            <w:hideMark/>
          </w:tcPr>
          <w:p w14:paraId="0FF25126" w14:textId="77777777" w:rsidR="00000000" w:rsidRDefault="0068293C">
            <w:pPr>
              <w:spacing w:after="100"/>
              <w:rPr>
                <w:rFonts w:eastAsia="Times New Roman"/>
                <w:sz w:val="20"/>
                <w:szCs w:val="20"/>
              </w:rPr>
            </w:pPr>
          </w:p>
        </w:tc>
        <w:tc>
          <w:tcPr>
            <w:tcW w:w="50" w:type="pct"/>
            <w:vAlign w:val="center"/>
            <w:hideMark/>
          </w:tcPr>
          <w:p w14:paraId="5E1FE649" w14:textId="77777777" w:rsidR="00000000" w:rsidRDefault="0068293C">
            <w:pPr>
              <w:spacing w:after="100"/>
              <w:rPr>
                <w:rFonts w:eastAsia="Times New Roman"/>
                <w:sz w:val="20"/>
                <w:szCs w:val="20"/>
              </w:rPr>
            </w:pPr>
          </w:p>
        </w:tc>
        <w:tc>
          <w:tcPr>
            <w:tcW w:w="539" w:type="pct"/>
            <w:vAlign w:val="center"/>
            <w:hideMark/>
          </w:tcPr>
          <w:p w14:paraId="08D2634D" w14:textId="77777777" w:rsidR="00000000" w:rsidRDefault="0068293C">
            <w:pPr>
              <w:spacing w:after="100"/>
              <w:rPr>
                <w:rFonts w:eastAsia="Times New Roman"/>
                <w:sz w:val="20"/>
                <w:szCs w:val="20"/>
              </w:rPr>
            </w:pPr>
          </w:p>
        </w:tc>
        <w:tc>
          <w:tcPr>
            <w:tcW w:w="5" w:type="pct"/>
            <w:vAlign w:val="center"/>
            <w:hideMark/>
          </w:tcPr>
          <w:p w14:paraId="0A384037" w14:textId="77777777" w:rsidR="00000000" w:rsidRDefault="0068293C">
            <w:pPr>
              <w:spacing w:after="100"/>
              <w:rPr>
                <w:rFonts w:eastAsia="Times New Roman"/>
                <w:sz w:val="20"/>
                <w:szCs w:val="20"/>
              </w:rPr>
            </w:pPr>
          </w:p>
        </w:tc>
        <w:tc>
          <w:tcPr>
            <w:tcW w:w="5" w:type="pct"/>
            <w:vAlign w:val="center"/>
            <w:hideMark/>
          </w:tcPr>
          <w:p w14:paraId="2B043D26" w14:textId="77777777" w:rsidR="00000000" w:rsidRDefault="0068293C">
            <w:pPr>
              <w:spacing w:after="100"/>
              <w:rPr>
                <w:rFonts w:eastAsia="Times New Roman"/>
                <w:sz w:val="20"/>
                <w:szCs w:val="20"/>
              </w:rPr>
            </w:pPr>
          </w:p>
        </w:tc>
        <w:tc>
          <w:tcPr>
            <w:tcW w:w="26" w:type="pct"/>
            <w:vAlign w:val="center"/>
            <w:hideMark/>
          </w:tcPr>
          <w:p w14:paraId="5CAA9300" w14:textId="77777777" w:rsidR="00000000" w:rsidRDefault="0068293C">
            <w:pPr>
              <w:spacing w:after="100"/>
              <w:rPr>
                <w:rFonts w:eastAsia="Times New Roman"/>
                <w:sz w:val="20"/>
                <w:szCs w:val="20"/>
              </w:rPr>
            </w:pPr>
          </w:p>
        </w:tc>
        <w:tc>
          <w:tcPr>
            <w:tcW w:w="5" w:type="pct"/>
            <w:vAlign w:val="center"/>
            <w:hideMark/>
          </w:tcPr>
          <w:p w14:paraId="16D649AF" w14:textId="77777777" w:rsidR="00000000" w:rsidRDefault="0068293C">
            <w:pPr>
              <w:spacing w:after="100"/>
              <w:rPr>
                <w:rFonts w:eastAsia="Times New Roman"/>
                <w:sz w:val="20"/>
                <w:szCs w:val="20"/>
              </w:rPr>
            </w:pPr>
          </w:p>
        </w:tc>
        <w:tc>
          <w:tcPr>
            <w:tcW w:w="50" w:type="pct"/>
            <w:vAlign w:val="center"/>
            <w:hideMark/>
          </w:tcPr>
          <w:p w14:paraId="35D57A85" w14:textId="77777777" w:rsidR="00000000" w:rsidRDefault="0068293C">
            <w:pPr>
              <w:spacing w:after="100"/>
              <w:rPr>
                <w:rFonts w:eastAsia="Times New Roman"/>
                <w:sz w:val="20"/>
                <w:szCs w:val="20"/>
              </w:rPr>
            </w:pPr>
          </w:p>
        </w:tc>
        <w:tc>
          <w:tcPr>
            <w:tcW w:w="539" w:type="pct"/>
            <w:vAlign w:val="center"/>
            <w:hideMark/>
          </w:tcPr>
          <w:p w14:paraId="59C9FFC8" w14:textId="77777777" w:rsidR="00000000" w:rsidRDefault="0068293C">
            <w:pPr>
              <w:spacing w:after="100"/>
              <w:rPr>
                <w:rFonts w:eastAsia="Times New Roman"/>
                <w:sz w:val="20"/>
                <w:szCs w:val="20"/>
              </w:rPr>
            </w:pPr>
          </w:p>
        </w:tc>
        <w:tc>
          <w:tcPr>
            <w:tcW w:w="5" w:type="pct"/>
            <w:vAlign w:val="center"/>
            <w:hideMark/>
          </w:tcPr>
          <w:p w14:paraId="35666FBA" w14:textId="77777777" w:rsidR="00000000" w:rsidRDefault="0068293C">
            <w:pPr>
              <w:spacing w:after="100"/>
              <w:rPr>
                <w:rFonts w:eastAsia="Times New Roman"/>
                <w:sz w:val="20"/>
                <w:szCs w:val="20"/>
              </w:rPr>
            </w:pPr>
          </w:p>
        </w:tc>
        <w:tc>
          <w:tcPr>
            <w:tcW w:w="5" w:type="pct"/>
            <w:vAlign w:val="center"/>
            <w:hideMark/>
          </w:tcPr>
          <w:p w14:paraId="35D904C5" w14:textId="77777777" w:rsidR="00000000" w:rsidRDefault="0068293C">
            <w:pPr>
              <w:spacing w:after="100"/>
              <w:rPr>
                <w:rFonts w:eastAsia="Times New Roman"/>
                <w:sz w:val="20"/>
                <w:szCs w:val="20"/>
              </w:rPr>
            </w:pPr>
          </w:p>
        </w:tc>
        <w:tc>
          <w:tcPr>
            <w:tcW w:w="26" w:type="pct"/>
            <w:vAlign w:val="center"/>
            <w:hideMark/>
          </w:tcPr>
          <w:p w14:paraId="6198B702" w14:textId="77777777" w:rsidR="00000000" w:rsidRDefault="0068293C">
            <w:pPr>
              <w:spacing w:after="100"/>
              <w:rPr>
                <w:rFonts w:eastAsia="Times New Roman"/>
                <w:sz w:val="20"/>
                <w:szCs w:val="20"/>
              </w:rPr>
            </w:pPr>
          </w:p>
        </w:tc>
        <w:tc>
          <w:tcPr>
            <w:tcW w:w="5" w:type="pct"/>
            <w:vAlign w:val="center"/>
            <w:hideMark/>
          </w:tcPr>
          <w:p w14:paraId="3AB19F78" w14:textId="77777777" w:rsidR="00000000" w:rsidRDefault="0068293C">
            <w:pPr>
              <w:spacing w:after="100"/>
              <w:rPr>
                <w:rFonts w:eastAsia="Times New Roman"/>
                <w:sz w:val="20"/>
                <w:szCs w:val="20"/>
              </w:rPr>
            </w:pPr>
          </w:p>
        </w:tc>
        <w:tc>
          <w:tcPr>
            <w:tcW w:w="50" w:type="pct"/>
            <w:vAlign w:val="center"/>
            <w:hideMark/>
          </w:tcPr>
          <w:p w14:paraId="4B3F8CF8" w14:textId="77777777" w:rsidR="00000000" w:rsidRDefault="0068293C">
            <w:pPr>
              <w:spacing w:after="100"/>
              <w:rPr>
                <w:rFonts w:eastAsia="Times New Roman"/>
                <w:sz w:val="20"/>
                <w:szCs w:val="20"/>
              </w:rPr>
            </w:pPr>
          </w:p>
        </w:tc>
        <w:tc>
          <w:tcPr>
            <w:tcW w:w="510" w:type="pct"/>
            <w:vAlign w:val="center"/>
            <w:hideMark/>
          </w:tcPr>
          <w:p w14:paraId="600FDFC8" w14:textId="77777777" w:rsidR="00000000" w:rsidRDefault="0068293C">
            <w:pPr>
              <w:spacing w:after="100"/>
              <w:rPr>
                <w:rFonts w:eastAsia="Times New Roman"/>
                <w:sz w:val="20"/>
                <w:szCs w:val="20"/>
              </w:rPr>
            </w:pPr>
          </w:p>
        </w:tc>
        <w:tc>
          <w:tcPr>
            <w:tcW w:w="5" w:type="pct"/>
            <w:vAlign w:val="center"/>
            <w:hideMark/>
          </w:tcPr>
          <w:p w14:paraId="5C08E5C1" w14:textId="77777777" w:rsidR="00000000" w:rsidRDefault="0068293C">
            <w:pPr>
              <w:spacing w:after="100"/>
              <w:rPr>
                <w:rFonts w:eastAsia="Times New Roman"/>
                <w:sz w:val="20"/>
                <w:szCs w:val="20"/>
              </w:rPr>
            </w:pPr>
          </w:p>
        </w:tc>
        <w:tc>
          <w:tcPr>
            <w:tcW w:w="5" w:type="pct"/>
            <w:vAlign w:val="center"/>
            <w:hideMark/>
          </w:tcPr>
          <w:p w14:paraId="5C62FEBE" w14:textId="77777777" w:rsidR="00000000" w:rsidRDefault="0068293C">
            <w:pPr>
              <w:spacing w:after="100"/>
              <w:rPr>
                <w:rFonts w:eastAsia="Times New Roman"/>
                <w:sz w:val="20"/>
                <w:szCs w:val="20"/>
              </w:rPr>
            </w:pPr>
          </w:p>
        </w:tc>
        <w:tc>
          <w:tcPr>
            <w:tcW w:w="26" w:type="pct"/>
            <w:vAlign w:val="center"/>
            <w:hideMark/>
          </w:tcPr>
          <w:p w14:paraId="5CD3B2DC" w14:textId="77777777" w:rsidR="00000000" w:rsidRDefault="0068293C">
            <w:pPr>
              <w:spacing w:after="100"/>
              <w:rPr>
                <w:rFonts w:eastAsia="Times New Roman"/>
                <w:sz w:val="20"/>
                <w:szCs w:val="20"/>
              </w:rPr>
            </w:pPr>
          </w:p>
        </w:tc>
        <w:tc>
          <w:tcPr>
            <w:tcW w:w="5" w:type="pct"/>
            <w:vAlign w:val="center"/>
            <w:hideMark/>
          </w:tcPr>
          <w:p w14:paraId="40819B15" w14:textId="77777777" w:rsidR="00000000" w:rsidRDefault="0068293C">
            <w:pPr>
              <w:spacing w:after="100"/>
              <w:rPr>
                <w:rFonts w:eastAsia="Times New Roman"/>
                <w:sz w:val="20"/>
                <w:szCs w:val="20"/>
              </w:rPr>
            </w:pPr>
          </w:p>
        </w:tc>
        <w:tc>
          <w:tcPr>
            <w:tcW w:w="50" w:type="pct"/>
            <w:vAlign w:val="center"/>
            <w:hideMark/>
          </w:tcPr>
          <w:p w14:paraId="47274374" w14:textId="77777777" w:rsidR="00000000" w:rsidRDefault="0068293C">
            <w:pPr>
              <w:spacing w:after="100"/>
              <w:rPr>
                <w:rFonts w:eastAsia="Times New Roman"/>
                <w:sz w:val="20"/>
                <w:szCs w:val="20"/>
              </w:rPr>
            </w:pPr>
          </w:p>
        </w:tc>
        <w:tc>
          <w:tcPr>
            <w:tcW w:w="569" w:type="pct"/>
            <w:vAlign w:val="center"/>
            <w:hideMark/>
          </w:tcPr>
          <w:p w14:paraId="48539647" w14:textId="77777777" w:rsidR="00000000" w:rsidRDefault="0068293C">
            <w:pPr>
              <w:spacing w:after="100"/>
              <w:rPr>
                <w:rFonts w:eastAsia="Times New Roman"/>
                <w:sz w:val="20"/>
                <w:szCs w:val="20"/>
              </w:rPr>
            </w:pPr>
          </w:p>
        </w:tc>
        <w:tc>
          <w:tcPr>
            <w:tcW w:w="5" w:type="pct"/>
            <w:vAlign w:val="center"/>
            <w:hideMark/>
          </w:tcPr>
          <w:p w14:paraId="49B8F32A" w14:textId="77777777" w:rsidR="00000000" w:rsidRDefault="0068293C">
            <w:pPr>
              <w:spacing w:after="100"/>
              <w:rPr>
                <w:rFonts w:eastAsia="Times New Roman"/>
                <w:sz w:val="20"/>
                <w:szCs w:val="20"/>
              </w:rPr>
            </w:pPr>
          </w:p>
        </w:tc>
      </w:tr>
      <w:tr w:rsidR="00000000" w14:paraId="38024627" w14:textId="77777777">
        <w:trPr>
          <w:trHeight w:val="280"/>
          <w:jc w:val="center"/>
        </w:trPr>
        <w:tc>
          <w:tcPr>
            <w:tcW w:w="0" w:type="auto"/>
            <w:gridSpan w:val="3"/>
            <w:tcMar>
              <w:top w:w="0" w:type="dxa"/>
              <w:left w:w="20" w:type="dxa"/>
              <w:bottom w:w="0" w:type="dxa"/>
              <w:right w:w="20" w:type="dxa"/>
            </w:tcMar>
            <w:vAlign w:val="center"/>
            <w:hideMark/>
          </w:tcPr>
          <w:p w14:paraId="04A1FB6E" w14:textId="77777777" w:rsidR="00000000" w:rsidRDefault="0068293C">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55374EDA" w14:textId="77777777" w:rsidR="00000000" w:rsidRDefault="0068293C">
            <w:pPr>
              <w:spacing w:after="100"/>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t>(in Years)</w:t>
            </w:r>
          </w:p>
        </w:tc>
        <w:tc>
          <w:tcPr>
            <w:tcW w:w="0" w:type="auto"/>
            <w:gridSpan w:val="3"/>
            <w:tcMar>
              <w:top w:w="0" w:type="dxa"/>
              <w:left w:w="20" w:type="dxa"/>
              <w:bottom w:w="0" w:type="dxa"/>
              <w:right w:w="20" w:type="dxa"/>
            </w:tcMar>
            <w:vAlign w:val="center"/>
            <w:hideMark/>
          </w:tcPr>
          <w:p w14:paraId="45D8DB42" w14:textId="77777777" w:rsidR="00000000" w:rsidRDefault="0068293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B60598E" w14:textId="77777777" w:rsidR="00000000" w:rsidRDefault="0068293C">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2A58699D" w14:textId="77777777" w:rsidR="00000000" w:rsidRDefault="0068293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CD87B63"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456B2FBE" w14:textId="77777777">
        <w:trPr>
          <w:trHeight w:val="580"/>
          <w:jc w:val="center"/>
        </w:trPr>
        <w:tc>
          <w:tcPr>
            <w:tcW w:w="0" w:type="auto"/>
            <w:gridSpan w:val="3"/>
            <w:tcMar>
              <w:top w:w="30" w:type="dxa"/>
              <w:left w:w="20" w:type="dxa"/>
              <w:bottom w:w="30" w:type="dxa"/>
              <w:right w:w="20" w:type="dxa"/>
            </w:tcMar>
            <w:vAlign w:val="bottom"/>
            <w:hideMark/>
          </w:tcPr>
          <w:p w14:paraId="4A4A210E"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vMerge/>
            <w:vAlign w:val="center"/>
            <w:hideMark/>
          </w:tcPr>
          <w:p w14:paraId="18E2FC97"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5700F2EA"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73CE7A" w14:textId="77777777" w:rsidR="00000000" w:rsidRDefault="0068293C">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14:paraId="27C50580"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70B78C" w14:textId="77777777" w:rsidR="00000000" w:rsidRDefault="0068293C">
            <w:pPr>
              <w:spacing w:after="100"/>
              <w:jc w:val="center"/>
              <w:rPr>
                <w:rFonts w:eastAsia="Times New Roman"/>
              </w:rPr>
            </w:pPr>
            <w:r>
              <w:rPr>
                <w:rFonts w:eastAsia="Times New Roman"/>
                <w:b/>
                <w:bCs/>
                <w:color w:val="000000"/>
                <w:sz w:val="16"/>
                <w:szCs w:val="16"/>
              </w:rPr>
              <w:t>Accumulated Amortization</w:t>
            </w:r>
          </w:p>
        </w:tc>
        <w:tc>
          <w:tcPr>
            <w:tcW w:w="0" w:type="auto"/>
            <w:gridSpan w:val="3"/>
            <w:tcMar>
              <w:top w:w="0" w:type="dxa"/>
              <w:left w:w="20" w:type="dxa"/>
              <w:bottom w:w="0" w:type="dxa"/>
              <w:right w:w="20" w:type="dxa"/>
            </w:tcMar>
            <w:vAlign w:val="center"/>
            <w:hideMark/>
          </w:tcPr>
          <w:p w14:paraId="1B3E4A9B"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C0E07E" w14:textId="77777777" w:rsidR="00000000" w:rsidRDefault="0068293C">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14:paraId="657126DA"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EC544F" w14:textId="77777777" w:rsidR="00000000" w:rsidRDefault="0068293C">
            <w:pPr>
              <w:spacing w:after="100"/>
              <w:jc w:val="center"/>
              <w:rPr>
                <w:rFonts w:eastAsia="Times New Roman"/>
              </w:rPr>
            </w:pPr>
            <w:r>
              <w:rPr>
                <w:rFonts w:eastAsia="Times New Roman"/>
                <w:b/>
                <w:bCs/>
                <w:color w:val="000000"/>
                <w:sz w:val="16"/>
                <w:szCs w:val="16"/>
              </w:rPr>
              <w:t>Accumulated Amortization</w:t>
            </w:r>
          </w:p>
        </w:tc>
      </w:tr>
      <w:tr w:rsidR="00000000" w14:paraId="10E9D161" w14:textId="77777777">
        <w:trPr>
          <w:jc w:val="center"/>
        </w:trPr>
        <w:tc>
          <w:tcPr>
            <w:tcW w:w="0" w:type="auto"/>
            <w:gridSpan w:val="3"/>
            <w:shd w:val="clear" w:color="auto" w:fill="CCEEFF"/>
            <w:tcMar>
              <w:top w:w="30" w:type="dxa"/>
              <w:left w:w="20" w:type="dxa"/>
              <w:bottom w:w="30" w:type="dxa"/>
              <w:right w:w="20" w:type="dxa"/>
            </w:tcMar>
            <w:vAlign w:val="bottom"/>
            <w:hideMark/>
          </w:tcPr>
          <w:p w14:paraId="3C136C15" w14:textId="77777777" w:rsidR="00000000" w:rsidRDefault="0068293C">
            <w:pPr>
              <w:spacing w:after="100"/>
              <w:rPr>
                <w:rFonts w:eastAsia="Times New Roman"/>
              </w:rPr>
            </w:pPr>
            <w:r>
              <w:rPr>
                <w:rFonts w:eastAsia="Times New Roman"/>
                <w:b/>
                <w:bCs/>
                <w:color w:val="000000"/>
                <w:sz w:val="20"/>
                <w:szCs w:val="20"/>
              </w:rPr>
              <w:t>Identifiable intangible assets</w:t>
            </w:r>
          </w:p>
        </w:tc>
        <w:tc>
          <w:tcPr>
            <w:tcW w:w="0" w:type="auto"/>
            <w:gridSpan w:val="3"/>
            <w:shd w:val="clear" w:color="auto" w:fill="CCEEFF"/>
            <w:tcMar>
              <w:top w:w="0" w:type="dxa"/>
              <w:left w:w="20" w:type="dxa"/>
              <w:bottom w:w="0" w:type="dxa"/>
              <w:right w:w="20" w:type="dxa"/>
            </w:tcMar>
            <w:vAlign w:val="center"/>
            <w:hideMark/>
          </w:tcPr>
          <w:p w14:paraId="50263639"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B0551"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07E1C0"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6C36C1"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7D3FD7"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6D7A7"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8BE325"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95E9EB"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3BB05D" w14:textId="77777777" w:rsidR="00000000" w:rsidRDefault="0068293C">
            <w:pPr>
              <w:spacing w:after="100"/>
              <w:rPr>
                <w:rFonts w:eastAsia="Times New Roman"/>
                <w:sz w:val="20"/>
                <w:szCs w:val="20"/>
              </w:rPr>
            </w:pPr>
          </w:p>
        </w:tc>
      </w:tr>
      <w:tr w:rsidR="00000000" w14:paraId="2C07C72C" w14:textId="77777777">
        <w:trPr>
          <w:jc w:val="center"/>
        </w:trPr>
        <w:tc>
          <w:tcPr>
            <w:tcW w:w="0" w:type="auto"/>
            <w:gridSpan w:val="3"/>
            <w:shd w:val="clear" w:color="auto" w:fill="FFFFFF"/>
            <w:tcMar>
              <w:top w:w="30" w:type="dxa"/>
              <w:left w:w="20" w:type="dxa"/>
              <w:bottom w:w="30" w:type="dxa"/>
              <w:right w:w="20" w:type="dxa"/>
            </w:tcMar>
            <w:vAlign w:val="bottom"/>
            <w:hideMark/>
          </w:tcPr>
          <w:p w14:paraId="751237CC" w14:textId="77777777" w:rsidR="00000000" w:rsidRDefault="0068293C">
            <w:pPr>
              <w:spacing w:after="100"/>
              <w:rPr>
                <w:rFonts w:eastAsia="Times New Roman"/>
              </w:rPr>
            </w:pPr>
            <w:r>
              <w:rPr>
                <w:rFonts w:eastAsia="Times New Roman"/>
                <w:color w:val="000000"/>
                <w:sz w:val="20"/>
                <w:szCs w:val="20"/>
              </w:rPr>
              <w:t>Reseller &amp; customer relationships</w:t>
            </w:r>
          </w:p>
        </w:tc>
        <w:tc>
          <w:tcPr>
            <w:tcW w:w="0" w:type="auto"/>
            <w:gridSpan w:val="3"/>
            <w:shd w:val="clear" w:color="auto" w:fill="FFFFFF"/>
            <w:tcMar>
              <w:top w:w="30" w:type="dxa"/>
              <w:left w:w="20" w:type="dxa"/>
              <w:bottom w:w="30" w:type="dxa"/>
              <w:right w:w="20" w:type="dxa"/>
            </w:tcMar>
            <w:vAlign w:val="bottom"/>
            <w:hideMark/>
          </w:tcPr>
          <w:p w14:paraId="56F38AD7" w14:textId="77777777" w:rsidR="00000000" w:rsidRDefault="0068293C">
            <w:pPr>
              <w:spacing w:after="100"/>
              <w:jc w:val="center"/>
              <w:rPr>
                <w:rFonts w:eastAsia="Times New Roman"/>
              </w:rPr>
            </w:pPr>
            <w:r>
              <w:rPr>
                <w:rFonts w:eastAsia="Times New Roman"/>
                <w:color w:val="000000"/>
                <w:sz w:val="20"/>
                <w:szCs w:val="20"/>
              </w:rPr>
              <w:t>1 - 20</w:t>
            </w:r>
          </w:p>
        </w:tc>
        <w:tc>
          <w:tcPr>
            <w:tcW w:w="0" w:type="auto"/>
            <w:gridSpan w:val="3"/>
            <w:shd w:val="clear" w:color="auto" w:fill="FFFFFF"/>
            <w:tcMar>
              <w:top w:w="0" w:type="dxa"/>
              <w:left w:w="20" w:type="dxa"/>
              <w:bottom w:w="0" w:type="dxa"/>
              <w:right w:w="20" w:type="dxa"/>
            </w:tcMar>
            <w:vAlign w:val="center"/>
            <w:hideMark/>
          </w:tcPr>
          <w:p w14:paraId="58222C27" w14:textId="77777777" w:rsidR="00000000" w:rsidRDefault="0068293C">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204AA09"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7FBFB40" w14:textId="77777777" w:rsidR="00000000" w:rsidRDefault="0068293C">
            <w:pPr>
              <w:spacing w:after="100"/>
              <w:jc w:val="right"/>
              <w:rPr>
                <w:rFonts w:eastAsia="Times New Roman"/>
              </w:rPr>
            </w:pPr>
            <w:r>
              <w:rPr>
                <w:rFonts w:eastAsia="Times New Roman"/>
                <w:b/>
                <w:bCs/>
                <w:color w:val="000000"/>
                <w:sz w:val="20"/>
                <w:szCs w:val="20"/>
              </w:rPr>
              <w:t>1,127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E2BA3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F96E4"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1C95C6"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5AAAAD0" w14:textId="77777777" w:rsidR="00000000" w:rsidRDefault="0068293C">
            <w:pPr>
              <w:spacing w:after="100"/>
              <w:jc w:val="right"/>
              <w:rPr>
                <w:rFonts w:eastAsia="Times New Roman"/>
              </w:rPr>
            </w:pPr>
            <w:r>
              <w:rPr>
                <w:rFonts w:eastAsia="Times New Roman"/>
                <w:b/>
                <w:bCs/>
                <w:color w:val="000000"/>
                <w:sz w:val="20"/>
                <w:szCs w:val="20"/>
              </w:rPr>
              <w:t>(409)</w:t>
            </w:r>
          </w:p>
        </w:tc>
        <w:tc>
          <w:tcPr>
            <w:tcW w:w="0" w:type="auto"/>
            <w:shd w:val="clear" w:color="auto" w:fill="FFFFFF"/>
            <w:tcMar>
              <w:top w:w="30" w:type="dxa"/>
              <w:left w:w="0" w:type="dxa"/>
              <w:bottom w:w="30" w:type="dxa"/>
              <w:right w:w="20" w:type="dxa"/>
            </w:tcMar>
            <w:vAlign w:val="bottom"/>
            <w:hideMark/>
          </w:tcPr>
          <w:p w14:paraId="5F67DE4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644A6"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445067"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CD2674" w14:textId="77777777" w:rsidR="00000000" w:rsidRDefault="0068293C">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14:paraId="7349225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6E9D3"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35207E"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2C3745" w14:textId="77777777" w:rsidR="00000000" w:rsidRDefault="0068293C">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14:paraId="3F51466E" w14:textId="77777777" w:rsidR="00000000" w:rsidRDefault="0068293C">
            <w:pPr>
              <w:spacing w:after="100"/>
              <w:jc w:val="right"/>
              <w:rPr>
                <w:rFonts w:eastAsia="Times New Roman"/>
              </w:rPr>
            </w:pPr>
          </w:p>
        </w:tc>
      </w:tr>
      <w:tr w:rsidR="00000000" w14:paraId="1773C277" w14:textId="77777777">
        <w:trPr>
          <w:jc w:val="center"/>
        </w:trPr>
        <w:tc>
          <w:tcPr>
            <w:tcW w:w="0" w:type="auto"/>
            <w:gridSpan w:val="3"/>
            <w:shd w:val="clear" w:color="auto" w:fill="CCEEFF"/>
            <w:tcMar>
              <w:top w:w="30" w:type="dxa"/>
              <w:left w:w="20" w:type="dxa"/>
              <w:bottom w:w="30" w:type="dxa"/>
              <w:right w:w="20" w:type="dxa"/>
            </w:tcMar>
            <w:vAlign w:val="bottom"/>
            <w:hideMark/>
          </w:tcPr>
          <w:p w14:paraId="4170BB53" w14:textId="77777777" w:rsidR="00000000" w:rsidRDefault="0068293C">
            <w:pPr>
              <w:spacing w:after="100"/>
              <w:rPr>
                <w:rFonts w:eastAsia="Times New Roman"/>
              </w:rPr>
            </w:pPr>
            <w:r>
              <w:rPr>
                <w:rFonts w:eastAsia="Times New Roman"/>
                <w:color w:val="000000"/>
                <w:sz w:val="20"/>
                <w:szCs w:val="20"/>
              </w:rPr>
              <w:t>Intellectual property</w:t>
            </w:r>
          </w:p>
        </w:tc>
        <w:tc>
          <w:tcPr>
            <w:tcW w:w="0" w:type="auto"/>
            <w:gridSpan w:val="3"/>
            <w:shd w:val="clear" w:color="auto" w:fill="CCEEFF"/>
            <w:tcMar>
              <w:top w:w="30" w:type="dxa"/>
              <w:left w:w="20" w:type="dxa"/>
              <w:bottom w:w="30" w:type="dxa"/>
              <w:right w:w="20" w:type="dxa"/>
            </w:tcMar>
            <w:vAlign w:val="bottom"/>
            <w:hideMark/>
          </w:tcPr>
          <w:p w14:paraId="1CCF3EEA" w14:textId="77777777" w:rsidR="00000000" w:rsidRDefault="0068293C">
            <w:pPr>
              <w:spacing w:after="100"/>
              <w:jc w:val="center"/>
              <w:rPr>
                <w:rFonts w:eastAsia="Times New Roman"/>
              </w:rPr>
            </w:pPr>
            <w:r>
              <w:rPr>
                <w:rFonts w:eastAsia="Times New Roman"/>
                <w:color w:val="000000"/>
                <w:sz w:val="20"/>
                <w:szCs w:val="20"/>
              </w:rPr>
              <w:t>2 - 8</w:t>
            </w:r>
          </w:p>
        </w:tc>
        <w:tc>
          <w:tcPr>
            <w:tcW w:w="0" w:type="auto"/>
            <w:gridSpan w:val="3"/>
            <w:shd w:val="clear" w:color="auto" w:fill="CCEEFF"/>
            <w:tcMar>
              <w:top w:w="0" w:type="dxa"/>
              <w:left w:w="20" w:type="dxa"/>
              <w:bottom w:w="0" w:type="dxa"/>
              <w:right w:w="20" w:type="dxa"/>
            </w:tcMar>
            <w:vAlign w:val="center"/>
            <w:hideMark/>
          </w:tcPr>
          <w:p w14:paraId="55AD4FBA" w14:textId="77777777" w:rsidR="00000000" w:rsidRDefault="0068293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D87FAA" w14:textId="77777777" w:rsidR="00000000" w:rsidRDefault="0068293C">
            <w:pPr>
              <w:spacing w:after="100"/>
              <w:jc w:val="right"/>
              <w:rPr>
                <w:rFonts w:eastAsia="Times New Roman"/>
              </w:rPr>
            </w:pPr>
            <w:r>
              <w:rPr>
                <w:rFonts w:eastAsia="Times New Roman"/>
                <w:b/>
                <w:bCs/>
                <w:color w:val="000000"/>
                <w:sz w:val="20"/>
                <w:szCs w:val="20"/>
              </w:rPr>
              <w:t>1,041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A6889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27E4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43C5A2" w14:textId="77777777" w:rsidR="00000000" w:rsidRDefault="0068293C">
            <w:pPr>
              <w:spacing w:after="100"/>
              <w:jc w:val="right"/>
              <w:rPr>
                <w:rFonts w:eastAsia="Times New Roman"/>
              </w:rPr>
            </w:pPr>
            <w:r>
              <w:rPr>
                <w:rFonts w:eastAsia="Times New Roman"/>
                <w:b/>
                <w:bCs/>
                <w:color w:val="000000"/>
                <w:sz w:val="20"/>
                <w:szCs w:val="20"/>
              </w:rPr>
              <w:t>(495)</w:t>
            </w:r>
          </w:p>
        </w:tc>
        <w:tc>
          <w:tcPr>
            <w:tcW w:w="0" w:type="auto"/>
            <w:shd w:val="clear" w:color="auto" w:fill="CCEEFF"/>
            <w:tcMar>
              <w:top w:w="30" w:type="dxa"/>
              <w:left w:w="0" w:type="dxa"/>
              <w:bottom w:w="30" w:type="dxa"/>
              <w:right w:w="20" w:type="dxa"/>
            </w:tcMar>
            <w:vAlign w:val="bottom"/>
            <w:hideMark/>
          </w:tcPr>
          <w:p w14:paraId="4801AF4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EA91D"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9A8158" w14:textId="77777777" w:rsidR="00000000" w:rsidRDefault="0068293C">
            <w:pPr>
              <w:spacing w:after="100"/>
              <w:jc w:val="right"/>
              <w:rPr>
                <w:rFonts w:eastAsia="Times New Roman"/>
              </w:rPr>
            </w:pPr>
            <w:r>
              <w:rPr>
                <w:rFonts w:eastAsia="Times New Roman"/>
                <w:color w:val="000000"/>
                <w:sz w:val="20"/>
                <w:szCs w:val="20"/>
              </w:rPr>
              <w:t>1,008 </w:t>
            </w:r>
          </w:p>
        </w:tc>
        <w:tc>
          <w:tcPr>
            <w:tcW w:w="0" w:type="auto"/>
            <w:shd w:val="clear" w:color="auto" w:fill="CCEEFF"/>
            <w:tcMar>
              <w:top w:w="30" w:type="dxa"/>
              <w:left w:w="0" w:type="dxa"/>
              <w:bottom w:w="30" w:type="dxa"/>
              <w:right w:w="20" w:type="dxa"/>
            </w:tcMar>
            <w:vAlign w:val="bottom"/>
            <w:hideMark/>
          </w:tcPr>
          <w:p w14:paraId="6860F59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9AB6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114DC" w14:textId="77777777" w:rsidR="00000000" w:rsidRDefault="0068293C">
            <w:pPr>
              <w:spacing w:after="100"/>
              <w:jc w:val="right"/>
              <w:rPr>
                <w:rFonts w:eastAsia="Times New Roman"/>
              </w:rPr>
            </w:pPr>
            <w:r>
              <w:rPr>
                <w:rFonts w:eastAsia="Times New Roman"/>
                <w:color w:val="000000"/>
                <w:sz w:val="20"/>
                <w:szCs w:val="20"/>
              </w:rPr>
              <w:t>(474)</w:t>
            </w:r>
          </w:p>
        </w:tc>
        <w:tc>
          <w:tcPr>
            <w:tcW w:w="0" w:type="auto"/>
            <w:shd w:val="clear" w:color="auto" w:fill="CCEEFF"/>
            <w:tcMar>
              <w:top w:w="30" w:type="dxa"/>
              <w:left w:w="0" w:type="dxa"/>
              <w:bottom w:w="30" w:type="dxa"/>
              <w:right w:w="20" w:type="dxa"/>
            </w:tcMar>
            <w:vAlign w:val="bottom"/>
            <w:hideMark/>
          </w:tcPr>
          <w:p w14:paraId="0EBA2D97" w14:textId="77777777" w:rsidR="00000000" w:rsidRDefault="0068293C">
            <w:pPr>
              <w:spacing w:after="100"/>
              <w:jc w:val="right"/>
              <w:rPr>
                <w:rFonts w:eastAsia="Times New Roman"/>
              </w:rPr>
            </w:pPr>
          </w:p>
        </w:tc>
      </w:tr>
      <w:tr w:rsidR="00000000" w14:paraId="4C6D6C37" w14:textId="77777777">
        <w:trPr>
          <w:jc w:val="center"/>
        </w:trPr>
        <w:tc>
          <w:tcPr>
            <w:tcW w:w="0" w:type="auto"/>
            <w:gridSpan w:val="3"/>
            <w:shd w:val="clear" w:color="auto" w:fill="FFFFFF"/>
            <w:tcMar>
              <w:top w:w="30" w:type="dxa"/>
              <w:left w:w="20" w:type="dxa"/>
              <w:bottom w:w="30" w:type="dxa"/>
              <w:right w:w="20" w:type="dxa"/>
            </w:tcMar>
            <w:vAlign w:val="bottom"/>
            <w:hideMark/>
          </w:tcPr>
          <w:p w14:paraId="4EF80315" w14:textId="77777777" w:rsidR="00000000" w:rsidRDefault="0068293C">
            <w:pPr>
              <w:spacing w:after="100"/>
              <w:rPr>
                <w:rFonts w:eastAsia="Times New Roman"/>
              </w:rPr>
            </w:pPr>
            <w:r>
              <w:rPr>
                <w:rFonts w:eastAsia="Times New Roman"/>
                <w:color w:val="000000"/>
                <w:sz w:val="20"/>
                <w:szCs w:val="20"/>
              </w:rPr>
              <w:t>Customer contracts</w:t>
            </w:r>
          </w:p>
        </w:tc>
        <w:tc>
          <w:tcPr>
            <w:tcW w:w="0" w:type="auto"/>
            <w:gridSpan w:val="3"/>
            <w:shd w:val="clear" w:color="auto" w:fill="FFFFFF"/>
            <w:tcMar>
              <w:top w:w="30" w:type="dxa"/>
              <w:left w:w="20" w:type="dxa"/>
              <w:bottom w:w="30" w:type="dxa"/>
              <w:right w:w="20" w:type="dxa"/>
            </w:tcMar>
            <w:vAlign w:val="bottom"/>
            <w:hideMark/>
          </w:tcPr>
          <w:p w14:paraId="1B9B0AC8" w14:textId="77777777" w:rsidR="00000000" w:rsidRDefault="0068293C">
            <w:pPr>
              <w:spacing w:after="100"/>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14:paraId="25F95F71" w14:textId="77777777" w:rsidR="00000000" w:rsidRDefault="0068293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CF4226" w14:textId="77777777" w:rsidR="00000000" w:rsidRDefault="0068293C">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298C5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8B11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F1CB1" w14:textId="77777777" w:rsidR="00000000" w:rsidRDefault="0068293C">
            <w:pPr>
              <w:spacing w:after="100"/>
              <w:jc w:val="right"/>
              <w:rPr>
                <w:rFonts w:eastAsia="Times New Roman"/>
              </w:rPr>
            </w:pPr>
            <w:r>
              <w:rPr>
                <w:rFonts w:eastAsia="Times New Roman"/>
                <w:b/>
                <w:bCs/>
                <w:color w:val="000000"/>
                <w:sz w:val="20"/>
                <w:szCs w:val="20"/>
              </w:rPr>
              <w:t>(89)</w:t>
            </w:r>
          </w:p>
        </w:tc>
        <w:tc>
          <w:tcPr>
            <w:tcW w:w="0" w:type="auto"/>
            <w:shd w:val="clear" w:color="auto" w:fill="FFFFFF"/>
            <w:tcMar>
              <w:top w:w="30" w:type="dxa"/>
              <w:left w:w="0" w:type="dxa"/>
              <w:bottom w:w="30" w:type="dxa"/>
              <w:right w:w="20" w:type="dxa"/>
            </w:tcMar>
            <w:vAlign w:val="bottom"/>
            <w:hideMark/>
          </w:tcPr>
          <w:p w14:paraId="2BECA1D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AAD52"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A7FD4E" w14:textId="77777777" w:rsidR="00000000" w:rsidRDefault="0068293C">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14:paraId="5BAD5CF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57D4D"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34C492" w14:textId="77777777" w:rsidR="00000000" w:rsidRDefault="0068293C">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14:paraId="5C65E775" w14:textId="77777777" w:rsidR="00000000" w:rsidRDefault="0068293C">
            <w:pPr>
              <w:spacing w:after="100"/>
              <w:jc w:val="right"/>
              <w:rPr>
                <w:rFonts w:eastAsia="Times New Roman"/>
              </w:rPr>
            </w:pPr>
          </w:p>
        </w:tc>
      </w:tr>
      <w:tr w:rsidR="00000000" w14:paraId="5AD0F323" w14:textId="77777777">
        <w:trPr>
          <w:jc w:val="center"/>
        </w:trPr>
        <w:tc>
          <w:tcPr>
            <w:tcW w:w="0" w:type="auto"/>
            <w:gridSpan w:val="3"/>
            <w:shd w:val="clear" w:color="auto" w:fill="CCEEFF"/>
            <w:tcMar>
              <w:top w:w="30" w:type="dxa"/>
              <w:left w:w="20" w:type="dxa"/>
              <w:bottom w:w="30" w:type="dxa"/>
              <w:right w:w="20" w:type="dxa"/>
            </w:tcMar>
            <w:vAlign w:val="bottom"/>
            <w:hideMark/>
          </w:tcPr>
          <w:p w14:paraId="1CDD455C" w14:textId="77777777" w:rsidR="00000000" w:rsidRDefault="0068293C">
            <w:pPr>
              <w:spacing w:after="100"/>
              <w:rPr>
                <w:rFonts w:eastAsia="Times New Roman"/>
              </w:rPr>
            </w:pPr>
            <w:r>
              <w:rPr>
                <w:rFonts w:eastAsia="Times New Roman"/>
                <w:color w:val="000000"/>
                <w:sz w:val="20"/>
                <w:szCs w:val="20"/>
              </w:rPr>
              <w:t>Tradenames</w:t>
            </w:r>
          </w:p>
        </w:tc>
        <w:tc>
          <w:tcPr>
            <w:tcW w:w="0" w:type="auto"/>
            <w:gridSpan w:val="3"/>
            <w:shd w:val="clear" w:color="auto" w:fill="CCEEFF"/>
            <w:tcMar>
              <w:top w:w="30" w:type="dxa"/>
              <w:left w:w="20" w:type="dxa"/>
              <w:bottom w:w="30" w:type="dxa"/>
              <w:right w:w="20" w:type="dxa"/>
            </w:tcMar>
            <w:vAlign w:val="bottom"/>
            <w:hideMark/>
          </w:tcPr>
          <w:p w14:paraId="6FBAA9EB" w14:textId="77777777" w:rsidR="00000000" w:rsidRDefault="0068293C">
            <w:pPr>
              <w:spacing w:after="100"/>
              <w:jc w:val="center"/>
              <w:rPr>
                <w:rFonts w:eastAsia="Times New Roman"/>
              </w:rPr>
            </w:pPr>
            <w:r>
              <w:rPr>
                <w:rFonts w:eastAsia="Times New Roman"/>
                <w:color w:val="000000"/>
                <w:sz w:val="20"/>
                <w:szCs w:val="20"/>
              </w:rPr>
              <w:t>1 - 10</w:t>
            </w:r>
          </w:p>
        </w:tc>
        <w:tc>
          <w:tcPr>
            <w:tcW w:w="0" w:type="auto"/>
            <w:gridSpan w:val="3"/>
            <w:shd w:val="clear" w:color="auto" w:fill="CCEEFF"/>
            <w:tcMar>
              <w:top w:w="0" w:type="dxa"/>
              <w:left w:w="20" w:type="dxa"/>
              <w:bottom w:w="0" w:type="dxa"/>
              <w:right w:w="20" w:type="dxa"/>
            </w:tcMar>
            <w:vAlign w:val="center"/>
            <w:hideMark/>
          </w:tcPr>
          <w:p w14:paraId="671591DB" w14:textId="77777777" w:rsidR="00000000" w:rsidRDefault="0068293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897791" w14:textId="77777777" w:rsidR="00000000" w:rsidRDefault="0068293C">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BCDCE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4557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FFF9F1" w14:textId="77777777" w:rsidR="00000000" w:rsidRDefault="0068293C">
            <w:pPr>
              <w:spacing w:after="100"/>
              <w:jc w:val="right"/>
              <w:rPr>
                <w:rFonts w:eastAsia="Times New Roman"/>
              </w:rPr>
            </w:pPr>
            <w:r>
              <w:rPr>
                <w:rFonts w:eastAsia="Times New Roman"/>
                <w:b/>
                <w:bCs/>
                <w:color w:val="000000"/>
                <w:sz w:val="20"/>
                <w:szCs w:val="20"/>
              </w:rPr>
              <w:t>(85)</w:t>
            </w:r>
          </w:p>
        </w:tc>
        <w:tc>
          <w:tcPr>
            <w:tcW w:w="0" w:type="auto"/>
            <w:shd w:val="clear" w:color="auto" w:fill="CCEEFF"/>
            <w:tcMar>
              <w:top w:w="30" w:type="dxa"/>
              <w:left w:w="0" w:type="dxa"/>
              <w:bottom w:w="30" w:type="dxa"/>
              <w:right w:w="20" w:type="dxa"/>
            </w:tcMar>
            <w:vAlign w:val="bottom"/>
            <w:hideMark/>
          </w:tcPr>
          <w:p w14:paraId="79247D7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E6C9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C8AA68" w14:textId="77777777" w:rsidR="00000000" w:rsidRDefault="0068293C">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0D3E318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F929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A67BD2" w14:textId="77777777" w:rsidR="00000000" w:rsidRDefault="0068293C">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14:paraId="05E91B82" w14:textId="77777777" w:rsidR="00000000" w:rsidRDefault="0068293C">
            <w:pPr>
              <w:spacing w:after="100"/>
              <w:jc w:val="right"/>
              <w:rPr>
                <w:rFonts w:eastAsia="Times New Roman"/>
              </w:rPr>
            </w:pPr>
          </w:p>
        </w:tc>
      </w:tr>
      <w:tr w:rsidR="00000000" w14:paraId="4C1FB587" w14:textId="77777777">
        <w:trPr>
          <w:jc w:val="center"/>
        </w:trPr>
        <w:tc>
          <w:tcPr>
            <w:tcW w:w="0" w:type="auto"/>
            <w:gridSpan w:val="3"/>
            <w:shd w:val="clear" w:color="auto" w:fill="FFFFFF"/>
            <w:tcMar>
              <w:top w:w="30" w:type="dxa"/>
              <w:left w:w="20" w:type="dxa"/>
              <w:bottom w:w="30" w:type="dxa"/>
              <w:right w:w="20" w:type="dxa"/>
            </w:tcMar>
            <w:vAlign w:val="bottom"/>
            <w:hideMark/>
          </w:tcPr>
          <w:p w14:paraId="1D0C664D" w14:textId="77777777" w:rsidR="00000000" w:rsidRDefault="0068293C">
            <w:pPr>
              <w:spacing w:after="100"/>
              <w:rPr>
                <w:rFonts w:eastAsia="Times New Roman"/>
              </w:rPr>
            </w:pPr>
            <w:r>
              <w:rPr>
                <w:rFonts w:eastAsia="Times New Roman"/>
                <w:b/>
                <w:bCs/>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14:paraId="7FBD509D"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AA387" w14:textId="77777777" w:rsidR="00000000" w:rsidRDefault="0068293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F03BB3"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2F0AB6" w14:textId="77777777" w:rsidR="00000000" w:rsidRDefault="0068293C">
            <w:pPr>
              <w:spacing w:after="100"/>
              <w:jc w:val="right"/>
              <w:rPr>
                <w:rFonts w:eastAsia="Times New Roman"/>
              </w:rPr>
            </w:pPr>
            <w:r>
              <w:rPr>
                <w:rFonts w:eastAsia="Times New Roman"/>
                <w:b/>
                <w:bCs/>
                <w:color w:val="000000"/>
                <w:sz w:val="20"/>
                <w:szCs w:val="20"/>
              </w:rPr>
              <w:t>2,387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BAA2F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99B38"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94788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DFB970" w14:textId="77777777" w:rsidR="00000000" w:rsidRDefault="0068293C">
            <w:pPr>
              <w:spacing w:after="100"/>
              <w:jc w:val="right"/>
              <w:rPr>
                <w:rFonts w:eastAsia="Times New Roman"/>
              </w:rPr>
            </w:pPr>
            <w:r>
              <w:rPr>
                <w:rFonts w:eastAsia="Times New Roman"/>
                <w:b/>
                <w:bCs/>
                <w:color w:val="000000"/>
                <w:sz w:val="20"/>
                <w:szCs w:val="20"/>
              </w:rPr>
              <w:t>(1,078)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D9F01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CFD4B"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EE1D0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DBABBF" w14:textId="77777777" w:rsidR="00000000" w:rsidRDefault="0068293C">
            <w:pPr>
              <w:spacing w:after="100"/>
              <w:jc w:val="right"/>
              <w:rPr>
                <w:rFonts w:eastAsia="Times New Roman"/>
              </w:rPr>
            </w:pPr>
            <w:r>
              <w:rPr>
                <w:rFonts w:eastAsia="Times New Roman"/>
                <w:color w:val="000000"/>
                <w:sz w:val="20"/>
                <w:szCs w:val="20"/>
              </w:rPr>
              <w:t>2,353 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5885F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75A4D"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EFF718"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E71343" w14:textId="77777777" w:rsidR="00000000" w:rsidRDefault="0068293C">
            <w:pPr>
              <w:spacing w:after="100"/>
              <w:jc w:val="right"/>
              <w:rPr>
                <w:rFonts w:eastAsia="Times New Roman"/>
              </w:rPr>
            </w:pPr>
            <w:r>
              <w:rPr>
                <w:rFonts w:eastAsia="Times New Roman"/>
                <w:color w:val="000000"/>
                <w:sz w:val="20"/>
                <w:szCs w:val="20"/>
              </w:rPr>
              <w:t>(1,037)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DAA604" w14:textId="77777777" w:rsidR="00000000" w:rsidRDefault="0068293C">
            <w:pPr>
              <w:spacing w:after="100"/>
              <w:jc w:val="right"/>
              <w:rPr>
                <w:rFonts w:eastAsia="Times New Roman"/>
              </w:rPr>
            </w:pPr>
          </w:p>
        </w:tc>
      </w:tr>
    </w:tbl>
    <w:p w14:paraId="7783E038" w14:textId="77777777" w:rsidR="00000000" w:rsidRDefault="0068293C">
      <w:pPr>
        <w:jc w:val="center"/>
        <w:divId w:val="1143811403"/>
        <w:rPr>
          <w:rFonts w:eastAsia="Times New Roman"/>
        </w:rPr>
      </w:pPr>
      <w:r>
        <w:rPr>
          <w:rFonts w:eastAsia="Times New Roman"/>
          <w:color w:val="000000"/>
          <w:sz w:val="20"/>
          <w:szCs w:val="20"/>
        </w:rPr>
        <w:t>13</w:t>
      </w:r>
    </w:p>
    <w:p w14:paraId="193DBEEE" w14:textId="77777777" w:rsidR="00000000" w:rsidRDefault="0068293C">
      <w:pPr>
        <w:rPr>
          <w:rFonts w:eastAsia="Times New Roman"/>
        </w:rPr>
      </w:pPr>
      <w:r>
        <w:rPr>
          <w:rFonts w:eastAsia="Times New Roman"/>
        </w:rPr>
        <w:pict w14:anchorId="3DF41B88">
          <v:rect id="_x0000_i1038" style="width:0;height:1.5pt" o:hralign="center" o:hrstd="t" o:hr="t" fillcolor="#a0a0a0" stroked="f"/>
        </w:pict>
      </w:r>
    </w:p>
    <w:p w14:paraId="70D26A3A" w14:textId="77777777" w:rsidR="00000000" w:rsidRDefault="0068293C">
      <w:pPr>
        <w:ind w:firstLine="720"/>
        <w:divId w:val="1527021567"/>
        <w:rPr>
          <w:rFonts w:eastAsia="Times New Roman"/>
        </w:rPr>
      </w:pPr>
      <w:hyperlink w:anchor="i78484f3d0d8e4e36a7c87ddd6ea9d725_7" w:history="1">
        <w:r>
          <w:rPr>
            <w:rStyle w:val="a3"/>
            <w:rFonts w:eastAsia="Times New Roman"/>
            <w:sz w:val="16"/>
            <w:szCs w:val="16"/>
          </w:rPr>
          <w:t>Table of Content</w:t>
        </w:r>
      </w:hyperlink>
    </w:p>
    <w:p w14:paraId="534234FF" w14:textId="77777777" w:rsidR="00000000" w:rsidRDefault="0068293C">
      <w:pPr>
        <w:jc w:val="center"/>
        <w:divId w:val="181629657"/>
        <w:rPr>
          <w:rFonts w:eastAsia="Times New Roman"/>
        </w:rPr>
      </w:pPr>
      <w:r>
        <w:rPr>
          <w:rFonts w:eastAsia="Times New Roman"/>
          <w:b/>
          <w:bCs/>
          <w:color w:val="000000"/>
          <w:sz w:val="20"/>
          <w:szCs w:val="20"/>
        </w:rPr>
        <w:t>NCR Corporation</w:t>
      </w:r>
    </w:p>
    <w:p w14:paraId="2DF7F347" w14:textId="77777777" w:rsidR="00000000" w:rsidRDefault="0068293C">
      <w:pPr>
        <w:jc w:val="center"/>
        <w:divId w:val="181629657"/>
        <w:rPr>
          <w:rFonts w:eastAsia="Times New Roman"/>
        </w:rPr>
      </w:pPr>
      <w:r>
        <w:rPr>
          <w:rFonts w:eastAsia="Times New Roman"/>
          <w:b/>
          <w:bCs/>
          <w:color w:val="000000"/>
          <w:sz w:val="20"/>
          <w:szCs w:val="20"/>
        </w:rPr>
        <w:t>Notes to Condensed Consolidated Financial Statements (Unaudited)—(Continued)</w:t>
      </w:r>
    </w:p>
    <w:p w14:paraId="1C3CC010" w14:textId="77777777" w:rsidR="00000000" w:rsidRDefault="0068293C">
      <w:pPr>
        <w:jc w:val="both"/>
        <w:rPr>
          <w:rFonts w:eastAsia="Times New Roman"/>
        </w:rPr>
      </w:pPr>
    </w:p>
    <w:p w14:paraId="61A0F469" w14:textId="77777777" w:rsidR="00000000" w:rsidRDefault="0068293C">
      <w:pPr>
        <w:jc w:val="both"/>
        <w:rPr>
          <w:rFonts w:eastAsia="Times New Roman"/>
        </w:rPr>
      </w:pPr>
      <w:r>
        <w:rPr>
          <w:rFonts w:eastAsia="Times New Roman"/>
          <w:color w:val="000000"/>
          <w:sz w:val="20"/>
          <w:szCs w:val="20"/>
        </w:rPr>
        <w:t>Amortization expense related to identifiable intangible assets was $41 million and $20 million for the three months ended March 31, 2022 and 2021, respectively. The estimated aggregate amortization expense for identifiable intangible assets for the followi</w:t>
      </w:r>
      <w:r>
        <w:rPr>
          <w:rFonts w:eastAsia="Times New Roman"/>
          <w:color w:val="000000"/>
          <w:sz w:val="20"/>
          <w:szCs w:val="20"/>
        </w:rPr>
        <w:t xml:space="preserve">ng periods is: </w:t>
      </w:r>
    </w:p>
    <w:tbl>
      <w:tblPr>
        <w:tblW w:w="4883" w:type="pct"/>
        <w:jc w:val="center"/>
        <w:tblCellMar>
          <w:top w:w="15" w:type="dxa"/>
          <w:left w:w="15" w:type="dxa"/>
          <w:bottom w:w="15" w:type="dxa"/>
          <w:right w:w="15" w:type="dxa"/>
        </w:tblCellMar>
        <w:tblLook w:val="04A0" w:firstRow="1" w:lastRow="0" w:firstColumn="1" w:lastColumn="0" w:noHBand="0" w:noVBand="1"/>
      </w:tblPr>
      <w:tblGrid>
        <w:gridCol w:w="39"/>
        <w:gridCol w:w="2176"/>
        <w:gridCol w:w="36"/>
        <w:gridCol w:w="121"/>
        <w:gridCol w:w="876"/>
        <w:gridCol w:w="36"/>
        <w:gridCol w:w="36"/>
        <w:gridCol w:w="36"/>
        <w:gridCol w:w="36"/>
        <w:gridCol w:w="120"/>
        <w:gridCol w:w="695"/>
        <w:gridCol w:w="36"/>
        <w:gridCol w:w="36"/>
        <w:gridCol w:w="36"/>
        <w:gridCol w:w="36"/>
        <w:gridCol w:w="120"/>
        <w:gridCol w:w="696"/>
        <w:gridCol w:w="36"/>
        <w:gridCol w:w="36"/>
        <w:gridCol w:w="36"/>
        <w:gridCol w:w="36"/>
        <w:gridCol w:w="120"/>
        <w:gridCol w:w="697"/>
        <w:gridCol w:w="36"/>
        <w:gridCol w:w="36"/>
        <w:gridCol w:w="36"/>
        <w:gridCol w:w="36"/>
        <w:gridCol w:w="120"/>
        <w:gridCol w:w="723"/>
        <w:gridCol w:w="36"/>
        <w:gridCol w:w="36"/>
        <w:gridCol w:w="36"/>
        <w:gridCol w:w="36"/>
        <w:gridCol w:w="120"/>
        <w:gridCol w:w="697"/>
        <w:gridCol w:w="36"/>
      </w:tblGrid>
      <w:tr w:rsidR="00000000" w14:paraId="0D3CD579" w14:textId="77777777">
        <w:trPr>
          <w:jc w:val="center"/>
        </w:trPr>
        <w:tc>
          <w:tcPr>
            <w:tcW w:w="50" w:type="pct"/>
            <w:vAlign w:val="center"/>
            <w:hideMark/>
          </w:tcPr>
          <w:p w14:paraId="76CD4EBC" w14:textId="77777777" w:rsidR="00000000" w:rsidRDefault="0068293C">
            <w:pPr>
              <w:jc w:val="both"/>
              <w:rPr>
                <w:rFonts w:eastAsia="Times New Roman"/>
              </w:rPr>
            </w:pPr>
          </w:p>
        </w:tc>
        <w:tc>
          <w:tcPr>
            <w:tcW w:w="1382" w:type="pct"/>
            <w:vAlign w:val="center"/>
            <w:hideMark/>
          </w:tcPr>
          <w:p w14:paraId="3D528665" w14:textId="77777777" w:rsidR="00000000" w:rsidRDefault="0068293C">
            <w:pPr>
              <w:spacing w:after="100"/>
              <w:rPr>
                <w:rFonts w:eastAsia="Times New Roman"/>
                <w:sz w:val="20"/>
                <w:szCs w:val="20"/>
              </w:rPr>
            </w:pPr>
          </w:p>
        </w:tc>
        <w:tc>
          <w:tcPr>
            <w:tcW w:w="5" w:type="pct"/>
            <w:vAlign w:val="center"/>
            <w:hideMark/>
          </w:tcPr>
          <w:p w14:paraId="21FAB386" w14:textId="77777777" w:rsidR="00000000" w:rsidRDefault="0068293C">
            <w:pPr>
              <w:spacing w:after="100"/>
              <w:rPr>
                <w:rFonts w:eastAsia="Times New Roman"/>
                <w:sz w:val="20"/>
                <w:szCs w:val="20"/>
              </w:rPr>
            </w:pPr>
          </w:p>
        </w:tc>
        <w:tc>
          <w:tcPr>
            <w:tcW w:w="50" w:type="pct"/>
            <w:vAlign w:val="center"/>
            <w:hideMark/>
          </w:tcPr>
          <w:p w14:paraId="29C5E590" w14:textId="77777777" w:rsidR="00000000" w:rsidRDefault="0068293C">
            <w:pPr>
              <w:spacing w:after="100"/>
              <w:rPr>
                <w:rFonts w:eastAsia="Times New Roman"/>
                <w:sz w:val="20"/>
                <w:szCs w:val="20"/>
              </w:rPr>
            </w:pPr>
          </w:p>
        </w:tc>
        <w:tc>
          <w:tcPr>
            <w:tcW w:w="573" w:type="pct"/>
            <w:vAlign w:val="center"/>
            <w:hideMark/>
          </w:tcPr>
          <w:p w14:paraId="28047C89" w14:textId="77777777" w:rsidR="00000000" w:rsidRDefault="0068293C">
            <w:pPr>
              <w:spacing w:after="100"/>
              <w:rPr>
                <w:rFonts w:eastAsia="Times New Roman"/>
                <w:sz w:val="20"/>
                <w:szCs w:val="20"/>
              </w:rPr>
            </w:pPr>
          </w:p>
        </w:tc>
        <w:tc>
          <w:tcPr>
            <w:tcW w:w="5" w:type="pct"/>
            <w:vAlign w:val="center"/>
            <w:hideMark/>
          </w:tcPr>
          <w:p w14:paraId="4F2A6896" w14:textId="77777777" w:rsidR="00000000" w:rsidRDefault="0068293C">
            <w:pPr>
              <w:spacing w:after="100"/>
              <w:rPr>
                <w:rFonts w:eastAsia="Times New Roman"/>
                <w:sz w:val="20"/>
                <w:szCs w:val="20"/>
              </w:rPr>
            </w:pPr>
          </w:p>
        </w:tc>
        <w:tc>
          <w:tcPr>
            <w:tcW w:w="5" w:type="pct"/>
            <w:vAlign w:val="center"/>
            <w:hideMark/>
          </w:tcPr>
          <w:p w14:paraId="28FB3403" w14:textId="77777777" w:rsidR="00000000" w:rsidRDefault="0068293C">
            <w:pPr>
              <w:spacing w:after="100"/>
              <w:rPr>
                <w:rFonts w:eastAsia="Times New Roman"/>
                <w:sz w:val="20"/>
                <w:szCs w:val="20"/>
              </w:rPr>
            </w:pPr>
          </w:p>
        </w:tc>
        <w:tc>
          <w:tcPr>
            <w:tcW w:w="27" w:type="pct"/>
            <w:vAlign w:val="center"/>
            <w:hideMark/>
          </w:tcPr>
          <w:p w14:paraId="480711AF" w14:textId="77777777" w:rsidR="00000000" w:rsidRDefault="0068293C">
            <w:pPr>
              <w:spacing w:after="100"/>
              <w:rPr>
                <w:rFonts w:eastAsia="Times New Roman"/>
                <w:sz w:val="20"/>
                <w:szCs w:val="20"/>
              </w:rPr>
            </w:pPr>
          </w:p>
        </w:tc>
        <w:tc>
          <w:tcPr>
            <w:tcW w:w="5" w:type="pct"/>
            <w:vAlign w:val="center"/>
            <w:hideMark/>
          </w:tcPr>
          <w:p w14:paraId="523E4210" w14:textId="77777777" w:rsidR="00000000" w:rsidRDefault="0068293C">
            <w:pPr>
              <w:spacing w:after="100"/>
              <w:rPr>
                <w:rFonts w:eastAsia="Times New Roman"/>
                <w:sz w:val="20"/>
                <w:szCs w:val="20"/>
              </w:rPr>
            </w:pPr>
          </w:p>
        </w:tc>
        <w:tc>
          <w:tcPr>
            <w:tcW w:w="50" w:type="pct"/>
            <w:vAlign w:val="center"/>
            <w:hideMark/>
          </w:tcPr>
          <w:p w14:paraId="39793156" w14:textId="77777777" w:rsidR="00000000" w:rsidRDefault="0068293C">
            <w:pPr>
              <w:spacing w:after="100"/>
              <w:rPr>
                <w:rFonts w:eastAsia="Times New Roman"/>
                <w:sz w:val="20"/>
                <w:szCs w:val="20"/>
              </w:rPr>
            </w:pPr>
          </w:p>
        </w:tc>
        <w:tc>
          <w:tcPr>
            <w:tcW w:w="491" w:type="pct"/>
            <w:vAlign w:val="center"/>
            <w:hideMark/>
          </w:tcPr>
          <w:p w14:paraId="79667BB1" w14:textId="77777777" w:rsidR="00000000" w:rsidRDefault="0068293C">
            <w:pPr>
              <w:spacing w:after="100"/>
              <w:rPr>
                <w:rFonts w:eastAsia="Times New Roman"/>
                <w:sz w:val="20"/>
                <w:szCs w:val="20"/>
              </w:rPr>
            </w:pPr>
          </w:p>
        </w:tc>
        <w:tc>
          <w:tcPr>
            <w:tcW w:w="5" w:type="pct"/>
            <w:vAlign w:val="center"/>
            <w:hideMark/>
          </w:tcPr>
          <w:p w14:paraId="6BA43221" w14:textId="77777777" w:rsidR="00000000" w:rsidRDefault="0068293C">
            <w:pPr>
              <w:spacing w:after="100"/>
              <w:rPr>
                <w:rFonts w:eastAsia="Times New Roman"/>
                <w:sz w:val="20"/>
                <w:szCs w:val="20"/>
              </w:rPr>
            </w:pPr>
          </w:p>
        </w:tc>
        <w:tc>
          <w:tcPr>
            <w:tcW w:w="5" w:type="pct"/>
            <w:vAlign w:val="center"/>
            <w:hideMark/>
          </w:tcPr>
          <w:p w14:paraId="15240D82" w14:textId="77777777" w:rsidR="00000000" w:rsidRDefault="0068293C">
            <w:pPr>
              <w:spacing w:after="100"/>
              <w:rPr>
                <w:rFonts w:eastAsia="Times New Roman"/>
                <w:sz w:val="20"/>
                <w:szCs w:val="20"/>
              </w:rPr>
            </w:pPr>
          </w:p>
        </w:tc>
        <w:tc>
          <w:tcPr>
            <w:tcW w:w="27" w:type="pct"/>
            <w:vAlign w:val="center"/>
            <w:hideMark/>
          </w:tcPr>
          <w:p w14:paraId="2326EEE6" w14:textId="77777777" w:rsidR="00000000" w:rsidRDefault="0068293C">
            <w:pPr>
              <w:spacing w:after="100"/>
              <w:rPr>
                <w:rFonts w:eastAsia="Times New Roman"/>
                <w:sz w:val="20"/>
                <w:szCs w:val="20"/>
              </w:rPr>
            </w:pPr>
          </w:p>
        </w:tc>
        <w:tc>
          <w:tcPr>
            <w:tcW w:w="5" w:type="pct"/>
            <w:vAlign w:val="center"/>
            <w:hideMark/>
          </w:tcPr>
          <w:p w14:paraId="27A7A9A6" w14:textId="77777777" w:rsidR="00000000" w:rsidRDefault="0068293C">
            <w:pPr>
              <w:spacing w:after="100"/>
              <w:rPr>
                <w:rFonts w:eastAsia="Times New Roman"/>
                <w:sz w:val="20"/>
                <w:szCs w:val="20"/>
              </w:rPr>
            </w:pPr>
          </w:p>
        </w:tc>
        <w:tc>
          <w:tcPr>
            <w:tcW w:w="50" w:type="pct"/>
            <w:vAlign w:val="center"/>
            <w:hideMark/>
          </w:tcPr>
          <w:p w14:paraId="662412B4" w14:textId="77777777" w:rsidR="00000000" w:rsidRDefault="0068293C">
            <w:pPr>
              <w:spacing w:after="100"/>
              <w:rPr>
                <w:rFonts w:eastAsia="Times New Roman"/>
                <w:sz w:val="20"/>
                <w:szCs w:val="20"/>
              </w:rPr>
            </w:pPr>
          </w:p>
        </w:tc>
        <w:tc>
          <w:tcPr>
            <w:tcW w:w="491" w:type="pct"/>
            <w:vAlign w:val="center"/>
            <w:hideMark/>
          </w:tcPr>
          <w:p w14:paraId="10EE7596" w14:textId="77777777" w:rsidR="00000000" w:rsidRDefault="0068293C">
            <w:pPr>
              <w:spacing w:after="100"/>
              <w:rPr>
                <w:rFonts w:eastAsia="Times New Roman"/>
                <w:sz w:val="20"/>
                <w:szCs w:val="20"/>
              </w:rPr>
            </w:pPr>
          </w:p>
        </w:tc>
        <w:tc>
          <w:tcPr>
            <w:tcW w:w="5" w:type="pct"/>
            <w:vAlign w:val="center"/>
            <w:hideMark/>
          </w:tcPr>
          <w:p w14:paraId="2721A814" w14:textId="77777777" w:rsidR="00000000" w:rsidRDefault="0068293C">
            <w:pPr>
              <w:spacing w:after="100"/>
              <w:rPr>
                <w:rFonts w:eastAsia="Times New Roman"/>
                <w:sz w:val="20"/>
                <w:szCs w:val="20"/>
              </w:rPr>
            </w:pPr>
          </w:p>
        </w:tc>
        <w:tc>
          <w:tcPr>
            <w:tcW w:w="5" w:type="pct"/>
            <w:vAlign w:val="center"/>
            <w:hideMark/>
          </w:tcPr>
          <w:p w14:paraId="5139BDAA" w14:textId="77777777" w:rsidR="00000000" w:rsidRDefault="0068293C">
            <w:pPr>
              <w:spacing w:after="100"/>
              <w:rPr>
                <w:rFonts w:eastAsia="Times New Roman"/>
                <w:sz w:val="20"/>
                <w:szCs w:val="20"/>
              </w:rPr>
            </w:pPr>
          </w:p>
        </w:tc>
        <w:tc>
          <w:tcPr>
            <w:tcW w:w="27" w:type="pct"/>
            <w:vAlign w:val="center"/>
            <w:hideMark/>
          </w:tcPr>
          <w:p w14:paraId="2F2DF7A7" w14:textId="77777777" w:rsidR="00000000" w:rsidRDefault="0068293C">
            <w:pPr>
              <w:spacing w:after="100"/>
              <w:rPr>
                <w:rFonts w:eastAsia="Times New Roman"/>
                <w:sz w:val="20"/>
                <w:szCs w:val="20"/>
              </w:rPr>
            </w:pPr>
          </w:p>
        </w:tc>
        <w:tc>
          <w:tcPr>
            <w:tcW w:w="5" w:type="pct"/>
            <w:vAlign w:val="center"/>
            <w:hideMark/>
          </w:tcPr>
          <w:p w14:paraId="118293CB" w14:textId="77777777" w:rsidR="00000000" w:rsidRDefault="0068293C">
            <w:pPr>
              <w:spacing w:after="100"/>
              <w:rPr>
                <w:rFonts w:eastAsia="Times New Roman"/>
                <w:sz w:val="20"/>
                <w:szCs w:val="20"/>
              </w:rPr>
            </w:pPr>
          </w:p>
        </w:tc>
        <w:tc>
          <w:tcPr>
            <w:tcW w:w="50" w:type="pct"/>
            <w:vAlign w:val="center"/>
            <w:hideMark/>
          </w:tcPr>
          <w:p w14:paraId="596C8938" w14:textId="77777777" w:rsidR="00000000" w:rsidRDefault="0068293C">
            <w:pPr>
              <w:spacing w:after="100"/>
              <w:rPr>
                <w:rFonts w:eastAsia="Times New Roman"/>
                <w:sz w:val="20"/>
                <w:szCs w:val="20"/>
              </w:rPr>
            </w:pPr>
          </w:p>
        </w:tc>
        <w:tc>
          <w:tcPr>
            <w:tcW w:w="491" w:type="pct"/>
            <w:vAlign w:val="center"/>
            <w:hideMark/>
          </w:tcPr>
          <w:p w14:paraId="33D90535" w14:textId="77777777" w:rsidR="00000000" w:rsidRDefault="0068293C">
            <w:pPr>
              <w:spacing w:after="100"/>
              <w:rPr>
                <w:rFonts w:eastAsia="Times New Roman"/>
                <w:sz w:val="20"/>
                <w:szCs w:val="20"/>
              </w:rPr>
            </w:pPr>
          </w:p>
        </w:tc>
        <w:tc>
          <w:tcPr>
            <w:tcW w:w="5" w:type="pct"/>
            <w:vAlign w:val="center"/>
            <w:hideMark/>
          </w:tcPr>
          <w:p w14:paraId="27A99042" w14:textId="77777777" w:rsidR="00000000" w:rsidRDefault="0068293C">
            <w:pPr>
              <w:spacing w:after="100"/>
              <w:rPr>
                <w:rFonts w:eastAsia="Times New Roman"/>
                <w:sz w:val="20"/>
                <w:szCs w:val="20"/>
              </w:rPr>
            </w:pPr>
          </w:p>
        </w:tc>
        <w:tc>
          <w:tcPr>
            <w:tcW w:w="5" w:type="pct"/>
            <w:vAlign w:val="center"/>
            <w:hideMark/>
          </w:tcPr>
          <w:p w14:paraId="2F0FEAD3" w14:textId="77777777" w:rsidR="00000000" w:rsidRDefault="0068293C">
            <w:pPr>
              <w:spacing w:after="100"/>
              <w:rPr>
                <w:rFonts w:eastAsia="Times New Roman"/>
                <w:sz w:val="20"/>
                <w:szCs w:val="20"/>
              </w:rPr>
            </w:pPr>
          </w:p>
        </w:tc>
        <w:tc>
          <w:tcPr>
            <w:tcW w:w="27" w:type="pct"/>
            <w:vAlign w:val="center"/>
            <w:hideMark/>
          </w:tcPr>
          <w:p w14:paraId="10B078FF" w14:textId="77777777" w:rsidR="00000000" w:rsidRDefault="0068293C">
            <w:pPr>
              <w:spacing w:after="100"/>
              <w:rPr>
                <w:rFonts w:eastAsia="Times New Roman"/>
                <w:sz w:val="20"/>
                <w:szCs w:val="20"/>
              </w:rPr>
            </w:pPr>
          </w:p>
        </w:tc>
        <w:tc>
          <w:tcPr>
            <w:tcW w:w="5" w:type="pct"/>
            <w:vAlign w:val="center"/>
            <w:hideMark/>
          </w:tcPr>
          <w:p w14:paraId="5D1E8808" w14:textId="77777777" w:rsidR="00000000" w:rsidRDefault="0068293C">
            <w:pPr>
              <w:spacing w:after="100"/>
              <w:rPr>
                <w:rFonts w:eastAsia="Times New Roman"/>
                <w:sz w:val="20"/>
                <w:szCs w:val="20"/>
              </w:rPr>
            </w:pPr>
          </w:p>
        </w:tc>
        <w:tc>
          <w:tcPr>
            <w:tcW w:w="50" w:type="pct"/>
            <w:vAlign w:val="center"/>
            <w:hideMark/>
          </w:tcPr>
          <w:p w14:paraId="775579FD" w14:textId="77777777" w:rsidR="00000000" w:rsidRDefault="0068293C">
            <w:pPr>
              <w:spacing w:after="100"/>
              <w:rPr>
                <w:rFonts w:eastAsia="Times New Roman"/>
                <w:sz w:val="20"/>
                <w:szCs w:val="20"/>
              </w:rPr>
            </w:pPr>
          </w:p>
        </w:tc>
        <w:tc>
          <w:tcPr>
            <w:tcW w:w="506" w:type="pct"/>
            <w:vAlign w:val="center"/>
            <w:hideMark/>
          </w:tcPr>
          <w:p w14:paraId="2535CC02" w14:textId="77777777" w:rsidR="00000000" w:rsidRDefault="0068293C">
            <w:pPr>
              <w:spacing w:after="100"/>
              <w:rPr>
                <w:rFonts w:eastAsia="Times New Roman"/>
                <w:sz w:val="20"/>
                <w:szCs w:val="20"/>
              </w:rPr>
            </w:pPr>
          </w:p>
        </w:tc>
        <w:tc>
          <w:tcPr>
            <w:tcW w:w="5" w:type="pct"/>
            <w:vAlign w:val="center"/>
            <w:hideMark/>
          </w:tcPr>
          <w:p w14:paraId="1BE02E30" w14:textId="77777777" w:rsidR="00000000" w:rsidRDefault="0068293C">
            <w:pPr>
              <w:spacing w:after="100"/>
              <w:rPr>
                <w:rFonts w:eastAsia="Times New Roman"/>
                <w:sz w:val="20"/>
                <w:szCs w:val="20"/>
              </w:rPr>
            </w:pPr>
          </w:p>
        </w:tc>
        <w:tc>
          <w:tcPr>
            <w:tcW w:w="5" w:type="pct"/>
            <w:vAlign w:val="center"/>
            <w:hideMark/>
          </w:tcPr>
          <w:p w14:paraId="0258A987" w14:textId="77777777" w:rsidR="00000000" w:rsidRDefault="0068293C">
            <w:pPr>
              <w:spacing w:after="100"/>
              <w:rPr>
                <w:rFonts w:eastAsia="Times New Roman"/>
                <w:sz w:val="20"/>
                <w:szCs w:val="20"/>
              </w:rPr>
            </w:pPr>
          </w:p>
        </w:tc>
        <w:tc>
          <w:tcPr>
            <w:tcW w:w="27" w:type="pct"/>
            <w:vAlign w:val="center"/>
            <w:hideMark/>
          </w:tcPr>
          <w:p w14:paraId="1E6C5B77" w14:textId="77777777" w:rsidR="00000000" w:rsidRDefault="0068293C">
            <w:pPr>
              <w:spacing w:after="100"/>
              <w:rPr>
                <w:rFonts w:eastAsia="Times New Roman"/>
                <w:sz w:val="20"/>
                <w:szCs w:val="20"/>
              </w:rPr>
            </w:pPr>
          </w:p>
        </w:tc>
        <w:tc>
          <w:tcPr>
            <w:tcW w:w="5" w:type="pct"/>
            <w:vAlign w:val="center"/>
            <w:hideMark/>
          </w:tcPr>
          <w:p w14:paraId="3DFD9948" w14:textId="77777777" w:rsidR="00000000" w:rsidRDefault="0068293C">
            <w:pPr>
              <w:spacing w:after="100"/>
              <w:rPr>
                <w:rFonts w:eastAsia="Times New Roman"/>
                <w:sz w:val="20"/>
                <w:szCs w:val="20"/>
              </w:rPr>
            </w:pPr>
          </w:p>
        </w:tc>
        <w:tc>
          <w:tcPr>
            <w:tcW w:w="50" w:type="pct"/>
            <w:vAlign w:val="center"/>
            <w:hideMark/>
          </w:tcPr>
          <w:p w14:paraId="44EE40B7" w14:textId="77777777" w:rsidR="00000000" w:rsidRDefault="0068293C">
            <w:pPr>
              <w:spacing w:after="100"/>
              <w:rPr>
                <w:rFonts w:eastAsia="Times New Roman"/>
                <w:sz w:val="20"/>
                <w:szCs w:val="20"/>
              </w:rPr>
            </w:pPr>
          </w:p>
        </w:tc>
        <w:tc>
          <w:tcPr>
            <w:tcW w:w="491" w:type="pct"/>
            <w:vAlign w:val="center"/>
            <w:hideMark/>
          </w:tcPr>
          <w:p w14:paraId="033572FE" w14:textId="77777777" w:rsidR="00000000" w:rsidRDefault="0068293C">
            <w:pPr>
              <w:spacing w:after="100"/>
              <w:rPr>
                <w:rFonts w:eastAsia="Times New Roman"/>
                <w:sz w:val="20"/>
                <w:szCs w:val="20"/>
              </w:rPr>
            </w:pPr>
          </w:p>
        </w:tc>
        <w:tc>
          <w:tcPr>
            <w:tcW w:w="5" w:type="pct"/>
            <w:vAlign w:val="center"/>
            <w:hideMark/>
          </w:tcPr>
          <w:p w14:paraId="34892AD4" w14:textId="77777777" w:rsidR="00000000" w:rsidRDefault="0068293C">
            <w:pPr>
              <w:spacing w:after="100"/>
              <w:rPr>
                <w:rFonts w:eastAsia="Times New Roman"/>
                <w:sz w:val="20"/>
                <w:szCs w:val="20"/>
              </w:rPr>
            </w:pPr>
          </w:p>
        </w:tc>
      </w:tr>
      <w:tr w:rsidR="00000000" w14:paraId="39DD8041" w14:textId="77777777">
        <w:trPr>
          <w:jc w:val="center"/>
        </w:trPr>
        <w:tc>
          <w:tcPr>
            <w:tcW w:w="0" w:type="auto"/>
            <w:gridSpan w:val="3"/>
            <w:tcMar>
              <w:top w:w="0" w:type="dxa"/>
              <w:left w:w="20" w:type="dxa"/>
              <w:bottom w:w="0" w:type="dxa"/>
              <w:right w:w="20" w:type="dxa"/>
            </w:tcMar>
            <w:vAlign w:val="center"/>
            <w:hideMark/>
          </w:tcPr>
          <w:p w14:paraId="71D62DE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AB60BD"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AB157F" w14:textId="77777777" w:rsidR="00000000" w:rsidRDefault="0068293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3644CA8" w14:textId="77777777" w:rsidR="00000000" w:rsidRDefault="0068293C">
            <w:pPr>
              <w:spacing w:after="100"/>
              <w:jc w:val="center"/>
              <w:rPr>
                <w:rFonts w:eastAsia="Times New Roman"/>
              </w:rPr>
            </w:pPr>
            <w:r>
              <w:rPr>
                <w:rFonts w:eastAsia="Times New Roman"/>
                <w:b/>
                <w:bCs/>
                <w:color w:val="000000"/>
                <w:sz w:val="16"/>
                <w:szCs w:val="16"/>
              </w:rPr>
              <w:t>For the years ended December 31</w:t>
            </w:r>
          </w:p>
        </w:tc>
      </w:tr>
      <w:tr w:rsidR="00000000" w14:paraId="629DC37E" w14:textId="77777777">
        <w:trPr>
          <w:jc w:val="center"/>
        </w:trPr>
        <w:tc>
          <w:tcPr>
            <w:tcW w:w="0" w:type="auto"/>
            <w:gridSpan w:val="3"/>
            <w:tcMar>
              <w:top w:w="30" w:type="dxa"/>
              <w:left w:w="20" w:type="dxa"/>
              <w:bottom w:w="30" w:type="dxa"/>
              <w:right w:w="20" w:type="dxa"/>
            </w:tcMar>
            <w:vAlign w:val="bottom"/>
            <w:hideMark/>
          </w:tcPr>
          <w:p w14:paraId="018E1270"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265F77A" w14:textId="77777777" w:rsidR="00000000" w:rsidRDefault="0068293C">
            <w:pPr>
              <w:spacing w:after="100"/>
              <w:jc w:val="center"/>
              <w:rPr>
                <w:rFonts w:eastAsia="Times New Roman"/>
              </w:rPr>
            </w:pPr>
            <w:r>
              <w:rPr>
                <w:rFonts w:eastAsia="Times New Roman"/>
                <w:b/>
                <w:bCs/>
                <w:color w:val="000000"/>
                <w:sz w:val="16"/>
                <w:szCs w:val="16"/>
              </w:rPr>
              <w:t>Remainder of 2022</w:t>
            </w:r>
          </w:p>
        </w:tc>
        <w:tc>
          <w:tcPr>
            <w:tcW w:w="0" w:type="auto"/>
            <w:gridSpan w:val="3"/>
            <w:tcMar>
              <w:top w:w="0" w:type="dxa"/>
              <w:left w:w="20" w:type="dxa"/>
              <w:bottom w:w="0" w:type="dxa"/>
              <w:right w:w="20" w:type="dxa"/>
            </w:tcMar>
            <w:vAlign w:val="center"/>
            <w:hideMark/>
          </w:tcPr>
          <w:p w14:paraId="5CD3E447"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E95EBF" w14:textId="77777777" w:rsidR="00000000" w:rsidRDefault="0068293C">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5EE48EE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4AA1F0" w14:textId="77777777" w:rsidR="00000000" w:rsidRDefault="0068293C">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14:paraId="27333740"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DB5B87" w14:textId="77777777" w:rsidR="00000000" w:rsidRDefault="0068293C">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14:paraId="6453481C"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02385B" w14:textId="77777777" w:rsidR="00000000" w:rsidRDefault="0068293C">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14:paraId="7238E142"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2697E4" w14:textId="77777777" w:rsidR="00000000" w:rsidRDefault="0068293C">
            <w:pPr>
              <w:spacing w:after="100"/>
              <w:jc w:val="center"/>
              <w:rPr>
                <w:rFonts w:eastAsia="Times New Roman"/>
              </w:rPr>
            </w:pPr>
            <w:r>
              <w:rPr>
                <w:rFonts w:eastAsia="Times New Roman"/>
                <w:b/>
                <w:bCs/>
                <w:color w:val="000000"/>
                <w:sz w:val="16"/>
                <w:szCs w:val="16"/>
              </w:rPr>
              <w:t>2027</w:t>
            </w:r>
          </w:p>
        </w:tc>
      </w:tr>
      <w:tr w:rsidR="00000000" w14:paraId="730BB866" w14:textId="77777777">
        <w:trPr>
          <w:jc w:val="center"/>
        </w:trPr>
        <w:tc>
          <w:tcPr>
            <w:tcW w:w="0" w:type="auto"/>
            <w:gridSpan w:val="3"/>
            <w:shd w:val="clear" w:color="auto" w:fill="CCEEFF"/>
            <w:tcMar>
              <w:top w:w="30" w:type="dxa"/>
              <w:left w:w="20" w:type="dxa"/>
              <w:bottom w:w="30" w:type="dxa"/>
              <w:right w:w="20" w:type="dxa"/>
            </w:tcMar>
            <w:vAlign w:val="bottom"/>
            <w:hideMark/>
          </w:tcPr>
          <w:p w14:paraId="5961A56B" w14:textId="77777777" w:rsidR="00000000" w:rsidRDefault="0068293C">
            <w:pPr>
              <w:spacing w:after="100"/>
              <w:rPr>
                <w:rFonts w:eastAsia="Times New Roman"/>
              </w:rPr>
            </w:pPr>
            <w:r>
              <w:rPr>
                <w:rFonts w:eastAsia="Times New Roman"/>
                <w:color w:val="000000"/>
                <w:sz w:val="20"/>
                <w:szCs w:val="20"/>
              </w:rPr>
              <w:t>Amortization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13E24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DB65B4" w14:textId="77777777" w:rsidR="00000000" w:rsidRDefault="0068293C">
            <w:pPr>
              <w:spacing w:after="100"/>
              <w:jc w:val="right"/>
              <w:rPr>
                <w:rFonts w:eastAsia="Times New Roman"/>
              </w:rPr>
            </w:pPr>
            <w:r>
              <w:rPr>
                <w:rFonts w:eastAsia="Times New Roman"/>
                <w:color w:val="000000"/>
                <w:sz w:val="20"/>
                <w:szCs w:val="20"/>
              </w:rPr>
              <w:t>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D9639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D557E"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5595DE"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635059" w14:textId="77777777" w:rsidR="00000000" w:rsidRDefault="0068293C">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0E32F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6C06B"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D09EAB"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63B8C5" w14:textId="77777777" w:rsidR="00000000" w:rsidRDefault="0068293C">
            <w:pPr>
              <w:spacing w:after="100"/>
              <w:jc w:val="right"/>
              <w:rPr>
                <w:rFonts w:eastAsia="Times New Roman"/>
              </w:rPr>
            </w:pPr>
            <w:r>
              <w:rPr>
                <w:rFonts w:eastAsia="Times New Roman"/>
                <w:color w:val="000000"/>
                <w:sz w:val="20"/>
                <w:szCs w:val="20"/>
              </w:rPr>
              <w:t>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B455A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7AE34"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F2F15D"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22229F" w14:textId="77777777" w:rsidR="00000000" w:rsidRDefault="0068293C">
            <w:pPr>
              <w:spacing w:after="100"/>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7238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BA062"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84800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2F8D3E" w14:textId="77777777" w:rsidR="00000000" w:rsidRDefault="0068293C">
            <w:pPr>
              <w:spacing w:after="100"/>
              <w:jc w:val="right"/>
              <w:rPr>
                <w:rFonts w:eastAsia="Times New Roman"/>
              </w:rPr>
            </w:pPr>
            <w:r>
              <w:rPr>
                <w:rFonts w:eastAsia="Times New Roman"/>
                <w:color w:val="000000"/>
                <w:sz w:val="20"/>
                <w:szCs w:val="20"/>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4A460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E92AD"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FDDFF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86273A" w14:textId="77777777" w:rsidR="00000000" w:rsidRDefault="0068293C">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9BB8C1" w14:textId="77777777" w:rsidR="00000000" w:rsidRDefault="0068293C">
            <w:pPr>
              <w:spacing w:after="100"/>
              <w:jc w:val="right"/>
              <w:rPr>
                <w:rFonts w:eastAsia="Times New Roman"/>
              </w:rPr>
            </w:pPr>
          </w:p>
        </w:tc>
      </w:tr>
    </w:tbl>
    <w:p w14:paraId="23AE1DAA" w14:textId="77777777" w:rsidR="00000000" w:rsidRDefault="0068293C">
      <w:pPr>
        <w:jc w:val="center"/>
        <w:rPr>
          <w:rFonts w:eastAsia="Times New Roman"/>
        </w:rPr>
      </w:pPr>
      <w:r>
        <w:rPr>
          <w:rFonts w:eastAsia="Times New Roman"/>
          <w:color w:val="000000"/>
          <w:sz w:val="20"/>
          <w:szCs w:val="20"/>
        </w:rPr>
        <w:t>    </w:t>
      </w:r>
    </w:p>
    <w:p w14:paraId="69B4B8EE" w14:textId="77777777" w:rsidR="00000000" w:rsidRDefault="0068293C">
      <w:pPr>
        <w:divId w:val="176425966"/>
        <w:rPr>
          <w:rFonts w:eastAsia="Times New Roman"/>
        </w:rPr>
      </w:pPr>
    </w:p>
    <w:p w14:paraId="552768D0" w14:textId="77777777" w:rsidR="00000000" w:rsidRDefault="0068293C">
      <w:pPr>
        <w:divId w:val="641545451"/>
        <w:rPr>
          <w:rFonts w:eastAsia="Times New Roman"/>
        </w:rPr>
      </w:pPr>
      <w:r>
        <w:rPr>
          <w:rFonts w:eastAsia="Times New Roman"/>
          <w:b/>
          <w:bCs/>
          <w:color w:val="54B948"/>
          <w:sz w:val="20"/>
          <w:szCs w:val="20"/>
        </w:rPr>
        <w:t>4. SEGMENT INFORMATION AND CONCENTRATIONS</w:t>
      </w:r>
    </w:p>
    <w:p w14:paraId="63ECD20C" w14:textId="77777777" w:rsidR="00000000" w:rsidRDefault="0068293C">
      <w:pPr>
        <w:divId w:val="1019308448"/>
        <w:rPr>
          <w:rFonts w:eastAsia="Times New Roman"/>
        </w:rPr>
      </w:pPr>
    </w:p>
    <w:p w14:paraId="0F42F213" w14:textId="77777777" w:rsidR="00000000" w:rsidRDefault="0068293C">
      <w:pPr>
        <w:jc w:val="both"/>
        <w:rPr>
          <w:rFonts w:eastAsia="Times New Roman"/>
        </w:rPr>
      </w:pPr>
      <w:r>
        <w:rPr>
          <w:rFonts w:eastAsia="Times New Roman"/>
          <w:color w:val="000000"/>
          <w:sz w:val="20"/>
          <w:szCs w:val="20"/>
        </w:rPr>
        <w:t>As described in Note 1, “</w:t>
      </w:r>
      <w:r>
        <w:rPr>
          <w:rFonts w:eastAsia="Times New Roman"/>
          <w:color w:val="000000"/>
          <w:sz w:val="20"/>
          <w:szCs w:val="20"/>
        </w:rPr>
        <w:t xml:space="preserve">Basis of Presentation and Summary of Significant Accounting Policies”, effective January 1, 2022, the Company realigned its reportable segments to correspond with changes to its operating model, management structure and organizational responsibilities. We </w:t>
      </w:r>
      <w:r>
        <w:rPr>
          <w:rFonts w:eastAsia="Times New Roman"/>
          <w:color w:val="000000"/>
          <w:sz w:val="20"/>
          <w:szCs w:val="20"/>
        </w:rPr>
        <w:t>have reclassified prior period segment disclosures to conform to the current period presentation. As a result of the change, the Company manages and reports the following segments:</w:t>
      </w:r>
    </w:p>
    <w:p w14:paraId="164D82F8" w14:textId="77777777" w:rsidR="00000000" w:rsidRDefault="0068293C">
      <w:pPr>
        <w:jc w:val="both"/>
        <w:rPr>
          <w:rFonts w:eastAsia="Times New Roman"/>
        </w:rPr>
      </w:pPr>
    </w:p>
    <w:p w14:paraId="36A6232F" w14:textId="77777777" w:rsidR="00000000" w:rsidRDefault="0068293C">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cost-effective way for financial insti</w:t>
      </w:r>
      <w:r>
        <w:rPr>
          <w:rFonts w:eastAsia="Times New Roman"/>
          <w:color w:val="0E101A"/>
          <w:sz w:val="20"/>
          <w:szCs w:val="20"/>
        </w:rPr>
        <w:t xml:space="preserve">tutions, fintechs, and neobanks to reach and serve their customers through our network of automated teller machines ("ATMs") and multi-functioning financial services kiosks. </w:t>
      </w:r>
      <w:r>
        <w:rPr>
          <w:rFonts w:eastAsia="Times New Roman"/>
          <w:color w:val="000000"/>
          <w:sz w:val="20"/>
          <w:szCs w:val="20"/>
        </w:rPr>
        <w:t>We offer credit unions, banks, digital banks, fintechs, stored-value debit card is</w:t>
      </w:r>
      <w:r>
        <w:rPr>
          <w:rFonts w:eastAsia="Times New Roman"/>
          <w:color w:val="000000"/>
          <w:sz w:val="20"/>
          <w:szCs w:val="20"/>
        </w:rPr>
        <w:t>suers, and other consumer financial services providers access to our Allpoint retail-based ATM network, providing convenient and fee-free cash withdrawal and deposit access to their customers and cardholders as well as</w:t>
      </w:r>
      <w:r>
        <w:rPr>
          <w:rFonts w:eastAsia="Times New Roman"/>
          <w:color w:val="0E101A"/>
          <w:sz w:val="20"/>
          <w:szCs w:val="20"/>
        </w:rPr>
        <w:t xml:space="preserve"> the ability to convert a digital valu</w:t>
      </w:r>
      <w:r>
        <w:rPr>
          <w:rFonts w:eastAsia="Times New Roman"/>
          <w:color w:val="0E101A"/>
          <w:sz w:val="20"/>
          <w:szCs w:val="20"/>
        </w:rPr>
        <w:t xml:space="preserve">e to cash, or vice versa, via NCRPay360. We also provide ATM branding, management and services to financial institutions and businesses. </w:t>
      </w:r>
    </w:p>
    <w:p w14:paraId="1EA099AB" w14:textId="77777777" w:rsidR="00000000" w:rsidRDefault="0068293C">
      <w:pPr>
        <w:jc w:val="both"/>
        <w:rPr>
          <w:rFonts w:eastAsia="Times New Roman"/>
        </w:rPr>
      </w:pPr>
    </w:p>
    <w:p w14:paraId="1233F590" w14:textId="77777777" w:rsidR="00000000" w:rsidRDefault="0068293C">
      <w:pPr>
        <w:ind w:hanging="360"/>
        <w:jc w:val="both"/>
        <w:rPr>
          <w:rFonts w:eastAsia="Times New Roman"/>
        </w:rPr>
      </w:pPr>
      <w:r>
        <w:rPr>
          <w:rFonts w:eastAsia="Times New Roman"/>
          <w:i/>
          <w:iCs/>
          <w:color w:val="000000"/>
          <w:sz w:val="20"/>
          <w:szCs w:val="20"/>
        </w:rPr>
        <w:t>•Digital Banking</w:t>
      </w:r>
      <w:r>
        <w:rPr>
          <w:rFonts w:eastAsia="Times New Roman"/>
          <w:color w:val="000000"/>
          <w:sz w:val="20"/>
          <w:szCs w:val="20"/>
        </w:rPr>
        <w:t xml:space="preserve"> - NCR Digital Banking helps financial institutions implement their digital-first platform strategy </w:t>
      </w:r>
      <w:r>
        <w:rPr>
          <w:rFonts w:eastAsia="Times New Roman"/>
          <w:color w:val="000000"/>
          <w:sz w:val="20"/>
          <w:szCs w:val="20"/>
        </w:rPr>
        <w:t xml:space="preserve">by providing solutions for account opening, account management, transaction processing, imaging, and branch services to enable financial institutions to offer a compelling customer experience. </w:t>
      </w:r>
    </w:p>
    <w:p w14:paraId="6E6050E1" w14:textId="77777777" w:rsidR="00000000" w:rsidRDefault="0068293C">
      <w:pPr>
        <w:jc w:val="both"/>
        <w:rPr>
          <w:rFonts w:eastAsia="Times New Roman"/>
        </w:rPr>
      </w:pPr>
    </w:p>
    <w:p w14:paraId="000BB117" w14:textId="77777777" w:rsidR="00000000" w:rsidRDefault="0068293C">
      <w:pPr>
        <w:ind w:hanging="360"/>
        <w:jc w:val="both"/>
        <w:rPr>
          <w:rFonts w:eastAsia="Times New Roman"/>
        </w:rPr>
      </w:pPr>
      <w:r>
        <w:rPr>
          <w:rFonts w:eastAsia="Times New Roman"/>
          <w:i/>
          <w:iCs/>
          <w:color w:val="000000"/>
          <w:sz w:val="20"/>
          <w:szCs w:val="20"/>
        </w:rPr>
        <w:t>•Self-Service Banking</w:t>
      </w:r>
      <w:r>
        <w:rPr>
          <w:rFonts w:eastAsia="Times New Roman"/>
          <w:color w:val="000000"/>
          <w:sz w:val="20"/>
          <w:szCs w:val="20"/>
        </w:rPr>
        <w:t xml:space="preserve"> - We offer solutions to enable custome</w:t>
      </w:r>
      <w:r>
        <w:rPr>
          <w:rFonts w:eastAsia="Times New Roman"/>
          <w:color w:val="000000"/>
          <w:sz w:val="20"/>
          <w:szCs w:val="20"/>
        </w:rPr>
        <w:t>rs in the financial services industry to reduce costs, generate new revenue streams and enhance customer loyalty. These solutions include a comprehensive line of ATM hardware and software, and related installation, maintenance, and managed and professional</w:t>
      </w:r>
      <w:r>
        <w:rPr>
          <w:rFonts w:eastAsia="Times New Roman"/>
          <w:color w:val="000000"/>
          <w:sz w:val="20"/>
          <w:szCs w:val="20"/>
        </w:rPr>
        <w:t xml:space="preserve"> services. </w:t>
      </w:r>
    </w:p>
    <w:p w14:paraId="5B9581D1" w14:textId="77777777" w:rsidR="00000000" w:rsidRDefault="0068293C">
      <w:pPr>
        <w:jc w:val="both"/>
        <w:rPr>
          <w:rFonts w:eastAsia="Times New Roman"/>
        </w:rPr>
      </w:pPr>
    </w:p>
    <w:p w14:paraId="11A20D31"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Retail</w:t>
      </w:r>
      <w:r>
        <w:rPr>
          <w:rFonts w:eastAsia="Times New Roman"/>
          <w:color w:val="000000"/>
          <w:sz w:val="20"/>
          <w:szCs w:val="20"/>
        </w:rPr>
        <w:t xml:space="preserve"> - We offer software-led solutions to customers in the retail industry, leading with digital to connect retail operations end to end to integrate all aspects of a customer’s operations in indoor and outdoor settings from POS, to paymen</w:t>
      </w:r>
      <w:r>
        <w:rPr>
          <w:rFonts w:eastAsia="Times New Roman"/>
          <w:color w:val="000000"/>
          <w:sz w:val="20"/>
          <w:szCs w:val="20"/>
        </w:rPr>
        <w:t xml:space="preserve">ts, inventory management, fraud and loss prevention applications, loyalty and consumer engagement. These solutions include retail-oriented technologies such as comprehensive API-point of sale retail software platforms and applications, hardware terminals, </w:t>
      </w:r>
      <w:r>
        <w:rPr>
          <w:rFonts w:eastAsia="Times New Roman"/>
          <w:color w:val="000000"/>
          <w:sz w:val="20"/>
          <w:szCs w:val="20"/>
        </w:rPr>
        <w:t>self-service kiosks including self-checkout ("SCO"), payment processing solutions, and bar-code scanners.</w:t>
      </w:r>
    </w:p>
    <w:p w14:paraId="10E0BEE3" w14:textId="77777777" w:rsidR="00000000" w:rsidRDefault="0068293C">
      <w:pPr>
        <w:jc w:val="both"/>
        <w:rPr>
          <w:rFonts w:eastAsia="Times New Roman"/>
        </w:rPr>
      </w:pPr>
    </w:p>
    <w:p w14:paraId="1907B2C7"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Hospitality</w:t>
      </w:r>
      <w:r>
        <w:rPr>
          <w:rFonts w:eastAsia="Times New Roman"/>
          <w:color w:val="000000"/>
          <w:sz w:val="20"/>
          <w:szCs w:val="20"/>
        </w:rPr>
        <w:t xml:space="preserve"> - We offer technology solutions to customers in the hospitality industry, including table-service, quick-service and fast casual restau</w:t>
      </w:r>
      <w:r>
        <w:rPr>
          <w:rFonts w:eastAsia="Times New Roman"/>
          <w:color w:val="000000"/>
          <w:sz w:val="20"/>
          <w:szCs w:val="20"/>
        </w:rPr>
        <w:t>rants of all sizes, that are designed to improve operational efficiency, increase customer satisfaction, streamline order and transaction processing and reduce operating costs. Our solutions include POS hardware and software solutions, installation, mainte</w:t>
      </w:r>
      <w:r>
        <w:rPr>
          <w:rFonts w:eastAsia="Times New Roman"/>
          <w:color w:val="000000"/>
          <w:sz w:val="20"/>
          <w:szCs w:val="20"/>
        </w:rPr>
        <w:t>nance, managed and professional services as well as payment processing solutions.</w:t>
      </w:r>
    </w:p>
    <w:p w14:paraId="57624B7E" w14:textId="77777777" w:rsidR="00000000" w:rsidRDefault="0068293C">
      <w:pPr>
        <w:jc w:val="both"/>
        <w:rPr>
          <w:rFonts w:eastAsia="Times New Roman"/>
        </w:rPr>
      </w:pPr>
    </w:p>
    <w:p w14:paraId="70F6FA63" w14:textId="77777777" w:rsidR="00000000" w:rsidRDefault="0068293C">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w:t>
      </w:r>
      <w:r>
        <w:rPr>
          <w:rFonts w:eastAsia="Times New Roman"/>
          <w:color w:val="000000"/>
          <w:sz w:val="20"/>
          <w:szCs w:val="20"/>
        </w:rPr>
        <w:t>material operating segment(s).</w:t>
      </w:r>
    </w:p>
    <w:p w14:paraId="4DF08B18" w14:textId="77777777" w:rsidR="00000000" w:rsidRDefault="0068293C">
      <w:pPr>
        <w:jc w:val="both"/>
        <w:rPr>
          <w:rFonts w:eastAsia="Times New Roman"/>
        </w:rPr>
      </w:pPr>
    </w:p>
    <w:p w14:paraId="2014FD8C" w14:textId="77777777" w:rsidR="00000000" w:rsidRDefault="0068293C">
      <w:pPr>
        <w:jc w:val="both"/>
        <w:rPr>
          <w:rFonts w:eastAsia="Times New Roman"/>
        </w:rPr>
      </w:pPr>
      <w:r>
        <w:rPr>
          <w:rFonts w:eastAsia="Times New Roman"/>
          <w:color w:val="000000"/>
          <w:sz w:val="20"/>
          <w:szCs w:val="20"/>
        </w:rPr>
        <w:t xml:space="preserve">Eliminations includes revenues from contracts with customers and the related costs that are reported in the Payments &amp; Network segment as well as in the Retail or Hospitality segments, including merchant acquiring services </w:t>
      </w:r>
      <w:r>
        <w:rPr>
          <w:rFonts w:eastAsia="Times New Roman"/>
          <w:color w:val="000000"/>
          <w:sz w:val="20"/>
          <w:szCs w:val="20"/>
        </w:rPr>
        <w:t>that are monetized via payments.</w:t>
      </w:r>
    </w:p>
    <w:p w14:paraId="604FB7ED" w14:textId="77777777" w:rsidR="00000000" w:rsidRDefault="0068293C">
      <w:pPr>
        <w:jc w:val="both"/>
        <w:rPr>
          <w:rFonts w:eastAsia="Times New Roman"/>
        </w:rPr>
      </w:pPr>
    </w:p>
    <w:p w14:paraId="6D4FF7A8" w14:textId="77777777" w:rsidR="00000000" w:rsidRDefault="0068293C">
      <w:pPr>
        <w:jc w:val="both"/>
        <w:rPr>
          <w:rFonts w:eastAsia="Times New Roman"/>
        </w:rPr>
      </w:pPr>
      <w:r>
        <w:rPr>
          <w:rFonts w:eastAsia="Times New Roman"/>
          <w:color w:val="000000"/>
          <w:sz w:val="20"/>
          <w:szCs w:val="20"/>
        </w:rPr>
        <w:t>These segments represent components of the Company for which separate financial information is available that is utilized on a regular basis by the chief operating decision maker in assessing segment performance and in al</w:t>
      </w:r>
      <w:r>
        <w:rPr>
          <w:rFonts w:eastAsia="Times New Roman"/>
          <w:color w:val="000000"/>
          <w:sz w:val="20"/>
          <w:szCs w:val="20"/>
        </w:rPr>
        <w:t>locating the Company's resources. Management evaluates the performance of the segments based on revenue and Adjusted EBITDA. Adjusted EBITDA is defined as GAAP net income (loss) from continuing operations attributable to NCR plus interest expense, net; plu</w:t>
      </w:r>
      <w:r>
        <w:rPr>
          <w:rFonts w:eastAsia="Times New Roman"/>
          <w:color w:val="000000"/>
          <w:sz w:val="20"/>
          <w:szCs w:val="20"/>
        </w:rPr>
        <w:t xml:space="preserve">s income tax expense (benefit); plus depreciation and amortization; plus stock-based compensation expense; plus other income </w:t>
      </w:r>
    </w:p>
    <w:p w14:paraId="2FDCCBD6" w14:textId="77777777" w:rsidR="00000000" w:rsidRDefault="0068293C">
      <w:pPr>
        <w:jc w:val="center"/>
        <w:divId w:val="1226260776"/>
        <w:rPr>
          <w:rFonts w:eastAsia="Times New Roman"/>
        </w:rPr>
      </w:pPr>
      <w:r>
        <w:rPr>
          <w:rFonts w:eastAsia="Times New Roman"/>
          <w:color w:val="000000"/>
          <w:sz w:val="20"/>
          <w:szCs w:val="20"/>
        </w:rPr>
        <w:t>14</w:t>
      </w:r>
    </w:p>
    <w:p w14:paraId="4484A87C" w14:textId="77777777" w:rsidR="00000000" w:rsidRDefault="0068293C">
      <w:pPr>
        <w:rPr>
          <w:rFonts w:eastAsia="Times New Roman"/>
        </w:rPr>
      </w:pPr>
      <w:r>
        <w:rPr>
          <w:rFonts w:eastAsia="Times New Roman"/>
        </w:rPr>
        <w:pict w14:anchorId="58D0F351">
          <v:rect id="_x0000_i1039" style="width:0;height:1.5pt" o:hralign="center" o:hrstd="t" o:hr="t" fillcolor="#a0a0a0" stroked="f"/>
        </w:pict>
      </w:r>
    </w:p>
    <w:p w14:paraId="30406B6C" w14:textId="77777777" w:rsidR="00000000" w:rsidRDefault="0068293C">
      <w:pPr>
        <w:ind w:firstLine="720"/>
        <w:divId w:val="1635062237"/>
        <w:rPr>
          <w:rFonts w:eastAsia="Times New Roman"/>
        </w:rPr>
      </w:pPr>
      <w:hyperlink w:anchor="i78484f3d0d8e4e36a7c87ddd6ea9d725_7" w:history="1">
        <w:r>
          <w:rPr>
            <w:rStyle w:val="a3"/>
            <w:rFonts w:eastAsia="Times New Roman"/>
            <w:sz w:val="16"/>
            <w:szCs w:val="16"/>
          </w:rPr>
          <w:t>Table of Content</w:t>
        </w:r>
      </w:hyperlink>
    </w:p>
    <w:p w14:paraId="3265E7ED" w14:textId="77777777" w:rsidR="00000000" w:rsidRDefault="0068293C">
      <w:pPr>
        <w:jc w:val="center"/>
        <w:divId w:val="1489396923"/>
        <w:rPr>
          <w:rFonts w:eastAsia="Times New Roman"/>
        </w:rPr>
      </w:pPr>
      <w:r>
        <w:rPr>
          <w:rFonts w:eastAsia="Times New Roman"/>
          <w:b/>
          <w:bCs/>
          <w:color w:val="000000"/>
          <w:sz w:val="20"/>
          <w:szCs w:val="20"/>
        </w:rPr>
        <w:t>NCR Corporation</w:t>
      </w:r>
    </w:p>
    <w:p w14:paraId="0A7F32D6" w14:textId="77777777" w:rsidR="00000000" w:rsidRDefault="0068293C">
      <w:pPr>
        <w:jc w:val="center"/>
        <w:divId w:val="1489396923"/>
        <w:rPr>
          <w:rFonts w:eastAsia="Times New Roman"/>
        </w:rPr>
      </w:pPr>
      <w:r>
        <w:rPr>
          <w:rFonts w:eastAsia="Times New Roman"/>
          <w:b/>
          <w:bCs/>
          <w:color w:val="000000"/>
          <w:sz w:val="20"/>
          <w:szCs w:val="20"/>
        </w:rPr>
        <w:t>Notes to Condensed Consolidated Financial Statements (Unaudited)—(Continued)</w:t>
      </w:r>
    </w:p>
    <w:p w14:paraId="4CCDF703" w14:textId="77777777" w:rsidR="00000000" w:rsidRDefault="0068293C">
      <w:pPr>
        <w:jc w:val="both"/>
        <w:rPr>
          <w:rFonts w:eastAsia="Times New Roman"/>
        </w:rPr>
      </w:pPr>
      <w:r>
        <w:rPr>
          <w:rFonts w:eastAsia="Times New Roman"/>
          <w:color w:val="000000"/>
          <w:sz w:val="20"/>
          <w:szCs w:val="20"/>
        </w:rPr>
        <w:t>(expense); plus pension mark-to-market adjustments, pension settlements, pension curtailments and pension special termination benefits and other special items, including amortiza</w:t>
      </w:r>
      <w:r>
        <w:rPr>
          <w:rFonts w:eastAsia="Times New Roman"/>
          <w:color w:val="000000"/>
          <w:sz w:val="20"/>
          <w:szCs w:val="20"/>
        </w:rPr>
        <w:t xml:space="preserve">tion of acquisition-related intangibles, restructuring charges, among others. The special items are considered non-operational so are excluded from the Adjusted EBITDA metric utilized by our chief operating decision maker in evaluating segment performance </w:t>
      </w:r>
      <w:r>
        <w:rPr>
          <w:rFonts w:eastAsia="Times New Roman"/>
          <w:color w:val="000000"/>
          <w:sz w:val="20"/>
          <w:szCs w:val="20"/>
        </w:rPr>
        <w:t>and are separately delineated to reconcile back to total reported GAAP net income (loss) from continuing operations attributable to NCR.</w:t>
      </w:r>
    </w:p>
    <w:p w14:paraId="1489FB92" w14:textId="77777777" w:rsidR="00000000" w:rsidRDefault="0068293C">
      <w:pPr>
        <w:jc w:val="both"/>
        <w:rPr>
          <w:rFonts w:eastAsia="Times New Roman"/>
        </w:rPr>
      </w:pPr>
    </w:p>
    <w:p w14:paraId="0C84BC7A" w14:textId="77777777" w:rsidR="00000000" w:rsidRDefault="0068293C">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w:t>
      </w:r>
      <w:r>
        <w:rPr>
          <w:rFonts w:eastAsia="Times New Roman"/>
          <w:color w:val="000000"/>
          <w:sz w:val="20"/>
          <w:szCs w:val="20"/>
        </w:rPr>
        <w:t>The war in Eastern Europe and related sanctions imposed on Russia and related actors by the United States and other jurisdictions required us to orderly wind down our operations in Russia beginning in the first quarter of 2022. As a result, for the three m</w:t>
      </w:r>
      <w:r>
        <w:rPr>
          <w:rFonts w:eastAsia="Times New Roman"/>
          <w:color w:val="000000"/>
          <w:sz w:val="20"/>
          <w:szCs w:val="20"/>
        </w:rPr>
        <w:t>onths ending March 31, 2022, our presentation of segment revenue and Adjusted EBITDA exclude the impact of our operating results in Russia, as well as the impact of impairments taken to write down the carrying value of assets and liabilities, severance cha</w:t>
      </w:r>
      <w:r>
        <w:rPr>
          <w:rFonts w:eastAsia="Times New Roman"/>
          <w:color w:val="000000"/>
          <w:sz w:val="20"/>
          <w:szCs w:val="20"/>
        </w:rPr>
        <w:t>rges, and the assessment of collectability on revenue recognition. We consider this to be a special item and management has reviewed the results of its business segments excluding these impacts. We have not adjusted the presentation of the prior year perio</w:t>
      </w:r>
      <w:r>
        <w:rPr>
          <w:rFonts w:eastAsia="Times New Roman"/>
          <w:color w:val="000000"/>
          <w:sz w:val="20"/>
          <w:szCs w:val="20"/>
        </w:rPr>
        <w:t>d due to the immaterial impact of Russia to income from continuing operations for the three months ended March 31, 2021.</w:t>
      </w:r>
    </w:p>
    <w:p w14:paraId="5B3F3CC8" w14:textId="77777777" w:rsidR="00000000" w:rsidRDefault="0068293C">
      <w:pPr>
        <w:jc w:val="both"/>
        <w:rPr>
          <w:rFonts w:eastAsia="Times New Roman"/>
        </w:rPr>
      </w:pPr>
    </w:p>
    <w:p w14:paraId="240BA1CB" w14:textId="77777777" w:rsidR="00000000" w:rsidRDefault="0068293C">
      <w:pPr>
        <w:jc w:val="both"/>
        <w:rPr>
          <w:rFonts w:eastAsia="Times New Roman"/>
        </w:rPr>
      </w:pPr>
      <w:r>
        <w:rPr>
          <w:rFonts w:eastAsia="Times New Roman"/>
          <w:color w:val="000000"/>
          <w:sz w:val="20"/>
          <w:szCs w:val="20"/>
        </w:rPr>
        <w:t>Assets are not allocated to segments, and thus are not included in the assessment of segment performance. Consequently, we do not disclose total assets by reportable segment. The accounting policies used to determine the results of the operating segments a</w:t>
      </w:r>
      <w:r>
        <w:rPr>
          <w:rFonts w:eastAsia="Times New Roman"/>
          <w:color w:val="000000"/>
          <w:sz w:val="20"/>
          <w:szCs w:val="20"/>
        </w:rPr>
        <w:t>re the same as those utilized for the condensed consolidated financial statements as a whole. Intersegment sales and transfers are not material.</w:t>
      </w:r>
    </w:p>
    <w:p w14:paraId="6D4ABA1E" w14:textId="77777777" w:rsidR="00000000" w:rsidRDefault="0068293C">
      <w:pPr>
        <w:jc w:val="both"/>
        <w:divId w:val="2088257865"/>
        <w:rPr>
          <w:rFonts w:eastAsia="Times New Roman"/>
        </w:rPr>
      </w:pPr>
      <w:r>
        <w:rPr>
          <w:rFonts w:eastAsia="Times New Roman"/>
          <w:color w:val="000000"/>
          <w:sz w:val="20"/>
          <w:szCs w:val="20"/>
        </w:rPr>
        <w:t>The following table presents revenue and Adjusted EBITDA by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45"/>
        <w:gridCol w:w="40"/>
        <w:gridCol w:w="120"/>
        <w:gridCol w:w="1080"/>
        <w:gridCol w:w="36"/>
        <w:gridCol w:w="36"/>
        <w:gridCol w:w="36"/>
        <w:gridCol w:w="36"/>
        <w:gridCol w:w="120"/>
        <w:gridCol w:w="1080"/>
        <w:gridCol w:w="36"/>
      </w:tblGrid>
      <w:tr w:rsidR="00000000" w14:paraId="62F34534" w14:textId="77777777">
        <w:trPr>
          <w:divId w:val="1792623200"/>
          <w:jc w:val="center"/>
        </w:trPr>
        <w:tc>
          <w:tcPr>
            <w:tcW w:w="50" w:type="pct"/>
            <w:vAlign w:val="center"/>
            <w:hideMark/>
          </w:tcPr>
          <w:p w14:paraId="66D2F4C7" w14:textId="77777777" w:rsidR="00000000" w:rsidRDefault="0068293C">
            <w:pPr>
              <w:jc w:val="both"/>
              <w:rPr>
                <w:rFonts w:eastAsia="Times New Roman"/>
              </w:rPr>
            </w:pPr>
          </w:p>
        </w:tc>
        <w:tc>
          <w:tcPr>
            <w:tcW w:w="3439" w:type="pct"/>
            <w:vAlign w:val="center"/>
            <w:hideMark/>
          </w:tcPr>
          <w:p w14:paraId="46055514" w14:textId="77777777" w:rsidR="00000000" w:rsidRDefault="0068293C">
            <w:pPr>
              <w:spacing w:after="100"/>
              <w:rPr>
                <w:rFonts w:eastAsia="Times New Roman"/>
                <w:sz w:val="20"/>
                <w:szCs w:val="20"/>
              </w:rPr>
            </w:pPr>
          </w:p>
        </w:tc>
        <w:tc>
          <w:tcPr>
            <w:tcW w:w="5" w:type="pct"/>
            <w:vAlign w:val="center"/>
            <w:hideMark/>
          </w:tcPr>
          <w:p w14:paraId="559DB17D" w14:textId="77777777" w:rsidR="00000000" w:rsidRDefault="0068293C">
            <w:pPr>
              <w:spacing w:after="100"/>
              <w:rPr>
                <w:rFonts w:eastAsia="Times New Roman"/>
                <w:sz w:val="20"/>
                <w:szCs w:val="20"/>
              </w:rPr>
            </w:pPr>
          </w:p>
        </w:tc>
        <w:tc>
          <w:tcPr>
            <w:tcW w:w="50" w:type="pct"/>
            <w:vAlign w:val="center"/>
            <w:hideMark/>
          </w:tcPr>
          <w:p w14:paraId="1DAEDE5B" w14:textId="77777777" w:rsidR="00000000" w:rsidRDefault="0068293C">
            <w:pPr>
              <w:spacing w:after="100"/>
              <w:rPr>
                <w:rFonts w:eastAsia="Times New Roman"/>
                <w:sz w:val="20"/>
                <w:szCs w:val="20"/>
              </w:rPr>
            </w:pPr>
          </w:p>
        </w:tc>
        <w:tc>
          <w:tcPr>
            <w:tcW w:w="683" w:type="pct"/>
            <w:vAlign w:val="center"/>
            <w:hideMark/>
          </w:tcPr>
          <w:p w14:paraId="589509A5" w14:textId="77777777" w:rsidR="00000000" w:rsidRDefault="0068293C">
            <w:pPr>
              <w:spacing w:after="100"/>
              <w:rPr>
                <w:rFonts w:eastAsia="Times New Roman"/>
                <w:sz w:val="20"/>
                <w:szCs w:val="20"/>
              </w:rPr>
            </w:pPr>
          </w:p>
        </w:tc>
        <w:tc>
          <w:tcPr>
            <w:tcW w:w="5" w:type="pct"/>
            <w:vAlign w:val="center"/>
            <w:hideMark/>
          </w:tcPr>
          <w:p w14:paraId="689FEECF" w14:textId="77777777" w:rsidR="00000000" w:rsidRDefault="0068293C">
            <w:pPr>
              <w:spacing w:after="100"/>
              <w:rPr>
                <w:rFonts w:eastAsia="Times New Roman"/>
                <w:sz w:val="20"/>
                <w:szCs w:val="20"/>
              </w:rPr>
            </w:pPr>
          </w:p>
        </w:tc>
        <w:tc>
          <w:tcPr>
            <w:tcW w:w="5" w:type="pct"/>
            <w:vAlign w:val="center"/>
            <w:hideMark/>
          </w:tcPr>
          <w:p w14:paraId="5A995C4E" w14:textId="77777777" w:rsidR="00000000" w:rsidRDefault="0068293C">
            <w:pPr>
              <w:spacing w:after="100"/>
              <w:rPr>
                <w:rFonts w:eastAsia="Times New Roman"/>
                <w:sz w:val="20"/>
                <w:szCs w:val="20"/>
              </w:rPr>
            </w:pPr>
          </w:p>
        </w:tc>
        <w:tc>
          <w:tcPr>
            <w:tcW w:w="19" w:type="pct"/>
            <w:vAlign w:val="center"/>
            <w:hideMark/>
          </w:tcPr>
          <w:p w14:paraId="487705C3" w14:textId="77777777" w:rsidR="00000000" w:rsidRDefault="0068293C">
            <w:pPr>
              <w:spacing w:after="100"/>
              <w:rPr>
                <w:rFonts w:eastAsia="Times New Roman"/>
                <w:sz w:val="20"/>
                <w:szCs w:val="20"/>
              </w:rPr>
            </w:pPr>
          </w:p>
        </w:tc>
        <w:tc>
          <w:tcPr>
            <w:tcW w:w="5" w:type="pct"/>
            <w:vAlign w:val="center"/>
            <w:hideMark/>
          </w:tcPr>
          <w:p w14:paraId="1924D31F" w14:textId="77777777" w:rsidR="00000000" w:rsidRDefault="0068293C">
            <w:pPr>
              <w:spacing w:after="100"/>
              <w:rPr>
                <w:rFonts w:eastAsia="Times New Roman"/>
                <w:sz w:val="20"/>
                <w:szCs w:val="20"/>
              </w:rPr>
            </w:pPr>
          </w:p>
        </w:tc>
        <w:tc>
          <w:tcPr>
            <w:tcW w:w="50" w:type="pct"/>
            <w:vAlign w:val="center"/>
            <w:hideMark/>
          </w:tcPr>
          <w:p w14:paraId="34C41877" w14:textId="77777777" w:rsidR="00000000" w:rsidRDefault="0068293C">
            <w:pPr>
              <w:spacing w:after="100"/>
              <w:rPr>
                <w:rFonts w:eastAsia="Times New Roman"/>
                <w:sz w:val="20"/>
                <w:szCs w:val="20"/>
              </w:rPr>
            </w:pPr>
          </w:p>
        </w:tc>
        <w:tc>
          <w:tcPr>
            <w:tcW w:w="683" w:type="pct"/>
            <w:vAlign w:val="center"/>
            <w:hideMark/>
          </w:tcPr>
          <w:p w14:paraId="61EB5CA7" w14:textId="77777777" w:rsidR="00000000" w:rsidRDefault="0068293C">
            <w:pPr>
              <w:spacing w:after="100"/>
              <w:rPr>
                <w:rFonts w:eastAsia="Times New Roman"/>
                <w:sz w:val="20"/>
                <w:szCs w:val="20"/>
              </w:rPr>
            </w:pPr>
          </w:p>
        </w:tc>
        <w:tc>
          <w:tcPr>
            <w:tcW w:w="5" w:type="pct"/>
            <w:vAlign w:val="center"/>
            <w:hideMark/>
          </w:tcPr>
          <w:p w14:paraId="1D4E6131" w14:textId="77777777" w:rsidR="00000000" w:rsidRDefault="0068293C">
            <w:pPr>
              <w:spacing w:after="100"/>
              <w:rPr>
                <w:rFonts w:eastAsia="Times New Roman"/>
                <w:sz w:val="20"/>
                <w:szCs w:val="20"/>
              </w:rPr>
            </w:pPr>
          </w:p>
        </w:tc>
      </w:tr>
      <w:tr w:rsidR="00000000" w14:paraId="34B144AD" w14:textId="77777777">
        <w:trPr>
          <w:divId w:val="1792623200"/>
          <w:trHeight w:val="240"/>
          <w:jc w:val="center"/>
        </w:trPr>
        <w:tc>
          <w:tcPr>
            <w:tcW w:w="0" w:type="auto"/>
            <w:gridSpan w:val="3"/>
            <w:vMerge w:val="restart"/>
            <w:tcMar>
              <w:top w:w="30" w:type="dxa"/>
              <w:left w:w="20" w:type="dxa"/>
              <w:bottom w:w="30" w:type="dxa"/>
              <w:right w:w="20" w:type="dxa"/>
            </w:tcMar>
            <w:vAlign w:val="bottom"/>
            <w:hideMark/>
          </w:tcPr>
          <w:p w14:paraId="29B2C2C5"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49E6C21A" w14:textId="77777777" w:rsidR="00000000" w:rsidRDefault="0068293C">
            <w:pPr>
              <w:spacing w:after="100"/>
              <w:jc w:val="center"/>
              <w:rPr>
                <w:rFonts w:eastAsia="Times New Roman"/>
              </w:rPr>
            </w:pPr>
            <w:r>
              <w:rPr>
                <w:rFonts w:eastAsia="Times New Roman"/>
                <w:b/>
                <w:bCs/>
                <w:color w:val="000000"/>
                <w:sz w:val="16"/>
                <w:szCs w:val="16"/>
              </w:rPr>
              <w:t>Three months en</w:t>
            </w:r>
            <w:r>
              <w:rPr>
                <w:rFonts w:eastAsia="Times New Roman"/>
                <w:b/>
                <w:bCs/>
                <w:color w:val="000000"/>
                <w:sz w:val="16"/>
                <w:szCs w:val="16"/>
              </w:rPr>
              <w:t>ded March 31</w:t>
            </w:r>
          </w:p>
        </w:tc>
      </w:tr>
      <w:tr w:rsidR="00000000" w14:paraId="40D55371" w14:textId="77777777">
        <w:trPr>
          <w:divId w:val="1792623200"/>
          <w:trHeight w:val="240"/>
          <w:jc w:val="center"/>
        </w:trPr>
        <w:tc>
          <w:tcPr>
            <w:tcW w:w="0" w:type="auto"/>
            <w:gridSpan w:val="3"/>
            <w:vMerge/>
            <w:vAlign w:val="center"/>
            <w:hideMark/>
          </w:tcPr>
          <w:p w14:paraId="0FA4638A"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8B4B93"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ADF00D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305263"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73EF309D" w14:textId="77777777">
        <w:trPr>
          <w:divId w:val="1792623200"/>
          <w:jc w:val="center"/>
        </w:trPr>
        <w:tc>
          <w:tcPr>
            <w:tcW w:w="0" w:type="auto"/>
            <w:gridSpan w:val="3"/>
            <w:shd w:val="clear" w:color="auto" w:fill="CCEEFF"/>
            <w:tcMar>
              <w:top w:w="30" w:type="dxa"/>
              <w:left w:w="20" w:type="dxa"/>
              <w:bottom w:w="30" w:type="dxa"/>
              <w:right w:w="20" w:type="dxa"/>
            </w:tcMar>
            <w:hideMark/>
          </w:tcPr>
          <w:p w14:paraId="52EEE7B9" w14:textId="77777777" w:rsidR="00000000" w:rsidRDefault="0068293C">
            <w:pPr>
              <w:spacing w:after="100"/>
              <w:rPr>
                <w:rFonts w:eastAsia="Times New Roman"/>
              </w:rPr>
            </w:pPr>
            <w:r>
              <w:rPr>
                <w:rFonts w:eastAsia="Times New Roman"/>
                <w:b/>
                <w:bCs/>
                <w:color w:val="000000"/>
                <w:sz w:val="20"/>
                <w:szCs w:val="20"/>
              </w:rPr>
              <w:t>Revenue by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3C7D99"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B24CE"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AFE4F4" w14:textId="77777777" w:rsidR="00000000" w:rsidRDefault="0068293C">
            <w:pPr>
              <w:spacing w:after="100"/>
              <w:rPr>
                <w:rFonts w:eastAsia="Times New Roman"/>
                <w:sz w:val="20"/>
                <w:szCs w:val="20"/>
              </w:rPr>
            </w:pPr>
          </w:p>
        </w:tc>
      </w:tr>
      <w:tr w:rsidR="00000000" w14:paraId="26CAC7B5" w14:textId="77777777">
        <w:trPr>
          <w:divId w:val="1792623200"/>
          <w:jc w:val="center"/>
        </w:trPr>
        <w:tc>
          <w:tcPr>
            <w:tcW w:w="0" w:type="auto"/>
            <w:gridSpan w:val="3"/>
            <w:shd w:val="clear" w:color="auto" w:fill="FFFFFF"/>
            <w:tcMar>
              <w:top w:w="30" w:type="dxa"/>
              <w:left w:w="260" w:type="dxa"/>
              <w:bottom w:w="30" w:type="dxa"/>
              <w:right w:w="20" w:type="dxa"/>
            </w:tcMar>
            <w:hideMark/>
          </w:tcPr>
          <w:p w14:paraId="3A28FE48" w14:textId="77777777" w:rsidR="00000000" w:rsidRDefault="0068293C">
            <w:pPr>
              <w:spacing w:after="100"/>
              <w:rPr>
                <w:rFonts w:eastAsia="Times New Roman"/>
              </w:rPr>
            </w:pPr>
            <w:r>
              <w:rPr>
                <w:rFonts w:eastAsia="Times New Roman"/>
                <w:color w:val="000000"/>
                <w:sz w:val="20"/>
                <w:szCs w:val="20"/>
              </w:rPr>
              <w:t>Payments &amp; Network</w:t>
            </w:r>
          </w:p>
        </w:tc>
        <w:tc>
          <w:tcPr>
            <w:tcW w:w="0" w:type="auto"/>
            <w:shd w:val="clear" w:color="auto" w:fill="FFFFFF"/>
            <w:tcMar>
              <w:top w:w="30" w:type="dxa"/>
              <w:left w:w="20" w:type="dxa"/>
              <w:bottom w:w="30" w:type="dxa"/>
              <w:right w:w="0" w:type="dxa"/>
            </w:tcMar>
            <w:vAlign w:val="bottom"/>
            <w:hideMark/>
          </w:tcPr>
          <w:p w14:paraId="51AFE4C0"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3E7765C" w14:textId="77777777" w:rsidR="00000000" w:rsidRDefault="0068293C">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B494B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B1763"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7D0D0D"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6A8EA1" w14:textId="77777777" w:rsidR="00000000" w:rsidRDefault="0068293C">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31EE8756" w14:textId="77777777" w:rsidR="00000000" w:rsidRDefault="0068293C">
            <w:pPr>
              <w:spacing w:after="100"/>
              <w:jc w:val="right"/>
              <w:rPr>
                <w:rFonts w:eastAsia="Times New Roman"/>
              </w:rPr>
            </w:pPr>
          </w:p>
        </w:tc>
      </w:tr>
      <w:tr w:rsidR="00000000" w14:paraId="0C82B184" w14:textId="77777777">
        <w:trPr>
          <w:divId w:val="1792623200"/>
          <w:jc w:val="center"/>
        </w:trPr>
        <w:tc>
          <w:tcPr>
            <w:tcW w:w="0" w:type="auto"/>
            <w:gridSpan w:val="3"/>
            <w:shd w:val="clear" w:color="auto" w:fill="CCEEFF"/>
            <w:tcMar>
              <w:top w:w="30" w:type="dxa"/>
              <w:left w:w="260" w:type="dxa"/>
              <w:bottom w:w="30" w:type="dxa"/>
              <w:right w:w="20" w:type="dxa"/>
            </w:tcMar>
            <w:hideMark/>
          </w:tcPr>
          <w:p w14:paraId="4C5C3FF2" w14:textId="77777777" w:rsidR="00000000" w:rsidRDefault="0068293C">
            <w:pPr>
              <w:spacing w:after="100"/>
              <w:rPr>
                <w:rFonts w:eastAsia="Times New Roman"/>
              </w:rPr>
            </w:pPr>
            <w:r>
              <w:rPr>
                <w:rFonts w:eastAsia="Times New Roman"/>
                <w:color w:val="000000"/>
                <w:sz w:val="20"/>
                <w:szCs w:val="20"/>
              </w:rPr>
              <w:t>Digital Banking</w:t>
            </w:r>
          </w:p>
        </w:tc>
        <w:tc>
          <w:tcPr>
            <w:tcW w:w="0" w:type="auto"/>
            <w:gridSpan w:val="2"/>
            <w:shd w:val="clear" w:color="auto" w:fill="CCEEFF"/>
            <w:tcMar>
              <w:top w:w="30" w:type="dxa"/>
              <w:left w:w="20" w:type="dxa"/>
              <w:bottom w:w="30" w:type="dxa"/>
              <w:right w:w="0" w:type="dxa"/>
            </w:tcMar>
            <w:vAlign w:val="bottom"/>
            <w:hideMark/>
          </w:tcPr>
          <w:p w14:paraId="0A0E14EA" w14:textId="77777777" w:rsidR="00000000" w:rsidRDefault="0068293C">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44FAF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DE5F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4D4DEB" w14:textId="77777777" w:rsidR="00000000" w:rsidRDefault="0068293C">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7FB2E185" w14:textId="77777777" w:rsidR="00000000" w:rsidRDefault="0068293C">
            <w:pPr>
              <w:spacing w:after="100"/>
              <w:jc w:val="right"/>
              <w:rPr>
                <w:rFonts w:eastAsia="Times New Roman"/>
              </w:rPr>
            </w:pPr>
          </w:p>
        </w:tc>
      </w:tr>
      <w:tr w:rsidR="00000000" w14:paraId="33111452" w14:textId="77777777">
        <w:trPr>
          <w:divId w:val="1792623200"/>
          <w:jc w:val="center"/>
        </w:trPr>
        <w:tc>
          <w:tcPr>
            <w:tcW w:w="0" w:type="auto"/>
            <w:gridSpan w:val="3"/>
            <w:shd w:val="clear" w:color="auto" w:fill="FFFFFF"/>
            <w:tcMar>
              <w:top w:w="30" w:type="dxa"/>
              <w:left w:w="260" w:type="dxa"/>
              <w:bottom w:w="30" w:type="dxa"/>
              <w:right w:w="20" w:type="dxa"/>
            </w:tcMar>
            <w:hideMark/>
          </w:tcPr>
          <w:p w14:paraId="0CE0D4B8" w14:textId="77777777" w:rsidR="00000000" w:rsidRDefault="0068293C">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14:paraId="284D606D" w14:textId="77777777" w:rsidR="00000000" w:rsidRDefault="0068293C">
            <w:pPr>
              <w:spacing w:after="100"/>
              <w:jc w:val="right"/>
              <w:rPr>
                <w:rFonts w:eastAsia="Times New Roman"/>
              </w:rPr>
            </w:pPr>
            <w:r>
              <w:rPr>
                <w:rFonts w:eastAsia="Times New Roman"/>
                <w:b/>
                <w:bCs/>
                <w:color w:val="000000"/>
                <w:sz w:val="20"/>
                <w:szCs w:val="20"/>
              </w:rPr>
              <w:t>611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78F74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47701"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62B04" w14:textId="77777777" w:rsidR="00000000" w:rsidRDefault="0068293C">
            <w:pPr>
              <w:spacing w:after="100"/>
              <w:jc w:val="right"/>
              <w:rPr>
                <w:rFonts w:eastAsia="Times New Roman"/>
              </w:rPr>
            </w:pPr>
            <w:r>
              <w:rPr>
                <w:rFonts w:eastAsia="Times New Roman"/>
                <w:color w:val="000000"/>
                <w:sz w:val="20"/>
                <w:szCs w:val="20"/>
              </w:rPr>
              <w:t>628 </w:t>
            </w:r>
          </w:p>
        </w:tc>
        <w:tc>
          <w:tcPr>
            <w:tcW w:w="0" w:type="auto"/>
            <w:shd w:val="clear" w:color="auto" w:fill="FFFFFF"/>
            <w:tcMar>
              <w:top w:w="30" w:type="dxa"/>
              <w:left w:w="0" w:type="dxa"/>
              <w:bottom w:w="30" w:type="dxa"/>
              <w:right w:w="20" w:type="dxa"/>
            </w:tcMar>
            <w:vAlign w:val="bottom"/>
            <w:hideMark/>
          </w:tcPr>
          <w:p w14:paraId="66ED277F" w14:textId="77777777" w:rsidR="00000000" w:rsidRDefault="0068293C">
            <w:pPr>
              <w:spacing w:after="100"/>
              <w:jc w:val="right"/>
              <w:rPr>
                <w:rFonts w:eastAsia="Times New Roman"/>
              </w:rPr>
            </w:pPr>
          </w:p>
        </w:tc>
      </w:tr>
      <w:tr w:rsidR="00000000" w14:paraId="10579662" w14:textId="77777777">
        <w:trPr>
          <w:divId w:val="1792623200"/>
          <w:jc w:val="center"/>
        </w:trPr>
        <w:tc>
          <w:tcPr>
            <w:tcW w:w="0" w:type="auto"/>
            <w:gridSpan w:val="3"/>
            <w:shd w:val="clear" w:color="auto" w:fill="CCEEFF"/>
            <w:tcMar>
              <w:top w:w="30" w:type="dxa"/>
              <w:left w:w="260" w:type="dxa"/>
              <w:bottom w:w="30" w:type="dxa"/>
              <w:right w:w="20" w:type="dxa"/>
            </w:tcMar>
            <w:hideMark/>
          </w:tcPr>
          <w:p w14:paraId="314557D2" w14:textId="77777777" w:rsidR="00000000" w:rsidRDefault="0068293C">
            <w:pPr>
              <w:spacing w:after="100"/>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14:paraId="4C46D873" w14:textId="77777777" w:rsidR="00000000" w:rsidRDefault="0068293C">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EA805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AEEF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E2D48" w14:textId="77777777" w:rsidR="00000000" w:rsidRDefault="0068293C">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14:paraId="16DBFBCD" w14:textId="77777777" w:rsidR="00000000" w:rsidRDefault="0068293C">
            <w:pPr>
              <w:spacing w:after="100"/>
              <w:jc w:val="right"/>
              <w:rPr>
                <w:rFonts w:eastAsia="Times New Roman"/>
              </w:rPr>
            </w:pPr>
          </w:p>
        </w:tc>
      </w:tr>
      <w:tr w:rsidR="00000000" w14:paraId="3F00FC3C" w14:textId="77777777">
        <w:trPr>
          <w:divId w:val="1792623200"/>
          <w:jc w:val="center"/>
        </w:trPr>
        <w:tc>
          <w:tcPr>
            <w:tcW w:w="0" w:type="auto"/>
            <w:gridSpan w:val="3"/>
            <w:shd w:val="clear" w:color="auto" w:fill="FFFFFF"/>
            <w:tcMar>
              <w:top w:w="30" w:type="dxa"/>
              <w:left w:w="260" w:type="dxa"/>
              <w:bottom w:w="30" w:type="dxa"/>
              <w:right w:w="20" w:type="dxa"/>
            </w:tcMar>
            <w:hideMark/>
          </w:tcPr>
          <w:p w14:paraId="0B30D5D7" w14:textId="77777777" w:rsidR="00000000" w:rsidRDefault="0068293C">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14:paraId="6B886156" w14:textId="77777777" w:rsidR="00000000" w:rsidRDefault="0068293C">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0AFDF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E42A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FCA8D" w14:textId="77777777" w:rsidR="00000000" w:rsidRDefault="0068293C">
            <w:pPr>
              <w:spacing w:after="100"/>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14:paraId="30DA3A72" w14:textId="77777777" w:rsidR="00000000" w:rsidRDefault="0068293C">
            <w:pPr>
              <w:spacing w:after="100"/>
              <w:jc w:val="right"/>
              <w:rPr>
                <w:rFonts w:eastAsia="Times New Roman"/>
              </w:rPr>
            </w:pPr>
          </w:p>
        </w:tc>
      </w:tr>
      <w:tr w:rsidR="00000000" w14:paraId="38CE14E4" w14:textId="77777777">
        <w:trPr>
          <w:divId w:val="1792623200"/>
          <w:jc w:val="center"/>
        </w:trPr>
        <w:tc>
          <w:tcPr>
            <w:tcW w:w="0" w:type="auto"/>
            <w:gridSpan w:val="3"/>
            <w:shd w:val="clear" w:color="auto" w:fill="CCEEFF"/>
            <w:tcMar>
              <w:top w:w="30" w:type="dxa"/>
              <w:left w:w="245" w:type="dxa"/>
              <w:bottom w:w="30" w:type="dxa"/>
              <w:right w:w="20" w:type="dxa"/>
            </w:tcMar>
            <w:vAlign w:val="bottom"/>
            <w:hideMark/>
          </w:tcPr>
          <w:p w14:paraId="23D954F4" w14:textId="77777777" w:rsidR="00000000" w:rsidRDefault="0068293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39CCF3C" w14:textId="77777777" w:rsidR="00000000" w:rsidRDefault="0068293C">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C70C4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F1E0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05773" w14:textId="77777777" w:rsidR="00000000" w:rsidRDefault="0068293C">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6047AD3E" w14:textId="77777777" w:rsidR="00000000" w:rsidRDefault="0068293C">
            <w:pPr>
              <w:spacing w:after="100"/>
              <w:jc w:val="right"/>
              <w:rPr>
                <w:rFonts w:eastAsia="Times New Roman"/>
              </w:rPr>
            </w:pPr>
          </w:p>
        </w:tc>
      </w:tr>
      <w:tr w:rsidR="00000000" w14:paraId="38BFC2E4" w14:textId="77777777">
        <w:trPr>
          <w:divId w:val="1792623200"/>
          <w:jc w:val="center"/>
        </w:trPr>
        <w:tc>
          <w:tcPr>
            <w:tcW w:w="0" w:type="auto"/>
            <w:gridSpan w:val="3"/>
            <w:shd w:val="clear" w:color="auto" w:fill="FFFFFF"/>
            <w:tcMar>
              <w:top w:w="30" w:type="dxa"/>
              <w:left w:w="245" w:type="dxa"/>
              <w:bottom w:w="30" w:type="dxa"/>
              <w:right w:w="20" w:type="dxa"/>
            </w:tcMar>
            <w:vAlign w:val="bottom"/>
            <w:hideMark/>
          </w:tcPr>
          <w:p w14:paraId="550441D9" w14:textId="77777777" w:rsidR="00000000" w:rsidRDefault="0068293C">
            <w:pPr>
              <w:spacing w:after="100"/>
              <w:rPr>
                <w:rFonts w:eastAsia="Times New Roman"/>
              </w:rPr>
            </w:pPr>
            <w:r>
              <w:rPr>
                <w:rFonts w:eastAsia="Times New Roman"/>
                <w:color w:val="000000"/>
                <w:sz w:val="20"/>
                <w:szCs w:val="20"/>
              </w:rPr>
              <w:t>Eliminations</w:t>
            </w:r>
          </w:p>
        </w:tc>
        <w:tc>
          <w:tcPr>
            <w:tcW w:w="0" w:type="auto"/>
            <w:gridSpan w:val="2"/>
            <w:shd w:val="clear" w:color="auto" w:fill="FFFFFF"/>
            <w:tcMar>
              <w:top w:w="30" w:type="dxa"/>
              <w:left w:w="20" w:type="dxa"/>
              <w:bottom w:w="30" w:type="dxa"/>
              <w:right w:w="0" w:type="dxa"/>
            </w:tcMar>
            <w:vAlign w:val="bottom"/>
            <w:hideMark/>
          </w:tcPr>
          <w:p w14:paraId="1F5F0590" w14:textId="77777777" w:rsidR="00000000" w:rsidRDefault="0068293C">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14:paraId="1B65361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8BC7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3E0B9" w14:textId="77777777" w:rsidR="00000000" w:rsidRDefault="0068293C">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4A9106D4" w14:textId="77777777" w:rsidR="00000000" w:rsidRDefault="0068293C">
            <w:pPr>
              <w:spacing w:after="100"/>
              <w:jc w:val="right"/>
              <w:rPr>
                <w:rFonts w:eastAsia="Times New Roman"/>
              </w:rPr>
            </w:pPr>
          </w:p>
        </w:tc>
      </w:tr>
      <w:tr w:rsidR="00000000" w14:paraId="58DF2861" w14:textId="77777777">
        <w:trPr>
          <w:divId w:val="1792623200"/>
          <w:jc w:val="center"/>
        </w:trPr>
        <w:tc>
          <w:tcPr>
            <w:tcW w:w="0" w:type="auto"/>
            <w:gridSpan w:val="3"/>
            <w:shd w:val="clear" w:color="auto" w:fill="CCEEFF"/>
            <w:tcMar>
              <w:top w:w="30" w:type="dxa"/>
              <w:left w:w="20" w:type="dxa"/>
              <w:bottom w:w="30" w:type="dxa"/>
              <w:right w:w="20" w:type="dxa"/>
            </w:tcMar>
            <w:hideMark/>
          </w:tcPr>
          <w:p w14:paraId="2FA4706F" w14:textId="77777777" w:rsidR="00000000" w:rsidRDefault="0068293C">
            <w:pPr>
              <w:spacing w:after="100"/>
              <w:rPr>
                <w:rFonts w:eastAsia="Times New Roman"/>
              </w:rPr>
            </w:pPr>
            <w:r>
              <w:rPr>
                <w:rFonts w:eastAsia="Times New Roman"/>
                <w:b/>
                <w:bCs/>
                <w:color w:val="000000"/>
                <w:sz w:val="20"/>
                <w:szCs w:val="20"/>
              </w:rPr>
              <w:t>Total segment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7A105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D2A8E9" w14:textId="77777777" w:rsidR="00000000" w:rsidRDefault="0068293C">
            <w:pPr>
              <w:spacing w:after="100"/>
              <w:jc w:val="right"/>
              <w:rPr>
                <w:rFonts w:eastAsia="Times New Roman"/>
              </w:rPr>
            </w:pPr>
            <w:r>
              <w:rPr>
                <w:rFonts w:eastAsia="Times New Roman"/>
                <w:b/>
                <w:bCs/>
                <w:color w:val="000000"/>
                <w:sz w:val="20"/>
                <w:szCs w:val="20"/>
              </w:rPr>
              <w:t>1,863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A6C66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6AD3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FF2518"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3EB999"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62FF0C" w14:textId="77777777" w:rsidR="00000000" w:rsidRDefault="0068293C">
            <w:pPr>
              <w:spacing w:after="100"/>
              <w:jc w:val="right"/>
              <w:rPr>
                <w:rFonts w:eastAsia="Times New Roman"/>
              </w:rPr>
            </w:pPr>
          </w:p>
        </w:tc>
      </w:tr>
      <w:tr w:rsidR="00000000" w14:paraId="63860F58" w14:textId="77777777">
        <w:trPr>
          <w:divId w:val="1792623200"/>
          <w:jc w:val="center"/>
        </w:trPr>
        <w:tc>
          <w:tcPr>
            <w:tcW w:w="0" w:type="auto"/>
            <w:gridSpan w:val="3"/>
            <w:shd w:val="clear" w:color="auto" w:fill="FFFFFF"/>
            <w:tcMar>
              <w:top w:w="30" w:type="dxa"/>
              <w:left w:w="20" w:type="dxa"/>
              <w:bottom w:w="30" w:type="dxa"/>
              <w:right w:w="20" w:type="dxa"/>
            </w:tcMar>
            <w:hideMark/>
          </w:tcPr>
          <w:p w14:paraId="041CF3D9" w14:textId="77777777" w:rsidR="00000000" w:rsidRDefault="0068293C">
            <w:pPr>
              <w:spacing w:after="100"/>
              <w:divId w:val="433945196"/>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65C380CE" w14:textId="77777777" w:rsidR="00000000" w:rsidRDefault="0068293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3148C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21AB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7B432"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18DA93" w14:textId="77777777" w:rsidR="00000000" w:rsidRDefault="0068293C">
            <w:pPr>
              <w:spacing w:after="100"/>
              <w:jc w:val="right"/>
              <w:rPr>
                <w:rFonts w:eastAsia="Times New Roman"/>
              </w:rPr>
            </w:pPr>
          </w:p>
        </w:tc>
      </w:tr>
      <w:tr w:rsidR="00000000" w14:paraId="2987013B" w14:textId="77777777">
        <w:trPr>
          <w:divId w:val="1792623200"/>
          <w:jc w:val="center"/>
        </w:trPr>
        <w:tc>
          <w:tcPr>
            <w:tcW w:w="0" w:type="auto"/>
            <w:gridSpan w:val="3"/>
            <w:shd w:val="clear" w:color="auto" w:fill="CCEEFF"/>
            <w:tcMar>
              <w:top w:w="30" w:type="dxa"/>
              <w:left w:w="20" w:type="dxa"/>
              <w:bottom w:w="30" w:type="dxa"/>
              <w:right w:w="20" w:type="dxa"/>
            </w:tcMar>
            <w:hideMark/>
          </w:tcPr>
          <w:p w14:paraId="290789EC" w14:textId="77777777" w:rsidR="00000000" w:rsidRDefault="0068293C">
            <w:pPr>
              <w:spacing w:after="100"/>
              <w:rPr>
                <w:rFonts w:eastAsia="Times New Roman"/>
              </w:rPr>
            </w:pPr>
            <w:r>
              <w:rPr>
                <w:rFonts w:eastAsia="Times New Roman"/>
                <w:b/>
                <w:bCs/>
                <w:color w:val="000000"/>
                <w:sz w:val="20"/>
                <w:szCs w:val="20"/>
              </w:rPr>
              <w:t>Consolidated revenue</w:t>
            </w:r>
          </w:p>
        </w:tc>
        <w:tc>
          <w:tcPr>
            <w:tcW w:w="0" w:type="auto"/>
            <w:shd w:val="clear" w:color="auto" w:fill="CCEEFF"/>
            <w:tcMar>
              <w:top w:w="30" w:type="dxa"/>
              <w:left w:w="20" w:type="dxa"/>
              <w:bottom w:w="30" w:type="dxa"/>
              <w:right w:w="0" w:type="dxa"/>
            </w:tcMar>
            <w:vAlign w:val="bottom"/>
            <w:hideMark/>
          </w:tcPr>
          <w:p w14:paraId="2142EC3E"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F6DC145"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9C372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BB645"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8C4145"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B0C37E"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shd w:val="clear" w:color="auto" w:fill="CCEEFF"/>
            <w:tcMar>
              <w:top w:w="30" w:type="dxa"/>
              <w:left w:w="0" w:type="dxa"/>
              <w:bottom w:w="30" w:type="dxa"/>
              <w:right w:w="20" w:type="dxa"/>
            </w:tcMar>
            <w:vAlign w:val="bottom"/>
            <w:hideMark/>
          </w:tcPr>
          <w:p w14:paraId="654880ED" w14:textId="77777777" w:rsidR="00000000" w:rsidRDefault="0068293C">
            <w:pPr>
              <w:spacing w:after="100"/>
              <w:jc w:val="right"/>
              <w:rPr>
                <w:rFonts w:eastAsia="Times New Roman"/>
              </w:rPr>
            </w:pPr>
          </w:p>
        </w:tc>
      </w:tr>
      <w:tr w:rsidR="00000000" w14:paraId="5778C520" w14:textId="77777777">
        <w:trPr>
          <w:divId w:val="1792623200"/>
          <w:trHeight w:val="280"/>
          <w:jc w:val="center"/>
        </w:trPr>
        <w:tc>
          <w:tcPr>
            <w:tcW w:w="0" w:type="auto"/>
            <w:gridSpan w:val="3"/>
            <w:shd w:val="clear" w:color="auto" w:fill="FFFFFF"/>
            <w:tcMar>
              <w:top w:w="0" w:type="dxa"/>
              <w:left w:w="20" w:type="dxa"/>
              <w:bottom w:w="0" w:type="dxa"/>
              <w:right w:w="20" w:type="dxa"/>
            </w:tcMar>
            <w:vAlign w:val="center"/>
            <w:hideMark/>
          </w:tcPr>
          <w:p w14:paraId="3B46F4F3" w14:textId="77777777" w:rsidR="00000000" w:rsidRDefault="0068293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2FD0D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AA0CA"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A74E6F" w14:textId="77777777" w:rsidR="00000000" w:rsidRDefault="0068293C">
            <w:pPr>
              <w:spacing w:after="100"/>
              <w:rPr>
                <w:rFonts w:eastAsia="Times New Roman"/>
                <w:sz w:val="20"/>
                <w:szCs w:val="20"/>
              </w:rPr>
            </w:pPr>
          </w:p>
        </w:tc>
      </w:tr>
      <w:tr w:rsidR="00000000" w14:paraId="5F97E42A" w14:textId="77777777">
        <w:trPr>
          <w:divId w:val="1792623200"/>
          <w:jc w:val="center"/>
        </w:trPr>
        <w:tc>
          <w:tcPr>
            <w:tcW w:w="0" w:type="auto"/>
            <w:gridSpan w:val="3"/>
            <w:shd w:val="clear" w:color="auto" w:fill="CCEEFF"/>
            <w:tcMar>
              <w:top w:w="30" w:type="dxa"/>
              <w:left w:w="20" w:type="dxa"/>
              <w:bottom w:w="30" w:type="dxa"/>
              <w:right w:w="20" w:type="dxa"/>
            </w:tcMar>
            <w:hideMark/>
          </w:tcPr>
          <w:p w14:paraId="4F2F3D6F" w14:textId="77777777" w:rsidR="00000000" w:rsidRDefault="0068293C">
            <w:pPr>
              <w:spacing w:after="100"/>
              <w:rPr>
                <w:rFonts w:eastAsia="Times New Roman"/>
              </w:rPr>
            </w:pPr>
            <w:r>
              <w:rPr>
                <w:rFonts w:eastAsia="Times New Roman"/>
                <w:b/>
                <w:bCs/>
                <w:color w:val="000000"/>
                <w:sz w:val="20"/>
                <w:szCs w:val="20"/>
              </w:rPr>
              <w:t xml:space="preserve">Adjusted EBITDA by segment </w:t>
            </w:r>
          </w:p>
        </w:tc>
        <w:tc>
          <w:tcPr>
            <w:tcW w:w="0" w:type="auto"/>
            <w:gridSpan w:val="3"/>
            <w:shd w:val="clear" w:color="auto" w:fill="CCEEFF"/>
            <w:tcMar>
              <w:top w:w="0" w:type="dxa"/>
              <w:left w:w="20" w:type="dxa"/>
              <w:bottom w:w="0" w:type="dxa"/>
              <w:right w:w="20" w:type="dxa"/>
            </w:tcMar>
            <w:vAlign w:val="center"/>
            <w:hideMark/>
          </w:tcPr>
          <w:p w14:paraId="625498E0"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9A32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7466C7" w14:textId="77777777" w:rsidR="00000000" w:rsidRDefault="0068293C">
            <w:pPr>
              <w:spacing w:after="100"/>
              <w:rPr>
                <w:rFonts w:eastAsia="Times New Roman"/>
                <w:sz w:val="20"/>
                <w:szCs w:val="20"/>
              </w:rPr>
            </w:pPr>
          </w:p>
        </w:tc>
      </w:tr>
      <w:tr w:rsidR="00000000" w14:paraId="31597DFC" w14:textId="77777777">
        <w:trPr>
          <w:divId w:val="1792623200"/>
          <w:jc w:val="center"/>
        </w:trPr>
        <w:tc>
          <w:tcPr>
            <w:tcW w:w="0" w:type="auto"/>
            <w:gridSpan w:val="3"/>
            <w:shd w:val="clear" w:color="auto" w:fill="FFFFFF"/>
            <w:tcMar>
              <w:top w:w="30" w:type="dxa"/>
              <w:left w:w="260" w:type="dxa"/>
              <w:bottom w:w="30" w:type="dxa"/>
              <w:right w:w="20" w:type="dxa"/>
            </w:tcMar>
            <w:hideMark/>
          </w:tcPr>
          <w:p w14:paraId="61191378" w14:textId="77777777" w:rsidR="00000000" w:rsidRDefault="0068293C">
            <w:pPr>
              <w:spacing w:after="100"/>
              <w:rPr>
                <w:rFonts w:eastAsia="Times New Roman"/>
              </w:rPr>
            </w:pPr>
            <w:r>
              <w:rPr>
                <w:rFonts w:eastAsia="Times New Roman"/>
                <w:color w:val="000000"/>
                <w:sz w:val="20"/>
                <w:szCs w:val="20"/>
              </w:rPr>
              <w:t xml:space="preserve">Payments &amp; </w:t>
            </w:r>
            <w:r>
              <w:rPr>
                <w:rFonts w:eastAsia="Times New Roman"/>
                <w:color w:val="000000"/>
                <w:sz w:val="20"/>
                <w:szCs w:val="20"/>
              </w:rPr>
              <w:t>Network</w:t>
            </w:r>
          </w:p>
        </w:tc>
        <w:tc>
          <w:tcPr>
            <w:tcW w:w="0" w:type="auto"/>
            <w:shd w:val="clear" w:color="auto" w:fill="FFFFFF"/>
            <w:tcMar>
              <w:top w:w="30" w:type="dxa"/>
              <w:left w:w="20" w:type="dxa"/>
              <w:bottom w:w="30" w:type="dxa"/>
              <w:right w:w="0" w:type="dxa"/>
            </w:tcMar>
            <w:vAlign w:val="bottom"/>
            <w:hideMark/>
          </w:tcPr>
          <w:p w14:paraId="1A0CD83C"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9D03003" w14:textId="77777777" w:rsidR="00000000" w:rsidRDefault="0068293C">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CEE87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8DCFF"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02EC37"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2CE20F" w14:textId="77777777" w:rsidR="00000000" w:rsidRDefault="0068293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8E91864" w14:textId="77777777" w:rsidR="00000000" w:rsidRDefault="0068293C">
            <w:pPr>
              <w:spacing w:after="100"/>
              <w:jc w:val="right"/>
              <w:rPr>
                <w:rFonts w:eastAsia="Times New Roman"/>
              </w:rPr>
            </w:pPr>
          </w:p>
        </w:tc>
      </w:tr>
      <w:tr w:rsidR="00000000" w14:paraId="2C6E348B" w14:textId="77777777">
        <w:trPr>
          <w:divId w:val="1792623200"/>
          <w:jc w:val="center"/>
        </w:trPr>
        <w:tc>
          <w:tcPr>
            <w:tcW w:w="0" w:type="auto"/>
            <w:gridSpan w:val="3"/>
            <w:shd w:val="clear" w:color="auto" w:fill="CCEEFF"/>
            <w:tcMar>
              <w:top w:w="30" w:type="dxa"/>
              <w:left w:w="260" w:type="dxa"/>
              <w:bottom w:w="30" w:type="dxa"/>
              <w:right w:w="20" w:type="dxa"/>
            </w:tcMar>
            <w:hideMark/>
          </w:tcPr>
          <w:p w14:paraId="5142F53A" w14:textId="77777777" w:rsidR="00000000" w:rsidRDefault="0068293C">
            <w:pPr>
              <w:spacing w:after="100"/>
              <w:rPr>
                <w:rFonts w:eastAsia="Times New Roman"/>
              </w:rPr>
            </w:pPr>
            <w:r>
              <w:rPr>
                <w:rFonts w:eastAsia="Times New Roman"/>
                <w:color w:val="000000"/>
                <w:sz w:val="20"/>
                <w:szCs w:val="20"/>
              </w:rPr>
              <w:t>Digital Banking</w:t>
            </w:r>
          </w:p>
        </w:tc>
        <w:tc>
          <w:tcPr>
            <w:tcW w:w="0" w:type="auto"/>
            <w:gridSpan w:val="2"/>
            <w:shd w:val="clear" w:color="auto" w:fill="CCEEFF"/>
            <w:tcMar>
              <w:top w:w="30" w:type="dxa"/>
              <w:left w:w="20" w:type="dxa"/>
              <w:bottom w:w="30" w:type="dxa"/>
              <w:right w:w="0" w:type="dxa"/>
            </w:tcMar>
            <w:vAlign w:val="bottom"/>
            <w:hideMark/>
          </w:tcPr>
          <w:p w14:paraId="10C69341" w14:textId="77777777" w:rsidR="00000000" w:rsidRDefault="0068293C">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0BEEA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EF51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DB306" w14:textId="77777777" w:rsidR="00000000" w:rsidRDefault="0068293C">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07E9B916" w14:textId="77777777" w:rsidR="00000000" w:rsidRDefault="0068293C">
            <w:pPr>
              <w:spacing w:after="100"/>
              <w:jc w:val="right"/>
              <w:rPr>
                <w:rFonts w:eastAsia="Times New Roman"/>
              </w:rPr>
            </w:pPr>
          </w:p>
        </w:tc>
      </w:tr>
      <w:tr w:rsidR="00000000" w14:paraId="5F751E53" w14:textId="77777777">
        <w:trPr>
          <w:divId w:val="1792623200"/>
          <w:jc w:val="center"/>
        </w:trPr>
        <w:tc>
          <w:tcPr>
            <w:tcW w:w="0" w:type="auto"/>
            <w:gridSpan w:val="3"/>
            <w:shd w:val="clear" w:color="auto" w:fill="FFFFFF"/>
            <w:tcMar>
              <w:top w:w="30" w:type="dxa"/>
              <w:left w:w="260" w:type="dxa"/>
              <w:bottom w:w="30" w:type="dxa"/>
              <w:right w:w="20" w:type="dxa"/>
            </w:tcMar>
            <w:hideMark/>
          </w:tcPr>
          <w:p w14:paraId="1AE29124" w14:textId="77777777" w:rsidR="00000000" w:rsidRDefault="0068293C">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14:paraId="00E6C0FD" w14:textId="77777777" w:rsidR="00000000" w:rsidRDefault="0068293C">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86522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A440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0F681" w14:textId="77777777" w:rsidR="00000000" w:rsidRDefault="0068293C">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14:paraId="6C5DA44D" w14:textId="77777777" w:rsidR="00000000" w:rsidRDefault="0068293C">
            <w:pPr>
              <w:spacing w:after="100"/>
              <w:jc w:val="right"/>
              <w:rPr>
                <w:rFonts w:eastAsia="Times New Roman"/>
              </w:rPr>
            </w:pPr>
          </w:p>
        </w:tc>
      </w:tr>
      <w:tr w:rsidR="00000000" w14:paraId="4EC99240" w14:textId="77777777">
        <w:trPr>
          <w:divId w:val="1792623200"/>
          <w:jc w:val="center"/>
        </w:trPr>
        <w:tc>
          <w:tcPr>
            <w:tcW w:w="0" w:type="auto"/>
            <w:gridSpan w:val="3"/>
            <w:shd w:val="clear" w:color="auto" w:fill="CCEEFF"/>
            <w:tcMar>
              <w:top w:w="30" w:type="dxa"/>
              <w:left w:w="260" w:type="dxa"/>
              <w:bottom w:w="30" w:type="dxa"/>
              <w:right w:w="20" w:type="dxa"/>
            </w:tcMar>
            <w:hideMark/>
          </w:tcPr>
          <w:p w14:paraId="2B1935D6" w14:textId="77777777" w:rsidR="00000000" w:rsidRDefault="0068293C">
            <w:pPr>
              <w:spacing w:after="100"/>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14:paraId="01332ADD" w14:textId="77777777" w:rsidR="00000000" w:rsidRDefault="0068293C">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0004C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40B6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F55959" w14:textId="77777777" w:rsidR="00000000" w:rsidRDefault="0068293C">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70718A0A" w14:textId="77777777" w:rsidR="00000000" w:rsidRDefault="0068293C">
            <w:pPr>
              <w:spacing w:after="100"/>
              <w:jc w:val="right"/>
              <w:rPr>
                <w:rFonts w:eastAsia="Times New Roman"/>
              </w:rPr>
            </w:pPr>
          </w:p>
        </w:tc>
      </w:tr>
      <w:tr w:rsidR="00000000" w14:paraId="38C3BE1C" w14:textId="77777777">
        <w:trPr>
          <w:divId w:val="1792623200"/>
          <w:jc w:val="center"/>
        </w:trPr>
        <w:tc>
          <w:tcPr>
            <w:tcW w:w="0" w:type="auto"/>
            <w:gridSpan w:val="3"/>
            <w:shd w:val="clear" w:color="auto" w:fill="FFFFFF"/>
            <w:tcMar>
              <w:top w:w="30" w:type="dxa"/>
              <w:left w:w="260" w:type="dxa"/>
              <w:bottom w:w="30" w:type="dxa"/>
              <w:right w:w="20" w:type="dxa"/>
            </w:tcMar>
            <w:hideMark/>
          </w:tcPr>
          <w:p w14:paraId="25FC7B64" w14:textId="77777777" w:rsidR="00000000" w:rsidRDefault="0068293C">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14:paraId="62167282" w14:textId="77777777" w:rsidR="00000000" w:rsidRDefault="0068293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33D48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BDBD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DE6AF3" w14:textId="77777777" w:rsidR="00000000" w:rsidRDefault="0068293C">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14B9D8ED" w14:textId="77777777" w:rsidR="00000000" w:rsidRDefault="0068293C">
            <w:pPr>
              <w:spacing w:after="100"/>
              <w:jc w:val="right"/>
              <w:rPr>
                <w:rFonts w:eastAsia="Times New Roman"/>
              </w:rPr>
            </w:pPr>
          </w:p>
        </w:tc>
      </w:tr>
      <w:tr w:rsidR="00000000" w14:paraId="09D36671" w14:textId="77777777">
        <w:trPr>
          <w:divId w:val="1792623200"/>
          <w:jc w:val="center"/>
        </w:trPr>
        <w:tc>
          <w:tcPr>
            <w:tcW w:w="0" w:type="auto"/>
            <w:gridSpan w:val="3"/>
            <w:shd w:val="clear" w:color="auto" w:fill="CCEEFF"/>
            <w:tcMar>
              <w:top w:w="30" w:type="dxa"/>
              <w:left w:w="245" w:type="dxa"/>
              <w:bottom w:w="30" w:type="dxa"/>
              <w:right w:w="20" w:type="dxa"/>
            </w:tcMar>
            <w:vAlign w:val="bottom"/>
            <w:hideMark/>
          </w:tcPr>
          <w:p w14:paraId="486112FC" w14:textId="77777777" w:rsidR="00000000" w:rsidRDefault="0068293C">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14:paraId="4F222D14" w14:textId="77777777" w:rsidR="00000000" w:rsidRDefault="0068293C">
            <w:pPr>
              <w:spacing w:after="100"/>
              <w:jc w:val="right"/>
              <w:rPr>
                <w:rFonts w:eastAsia="Times New Roman"/>
              </w:rPr>
            </w:pPr>
            <w:r>
              <w:rPr>
                <w:rFonts w:eastAsia="Times New Roman"/>
                <w:b/>
                <w:bCs/>
                <w:color w:val="000000"/>
                <w:sz w:val="20"/>
                <w:szCs w:val="20"/>
              </w:rPr>
              <w:t>(97)</w:t>
            </w:r>
          </w:p>
        </w:tc>
        <w:tc>
          <w:tcPr>
            <w:tcW w:w="0" w:type="auto"/>
            <w:shd w:val="clear" w:color="auto" w:fill="CCEEFF"/>
            <w:tcMar>
              <w:top w:w="30" w:type="dxa"/>
              <w:left w:w="0" w:type="dxa"/>
              <w:bottom w:w="30" w:type="dxa"/>
              <w:right w:w="20" w:type="dxa"/>
            </w:tcMar>
            <w:vAlign w:val="bottom"/>
            <w:hideMark/>
          </w:tcPr>
          <w:p w14:paraId="6D2848C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E004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DE2805" w14:textId="77777777" w:rsidR="00000000" w:rsidRDefault="0068293C">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14:paraId="56B21B6F" w14:textId="77777777" w:rsidR="00000000" w:rsidRDefault="0068293C">
            <w:pPr>
              <w:spacing w:after="100"/>
              <w:jc w:val="right"/>
              <w:rPr>
                <w:rFonts w:eastAsia="Times New Roman"/>
              </w:rPr>
            </w:pPr>
          </w:p>
        </w:tc>
      </w:tr>
      <w:tr w:rsidR="00000000" w14:paraId="65C13BB8" w14:textId="77777777">
        <w:trPr>
          <w:divId w:val="1792623200"/>
          <w:jc w:val="center"/>
        </w:trPr>
        <w:tc>
          <w:tcPr>
            <w:tcW w:w="0" w:type="auto"/>
            <w:gridSpan w:val="3"/>
            <w:shd w:val="clear" w:color="auto" w:fill="FFFFFF"/>
            <w:tcMar>
              <w:top w:w="30" w:type="dxa"/>
              <w:left w:w="260" w:type="dxa"/>
              <w:bottom w:w="30" w:type="dxa"/>
              <w:right w:w="20" w:type="dxa"/>
            </w:tcMar>
            <w:vAlign w:val="bottom"/>
            <w:hideMark/>
          </w:tcPr>
          <w:p w14:paraId="0E0DACDC" w14:textId="77777777" w:rsidR="00000000" w:rsidRDefault="0068293C">
            <w:pPr>
              <w:spacing w:after="100"/>
              <w:rPr>
                <w:rFonts w:eastAsia="Times New Roman"/>
              </w:rPr>
            </w:pPr>
            <w:r>
              <w:rPr>
                <w:rFonts w:eastAsia="Times New Roman"/>
                <w:color w:val="000000"/>
                <w:sz w:val="20"/>
                <w:szCs w:val="20"/>
              </w:rPr>
              <w:t>Eliminations</w:t>
            </w:r>
          </w:p>
        </w:tc>
        <w:tc>
          <w:tcPr>
            <w:tcW w:w="0" w:type="auto"/>
            <w:gridSpan w:val="2"/>
            <w:shd w:val="clear" w:color="auto" w:fill="FFFFFF"/>
            <w:tcMar>
              <w:top w:w="30" w:type="dxa"/>
              <w:left w:w="20" w:type="dxa"/>
              <w:bottom w:w="30" w:type="dxa"/>
              <w:right w:w="0" w:type="dxa"/>
            </w:tcMar>
            <w:vAlign w:val="bottom"/>
            <w:hideMark/>
          </w:tcPr>
          <w:p w14:paraId="3DAD230D" w14:textId="77777777" w:rsidR="00000000" w:rsidRDefault="0068293C">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14:paraId="36268D3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4CC4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E84D5" w14:textId="77777777" w:rsidR="00000000" w:rsidRDefault="0068293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54DAB792" w14:textId="77777777" w:rsidR="00000000" w:rsidRDefault="0068293C">
            <w:pPr>
              <w:spacing w:after="100"/>
              <w:jc w:val="right"/>
              <w:rPr>
                <w:rFonts w:eastAsia="Times New Roman"/>
              </w:rPr>
            </w:pPr>
          </w:p>
        </w:tc>
      </w:tr>
      <w:tr w:rsidR="00000000" w14:paraId="54D6889F" w14:textId="77777777">
        <w:trPr>
          <w:divId w:val="1792623200"/>
          <w:jc w:val="center"/>
        </w:trPr>
        <w:tc>
          <w:tcPr>
            <w:tcW w:w="0" w:type="auto"/>
            <w:gridSpan w:val="3"/>
            <w:shd w:val="clear" w:color="auto" w:fill="CCEEFF"/>
            <w:tcMar>
              <w:top w:w="30" w:type="dxa"/>
              <w:left w:w="20" w:type="dxa"/>
              <w:bottom w:w="30" w:type="dxa"/>
              <w:right w:w="20" w:type="dxa"/>
            </w:tcMar>
            <w:hideMark/>
          </w:tcPr>
          <w:p w14:paraId="411D0053" w14:textId="77777777" w:rsidR="00000000" w:rsidRDefault="0068293C">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A23B02"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BE80D0" w14:textId="77777777" w:rsidR="00000000" w:rsidRDefault="0068293C">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60712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27502"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AFA744"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B0B7DE" w14:textId="77777777" w:rsidR="00000000" w:rsidRDefault="0068293C">
            <w:pPr>
              <w:spacing w:after="100"/>
              <w:jc w:val="right"/>
              <w:rPr>
                <w:rFonts w:eastAsia="Times New Roman"/>
              </w:rPr>
            </w:pPr>
            <w:r>
              <w:rPr>
                <w:rFonts w:eastAsia="Times New Roman"/>
                <w:color w:val="000000"/>
                <w:sz w:val="20"/>
                <w:szCs w:val="20"/>
              </w:rPr>
              <w:t>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8A8328" w14:textId="77777777" w:rsidR="00000000" w:rsidRDefault="0068293C">
            <w:pPr>
              <w:spacing w:after="100"/>
              <w:jc w:val="right"/>
              <w:rPr>
                <w:rFonts w:eastAsia="Times New Roman"/>
              </w:rPr>
            </w:pPr>
          </w:p>
        </w:tc>
      </w:tr>
    </w:tbl>
    <w:p w14:paraId="4544159A" w14:textId="77777777" w:rsidR="00000000" w:rsidRDefault="0068293C">
      <w:pPr>
        <w:jc w:val="both"/>
        <w:divId w:val="170485084"/>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Other adjustment reflects the revenue attributable to the Company's operations in Russia for the three months ending March 31, 2022 that were excluded from management's measure of revenue due to our announcement to suspend sales to Russia and anticipated o</w:t>
      </w:r>
      <w:r>
        <w:rPr>
          <w:rFonts w:eastAsia="Times New Roman"/>
          <w:color w:val="000000"/>
          <w:sz w:val="18"/>
          <w:szCs w:val="18"/>
        </w:rPr>
        <w:t xml:space="preserve">rderly wind down of our operations in Russia. The revenue attributable to the Russia operations for the prior period of $8 million are included in the respective segments. </w:t>
      </w:r>
    </w:p>
    <w:p w14:paraId="5FFD869E" w14:textId="77777777" w:rsidR="00000000" w:rsidRDefault="0068293C">
      <w:pPr>
        <w:jc w:val="both"/>
        <w:divId w:val="690452519"/>
        <w:rPr>
          <w:rFonts w:eastAsia="Times New Roman"/>
        </w:rPr>
      </w:pPr>
      <w:r>
        <w:rPr>
          <w:rFonts w:eastAsia="Times New Roman"/>
          <w:color w:val="000000"/>
          <w:sz w:val="20"/>
          <w:szCs w:val="20"/>
        </w:rPr>
        <w:t>For the three months ended</w:t>
      </w:r>
      <w:r>
        <w:rPr>
          <w:rFonts w:eastAsia="Times New Roman"/>
          <w:color w:val="000000"/>
          <w:sz w:val="20"/>
          <w:szCs w:val="20"/>
          <w:shd w:val="clear" w:color="auto" w:fill="FFFFFF"/>
        </w:rPr>
        <w:t xml:space="preserve"> </w:t>
      </w:r>
      <w:r>
        <w:rPr>
          <w:rFonts w:eastAsia="Times New Roman"/>
          <w:color w:val="000000"/>
          <w:sz w:val="20"/>
          <w:szCs w:val="20"/>
        </w:rPr>
        <w:t>March 31, 2022, the operations of Cardtronics are included in the Payments &amp; Network and Self-Service Banking segments.</w:t>
      </w:r>
    </w:p>
    <w:p w14:paraId="1C2234CA" w14:textId="77777777" w:rsidR="00000000" w:rsidRDefault="0068293C">
      <w:pPr>
        <w:jc w:val="both"/>
        <w:rPr>
          <w:rFonts w:eastAsia="Times New Roman"/>
        </w:rPr>
      </w:pPr>
    </w:p>
    <w:p w14:paraId="674FF79B" w14:textId="77777777" w:rsidR="00000000" w:rsidRDefault="0068293C">
      <w:pPr>
        <w:jc w:val="both"/>
        <w:rPr>
          <w:rFonts w:eastAsia="Times New Roman"/>
        </w:rPr>
      </w:pPr>
    </w:p>
    <w:p w14:paraId="01DAE76E" w14:textId="77777777" w:rsidR="00000000" w:rsidRDefault="0068293C">
      <w:pPr>
        <w:jc w:val="both"/>
        <w:rPr>
          <w:rFonts w:eastAsia="Times New Roman"/>
        </w:rPr>
      </w:pPr>
    </w:p>
    <w:p w14:paraId="45ED0C93" w14:textId="77777777" w:rsidR="00000000" w:rsidRDefault="0068293C">
      <w:pPr>
        <w:jc w:val="center"/>
        <w:divId w:val="421025349"/>
        <w:rPr>
          <w:rFonts w:eastAsia="Times New Roman"/>
        </w:rPr>
      </w:pPr>
      <w:r>
        <w:rPr>
          <w:rFonts w:eastAsia="Times New Roman"/>
          <w:color w:val="000000"/>
          <w:sz w:val="20"/>
          <w:szCs w:val="20"/>
        </w:rPr>
        <w:t>15</w:t>
      </w:r>
    </w:p>
    <w:p w14:paraId="3208444A" w14:textId="77777777" w:rsidR="00000000" w:rsidRDefault="0068293C">
      <w:pPr>
        <w:rPr>
          <w:rFonts w:eastAsia="Times New Roman"/>
        </w:rPr>
      </w:pPr>
      <w:r>
        <w:rPr>
          <w:rFonts w:eastAsia="Times New Roman"/>
        </w:rPr>
        <w:pict w14:anchorId="63134C21">
          <v:rect id="_x0000_i1040" style="width:0;height:1.5pt" o:hralign="center" o:hrstd="t" o:hr="t" fillcolor="#a0a0a0" stroked="f"/>
        </w:pict>
      </w:r>
    </w:p>
    <w:p w14:paraId="0230900C" w14:textId="77777777" w:rsidR="00000000" w:rsidRDefault="0068293C">
      <w:pPr>
        <w:ind w:firstLine="720"/>
        <w:divId w:val="2093232815"/>
        <w:rPr>
          <w:rFonts w:eastAsia="Times New Roman"/>
        </w:rPr>
      </w:pPr>
      <w:hyperlink w:anchor="i78484f3d0d8e4e36a7c87ddd6ea9d725_7" w:history="1">
        <w:r>
          <w:rPr>
            <w:rStyle w:val="a3"/>
            <w:rFonts w:eastAsia="Times New Roman"/>
            <w:sz w:val="16"/>
            <w:szCs w:val="16"/>
          </w:rPr>
          <w:t>Table of Content</w:t>
        </w:r>
      </w:hyperlink>
    </w:p>
    <w:p w14:paraId="1C12C293" w14:textId="77777777" w:rsidR="00000000" w:rsidRDefault="0068293C">
      <w:pPr>
        <w:jc w:val="center"/>
        <w:divId w:val="1850485115"/>
        <w:rPr>
          <w:rFonts w:eastAsia="Times New Roman"/>
        </w:rPr>
      </w:pPr>
      <w:r>
        <w:rPr>
          <w:rFonts w:eastAsia="Times New Roman"/>
          <w:b/>
          <w:bCs/>
          <w:color w:val="000000"/>
          <w:sz w:val="20"/>
          <w:szCs w:val="20"/>
        </w:rPr>
        <w:t>NCR Corporation</w:t>
      </w:r>
    </w:p>
    <w:p w14:paraId="16BF4D4F" w14:textId="77777777" w:rsidR="00000000" w:rsidRDefault="0068293C">
      <w:pPr>
        <w:jc w:val="center"/>
        <w:divId w:val="1850485115"/>
        <w:rPr>
          <w:rFonts w:eastAsia="Times New Roman"/>
        </w:rPr>
      </w:pPr>
      <w:r>
        <w:rPr>
          <w:rFonts w:eastAsia="Times New Roman"/>
          <w:b/>
          <w:bCs/>
          <w:color w:val="000000"/>
          <w:sz w:val="20"/>
          <w:szCs w:val="20"/>
        </w:rPr>
        <w:t>Notes to Condensed Consolidated Financial Statements (Unaudited)—(Continued)</w:t>
      </w:r>
    </w:p>
    <w:p w14:paraId="44059A41" w14:textId="77777777" w:rsidR="00000000" w:rsidRDefault="0068293C">
      <w:pPr>
        <w:jc w:val="both"/>
        <w:rPr>
          <w:rFonts w:eastAsia="Times New Roman"/>
        </w:rPr>
      </w:pPr>
      <w:r>
        <w:rPr>
          <w:rFonts w:eastAsia="Times New Roman"/>
          <w:color w:val="000000"/>
          <w:sz w:val="20"/>
          <w:szCs w:val="20"/>
        </w:rPr>
        <w:t xml:space="preserve">The following table reconciles net income (loss) from continuing operations to Adjusted </w:t>
      </w:r>
      <w:r>
        <w:rPr>
          <w:rFonts w:eastAsia="Times New Roman"/>
          <w:color w:val="000000"/>
          <w:sz w:val="20"/>
          <w:szCs w:val="20"/>
        </w:rPr>
        <w:t>EBITDA:</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649"/>
        <w:gridCol w:w="37"/>
        <w:gridCol w:w="120"/>
        <w:gridCol w:w="1080"/>
        <w:gridCol w:w="36"/>
        <w:gridCol w:w="36"/>
        <w:gridCol w:w="36"/>
        <w:gridCol w:w="36"/>
        <w:gridCol w:w="120"/>
        <w:gridCol w:w="1081"/>
        <w:gridCol w:w="36"/>
      </w:tblGrid>
      <w:tr w:rsidR="00000000" w14:paraId="6BFAF6BF" w14:textId="77777777">
        <w:trPr>
          <w:divId w:val="1558786453"/>
          <w:jc w:val="center"/>
        </w:trPr>
        <w:tc>
          <w:tcPr>
            <w:tcW w:w="50" w:type="pct"/>
            <w:vAlign w:val="center"/>
            <w:hideMark/>
          </w:tcPr>
          <w:p w14:paraId="25FB7F30" w14:textId="77777777" w:rsidR="00000000" w:rsidRDefault="0068293C">
            <w:pPr>
              <w:jc w:val="both"/>
              <w:rPr>
                <w:rFonts w:eastAsia="Times New Roman"/>
              </w:rPr>
            </w:pPr>
          </w:p>
        </w:tc>
        <w:tc>
          <w:tcPr>
            <w:tcW w:w="3439" w:type="pct"/>
            <w:vAlign w:val="center"/>
            <w:hideMark/>
          </w:tcPr>
          <w:p w14:paraId="3C4B2A88" w14:textId="77777777" w:rsidR="00000000" w:rsidRDefault="0068293C">
            <w:pPr>
              <w:spacing w:after="100"/>
              <w:rPr>
                <w:rFonts w:eastAsia="Times New Roman"/>
                <w:sz w:val="20"/>
                <w:szCs w:val="20"/>
              </w:rPr>
            </w:pPr>
          </w:p>
        </w:tc>
        <w:tc>
          <w:tcPr>
            <w:tcW w:w="5" w:type="pct"/>
            <w:vAlign w:val="center"/>
            <w:hideMark/>
          </w:tcPr>
          <w:p w14:paraId="2AAB71EF" w14:textId="77777777" w:rsidR="00000000" w:rsidRDefault="0068293C">
            <w:pPr>
              <w:spacing w:after="100"/>
              <w:rPr>
                <w:rFonts w:eastAsia="Times New Roman"/>
                <w:sz w:val="20"/>
                <w:szCs w:val="20"/>
              </w:rPr>
            </w:pPr>
          </w:p>
        </w:tc>
        <w:tc>
          <w:tcPr>
            <w:tcW w:w="50" w:type="pct"/>
            <w:vAlign w:val="center"/>
            <w:hideMark/>
          </w:tcPr>
          <w:p w14:paraId="0E3E9F17" w14:textId="77777777" w:rsidR="00000000" w:rsidRDefault="0068293C">
            <w:pPr>
              <w:spacing w:after="100"/>
              <w:rPr>
                <w:rFonts w:eastAsia="Times New Roman"/>
                <w:sz w:val="20"/>
                <w:szCs w:val="20"/>
              </w:rPr>
            </w:pPr>
          </w:p>
        </w:tc>
        <w:tc>
          <w:tcPr>
            <w:tcW w:w="683" w:type="pct"/>
            <w:vAlign w:val="center"/>
            <w:hideMark/>
          </w:tcPr>
          <w:p w14:paraId="1369F0DA" w14:textId="77777777" w:rsidR="00000000" w:rsidRDefault="0068293C">
            <w:pPr>
              <w:spacing w:after="100"/>
              <w:rPr>
                <w:rFonts w:eastAsia="Times New Roman"/>
                <w:sz w:val="20"/>
                <w:szCs w:val="20"/>
              </w:rPr>
            </w:pPr>
          </w:p>
        </w:tc>
        <w:tc>
          <w:tcPr>
            <w:tcW w:w="5" w:type="pct"/>
            <w:vAlign w:val="center"/>
            <w:hideMark/>
          </w:tcPr>
          <w:p w14:paraId="62499736" w14:textId="77777777" w:rsidR="00000000" w:rsidRDefault="0068293C">
            <w:pPr>
              <w:spacing w:after="100"/>
              <w:rPr>
                <w:rFonts w:eastAsia="Times New Roman"/>
                <w:sz w:val="20"/>
                <w:szCs w:val="20"/>
              </w:rPr>
            </w:pPr>
          </w:p>
        </w:tc>
        <w:tc>
          <w:tcPr>
            <w:tcW w:w="5" w:type="pct"/>
            <w:vAlign w:val="center"/>
            <w:hideMark/>
          </w:tcPr>
          <w:p w14:paraId="3C3ADF6A" w14:textId="77777777" w:rsidR="00000000" w:rsidRDefault="0068293C">
            <w:pPr>
              <w:spacing w:after="100"/>
              <w:rPr>
                <w:rFonts w:eastAsia="Times New Roman"/>
                <w:sz w:val="20"/>
                <w:szCs w:val="20"/>
              </w:rPr>
            </w:pPr>
          </w:p>
        </w:tc>
        <w:tc>
          <w:tcPr>
            <w:tcW w:w="19" w:type="pct"/>
            <w:vAlign w:val="center"/>
            <w:hideMark/>
          </w:tcPr>
          <w:p w14:paraId="3999B575" w14:textId="77777777" w:rsidR="00000000" w:rsidRDefault="0068293C">
            <w:pPr>
              <w:spacing w:after="100"/>
              <w:rPr>
                <w:rFonts w:eastAsia="Times New Roman"/>
                <w:sz w:val="20"/>
                <w:szCs w:val="20"/>
              </w:rPr>
            </w:pPr>
          </w:p>
        </w:tc>
        <w:tc>
          <w:tcPr>
            <w:tcW w:w="5" w:type="pct"/>
            <w:vAlign w:val="center"/>
            <w:hideMark/>
          </w:tcPr>
          <w:p w14:paraId="58D31C13" w14:textId="77777777" w:rsidR="00000000" w:rsidRDefault="0068293C">
            <w:pPr>
              <w:spacing w:after="100"/>
              <w:rPr>
                <w:rFonts w:eastAsia="Times New Roman"/>
                <w:sz w:val="20"/>
                <w:szCs w:val="20"/>
              </w:rPr>
            </w:pPr>
          </w:p>
        </w:tc>
        <w:tc>
          <w:tcPr>
            <w:tcW w:w="50" w:type="pct"/>
            <w:vAlign w:val="center"/>
            <w:hideMark/>
          </w:tcPr>
          <w:p w14:paraId="35E8E530" w14:textId="77777777" w:rsidR="00000000" w:rsidRDefault="0068293C">
            <w:pPr>
              <w:spacing w:after="100"/>
              <w:rPr>
                <w:rFonts w:eastAsia="Times New Roman"/>
                <w:sz w:val="20"/>
                <w:szCs w:val="20"/>
              </w:rPr>
            </w:pPr>
          </w:p>
        </w:tc>
        <w:tc>
          <w:tcPr>
            <w:tcW w:w="683" w:type="pct"/>
            <w:vAlign w:val="center"/>
            <w:hideMark/>
          </w:tcPr>
          <w:p w14:paraId="42AD2593" w14:textId="77777777" w:rsidR="00000000" w:rsidRDefault="0068293C">
            <w:pPr>
              <w:spacing w:after="100"/>
              <w:rPr>
                <w:rFonts w:eastAsia="Times New Roman"/>
                <w:sz w:val="20"/>
                <w:szCs w:val="20"/>
              </w:rPr>
            </w:pPr>
          </w:p>
        </w:tc>
        <w:tc>
          <w:tcPr>
            <w:tcW w:w="5" w:type="pct"/>
            <w:vAlign w:val="center"/>
            <w:hideMark/>
          </w:tcPr>
          <w:p w14:paraId="078748A8" w14:textId="77777777" w:rsidR="00000000" w:rsidRDefault="0068293C">
            <w:pPr>
              <w:spacing w:after="100"/>
              <w:rPr>
                <w:rFonts w:eastAsia="Times New Roman"/>
                <w:sz w:val="20"/>
                <w:szCs w:val="20"/>
              </w:rPr>
            </w:pPr>
          </w:p>
        </w:tc>
      </w:tr>
      <w:tr w:rsidR="00000000" w14:paraId="1E3C95F5" w14:textId="77777777">
        <w:trPr>
          <w:divId w:val="1558786453"/>
          <w:trHeight w:val="360"/>
          <w:jc w:val="center"/>
        </w:trPr>
        <w:tc>
          <w:tcPr>
            <w:tcW w:w="0" w:type="auto"/>
            <w:gridSpan w:val="3"/>
            <w:vMerge w:val="restart"/>
            <w:tcMar>
              <w:top w:w="30" w:type="dxa"/>
              <w:left w:w="20" w:type="dxa"/>
              <w:bottom w:w="30" w:type="dxa"/>
              <w:right w:w="20" w:type="dxa"/>
            </w:tcMar>
            <w:vAlign w:val="bottom"/>
            <w:hideMark/>
          </w:tcPr>
          <w:p w14:paraId="15D8F38D"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3F042CEF"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4661B01F" w14:textId="77777777">
        <w:trPr>
          <w:divId w:val="1558786453"/>
          <w:trHeight w:val="240"/>
          <w:jc w:val="center"/>
        </w:trPr>
        <w:tc>
          <w:tcPr>
            <w:tcW w:w="0" w:type="auto"/>
            <w:gridSpan w:val="3"/>
            <w:vMerge/>
            <w:vAlign w:val="center"/>
            <w:hideMark/>
          </w:tcPr>
          <w:p w14:paraId="15519646"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FEACBB"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6356FB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0B2A48"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1E5CC05F" w14:textId="77777777">
        <w:trPr>
          <w:divId w:val="1558786453"/>
          <w:jc w:val="center"/>
        </w:trPr>
        <w:tc>
          <w:tcPr>
            <w:tcW w:w="0" w:type="auto"/>
            <w:gridSpan w:val="3"/>
            <w:shd w:val="clear" w:color="auto" w:fill="CCEEFF"/>
            <w:tcMar>
              <w:top w:w="30" w:type="dxa"/>
              <w:left w:w="20" w:type="dxa"/>
              <w:bottom w:w="30" w:type="dxa"/>
              <w:right w:w="20" w:type="dxa"/>
            </w:tcMar>
            <w:hideMark/>
          </w:tcPr>
          <w:p w14:paraId="2CAE764C" w14:textId="77777777" w:rsidR="00000000" w:rsidRDefault="0068293C">
            <w:pPr>
              <w:spacing w:after="100"/>
              <w:rPr>
                <w:rFonts w:eastAsia="Times New Roman"/>
              </w:rPr>
            </w:pPr>
            <w:r>
              <w:rPr>
                <w:rFonts w:eastAsia="Times New Roman"/>
                <w:color w:val="000000"/>
                <w:sz w:val="20"/>
                <w:szCs w:val="20"/>
              </w:rPr>
              <w:t>Net income (loss) from continuing operations attributable to NCR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FCFDB4"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9DAFCA" w14:textId="77777777" w:rsidR="00000000" w:rsidRDefault="0068293C">
            <w:pPr>
              <w:spacing w:after="100"/>
              <w:jc w:val="right"/>
              <w:rPr>
                <w:rFonts w:eastAsia="Times New Roman"/>
              </w:rPr>
            </w:pPr>
            <w:r>
              <w:rPr>
                <w:rFonts w:eastAsia="Times New Roman"/>
                <w:b/>
                <w:bCs/>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6DCA9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13C5A"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74FF1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6B109C" w14:textId="77777777" w:rsidR="00000000" w:rsidRDefault="0068293C">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692928" w14:textId="77777777" w:rsidR="00000000" w:rsidRDefault="0068293C">
            <w:pPr>
              <w:spacing w:after="100"/>
              <w:jc w:val="right"/>
              <w:rPr>
                <w:rFonts w:eastAsia="Times New Roman"/>
              </w:rPr>
            </w:pPr>
          </w:p>
        </w:tc>
      </w:tr>
      <w:tr w:rsidR="00000000" w14:paraId="05357604" w14:textId="77777777">
        <w:trPr>
          <w:divId w:val="1558786453"/>
          <w:jc w:val="center"/>
        </w:trPr>
        <w:tc>
          <w:tcPr>
            <w:tcW w:w="0" w:type="auto"/>
            <w:gridSpan w:val="3"/>
            <w:shd w:val="clear" w:color="auto" w:fill="FFFFFF"/>
            <w:tcMar>
              <w:top w:w="30" w:type="dxa"/>
              <w:left w:w="20" w:type="dxa"/>
              <w:bottom w:w="30" w:type="dxa"/>
              <w:right w:w="20" w:type="dxa"/>
            </w:tcMar>
            <w:hideMark/>
          </w:tcPr>
          <w:p w14:paraId="674CB202" w14:textId="77777777" w:rsidR="00000000" w:rsidRDefault="0068293C">
            <w:pPr>
              <w:spacing w:after="100"/>
              <w:rPr>
                <w:rFonts w:eastAsia="Times New Roman"/>
              </w:rPr>
            </w:pPr>
            <w:r>
              <w:rPr>
                <w:rFonts w:eastAsia="Times New Roman"/>
                <w:color w:val="000000"/>
                <w:sz w:val="20"/>
                <w:szCs w:val="20"/>
              </w:rPr>
              <w:t>Transformation costs</w:t>
            </w:r>
          </w:p>
        </w:tc>
        <w:tc>
          <w:tcPr>
            <w:tcW w:w="0" w:type="auto"/>
            <w:gridSpan w:val="2"/>
            <w:shd w:val="clear" w:color="auto" w:fill="FFFFFF"/>
            <w:tcMar>
              <w:top w:w="30" w:type="dxa"/>
              <w:left w:w="20" w:type="dxa"/>
              <w:bottom w:w="30" w:type="dxa"/>
              <w:right w:w="0" w:type="dxa"/>
            </w:tcMar>
            <w:vAlign w:val="bottom"/>
            <w:hideMark/>
          </w:tcPr>
          <w:p w14:paraId="0455EB18" w14:textId="77777777" w:rsidR="00000000" w:rsidRDefault="0068293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28AE9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DC90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D57E4A" w14:textId="77777777" w:rsidR="00000000" w:rsidRDefault="0068293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4E5A9C92" w14:textId="77777777" w:rsidR="00000000" w:rsidRDefault="0068293C">
            <w:pPr>
              <w:spacing w:after="100"/>
              <w:jc w:val="right"/>
              <w:rPr>
                <w:rFonts w:eastAsia="Times New Roman"/>
              </w:rPr>
            </w:pPr>
          </w:p>
        </w:tc>
      </w:tr>
      <w:tr w:rsidR="00000000" w14:paraId="7C933691" w14:textId="77777777">
        <w:trPr>
          <w:divId w:val="1558786453"/>
          <w:jc w:val="center"/>
        </w:trPr>
        <w:tc>
          <w:tcPr>
            <w:tcW w:w="0" w:type="auto"/>
            <w:gridSpan w:val="3"/>
            <w:shd w:val="clear" w:color="auto" w:fill="CCEEFF"/>
            <w:tcMar>
              <w:top w:w="30" w:type="dxa"/>
              <w:left w:w="20" w:type="dxa"/>
              <w:bottom w:w="30" w:type="dxa"/>
              <w:right w:w="20" w:type="dxa"/>
            </w:tcMar>
            <w:hideMark/>
          </w:tcPr>
          <w:p w14:paraId="6EFD3D49" w14:textId="77777777" w:rsidR="00000000" w:rsidRDefault="0068293C">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CCEEFF"/>
            <w:tcMar>
              <w:top w:w="30" w:type="dxa"/>
              <w:left w:w="20" w:type="dxa"/>
              <w:bottom w:w="30" w:type="dxa"/>
              <w:right w:w="0" w:type="dxa"/>
            </w:tcMar>
            <w:vAlign w:val="bottom"/>
            <w:hideMark/>
          </w:tcPr>
          <w:p w14:paraId="0424FE74" w14:textId="77777777" w:rsidR="00000000" w:rsidRDefault="0068293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424F0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EA3C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3EA44D" w14:textId="77777777" w:rsidR="00000000" w:rsidRDefault="0068293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7231D3B2" w14:textId="77777777" w:rsidR="00000000" w:rsidRDefault="0068293C">
            <w:pPr>
              <w:spacing w:after="100"/>
              <w:jc w:val="right"/>
              <w:rPr>
                <w:rFonts w:eastAsia="Times New Roman"/>
              </w:rPr>
            </w:pPr>
          </w:p>
        </w:tc>
      </w:tr>
      <w:tr w:rsidR="00000000" w14:paraId="295CB697" w14:textId="77777777">
        <w:trPr>
          <w:divId w:val="1558786453"/>
          <w:jc w:val="center"/>
        </w:trPr>
        <w:tc>
          <w:tcPr>
            <w:tcW w:w="0" w:type="auto"/>
            <w:gridSpan w:val="3"/>
            <w:shd w:val="clear" w:color="auto" w:fill="FFFFFF"/>
            <w:tcMar>
              <w:top w:w="30" w:type="dxa"/>
              <w:left w:w="20" w:type="dxa"/>
              <w:bottom w:w="30" w:type="dxa"/>
              <w:right w:w="20" w:type="dxa"/>
            </w:tcMar>
            <w:hideMark/>
          </w:tcPr>
          <w:p w14:paraId="36A14FE3" w14:textId="77777777" w:rsidR="00000000" w:rsidRDefault="0068293C">
            <w:pPr>
              <w:spacing w:after="100"/>
              <w:rPr>
                <w:rFonts w:eastAsia="Times New Roman"/>
              </w:rPr>
            </w:pPr>
            <w:r>
              <w:rPr>
                <w:rFonts w:eastAsia="Times New Roman"/>
                <w:color w:val="000000"/>
                <w:sz w:val="20"/>
                <w:szCs w:val="20"/>
              </w:rPr>
              <w:t>Acquisition-related costs</w:t>
            </w:r>
          </w:p>
        </w:tc>
        <w:tc>
          <w:tcPr>
            <w:tcW w:w="0" w:type="auto"/>
            <w:gridSpan w:val="2"/>
            <w:shd w:val="clear" w:color="auto" w:fill="FFFFFF"/>
            <w:tcMar>
              <w:top w:w="30" w:type="dxa"/>
              <w:left w:w="20" w:type="dxa"/>
              <w:bottom w:w="30" w:type="dxa"/>
              <w:right w:w="0" w:type="dxa"/>
            </w:tcMar>
            <w:vAlign w:val="bottom"/>
            <w:hideMark/>
          </w:tcPr>
          <w:p w14:paraId="65829101" w14:textId="77777777" w:rsidR="00000000" w:rsidRDefault="0068293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01AF8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7918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57C150" w14:textId="77777777" w:rsidR="00000000" w:rsidRDefault="0068293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0E9FF3E8" w14:textId="77777777" w:rsidR="00000000" w:rsidRDefault="0068293C">
            <w:pPr>
              <w:spacing w:after="100"/>
              <w:jc w:val="right"/>
              <w:rPr>
                <w:rFonts w:eastAsia="Times New Roman"/>
              </w:rPr>
            </w:pPr>
          </w:p>
        </w:tc>
      </w:tr>
      <w:tr w:rsidR="00000000" w14:paraId="5AA369AC" w14:textId="77777777">
        <w:trPr>
          <w:divId w:val="1558786453"/>
          <w:jc w:val="center"/>
        </w:trPr>
        <w:tc>
          <w:tcPr>
            <w:tcW w:w="0" w:type="auto"/>
            <w:gridSpan w:val="3"/>
            <w:vAlign w:val="center"/>
            <w:hideMark/>
          </w:tcPr>
          <w:p w14:paraId="64D5983E" w14:textId="77777777" w:rsidR="00000000" w:rsidRDefault="0068293C">
            <w:pPr>
              <w:spacing w:after="100"/>
              <w:jc w:val="right"/>
              <w:rPr>
                <w:rFonts w:eastAsia="Times New Roman"/>
                <w:sz w:val="20"/>
                <w:szCs w:val="20"/>
              </w:rPr>
            </w:pPr>
          </w:p>
        </w:tc>
        <w:tc>
          <w:tcPr>
            <w:tcW w:w="0" w:type="auto"/>
            <w:gridSpan w:val="3"/>
            <w:vAlign w:val="center"/>
            <w:hideMark/>
          </w:tcPr>
          <w:p w14:paraId="713E771C" w14:textId="77777777" w:rsidR="00000000" w:rsidRDefault="0068293C">
            <w:pPr>
              <w:spacing w:after="100"/>
              <w:rPr>
                <w:rFonts w:eastAsia="Times New Roman"/>
                <w:sz w:val="20"/>
                <w:szCs w:val="20"/>
              </w:rPr>
            </w:pPr>
          </w:p>
        </w:tc>
        <w:tc>
          <w:tcPr>
            <w:tcW w:w="0" w:type="auto"/>
            <w:gridSpan w:val="3"/>
            <w:vAlign w:val="center"/>
            <w:hideMark/>
          </w:tcPr>
          <w:p w14:paraId="046C5F4B" w14:textId="77777777" w:rsidR="00000000" w:rsidRDefault="0068293C">
            <w:pPr>
              <w:spacing w:after="100"/>
              <w:rPr>
                <w:rFonts w:eastAsia="Times New Roman"/>
                <w:sz w:val="20"/>
                <w:szCs w:val="20"/>
              </w:rPr>
            </w:pPr>
          </w:p>
        </w:tc>
        <w:tc>
          <w:tcPr>
            <w:tcW w:w="0" w:type="auto"/>
            <w:gridSpan w:val="3"/>
            <w:vAlign w:val="center"/>
            <w:hideMark/>
          </w:tcPr>
          <w:p w14:paraId="4C9065EF" w14:textId="77777777" w:rsidR="00000000" w:rsidRDefault="0068293C">
            <w:pPr>
              <w:spacing w:after="100"/>
              <w:rPr>
                <w:rFonts w:eastAsia="Times New Roman"/>
                <w:sz w:val="20"/>
                <w:szCs w:val="20"/>
              </w:rPr>
            </w:pPr>
          </w:p>
        </w:tc>
      </w:tr>
      <w:tr w:rsidR="00000000" w14:paraId="161658D8" w14:textId="77777777">
        <w:trPr>
          <w:divId w:val="1558786453"/>
          <w:jc w:val="center"/>
        </w:trPr>
        <w:tc>
          <w:tcPr>
            <w:tcW w:w="0" w:type="auto"/>
            <w:gridSpan w:val="3"/>
            <w:shd w:val="clear" w:color="auto" w:fill="CCEEFF"/>
            <w:tcMar>
              <w:top w:w="30" w:type="dxa"/>
              <w:left w:w="20" w:type="dxa"/>
              <w:bottom w:w="30" w:type="dxa"/>
              <w:right w:w="20" w:type="dxa"/>
            </w:tcMar>
            <w:hideMark/>
          </w:tcPr>
          <w:p w14:paraId="4A19E23F" w14:textId="77777777" w:rsidR="00000000" w:rsidRDefault="0068293C">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5E0960E7" w14:textId="77777777" w:rsidR="00000000" w:rsidRDefault="0068293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D76BD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0DC7D"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2788E5" w14:textId="77777777" w:rsidR="00000000" w:rsidRDefault="0068293C">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3FBB78CE" w14:textId="77777777" w:rsidR="00000000" w:rsidRDefault="0068293C">
            <w:pPr>
              <w:spacing w:after="100"/>
              <w:jc w:val="right"/>
              <w:rPr>
                <w:rFonts w:eastAsia="Times New Roman"/>
              </w:rPr>
            </w:pPr>
          </w:p>
        </w:tc>
      </w:tr>
      <w:tr w:rsidR="00000000" w14:paraId="1B187DF5" w14:textId="77777777">
        <w:trPr>
          <w:divId w:val="1558786453"/>
          <w:jc w:val="center"/>
        </w:trPr>
        <w:tc>
          <w:tcPr>
            <w:tcW w:w="0" w:type="auto"/>
            <w:gridSpan w:val="3"/>
            <w:shd w:val="clear" w:color="auto" w:fill="FFFFFF"/>
            <w:tcMar>
              <w:top w:w="30" w:type="dxa"/>
              <w:left w:w="20" w:type="dxa"/>
              <w:bottom w:w="30" w:type="dxa"/>
              <w:right w:w="20" w:type="dxa"/>
            </w:tcMar>
            <w:hideMark/>
          </w:tcPr>
          <w:p w14:paraId="725B206C" w14:textId="77777777" w:rsidR="00000000" w:rsidRDefault="0068293C">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2CF7B3CA"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35B91D3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339E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F101C0" w14:textId="77777777" w:rsidR="00000000" w:rsidRDefault="0068293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29DCEA62" w14:textId="77777777" w:rsidR="00000000" w:rsidRDefault="0068293C">
            <w:pPr>
              <w:spacing w:after="100"/>
              <w:jc w:val="right"/>
              <w:rPr>
                <w:rFonts w:eastAsia="Times New Roman"/>
              </w:rPr>
            </w:pPr>
          </w:p>
        </w:tc>
      </w:tr>
      <w:tr w:rsidR="00000000" w14:paraId="1EBC5069" w14:textId="77777777">
        <w:trPr>
          <w:divId w:val="1558786453"/>
          <w:jc w:val="center"/>
        </w:trPr>
        <w:tc>
          <w:tcPr>
            <w:tcW w:w="0" w:type="auto"/>
            <w:gridSpan w:val="3"/>
            <w:shd w:val="clear" w:color="auto" w:fill="CCEEFF"/>
            <w:tcMar>
              <w:top w:w="30" w:type="dxa"/>
              <w:left w:w="20" w:type="dxa"/>
              <w:bottom w:w="30" w:type="dxa"/>
              <w:right w:w="20" w:type="dxa"/>
            </w:tcMar>
            <w:hideMark/>
          </w:tcPr>
          <w:p w14:paraId="15A4D701" w14:textId="77777777" w:rsidR="00000000" w:rsidRDefault="0068293C">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2"/>
            <w:shd w:val="clear" w:color="auto" w:fill="CCEEFF"/>
            <w:tcMar>
              <w:top w:w="30" w:type="dxa"/>
              <w:left w:w="20" w:type="dxa"/>
              <w:bottom w:w="30" w:type="dxa"/>
              <w:right w:w="0" w:type="dxa"/>
            </w:tcMar>
            <w:vAlign w:val="bottom"/>
            <w:hideMark/>
          </w:tcPr>
          <w:p w14:paraId="6FD90146" w14:textId="77777777" w:rsidR="00000000" w:rsidRDefault="0068293C">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12D84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12E8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62FD8A" w14:textId="77777777" w:rsidR="00000000" w:rsidRDefault="0068293C">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35A53A5A" w14:textId="77777777" w:rsidR="00000000" w:rsidRDefault="0068293C">
            <w:pPr>
              <w:spacing w:after="100"/>
              <w:jc w:val="right"/>
              <w:rPr>
                <w:rFonts w:eastAsia="Times New Roman"/>
              </w:rPr>
            </w:pPr>
          </w:p>
        </w:tc>
      </w:tr>
      <w:tr w:rsidR="00000000" w14:paraId="4F6F867B" w14:textId="77777777">
        <w:trPr>
          <w:divId w:val="1558786453"/>
          <w:jc w:val="center"/>
        </w:trPr>
        <w:tc>
          <w:tcPr>
            <w:tcW w:w="0" w:type="auto"/>
            <w:gridSpan w:val="3"/>
            <w:shd w:val="clear" w:color="auto" w:fill="FFFFFF"/>
            <w:tcMar>
              <w:top w:w="30" w:type="dxa"/>
              <w:left w:w="20" w:type="dxa"/>
              <w:bottom w:w="30" w:type="dxa"/>
              <w:right w:w="20" w:type="dxa"/>
            </w:tcMar>
            <w:hideMark/>
          </w:tcPr>
          <w:p w14:paraId="39658B16" w14:textId="77777777" w:rsidR="00000000" w:rsidRDefault="0068293C">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14:paraId="079594A7"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746CF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5E0B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0B2FF6" w14:textId="77777777" w:rsidR="00000000" w:rsidRDefault="0068293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6C3BDBE3" w14:textId="77777777" w:rsidR="00000000" w:rsidRDefault="0068293C">
            <w:pPr>
              <w:spacing w:after="100"/>
              <w:jc w:val="right"/>
              <w:rPr>
                <w:rFonts w:eastAsia="Times New Roman"/>
              </w:rPr>
            </w:pPr>
          </w:p>
        </w:tc>
      </w:tr>
      <w:tr w:rsidR="00000000" w14:paraId="6576ED1F" w14:textId="77777777">
        <w:trPr>
          <w:divId w:val="1558786453"/>
          <w:jc w:val="center"/>
        </w:trPr>
        <w:tc>
          <w:tcPr>
            <w:tcW w:w="0" w:type="auto"/>
            <w:gridSpan w:val="3"/>
            <w:shd w:val="clear" w:color="auto" w:fill="CCEEFF"/>
            <w:tcMar>
              <w:top w:w="30" w:type="dxa"/>
              <w:left w:w="20" w:type="dxa"/>
              <w:bottom w:w="30" w:type="dxa"/>
              <w:right w:w="20" w:type="dxa"/>
            </w:tcMar>
            <w:hideMark/>
          </w:tcPr>
          <w:p w14:paraId="0486EFA2" w14:textId="77777777" w:rsidR="00000000" w:rsidRDefault="0068293C">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47A3D040" w14:textId="77777777" w:rsidR="00000000" w:rsidRDefault="0068293C">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78FC2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DE99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A61626" w14:textId="77777777" w:rsidR="00000000" w:rsidRDefault="0068293C">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3BAC8BAB" w14:textId="77777777" w:rsidR="00000000" w:rsidRDefault="0068293C">
            <w:pPr>
              <w:spacing w:after="100"/>
              <w:jc w:val="right"/>
              <w:rPr>
                <w:rFonts w:eastAsia="Times New Roman"/>
              </w:rPr>
            </w:pPr>
          </w:p>
        </w:tc>
      </w:tr>
      <w:tr w:rsidR="00000000" w14:paraId="5F2033A0" w14:textId="77777777">
        <w:trPr>
          <w:divId w:val="1558786453"/>
          <w:jc w:val="center"/>
        </w:trPr>
        <w:tc>
          <w:tcPr>
            <w:tcW w:w="0" w:type="auto"/>
            <w:gridSpan w:val="3"/>
            <w:shd w:val="clear" w:color="auto" w:fill="FFFFFF"/>
            <w:tcMar>
              <w:top w:w="30" w:type="dxa"/>
              <w:left w:w="20" w:type="dxa"/>
              <w:bottom w:w="30" w:type="dxa"/>
              <w:right w:w="20" w:type="dxa"/>
            </w:tcMar>
            <w:hideMark/>
          </w:tcPr>
          <w:p w14:paraId="1E739B7A" w14:textId="77777777" w:rsidR="00000000" w:rsidRDefault="0068293C">
            <w:pPr>
              <w:spacing w:after="100"/>
              <w:rPr>
                <w:rFonts w:eastAsia="Times New Roman"/>
              </w:rPr>
            </w:pPr>
            <w:r>
              <w:rPr>
                <w:rFonts w:eastAsia="Times New Roman"/>
                <w:color w:val="000000"/>
                <w:sz w:val="20"/>
                <w:szCs w:val="20"/>
              </w:rPr>
              <w:t>Russia</w:t>
            </w:r>
          </w:p>
        </w:tc>
        <w:tc>
          <w:tcPr>
            <w:tcW w:w="0" w:type="auto"/>
            <w:gridSpan w:val="2"/>
            <w:shd w:val="clear" w:color="auto" w:fill="FFFFFF"/>
            <w:tcMar>
              <w:top w:w="30" w:type="dxa"/>
              <w:left w:w="20" w:type="dxa"/>
              <w:bottom w:w="30" w:type="dxa"/>
              <w:right w:w="0" w:type="dxa"/>
            </w:tcMar>
            <w:vAlign w:val="bottom"/>
            <w:hideMark/>
          </w:tcPr>
          <w:p w14:paraId="5420494C" w14:textId="77777777" w:rsidR="00000000" w:rsidRDefault="0068293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A8C85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B9D3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6BCD9B"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BB7FBD" w14:textId="77777777" w:rsidR="00000000" w:rsidRDefault="0068293C">
            <w:pPr>
              <w:spacing w:after="100"/>
              <w:jc w:val="right"/>
              <w:rPr>
                <w:rFonts w:eastAsia="Times New Roman"/>
              </w:rPr>
            </w:pPr>
          </w:p>
        </w:tc>
      </w:tr>
      <w:tr w:rsidR="00000000" w14:paraId="70F57246" w14:textId="77777777">
        <w:trPr>
          <w:divId w:val="1558786453"/>
          <w:jc w:val="center"/>
        </w:trPr>
        <w:tc>
          <w:tcPr>
            <w:tcW w:w="0" w:type="auto"/>
            <w:gridSpan w:val="3"/>
            <w:shd w:val="clear" w:color="auto" w:fill="CCEEFF"/>
            <w:tcMar>
              <w:top w:w="30" w:type="dxa"/>
              <w:left w:w="20" w:type="dxa"/>
              <w:bottom w:w="30" w:type="dxa"/>
              <w:right w:w="20" w:type="dxa"/>
            </w:tcMar>
            <w:hideMark/>
          </w:tcPr>
          <w:p w14:paraId="71696347" w14:textId="77777777" w:rsidR="00000000" w:rsidRDefault="0068293C">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12990B"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863DBF" w14:textId="77777777" w:rsidR="00000000" w:rsidRDefault="0068293C">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FBA0E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79F11"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7E4C6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451328" w14:textId="77777777" w:rsidR="00000000" w:rsidRDefault="0068293C">
            <w:pPr>
              <w:spacing w:after="100"/>
              <w:jc w:val="right"/>
              <w:rPr>
                <w:rFonts w:eastAsia="Times New Roman"/>
              </w:rPr>
            </w:pPr>
            <w:r>
              <w:rPr>
                <w:rFonts w:eastAsia="Times New Roman"/>
                <w:color w:val="000000"/>
                <w:sz w:val="20"/>
                <w:szCs w:val="20"/>
              </w:rPr>
              <w:t>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FCD148" w14:textId="77777777" w:rsidR="00000000" w:rsidRDefault="0068293C">
            <w:pPr>
              <w:spacing w:after="100"/>
              <w:jc w:val="right"/>
              <w:rPr>
                <w:rFonts w:eastAsia="Times New Roman"/>
              </w:rPr>
            </w:pPr>
          </w:p>
        </w:tc>
      </w:tr>
    </w:tbl>
    <w:p w14:paraId="132DCD56" w14:textId="77777777" w:rsidR="00000000" w:rsidRDefault="0068293C">
      <w:pPr>
        <w:jc w:val="both"/>
        <w:rPr>
          <w:rFonts w:eastAsia="Times New Roman"/>
        </w:rPr>
      </w:pPr>
    </w:p>
    <w:p w14:paraId="5F2B10EA" w14:textId="77777777" w:rsidR="00000000" w:rsidRDefault="0068293C">
      <w:pPr>
        <w:jc w:val="both"/>
        <w:rPr>
          <w:rFonts w:eastAsia="Times New Roman"/>
        </w:rPr>
      </w:pPr>
      <w:r>
        <w:rPr>
          <w:rFonts w:eastAsia="Times New Roman"/>
          <w:color w:val="000000"/>
          <w:sz w:val="20"/>
          <w:szCs w:val="20"/>
        </w:rPr>
        <w:t>The following table presents revenue by geography for NCR: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50"/>
        <w:gridCol w:w="36"/>
        <w:gridCol w:w="120"/>
        <w:gridCol w:w="1081"/>
        <w:gridCol w:w="36"/>
        <w:gridCol w:w="36"/>
        <w:gridCol w:w="36"/>
        <w:gridCol w:w="36"/>
        <w:gridCol w:w="120"/>
        <w:gridCol w:w="1081"/>
        <w:gridCol w:w="36"/>
      </w:tblGrid>
      <w:tr w:rsidR="00000000" w14:paraId="5DFB5CE5" w14:textId="77777777">
        <w:trPr>
          <w:divId w:val="312568970"/>
          <w:jc w:val="center"/>
        </w:trPr>
        <w:tc>
          <w:tcPr>
            <w:tcW w:w="50" w:type="pct"/>
            <w:vAlign w:val="center"/>
            <w:hideMark/>
          </w:tcPr>
          <w:p w14:paraId="1234D573" w14:textId="77777777" w:rsidR="00000000" w:rsidRDefault="0068293C">
            <w:pPr>
              <w:jc w:val="both"/>
              <w:rPr>
                <w:rFonts w:eastAsia="Times New Roman"/>
              </w:rPr>
            </w:pPr>
          </w:p>
        </w:tc>
        <w:tc>
          <w:tcPr>
            <w:tcW w:w="3439" w:type="pct"/>
            <w:vAlign w:val="center"/>
            <w:hideMark/>
          </w:tcPr>
          <w:p w14:paraId="0FED5A99" w14:textId="77777777" w:rsidR="00000000" w:rsidRDefault="0068293C">
            <w:pPr>
              <w:spacing w:after="100"/>
              <w:rPr>
                <w:rFonts w:eastAsia="Times New Roman"/>
                <w:sz w:val="20"/>
                <w:szCs w:val="20"/>
              </w:rPr>
            </w:pPr>
          </w:p>
        </w:tc>
        <w:tc>
          <w:tcPr>
            <w:tcW w:w="5" w:type="pct"/>
            <w:vAlign w:val="center"/>
            <w:hideMark/>
          </w:tcPr>
          <w:p w14:paraId="1FB94D71" w14:textId="77777777" w:rsidR="00000000" w:rsidRDefault="0068293C">
            <w:pPr>
              <w:spacing w:after="100"/>
              <w:rPr>
                <w:rFonts w:eastAsia="Times New Roman"/>
                <w:sz w:val="20"/>
                <w:szCs w:val="20"/>
              </w:rPr>
            </w:pPr>
          </w:p>
        </w:tc>
        <w:tc>
          <w:tcPr>
            <w:tcW w:w="50" w:type="pct"/>
            <w:vAlign w:val="center"/>
            <w:hideMark/>
          </w:tcPr>
          <w:p w14:paraId="22DCA1D3" w14:textId="77777777" w:rsidR="00000000" w:rsidRDefault="0068293C">
            <w:pPr>
              <w:spacing w:after="100"/>
              <w:rPr>
                <w:rFonts w:eastAsia="Times New Roman"/>
                <w:sz w:val="20"/>
                <w:szCs w:val="20"/>
              </w:rPr>
            </w:pPr>
          </w:p>
        </w:tc>
        <w:tc>
          <w:tcPr>
            <w:tcW w:w="683" w:type="pct"/>
            <w:vAlign w:val="center"/>
            <w:hideMark/>
          </w:tcPr>
          <w:p w14:paraId="0538D0DB" w14:textId="77777777" w:rsidR="00000000" w:rsidRDefault="0068293C">
            <w:pPr>
              <w:spacing w:after="100"/>
              <w:rPr>
                <w:rFonts w:eastAsia="Times New Roman"/>
                <w:sz w:val="20"/>
                <w:szCs w:val="20"/>
              </w:rPr>
            </w:pPr>
          </w:p>
        </w:tc>
        <w:tc>
          <w:tcPr>
            <w:tcW w:w="5" w:type="pct"/>
            <w:vAlign w:val="center"/>
            <w:hideMark/>
          </w:tcPr>
          <w:p w14:paraId="6FB113AF" w14:textId="77777777" w:rsidR="00000000" w:rsidRDefault="0068293C">
            <w:pPr>
              <w:spacing w:after="100"/>
              <w:rPr>
                <w:rFonts w:eastAsia="Times New Roman"/>
                <w:sz w:val="20"/>
                <w:szCs w:val="20"/>
              </w:rPr>
            </w:pPr>
          </w:p>
        </w:tc>
        <w:tc>
          <w:tcPr>
            <w:tcW w:w="5" w:type="pct"/>
            <w:vAlign w:val="center"/>
            <w:hideMark/>
          </w:tcPr>
          <w:p w14:paraId="774D0E44" w14:textId="77777777" w:rsidR="00000000" w:rsidRDefault="0068293C">
            <w:pPr>
              <w:spacing w:after="100"/>
              <w:rPr>
                <w:rFonts w:eastAsia="Times New Roman"/>
                <w:sz w:val="20"/>
                <w:szCs w:val="20"/>
              </w:rPr>
            </w:pPr>
          </w:p>
        </w:tc>
        <w:tc>
          <w:tcPr>
            <w:tcW w:w="19" w:type="pct"/>
            <w:vAlign w:val="center"/>
            <w:hideMark/>
          </w:tcPr>
          <w:p w14:paraId="622943E8" w14:textId="77777777" w:rsidR="00000000" w:rsidRDefault="0068293C">
            <w:pPr>
              <w:spacing w:after="100"/>
              <w:rPr>
                <w:rFonts w:eastAsia="Times New Roman"/>
                <w:sz w:val="20"/>
                <w:szCs w:val="20"/>
              </w:rPr>
            </w:pPr>
          </w:p>
        </w:tc>
        <w:tc>
          <w:tcPr>
            <w:tcW w:w="5" w:type="pct"/>
            <w:vAlign w:val="center"/>
            <w:hideMark/>
          </w:tcPr>
          <w:p w14:paraId="641F0933" w14:textId="77777777" w:rsidR="00000000" w:rsidRDefault="0068293C">
            <w:pPr>
              <w:spacing w:after="100"/>
              <w:rPr>
                <w:rFonts w:eastAsia="Times New Roman"/>
                <w:sz w:val="20"/>
                <w:szCs w:val="20"/>
              </w:rPr>
            </w:pPr>
          </w:p>
        </w:tc>
        <w:tc>
          <w:tcPr>
            <w:tcW w:w="50" w:type="pct"/>
            <w:vAlign w:val="center"/>
            <w:hideMark/>
          </w:tcPr>
          <w:p w14:paraId="15B0D547" w14:textId="77777777" w:rsidR="00000000" w:rsidRDefault="0068293C">
            <w:pPr>
              <w:spacing w:after="100"/>
              <w:rPr>
                <w:rFonts w:eastAsia="Times New Roman"/>
                <w:sz w:val="20"/>
                <w:szCs w:val="20"/>
              </w:rPr>
            </w:pPr>
          </w:p>
        </w:tc>
        <w:tc>
          <w:tcPr>
            <w:tcW w:w="683" w:type="pct"/>
            <w:vAlign w:val="center"/>
            <w:hideMark/>
          </w:tcPr>
          <w:p w14:paraId="3BF2BFE9" w14:textId="77777777" w:rsidR="00000000" w:rsidRDefault="0068293C">
            <w:pPr>
              <w:spacing w:after="100"/>
              <w:rPr>
                <w:rFonts w:eastAsia="Times New Roman"/>
                <w:sz w:val="20"/>
                <w:szCs w:val="20"/>
              </w:rPr>
            </w:pPr>
          </w:p>
        </w:tc>
        <w:tc>
          <w:tcPr>
            <w:tcW w:w="5" w:type="pct"/>
            <w:vAlign w:val="center"/>
            <w:hideMark/>
          </w:tcPr>
          <w:p w14:paraId="6AB9338B" w14:textId="77777777" w:rsidR="00000000" w:rsidRDefault="0068293C">
            <w:pPr>
              <w:spacing w:after="100"/>
              <w:rPr>
                <w:rFonts w:eastAsia="Times New Roman"/>
                <w:sz w:val="20"/>
                <w:szCs w:val="20"/>
              </w:rPr>
            </w:pPr>
          </w:p>
        </w:tc>
      </w:tr>
      <w:tr w:rsidR="00000000" w14:paraId="3907E157" w14:textId="77777777">
        <w:trPr>
          <w:divId w:val="312568970"/>
          <w:trHeight w:val="240"/>
          <w:jc w:val="center"/>
        </w:trPr>
        <w:tc>
          <w:tcPr>
            <w:tcW w:w="0" w:type="auto"/>
            <w:gridSpan w:val="3"/>
            <w:vMerge w:val="restart"/>
            <w:tcMar>
              <w:top w:w="30" w:type="dxa"/>
              <w:left w:w="20" w:type="dxa"/>
              <w:bottom w:w="30" w:type="dxa"/>
              <w:right w:w="20" w:type="dxa"/>
            </w:tcMar>
            <w:vAlign w:val="bottom"/>
            <w:hideMark/>
          </w:tcPr>
          <w:p w14:paraId="0F27B1A2"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00D651AC"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196A2DAE" w14:textId="77777777">
        <w:trPr>
          <w:divId w:val="312568970"/>
          <w:trHeight w:val="240"/>
          <w:jc w:val="center"/>
        </w:trPr>
        <w:tc>
          <w:tcPr>
            <w:tcW w:w="0" w:type="auto"/>
            <w:gridSpan w:val="3"/>
            <w:vMerge/>
            <w:vAlign w:val="center"/>
            <w:hideMark/>
          </w:tcPr>
          <w:p w14:paraId="7E5CA6BC"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7587B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EE33B7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6DE800"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712DB5C5" w14:textId="77777777">
        <w:trPr>
          <w:divId w:val="312568970"/>
          <w:jc w:val="center"/>
        </w:trPr>
        <w:tc>
          <w:tcPr>
            <w:tcW w:w="0" w:type="auto"/>
            <w:gridSpan w:val="3"/>
            <w:shd w:val="clear" w:color="auto" w:fill="CCEEFF"/>
            <w:tcMar>
              <w:top w:w="30" w:type="dxa"/>
              <w:left w:w="20" w:type="dxa"/>
              <w:bottom w:w="30" w:type="dxa"/>
              <w:right w:w="20" w:type="dxa"/>
            </w:tcMar>
            <w:hideMark/>
          </w:tcPr>
          <w:p w14:paraId="19673259" w14:textId="77777777" w:rsidR="00000000" w:rsidRDefault="0068293C">
            <w:pPr>
              <w:spacing w:after="100"/>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03346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FE5CD6" w14:textId="77777777" w:rsidR="00000000" w:rsidRDefault="0068293C">
            <w:pPr>
              <w:spacing w:after="100"/>
              <w:jc w:val="right"/>
              <w:rPr>
                <w:rFonts w:eastAsia="Times New Roman"/>
              </w:rPr>
            </w:pPr>
            <w:r>
              <w:rPr>
                <w:rFonts w:eastAsia="Times New Roman"/>
                <w:b/>
                <w:bCs/>
                <w:color w:val="000000"/>
                <w:sz w:val="20"/>
                <w:szCs w:val="20"/>
              </w:rPr>
              <w:t>1,181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3C5C8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67845"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309EA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4306E4" w14:textId="77777777" w:rsidR="00000000" w:rsidRDefault="0068293C">
            <w:pPr>
              <w:spacing w:after="100"/>
              <w:jc w:val="right"/>
              <w:rPr>
                <w:rFonts w:eastAsia="Times New Roman"/>
              </w:rPr>
            </w:pPr>
            <w:r>
              <w:rPr>
                <w:rFonts w:eastAsia="Times New Roman"/>
                <w:color w:val="000000"/>
                <w:sz w:val="20"/>
                <w:szCs w:val="20"/>
              </w:rPr>
              <w:t>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6C48B2" w14:textId="77777777" w:rsidR="00000000" w:rsidRDefault="0068293C">
            <w:pPr>
              <w:spacing w:after="100"/>
              <w:jc w:val="right"/>
              <w:rPr>
                <w:rFonts w:eastAsia="Times New Roman"/>
              </w:rPr>
            </w:pPr>
          </w:p>
        </w:tc>
      </w:tr>
      <w:tr w:rsidR="00000000" w14:paraId="5A486BA8" w14:textId="77777777">
        <w:trPr>
          <w:divId w:val="312568970"/>
          <w:jc w:val="center"/>
        </w:trPr>
        <w:tc>
          <w:tcPr>
            <w:tcW w:w="0" w:type="auto"/>
            <w:gridSpan w:val="3"/>
            <w:shd w:val="clear" w:color="auto" w:fill="FFFFFF"/>
            <w:tcMar>
              <w:top w:w="30" w:type="dxa"/>
              <w:left w:w="20" w:type="dxa"/>
              <w:bottom w:w="30" w:type="dxa"/>
              <w:right w:w="20" w:type="dxa"/>
            </w:tcMar>
            <w:hideMark/>
          </w:tcPr>
          <w:p w14:paraId="01A32FFF" w14:textId="77777777" w:rsidR="00000000" w:rsidRDefault="0068293C">
            <w:pPr>
              <w:spacing w:after="100"/>
              <w:rPr>
                <w:rFonts w:eastAsia="Times New Roman"/>
              </w:rPr>
            </w:pPr>
            <w:r>
              <w:rPr>
                <w:rFonts w:eastAsia="Times New Roman"/>
                <w:color w:val="000000"/>
                <w:sz w:val="20"/>
                <w:szCs w:val="20"/>
              </w:rPr>
              <w:t>Europe, Middle East and Africa (EMEA)</w:t>
            </w:r>
          </w:p>
        </w:tc>
        <w:tc>
          <w:tcPr>
            <w:tcW w:w="0" w:type="auto"/>
            <w:gridSpan w:val="2"/>
            <w:shd w:val="clear" w:color="auto" w:fill="FFFFFF"/>
            <w:tcMar>
              <w:top w:w="30" w:type="dxa"/>
              <w:left w:w="20" w:type="dxa"/>
              <w:bottom w:w="30" w:type="dxa"/>
              <w:right w:w="0" w:type="dxa"/>
            </w:tcMar>
            <w:vAlign w:val="bottom"/>
            <w:hideMark/>
          </w:tcPr>
          <w:p w14:paraId="6C74ECA0" w14:textId="77777777" w:rsidR="00000000" w:rsidRDefault="0068293C">
            <w:pPr>
              <w:spacing w:after="100"/>
              <w:jc w:val="right"/>
              <w:rPr>
                <w:rFonts w:eastAsia="Times New Roman"/>
              </w:rPr>
            </w:pPr>
            <w:r>
              <w:rPr>
                <w:rFonts w:eastAsia="Times New Roman"/>
                <w:b/>
                <w:bCs/>
                <w:color w:val="000000"/>
                <w:sz w:val="20"/>
                <w:szCs w:val="20"/>
              </w:rPr>
              <w:t>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A6AFA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DBD3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194A5" w14:textId="77777777" w:rsidR="00000000" w:rsidRDefault="0068293C">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14:paraId="4BF03C5C" w14:textId="77777777" w:rsidR="00000000" w:rsidRDefault="0068293C">
            <w:pPr>
              <w:spacing w:after="100"/>
              <w:jc w:val="right"/>
              <w:rPr>
                <w:rFonts w:eastAsia="Times New Roman"/>
              </w:rPr>
            </w:pPr>
          </w:p>
        </w:tc>
      </w:tr>
      <w:tr w:rsidR="00000000" w14:paraId="229AD820" w14:textId="77777777">
        <w:trPr>
          <w:divId w:val="312568970"/>
          <w:jc w:val="center"/>
        </w:trPr>
        <w:tc>
          <w:tcPr>
            <w:tcW w:w="0" w:type="auto"/>
            <w:gridSpan w:val="3"/>
            <w:shd w:val="clear" w:color="auto" w:fill="CCEEFF"/>
            <w:tcMar>
              <w:top w:w="30" w:type="dxa"/>
              <w:left w:w="20" w:type="dxa"/>
              <w:bottom w:w="30" w:type="dxa"/>
              <w:right w:w="20" w:type="dxa"/>
            </w:tcMar>
            <w:hideMark/>
          </w:tcPr>
          <w:p w14:paraId="2756FBC0" w14:textId="77777777" w:rsidR="00000000" w:rsidRDefault="0068293C">
            <w:pPr>
              <w:spacing w:after="100"/>
              <w:rPr>
                <w:rFonts w:eastAsia="Times New Roman"/>
              </w:rPr>
            </w:pPr>
            <w:r>
              <w:rPr>
                <w:rFonts w:eastAsia="Times New Roman"/>
                <w:color w:val="000000"/>
                <w:sz w:val="20"/>
                <w:szCs w:val="20"/>
              </w:rPr>
              <w:t>Asia Pacific (APJ)</w:t>
            </w:r>
          </w:p>
        </w:tc>
        <w:tc>
          <w:tcPr>
            <w:tcW w:w="0" w:type="auto"/>
            <w:gridSpan w:val="2"/>
            <w:shd w:val="clear" w:color="auto" w:fill="CCEEFF"/>
            <w:tcMar>
              <w:top w:w="30" w:type="dxa"/>
              <w:left w:w="20" w:type="dxa"/>
              <w:bottom w:w="30" w:type="dxa"/>
              <w:right w:w="0" w:type="dxa"/>
            </w:tcMar>
            <w:vAlign w:val="bottom"/>
            <w:hideMark/>
          </w:tcPr>
          <w:p w14:paraId="4F04C7EB" w14:textId="77777777" w:rsidR="00000000" w:rsidRDefault="0068293C">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76740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E6C2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85A81" w14:textId="77777777" w:rsidR="00000000" w:rsidRDefault="0068293C">
            <w:pPr>
              <w:spacing w:after="100"/>
              <w:jc w:val="right"/>
              <w:rPr>
                <w:rFonts w:eastAsia="Times New Roman"/>
              </w:rPr>
            </w:pPr>
            <w:r>
              <w:rPr>
                <w:rFonts w:eastAsia="Times New Roman"/>
                <w:color w:val="000000"/>
                <w:sz w:val="20"/>
                <w:szCs w:val="20"/>
              </w:rPr>
              <w:t>198 </w:t>
            </w:r>
          </w:p>
        </w:tc>
        <w:tc>
          <w:tcPr>
            <w:tcW w:w="0" w:type="auto"/>
            <w:shd w:val="clear" w:color="auto" w:fill="CCEEFF"/>
            <w:tcMar>
              <w:top w:w="30" w:type="dxa"/>
              <w:left w:w="0" w:type="dxa"/>
              <w:bottom w:w="30" w:type="dxa"/>
              <w:right w:w="20" w:type="dxa"/>
            </w:tcMar>
            <w:vAlign w:val="bottom"/>
            <w:hideMark/>
          </w:tcPr>
          <w:p w14:paraId="0AD4D923" w14:textId="77777777" w:rsidR="00000000" w:rsidRDefault="0068293C">
            <w:pPr>
              <w:spacing w:after="100"/>
              <w:jc w:val="right"/>
              <w:rPr>
                <w:rFonts w:eastAsia="Times New Roman"/>
              </w:rPr>
            </w:pPr>
          </w:p>
        </w:tc>
      </w:tr>
      <w:tr w:rsidR="00000000" w14:paraId="7EE1F2C8" w14:textId="77777777">
        <w:trPr>
          <w:divId w:val="312568970"/>
          <w:jc w:val="center"/>
        </w:trPr>
        <w:tc>
          <w:tcPr>
            <w:tcW w:w="0" w:type="auto"/>
            <w:gridSpan w:val="3"/>
            <w:shd w:val="clear" w:color="auto" w:fill="FFFFFF"/>
            <w:tcMar>
              <w:top w:w="30" w:type="dxa"/>
              <w:left w:w="20" w:type="dxa"/>
              <w:bottom w:w="30" w:type="dxa"/>
              <w:right w:w="20" w:type="dxa"/>
            </w:tcMar>
            <w:hideMark/>
          </w:tcPr>
          <w:p w14:paraId="2962173F" w14:textId="77777777" w:rsidR="00000000" w:rsidRDefault="0068293C">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229AA3"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933562"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73C61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36A39"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8EEEEF"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714C0C"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7F40B2" w14:textId="77777777" w:rsidR="00000000" w:rsidRDefault="0068293C">
            <w:pPr>
              <w:spacing w:after="100"/>
              <w:jc w:val="right"/>
              <w:rPr>
                <w:rFonts w:eastAsia="Times New Roman"/>
              </w:rPr>
            </w:pPr>
          </w:p>
        </w:tc>
      </w:tr>
    </w:tbl>
    <w:p w14:paraId="3D2BE841" w14:textId="77777777" w:rsidR="00000000" w:rsidRDefault="0068293C">
      <w:pPr>
        <w:jc w:val="both"/>
        <w:rPr>
          <w:rFonts w:eastAsia="Times New Roman"/>
        </w:rPr>
      </w:pPr>
    </w:p>
    <w:p w14:paraId="5879DA5B" w14:textId="77777777" w:rsidR="00000000" w:rsidRDefault="0068293C">
      <w:pPr>
        <w:jc w:val="both"/>
        <w:rPr>
          <w:rFonts w:eastAsia="Times New Roman"/>
        </w:rPr>
      </w:pPr>
      <w:r>
        <w:rPr>
          <w:rFonts w:eastAsia="Times New Roman"/>
          <w:color w:val="000000"/>
          <w:sz w:val="20"/>
          <w:szCs w:val="20"/>
        </w:rPr>
        <w:t>The following table presents the recurring revenue for NCR: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50"/>
        <w:gridCol w:w="36"/>
        <w:gridCol w:w="120"/>
        <w:gridCol w:w="1081"/>
        <w:gridCol w:w="36"/>
        <w:gridCol w:w="36"/>
        <w:gridCol w:w="36"/>
        <w:gridCol w:w="36"/>
        <w:gridCol w:w="120"/>
        <w:gridCol w:w="1081"/>
        <w:gridCol w:w="36"/>
      </w:tblGrid>
      <w:tr w:rsidR="00000000" w14:paraId="4A79A36F" w14:textId="77777777">
        <w:trPr>
          <w:divId w:val="1418672367"/>
          <w:jc w:val="center"/>
        </w:trPr>
        <w:tc>
          <w:tcPr>
            <w:tcW w:w="50" w:type="pct"/>
            <w:vAlign w:val="center"/>
            <w:hideMark/>
          </w:tcPr>
          <w:p w14:paraId="55BABF9B" w14:textId="77777777" w:rsidR="00000000" w:rsidRDefault="0068293C">
            <w:pPr>
              <w:jc w:val="both"/>
              <w:rPr>
                <w:rFonts w:eastAsia="Times New Roman"/>
              </w:rPr>
            </w:pPr>
          </w:p>
        </w:tc>
        <w:tc>
          <w:tcPr>
            <w:tcW w:w="3439" w:type="pct"/>
            <w:vAlign w:val="center"/>
            <w:hideMark/>
          </w:tcPr>
          <w:p w14:paraId="78558262" w14:textId="77777777" w:rsidR="00000000" w:rsidRDefault="0068293C">
            <w:pPr>
              <w:spacing w:after="100"/>
              <w:rPr>
                <w:rFonts w:eastAsia="Times New Roman"/>
                <w:sz w:val="20"/>
                <w:szCs w:val="20"/>
              </w:rPr>
            </w:pPr>
          </w:p>
        </w:tc>
        <w:tc>
          <w:tcPr>
            <w:tcW w:w="5" w:type="pct"/>
            <w:vAlign w:val="center"/>
            <w:hideMark/>
          </w:tcPr>
          <w:p w14:paraId="0377EB15" w14:textId="77777777" w:rsidR="00000000" w:rsidRDefault="0068293C">
            <w:pPr>
              <w:spacing w:after="100"/>
              <w:rPr>
                <w:rFonts w:eastAsia="Times New Roman"/>
                <w:sz w:val="20"/>
                <w:szCs w:val="20"/>
              </w:rPr>
            </w:pPr>
          </w:p>
        </w:tc>
        <w:tc>
          <w:tcPr>
            <w:tcW w:w="50" w:type="pct"/>
            <w:vAlign w:val="center"/>
            <w:hideMark/>
          </w:tcPr>
          <w:p w14:paraId="2A823350" w14:textId="77777777" w:rsidR="00000000" w:rsidRDefault="0068293C">
            <w:pPr>
              <w:spacing w:after="100"/>
              <w:rPr>
                <w:rFonts w:eastAsia="Times New Roman"/>
                <w:sz w:val="20"/>
                <w:szCs w:val="20"/>
              </w:rPr>
            </w:pPr>
          </w:p>
        </w:tc>
        <w:tc>
          <w:tcPr>
            <w:tcW w:w="683" w:type="pct"/>
            <w:vAlign w:val="center"/>
            <w:hideMark/>
          </w:tcPr>
          <w:p w14:paraId="5FF73DC1" w14:textId="77777777" w:rsidR="00000000" w:rsidRDefault="0068293C">
            <w:pPr>
              <w:spacing w:after="100"/>
              <w:rPr>
                <w:rFonts w:eastAsia="Times New Roman"/>
                <w:sz w:val="20"/>
                <w:szCs w:val="20"/>
              </w:rPr>
            </w:pPr>
          </w:p>
        </w:tc>
        <w:tc>
          <w:tcPr>
            <w:tcW w:w="5" w:type="pct"/>
            <w:vAlign w:val="center"/>
            <w:hideMark/>
          </w:tcPr>
          <w:p w14:paraId="2B091012" w14:textId="77777777" w:rsidR="00000000" w:rsidRDefault="0068293C">
            <w:pPr>
              <w:spacing w:after="100"/>
              <w:rPr>
                <w:rFonts w:eastAsia="Times New Roman"/>
                <w:sz w:val="20"/>
                <w:szCs w:val="20"/>
              </w:rPr>
            </w:pPr>
          </w:p>
        </w:tc>
        <w:tc>
          <w:tcPr>
            <w:tcW w:w="5" w:type="pct"/>
            <w:vAlign w:val="center"/>
            <w:hideMark/>
          </w:tcPr>
          <w:p w14:paraId="15BA5F27" w14:textId="77777777" w:rsidR="00000000" w:rsidRDefault="0068293C">
            <w:pPr>
              <w:spacing w:after="100"/>
              <w:rPr>
                <w:rFonts w:eastAsia="Times New Roman"/>
                <w:sz w:val="20"/>
                <w:szCs w:val="20"/>
              </w:rPr>
            </w:pPr>
          </w:p>
        </w:tc>
        <w:tc>
          <w:tcPr>
            <w:tcW w:w="19" w:type="pct"/>
            <w:vAlign w:val="center"/>
            <w:hideMark/>
          </w:tcPr>
          <w:p w14:paraId="29E12220" w14:textId="77777777" w:rsidR="00000000" w:rsidRDefault="0068293C">
            <w:pPr>
              <w:spacing w:after="100"/>
              <w:rPr>
                <w:rFonts w:eastAsia="Times New Roman"/>
                <w:sz w:val="20"/>
                <w:szCs w:val="20"/>
              </w:rPr>
            </w:pPr>
          </w:p>
        </w:tc>
        <w:tc>
          <w:tcPr>
            <w:tcW w:w="5" w:type="pct"/>
            <w:vAlign w:val="center"/>
            <w:hideMark/>
          </w:tcPr>
          <w:p w14:paraId="3CE6FFFD" w14:textId="77777777" w:rsidR="00000000" w:rsidRDefault="0068293C">
            <w:pPr>
              <w:spacing w:after="100"/>
              <w:rPr>
                <w:rFonts w:eastAsia="Times New Roman"/>
                <w:sz w:val="20"/>
                <w:szCs w:val="20"/>
              </w:rPr>
            </w:pPr>
          </w:p>
        </w:tc>
        <w:tc>
          <w:tcPr>
            <w:tcW w:w="50" w:type="pct"/>
            <w:vAlign w:val="center"/>
            <w:hideMark/>
          </w:tcPr>
          <w:p w14:paraId="04F76900" w14:textId="77777777" w:rsidR="00000000" w:rsidRDefault="0068293C">
            <w:pPr>
              <w:spacing w:after="100"/>
              <w:rPr>
                <w:rFonts w:eastAsia="Times New Roman"/>
                <w:sz w:val="20"/>
                <w:szCs w:val="20"/>
              </w:rPr>
            </w:pPr>
          </w:p>
        </w:tc>
        <w:tc>
          <w:tcPr>
            <w:tcW w:w="683" w:type="pct"/>
            <w:vAlign w:val="center"/>
            <w:hideMark/>
          </w:tcPr>
          <w:p w14:paraId="2283E18B" w14:textId="77777777" w:rsidR="00000000" w:rsidRDefault="0068293C">
            <w:pPr>
              <w:spacing w:after="100"/>
              <w:rPr>
                <w:rFonts w:eastAsia="Times New Roman"/>
                <w:sz w:val="20"/>
                <w:szCs w:val="20"/>
              </w:rPr>
            </w:pPr>
          </w:p>
        </w:tc>
        <w:tc>
          <w:tcPr>
            <w:tcW w:w="5" w:type="pct"/>
            <w:vAlign w:val="center"/>
            <w:hideMark/>
          </w:tcPr>
          <w:p w14:paraId="38706258" w14:textId="77777777" w:rsidR="00000000" w:rsidRDefault="0068293C">
            <w:pPr>
              <w:spacing w:after="100"/>
              <w:rPr>
                <w:rFonts w:eastAsia="Times New Roman"/>
                <w:sz w:val="20"/>
                <w:szCs w:val="20"/>
              </w:rPr>
            </w:pPr>
          </w:p>
        </w:tc>
      </w:tr>
      <w:tr w:rsidR="00000000" w14:paraId="79A695A0" w14:textId="77777777">
        <w:trPr>
          <w:divId w:val="1418672367"/>
          <w:trHeight w:val="240"/>
          <w:jc w:val="center"/>
        </w:trPr>
        <w:tc>
          <w:tcPr>
            <w:tcW w:w="0" w:type="auto"/>
            <w:gridSpan w:val="3"/>
            <w:vMerge w:val="restart"/>
            <w:tcMar>
              <w:top w:w="30" w:type="dxa"/>
              <w:left w:w="20" w:type="dxa"/>
              <w:bottom w:w="30" w:type="dxa"/>
              <w:right w:w="20" w:type="dxa"/>
            </w:tcMar>
            <w:vAlign w:val="bottom"/>
            <w:hideMark/>
          </w:tcPr>
          <w:p w14:paraId="377FAE85"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3856EBF3"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77809519" w14:textId="77777777">
        <w:trPr>
          <w:divId w:val="1418672367"/>
          <w:trHeight w:val="240"/>
          <w:jc w:val="center"/>
        </w:trPr>
        <w:tc>
          <w:tcPr>
            <w:tcW w:w="0" w:type="auto"/>
            <w:gridSpan w:val="3"/>
            <w:vMerge/>
            <w:vAlign w:val="center"/>
            <w:hideMark/>
          </w:tcPr>
          <w:p w14:paraId="06C71EDA"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F75143"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DF5366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35F18D"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102BD1EF" w14:textId="77777777">
        <w:trPr>
          <w:divId w:val="1418672367"/>
          <w:jc w:val="center"/>
        </w:trPr>
        <w:tc>
          <w:tcPr>
            <w:tcW w:w="0" w:type="auto"/>
            <w:gridSpan w:val="3"/>
            <w:shd w:val="clear" w:color="auto" w:fill="CCEEFF"/>
            <w:tcMar>
              <w:top w:w="30" w:type="dxa"/>
              <w:left w:w="20" w:type="dxa"/>
              <w:bottom w:w="30" w:type="dxa"/>
              <w:right w:w="20" w:type="dxa"/>
            </w:tcMar>
            <w:hideMark/>
          </w:tcPr>
          <w:p w14:paraId="1AE4C90F" w14:textId="77777777" w:rsidR="00000000" w:rsidRDefault="0068293C">
            <w:pPr>
              <w:spacing w:after="100"/>
              <w:divId w:val="453869552"/>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020A5B"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5430F5" w14:textId="77777777" w:rsidR="00000000" w:rsidRDefault="0068293C">
            <w:pPr>
              <w:spacing w:after="100"/>
              <w:jc w:val="right"/>
              <w:rPr>
                <w:rFonts w:eastAsia="Times New Roman"/>
              </w:rPr>
            </w:pPr>
            <w:r>
              <w:rPr>
                <w:rFonts w:eastAsia="Times New Roman"/>
                <w:b/>
                <w:bCs/>
                <w:color w:val="000000"/>
                <w:sz w:val="20"/>
                <w:szCs w:val="20"/>
              </w:rPr>
              <w:t>1,179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E6F00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44D1C"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5F06F6"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9AD267" w14:textId="77777777" w:rsidR="00000000" w:rsidRDefault="0068293C">
            <w:pPr>
              <w:spacing w:after="100"/>
              <w:jc w:val="right"/>
              <w:rPr>
                <w:rFonts w:eastAsia="Times New Roman"/>
              </w:rPr>
            </w:pPr>
            <w:r>
              <w:rPr>
                <w:rFonts w:eastAsia="Times New Roman"/>
                <w:color w:val="000000"/>
                <w:sz w:val="20"/>
                <w:szCs w:val="20"/>
              </w:rPr>
              <w:t>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867464" w14:textId="77777777" w:rsidR="00000000" w:rsidRDefault="0068293C">
            <w:pPr>
              <w:spacing w:after="100"/>
              <w:jc w:val="right"/>
              <w:rPr>
                <w:rFonts w:eastAsia="Times New Roman"/>
              </w:rPr>
            </w:pPr>
          </w:p>
        </w:tc>
      </w:tr>
      <w:tr w:rsidR="00000000" w14:paraId="445D47B1" w14:textId="77777777">
        <w:trPr>
          <w:divId w:val="1418672367"/>
          <w:jc w:val="center"/>
        </w:trPr>
        <w:tc>
          <w:tcPr>
            <w:tcW w:w="0" w:type="auto"/>
            <w:gridSpan w:val="3"/>
            <w:shd w:val="clear" w:color="auto" w:fill="FFFFFF"/>
            <w:tcMar>
              <w:top w:w="30" w:type="dxa"/>
              <w:left w:w="20" w:type="dxa"/>
              <w:bottom w:w="30" w:type="dxa"/>
              <w:right w:w="20" w:type="dxa"/>
            </w:tcMar>
            <w:hideMark/>
          </w:tcPr>
          <w:p w14:paraId="7C217ABD" w14:textId="77777777" w:rsidR="00000000" w:rsidRDefault="0068293C">
            <w:pPr>
              <w:spacing w:after="100"/>
              <w:rPr>
                <w:rFonts w:eastAsia="Times New Roman"/>
              </w:rPr>
            </w:pPr>
            <w:r>
              <w:rPr>
                <w:rFonts w:eastAsia="Times New Roman"/>
                <w:color w:val="000000"/>
                <w:sz w:val="20"/>
                <w:szCs w:val="20"/>
              </w:rPr>
              <w:t>All other products and services</w:t>
            </w:r>
          </w:p>
        </w:tc>
        <w:tc>
          <w:tcPr>
            <w:tcW w:w="0" w:type="auto"/>
            <w:gridSpan w:val="2"/>
            <w:shd w:val="clear" w:color="auto" w:fill="FFFFFF"/>
            <w:tcMar>
              <w:top w:w="30" w:type="dxa"/>
              <w:left w:w="20" w:type="dxa"/>
              <w:bottom w:w="30" w:type="dxa"/>
              <w:right w:w="0" w:type="dxa"/>
            </w:tcMar>
            <w:vAlign w:val="bottom"/>
            <w:hideMark/>
          </w:tcPr>
          <w:p w14:paraId="2B6E985A" w14:textId="77777777" w:rsidR="00000000" w:rsidRDefault="0068293C">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D7798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F13A8"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81CA0E" w14:textId="77777777" w:rsidR="00000000" w:rsidRDefault="0068293C">
            <w:pPr>
              <w:spacing w:after="100"/>
              <w:jc w:val="right"/>
              <w:rPr>
                <w:rFonts w:eastAsia="Times New Roman"/>
              </w:rPr>
            </w:pPr>
            <w:r>
              <w:rPr>
                <w:rFonts w:eastAsia="Times New Roman"/>
                <w:color w:val="000000"/>
                <w:sz w:val="20"/>
                <w:szCs w:val="20"/>
              </w:rPr>
              <w:t>670 </w:t>
            </w:r>
          </w:p>
        </w:tc>
        <w:tc>
          <w:tcPr>
            <w:tcW w:w="0" w:type="auto"/>
            <w:shd w:val="clear" w:color="auto" w:fill="FFFFFF"/>
            <w:tcMar>
              <w:top w:w="30" w:type="dxa"/>
              <w:left w:w="0" w:type="dxa"/>
              <w:bottom w:w="30" w:type="dxa"/>
              <w:right w:w="20" w:type="dxa"/>
            </w:tcMar>
            <w:vAlign w:val="bottom"/>
            <w:hideMark/>
          </w:tcPr>
          <w:p w14:paraId="09315382" w14:textId="77777777" w:rsidR="00000000" w:rsidRDefault="0068293C">
            <w:pPr>
              <w:spacing w:after="100"/>
              <w:jc w:val="right"/>
              <w:rPr>
                <w:rFonts w:eastAsia="Times New Roman"/>
              </w:rPr>
            </w:pPr>
          </w:p>
        </w:tc>
      </w:tr>
      <w:tr w:rsidR="00000000" w14:paraId="52C1B0AA" w14:textId="77777777">
        <w:trPr>
          <w:divId w:val="1418672367"/>
          <w:jc w:val="center"/>
        </w:trPr>
        <w:tc>
          <w:tcPr>
            <w:tcW w:w="0" w:type="auto"/>
            <w:gridSpan w:val="3"/>
            <w:shd w:val="clear" w:color="auto" w:fill="CCEEFF"/>
            <w:tcMar>
              <w:top w:w="30" w:type="dxa"/>
              <w:left w:w="20" w:type="dxa"/>
              <w:bottom w:w="30" w:type="dxa"/>
              <w:right w:w="20" w:type="dxa"/>
            </w:tcMar>
            <w:hideMark/>
          </w:tcPr>
          <w:p w14:paraId="4994243F" w14:textId="77777777" w:rsidR="00000000" w:rsidRDefault="0068293C">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3F61A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91F233"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0560A7" w14:textId="77777777" w:rsidR="00000000" w:rsidRDefault="0068293C">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44599D24"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EE49F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97708E"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C5AE6E" w14:textId="77777777" w:rsidR="00000000" w:rsidRDefault="0068293C">
            <w:pPr>
              <w:spacing w:after="100"/>
              <w:jc w:val="right"/>
              <w:rPr>
                <w:rFonts w:eastAsia="Times New Roman"/>
              </w:rPr>
            </w:pPr>
          </w:p>
        </w:tc>
      </w:tr>
    </w:tbl>
    <w:p w14:paraId="6BA34997" w14:textId="77777777" w:rsidR="00000000" w:rsidRDefault="0068293C">
      <w:pPr>
        <w:jc w:val="center"/>
        <w:rPr>
          <w:rFonts w:eastAsia="Times New Roman"/>
        </w:rPr>
      </w:pPr>
    </w:p>
    <w:p w14:paraId="724B0BE8" w14:textId="77777777" w:rsidR="00000000" w:rsidRDefault="0068293C">
      <w:pPr>
        <w:ind w:hanging="270"/>
        <w:jc w:val="both"/>
        <w:rPr>
          <w:rFonts w:eastAsia="Times New Roman"/>
        </w:rPr>
      </w:pPr>
      <w:r>
        <w:rPr>
          <w:rFonts w:eastAsia="Times New Roman"/>
          <w:color w:val="000000"/>
          <w:sz w:val="12"/>
          <w:szCs w:val="12"/>
        </w:rPr>
        <w:t>(1)</w:t>
      </w:r>
      <w:r>
        <w:rPr>
          <w:rFonts w:eastAsia="Times New Roman"/>
          <w:color w:val="000000"/>
          <w:sz w:val="12"/>
          <w:szCs w:val="12"/>
        </w:rPr>
        <w:t xml:space="preserve"> </w:t>
      </w:r>
      <w:r>
        <w:rPr>
          <w:rFonts w:eastAsia="Times New Roman"/>
          <w:color w:val="000000"/>
          <w:sz w:val="18"/>
          <w:szCs w:val="18"/>
        </w:rPr>
        <w:t>Recurring revenue includes all revenue streams from contracts where there is a predictable revenue pattern that will occur at regular intervals with a relatively high degree of certainty. This includes hardware and software maintenance revenue, cloud reven</w:t>
      </w:r>
      <w:r>
        <w:rPr>
          <w:rFonts w:eastAsia="Times New Roman"/>
          <w:color w:val="000000"/>
          <w:sz w:val="18"/>
          <w:szCs w:val="18"/>
        </w:rPr>
        <w:t>ue, payment processing revenue, interchange and network revenue, and certain professional services arrangements, as well as term-based software license arrangements that include customer termination rights.</w:t>
      </w:r>
    </w:p>
    <w:p w14:paraId="4414AC68" w14:textId="77777777" w:rsidR="00000000" w:rsidRDefault="0068293C">
      <w:pPr>
        <w:ind w:hanging="270"/>
        <w:jc w:val="both"/>
        <w:rPr>
          <w:rFonts w:eastAsia="Times New Roman"/>
        </w:rPr>
      </w:pPr>
    </w:p>
    <w:p w14:paraId="6826E5A0" w14:textId="77777777" w:rsidR="00000000" w:rsidRDefault="0068293C">
      <w:pPr>
        <w:jc w:val="center"/>
        <w:divId w:val="1284773816"/>
        <w:rPr>
          <w:rFonts w:eastAsia="Times New Roman"/>
        </w:rPr>
      </w:pPr>
      <w:r>
        <w:rPr>
          <w:rFonts w:eastAsia="Times New Roman"/>
          <w:color w:val="000000"/>
          <w:sz w:val="20"/>
          <w:szCs w:val="20"/>
        </w:rPr>
        <w:t>16</w:t>
      </w:r>
    </w:p>
    <w:p w14:paraId="37440EC8" w14:textId="77777777" w:rsidR="00000000" w:rsidRDefault="0068293C">
      <w:pPr>
        <w:rPr>
          <w:rFonts w:eastAsia="Times New Roman"/>
        </w:rPr>
      </w:pPr>
      <w:r>
        <w:rPr>
          <w:rFonts w:eastAsia="Times New Roman"/>
        </w:rPr>
        <w:pict w14:anchorId="765C88CB">
          <v:rect id="_x0000_i1041" style="width:0;height:1.5pt" o:hralign="center" o:hrstd="t" o:hr="t" fillcolor="#a0a0a0" stroked="f"/>
        </w:pict>
      </w:r>
    </w:p>
    <w:p w14:paraId="48F7D876" w14:textId="77777777" w:rsidR="00000000" w:rsidRDefault="0068293C">
      <w:pPr>
        <w:ind w:firstLine="720"/>
        <w:divId w:val="954100864"/>
        <w:rPr>
          <w:rFonts w:eastAsia="Times New Roman"/>
        </w:rPr>
      </w:pPr>
      <w:hyperlink w:anchor="i78484f3d0d8e4e36a7c87ddd6ea9d725_7" w:history="1">
        <w:r>
          <w:rPr>
            <w:rStyle w:val="a3"/>
            <w:rFonts w:eastAsia="Times New Roman"/>
            <w:sz w:val="16"/>
            <w:szCs w:val="16"/>
          </w:rPr>
          <w:t>Table of Content</w:t>
        </w:r>
      </w:hyperlink>
    </w:p>
    <w:p w14:paraId="6737FD7B" w14:textId="77777777" w:rsidR="00000000" w:rsidRDefault="0068293C">
      <w:pPr>
        <w:jc w:val="center"/>
        <w:divId w:val="140509453"/>
        <w:rPr>
          <w:rFonts w:eastAsia="Times New Roman"/>
        </w:rPr>
      </w:pPr>
      <w:r>
        <w:rPr>
          <w:rFonts w:eastAsia="Times New Roman"/>
          <w:b/>
          <w:bCs/>
          <w:color w:val="000000"/>
          <w:sz w:val="20"/>
          <w:szCs w:val="20"/>
        </w:rPr>
        <w:t>NCR Corporation</w:t>
      </w:r>
    </w:p>
    <w:p w14:paraId="6A0456FC" w14:textId="77777777" w:rsidR="00000000" w:rsidRDefault="0068293C">
      <w:pPr>
        <w:jc w:val="center"/>
        <w:divId w:val="140509453"/>
        <w:rPr>
          <w:rFonts w:eastAsia="Times New Roman"/>
        </w:rPr>
      </w:pPr>
      <w:r>
        <w:rPr>
          <w:rFonts w:eastAsia="Times New Roman"/>
          <w:b/>
          <w:bCs/>
          <w:color w:val="000000"/>
          <w:sz w:val="20"/>
          <w:szCs w:val="20"/>
        </w:rPr>
        <w:t>Notes to Condensed Consolidated Financial Statements (Unaudited)—(Continued)</w:t>
      </w:r>
    </w:p>
    <w:p w14:paraId="4389F2B0" w14:textId="77777777" w:rsidR="00000000" w:rsidRDefault="0068293C">
      <w:pPr>
        <w:divId w:val="1549025806"/>
        <w:rPr>
          <w:rFonts w:eastAsia="Times New Roman"/>
        </w:rPr>
      </w:pPr>
      <w:r>
        <w:rPr>
          <w:rFonts w:eastAsia="Times New Roman"/>
          <w:b/>
          <w:bCs/>
          <w:color w:val="54B948"/>
          <w:sz w:val="20"/>
          <w:szCs w:val="20"/>
        </w:rPr>
        <w:t>5. DEBT OBLIGATIONS</w:t>
      </w:r>
    </w:p>
    <w:p w14:paraId="1E302E6B" w14:textId="77777777" w:rsidR="00000000" w:rsidRDefault="0068293C">
      <w:pPr>
        <w:divId w:val="984360505"/>
        <w:rPr>
          <w:rFonts w:eastAsia="Times New Roman"/>
        </w:rPr>
      </w:pPr>
    </w:p>
    <w:p w14:paraId="3971889A" w14:textId="77777777" w:rsidR="00000000" w:rsidRDefault="0068293C">
      <w:pPr>
        <w:divId w:val="1854146396"/>
        <w:rPr>
          <w:rFonts w:eastAsia="Times New Roman"/>
        </w:rPr>
      </w:pPr>
      <w:r>
        <w:rPr>
          <w:rFonts w:eastAsia="Times New Roman"/>
          <w:color w:val="000000"/>
          <w:sz w:val="20"/>
          <w:szCs w:val="20"/>
        </w:rPr>
        <w:t>The following table summarizes the Company's short-term borrowings and long-term debt:</w:t>
      </w:r>
    </w:p>
    <w:tbl>
      <w:tblPr>
        <w:tblW w:w="4926" w:type="pct"/>
        <w:jc w:val="center"/>
        <w:tblCellMar>
          <w:top w:w="15" w:type="dxa"/>
          <w:left w:w="15" w:type="dxa"/>
          <w:bottom w:w="15" w:type="dxa"/>
          <w:right w:w="15" w:type="dxa"/>
        </w:tblCellMar>
        <w:tblLook w:val="04A0" w:firstRow="1" w:lastRow="0" w:firstColumn="1" w:lastColumn="0" w:noHBand="0" w:noVBand="1"/>
      </w:tblPr>
      <w:tblGrid>
        <w:gridCol w:w="38"/>
        <w:gridCol w:w="139"/>
        <w:gridCol w:w="38"/>
        <w:gridCol w:w="44"/>
        <w:gridCol w:w="3189"/>
        <w:gridCol w:w="37"/>
        <w:gridCol w:w="120"/>
        <w:gridCol w:w="991"/>
        <w:gridCol w:w="36"/>
        <w:gridCol w:w="36"/>
        <w:gridCol w:w="36"/>
        <w:gridCol w:w="36"/>
        <w:gridCol w:w="56"/>
        <w:gridCol w:w="974"/>
        <w:gridCol w:w="36"/>
        <w:gridCol w:w="36"/>
        <w:gridCol w:w="36"/>
        <w:gridCol w:w="36"/>
        <w:gridCol w:w="120"/>
        <w:gridCol w:w="962"/>
        <w:gridCol w:w="36"/>
        <w:gridCol w:w="36"/>
        <w:gridCol w:w="36"/>
        <w:gridCol w:w="36"/>
        <w:gridCol w:w="56"/>
        <w:gridCol w:w="951"/>
        <w:gridCol w:w="36"/>
      </w:tblGrid>
      <w:tr w:rsidR="00000000" w14:paraId="6E685CCF" w14:textId="77777777">
        <w:trPr>
          <w:divId w:val="17657591"/>
          <w:jc w:val="center"/>
        </w:trPr>
        <w:tc>
          <w:tcPr>
            <w:tcW w:w="5" w:type="pct"/>
            <w:vAlign w:val="center"/>
            <w:hideMark/>
          </w:tcPr>
          <w:p w14:paraId="53924B98" w14:textId="77777777" w:rsidR="00000000" w:rsidRDefault="0068293C">
            <w:pPr>
              <w:rPr>
                <w:rFonts w:eastAsia="Times New Roman"/>
              </w:rPr>
            </w:pPr>
          </w:p>
        </w:tc>
        <w:tc>
          <w:tcPr>
            <w:tcW w:w="108" w:type="pct"/>
            <w:vAlign w:val="center"/>
            <w:hideMark/>
          </w:tcPr>
          <w:p w14:paraId="2E6AE348" w14:textId="77777777" w:rsidR="00000000" w:rsidRDefault="0068293C">
            <w:pPr>
              <w:spacing w:after="100"/>
              <w:rPr>
                <w:rFonts w:eastAsia="Times New Roman"/>
                <w:sz w:val="20"/>
                <w:szCs w:val="20"/>
              </w:rPr>
            </w:pPr>
          </w:p>
        </w:tc>
        <w:tc>
          <w:tcPr>
            <w:tcW w:w="5" w:type="pct"/>
            <w:vAlign w:val="center"/>
            <w:hideMark/>
          </w:tcPr>
          <w:p w14:paraId="559E0B8F" w14:textId="77777777" w:rsidR="00000000" w:rsidRDefault="0068293C">
            <w:pPr>
              <w:spacing w:after="100"/>
              <w:rPr>
                <w:rFonts w:eastAsia="Times New Roman"/>
                <w:sz w:val="20"/>
                <w:szCs w:val="20"/>
              </w:rPr>
            </w:pPr>
          </w:p>
        </w:tc>
        <w:tc>
          <w:tcPr>
            <w:tcW w:w="50" w:type="pct"/>
            <w:vAlign w:val="center"/>
            <w:hideMark/>
          </w:tcPr>
          <w:p w14:paraId="2B2E54F4" w14:textId="77777777" w:rsidR="00000000" w:rsidRDefault="0068293C">
            <w:pPr>
              <w:spacing w:after="100"/>
              <w:rPr>
                <w:rFonts w:eastAsia="Times New Roman"/>
                <w:sz w:val="20"/>
                <w:szCs w:val="20"/>
              </w:rPr>
            </w:pPr>
          </w:p>
        </w:tc>
        <w:tc>
          <w:tcPr>
            <w:tcW w:w="1970" w:type="pct"/>
            <w:vAlign w:val="center"/>
            <w:hideMark/>
          </w:tcPr>
          <w:p w14:paraId="2B7DCC9D" w14:textId="77777777" w:rsidR="00000000" w:rsidRDefault="0068293C">
            <w:pPr>
              <w:spacing w:after="100"/>
              <w:rPr>
                <w:rFonts w:eastAsia="Times New Roman"/>
                <w:sz w:val="20"/>
                <w:szCs w:val="20"/>
              </w:rPr>
            </w:pPr>
          </w:p>
        </w:tc>
        <w:tc>
          <w:tcPr>
            <w:tcW w:w="5" w:type="pct"/>
            <w:vAlign w:val="center"/>
            <w:hideMark/>
          </w:tcPr>
          <w:p w14:paraId="141F70D0" w14:textId="77777777" w:rsidR="00000000" w:rsidRDefault="0068293C">
            <w:pPr>
              <w:spacing w:after="100"/>
              <w:rPr>
                <w:rFonts w:eastAsia="Times New Roman"/>
                <w:sz w:val="20"/>
                <w:szCs w:val="20"/>
              </w:rPr>
            </w:pPr>
          </w:p>
        </w:tc>
        <w:tc>
          <w:tcPr>
            <w:tcW w:w="50" w:type="pct"/>
            <w:vAlign w:val="center"/>
            <w:hideMark/>
          </w:tcPr>
          <w:p w14:paraId="1537A3DF" w14:textId="77777777" w:rsidR="00000000" w:rsidRDefault="0068293C">
            <w:pPr>
              <w:spacing w:after="100"/>
              <w:rPr>
                <w:rFonts w:eastAsia="Times New Roman"/>
                <w:sz w:val="20"/>
                <w:szCs w:val="20"/>
              </w:rPr>
            </w:pPr>
          </w:p>
        </w:tc>
        <w:tc>
          <w:tcPr>
            <w:tcW w:w="627" w:type="pct"/>
            <w:vAlign w:val="center"/>
            <w:hideMark/>
          </w:tcPr>
          <w:p w14:paraId="1296605B" w14:textId="77777777" w:rsidR="00000000" w:rsidRDefault="0068293C">
            <w:pPr>
              <w:spacing w:after="100"/>
              <w:rPr>
                <w:rFonts w:eastAsia="Times New Roman"/>
                <w:sz w:val="20"/>
                <w:szCs w:val="20"/>
              </w:rPr>
            </w:pPr>
          </w:p>
        </w:tc>
        <w:tc>
          <w:tcPr>
            <w:tcW w:w="5" w:type="pct"/>
            <w:vAlign w:val="center"/>
            <w:hideMark/>
          </w:tcPr>
          <w:p w14:paraId="2DFB3B55" w14:textId="77777777" w:rsidR="00000000" w:rsidRDefault="0068293C">
            <w:pPr>
              <w:spacing w:after="100"/>
              <w:rPr>
                <w:rFonts w:eastAsia="Times New Roman"/>
                <w:sz w:val="20"/>
                <w:szCs w:val="20"/>
              </w:rPr>
            </w:pPr>
          </w:p>
        </w:tc>
        <w:tc>
          <w:tcPr>
            <w:tcW w:w="5" w:type="pct"/>
            <w:vAlign w:val="center"/>
            <w:hideMark/>
          </w:tcPr>
          <w:p w14:paraId="1A1FEF2B" w14:textId="77777777" w:rsidR="00000000" w:rsidRDefault="0068293C">
            <w:pPr>
              <w:spacing w:after="100"/>
              <w:rPr>
                <w:rFonts w:eastAsia="Times New Roman"/>
                <w:sz w:val="20"/>
                <w:szCs w:val="20"/>
              </w:rPr>
            </w:pPr>
          </w:p>
        </w:tc>
        <w:tc>
          <w:tcPr>
            <w:tcW w:w="41" w:type="pct"/>
            <w:vAlign w:val="center"/>
            <w:hideMark/>
          </w:tcPr>
          <w:p w14:paraId="5626FC71" w14:textId="77777777" w:rsidR="00000000" w:rsidRDefault="0068293C">
            <w:pPr>
              <w:spacing w:after="100"/>
              <w:rPr>
                <w:rFonts w:eastAsia="Times New Roman"/>
                <w:sz w:val="20"/>
                <w:szCs w:val="20"/>
              </w:rPr>
            </w:pPr>
          </w:p>
        </w:tc>
        <w:tc>
          <w:tcPr>
            <w:tcW w:w="5" w:type="pct"/>
            <w:vAlign w:val="center"/>
            <w:hideMark/>
          </w:tcPr>
          <w:p w14:paraId="30AF6141" w14:textId="77777777" w:rsidR="00000000" w:rsidRDefault="0068293C">
            <w:pPr>
              <w:spacing w:after="100"/>
              <w:rPr>
                <w:rFonts w:eastAsia="Times New Roman"/>
                <w:sz w:val="20"/>
                <w:szCs w:val="20"/>
              </w:rPr>
            </w:pPr>
          </w:p>
        </w:tc>
        <w:tc>
          <w:tcPr>
            <w:tcW w:w="50" w:type="pct"/>
            <w:vAlign w:val="center"/>
            <w:hideMark/>
          </w:tcPr>
          <w:p w14:paraId="5332CB29" w14:textId="77777777" w:rsidR="00000000" w:rsidRDefault="0068293C">
            <w:pPr>
              <w:spacing w:after="100"/>
              <w:rPr>
                <w:rFonts w:eastAsia="Times New Roman"/>
                <w:sz w:val="20"/>
                <w:szCs w:val="20"/>
              </w:rPr>
            </w:pPr>
          </w:p>
        </w:tc>
        <w:tc>
          <w:tcPr>
            <w:tcW w:w="627" w:type="pct"/>
            <w:vAlign w:val="center"/>
            <w:hideMark/>
          </w:tcPr>
          <w:p w14:paraId="5EA8C7D9" w14:textId="77777777" w:rsidR="00000000" w:rsidRDefault="0068293C">
            <w:pPr>
              <w:spacing w:after="100"/>
              <w:rPr>
                <w:rFonts w:eastAsia="Times New Roman"/>
                <w:sz w:val="20"/>
                <w:szCs w:val="20"/>
              </w:rPr>
            </w:pPr>
          </w:p>
        </w:tc>
        <w:tc>
          <w:tcPr>
            <w:tcW w:w="5" w:type="pct"/>
            <w:vAlign w:val="center"/>
            <w:hideMark/>
          </w:tcPr>
          <w:p w14:paraId="0C07B583" w14:textId="77777777" w:rsidR="00000000" w:rsidRDefault="0068293C">
            <w:pPr>
              <w:spacing w:after="100"/>
              <w:rPr>
                <w:rFonts w:eastAsia="Times New Roman"/>
                <w:sz w:val="20"/>
                <w:szCs w:val="20"/>
              </w:rPr>
            </w:pPr>
          </w:p>
        </w:tc>
        <w:tc>
          <w:tcPr>
            <w:tcW w:w="5" w:type="pct"/>
            <w:vAlign w:val="center"/>
            <w:hideMark/>
          </w:tcPr>
          <w:p w14:paraId="1ECB28BA" w14:textId="77777777" w:rsidR="00000000" w:rsidRDefault="0068293C">
            <w:pPr>
              <w:spacing w:after="100"/>
              <w:rPr>
                <w:rFonts w:eastAsia="Times New Roman"/>
                <w:sz w:val="20"/>
                <w:szCs w:val="20"/>
              </w:rPr>
            </w:pPr>
          </w:p>
        </w:tc>
        <w:tc>
          <w:tcPr>
            <w:tcW w:w="27" w:type="pct"/>
            <w:vAlign w:val="center"/>
            <w:hideMark/>
          </w:tcPr>
          <w:p w14:paraId="72E61BA5" w14:textId="77777777" w:rsidR="00000000" w:rsidRDefault="0068293C">
            <w:pPr>
              <w:spacing w:after="100"/>
              <w:rPr>
                <w:rFonts w:eastAsia="Times New Roman"/>
                <w:sz w:val="20"/>
                <w:szCs w:val="20"/>
              </w:rPr>
            </w:pPr>
          </w:p>
        </w:tc>
        <w:tc>
          <w:tcPr>
            <w:tcW w:w="5" w:type="pct"/>
            <w:vAlign w:val="center"/>
            <w:hideMark/>
          </w:tcPr>
          <w:p w14:paraId="00BF6C00" w14:textId="77777777" w:rsidR="00000000" w:rsidRDefault="0068293C">
            <w:pPr>
              <w:spacing w:after="100"/>
              <w:rPr>
                <w:rFonts w:eastAsia="Times New Roman"/>
                <w:sz w:val="20"/>
                <w:szCs w:val="20"/>
              </w:rPr>
            </w:pPr>
          </w:p>
        </w:tc>
        <w:tc>
          <w:tcPr>
            <w:tcW w:w="50" w:type="pct"/>
            <w:vAlign w:val="center"/>
            <w:hideMark/>
          </w:tcPr>
          <w:p w14:paraId="4A9EF492" w14:textId="77777777" w:rsidR="00000000" w:rsidRDefault="0068293C">
            <w:pPr>
              <w:spacing w:after="100"/>
              <w:rPr>
                <w:rFonts w:eastAsia="Times New Roman"/>
                <w:sz w:val="20"/>
                <w:szCs w:val="20"/>
              </w:rPr>
            </w:pPr>
          </w:p>
        </w:tc>
        <w:tc>
          <w:tcPr>
            <w:tcW w:w="627" w:type="pct"/>
            <w:vAlign w:val="center"/>
            <w:hideMark/>
          </w:tcPr>
          <w:p w14:paraId="4F196433" w14:textId="77777777" w:rsidR="00000000" w:rsidRDefault="0068293C">
            <w:pPr>
              <w:spacing w:after="100"/>
              <w:rPr>
                <w:rFonts w:eastAsia="Times New Roman"/>
                <w:sz w:val="20"/>
                <w:szCs w:val="20"/>
              </w:rPr>
            </w:pPr>
          </w:p>
        </w:tc>
        <w:tc>
          <w:tcPr>
            <w:tcW w:w="5" w:type="pct"/>
            <w:vAlign w:val="center"/>
            <w:hideMark/>
          </w:tcPr>
          <w:p w14:paraId="1C25D1B2" w14:textId="77777777" w:rsidR="00000000" w:rsidRDefault="0068293C">
            <w:pPr>
              <w:spacing w:after="100"/>
              <w:rPr>
                <w:rFonts w:eastAsia="Times New Roman"/>
                <w:sz w:val="20"/>
                <w:szCs w:val="20"/>
              </w:rPr>
            </w:pPr>
          </w:p>
        </w:tc>
        <w:tc>
          <w:tcPr>
            <w:tcW w:w="5" w:type="pct"/>
            <w:vAlign w:val="center"/>
            <w:hideMark/>
          </w:tcPr>
          <w:p w14:paraId="71EA52FB" w14:textId="77777777" w:rsidR="00000000" w:rsidRDefault="0068293C">
            <w:pPr>
              <w:spacing w:after="100"/>
              <w:rPr>
                <w:rFonts w:eastAsia="Times New Roman"/>
                <w:sz w:val="20"/>
                <w:szCs w:val="20"/>
              </w:rPr>
            </w:pPr>
          </w:p>
        </w:tc>
        <w:tc>
          <w:tcPr>
            <w:tcW w:w="27" w:type="pct"/>
            <w:vAlign w:val="center"/>
            <w:hideMark/>
          </w:tcPr>
          <w:p w14:paraId="457E65AA" w14:textId="77777777" w:rsidR="00000000" w:rsidRDefault="0068293C">
            <w:pPr>
              <w:spacing w:after="100"/>
              <w:rPr>
                <w:rFonts w:eastAsia="Times New Roman"/>
                <w:sz w:val="20"/>
                <w:szCs w:val="20"/>
              </w:rPr>
            </w:pPr>
          </w:p>
        </w:tc>
        <w:tc>
          <w:tcPr>
            <w:tcW w:w="5" w:type="pct"/>
            <w:vAlign w:val="center"/>
            <w:hideMark/>
          </w:tcPr>
          <w:p w14:paraId="1D0EF59D" w14:textId="77777777" w:rsidR="00000000" w:rsidRDefault="0068293C">
            <w:pPr>
              <w:spacing w:after="100"/>
              <w:rPr>
                <w:rFonts w:eastAsia="Times New Roman"/>
                <w:sz w:val="20"/>
                <w:szCs w:val="20"/>
              </w:rPr>
            </w:pPr>
          </w:p>
        </w:tc>
        <w:tc>
          <w:tcPr>
            <w:tcW w:w="50" w:type="pct"/>
            <w:vAlign w:val="center"/>
            <w:hideMark/>
          </w:tcPr>
          <w:p w14:paraId="61F14D1E" w14:textId="77777777" w:rsidR="00000000" w:rsidRDefault="0068293C">
            <w:pPr>
              <w:spacing w:after="100"/>
              <w:rPr>
                <w:rFonts w:eastAsia="Times New Roman"/>
                <w:sz w:val="20"/>
                <w:szCs w:val="20"/>
              </w:rPr>
            </w:pPr>
          </w:p>
        </w:tc>
        <w:tc>
          <w:tcPr>
            <w:tcW w:w="627" w:type="pct"/>
            <w:vAlign w:val="center"/>
            <w:hideMark/>
          </w:tcPr>
          <w:p w14:paraId="012863E0" w14:textId="77777777" w:rsidR="00000000" w:rsidRDefault="0068293C">
            <w:pPr>
              <w:spacing w:after="100"/>
              <w:rPr>
                <w:rFonts w:eastAsia="Times New Roman"/>
                <w:sz w:val="20"/>
                <w:szCs w:val="20"/>
              </w:rPr>
            </w:pPr>
          </w:p>
        </w:tc>
        <w:tc>
          <w:tcPr>
            <w:tcW w:w="5" w:type="pct"/>
            <w:vAlign w:val="center"/>
            <w:hideMark/>
          </w:tcPr>
          <w:p w14:paraId="058C320A" w14:textId="77777777" w:rsidR="00000000" w:rsidRDefault="0068293C">
            <w:pPr>
              <w:spacing w:after="100"/>
              <w:rPr>
                <w:rFonts w:eastAsia="Times New Roman"/>
                <w:sz w:val="20"/>
                <w:szCs w:val="20"/>
              </w:rPr>
            </w:pPr>
          </w:p>
        </w:tc>
      </w:tr>
      <w:tr w:rsidR="00000000" w14:paraId="4DD89B0B" w14:textId="77777777">
        <w:trPr>
          <w:divId w:val="17657591"/>
          <w:jc w:val="center"/>
        </w:trPr>
        <w:tc>
          <w:tcPr>
            <w:tcW w:w="0" w:type="auto"/>
            <w:gridSpan w:val="6"/>
            <w:tcMar>
              <w:top w:w="0" w:type="dxa"/>
              <w:left w:w="20" w:type="dxa"/>
              <w:bottom w:w="0" w:type="dxa"/>
              <w:right w:w="20" w:type="dxa"/>
            </w:tcMar>
            <w:vAlign w:val="center"/>
            <w:hideMark/>
          </w:tcPr>
          <w:p w14:paraId="34BD58DC"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F06BA79" w14:textId="77777777" w:rsidR="00000000" w:rsidRDefault="0068293C">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202CA9E5" w14:textId="77777777" w:rsidR="00000000" w:rsidRDefault="0068293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C7E8C48"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13FF73AF" w14:textId="77777777">
        <w:trPr>
          <w:divId w:val="17657591"/>
          <w:jc w:val="center"/>
        </w:trPr>
        <w:tc>
          <w:tcPr>
            <w:tcW w:w="0" w:type="auto"/>
            <w:gridSpan w:val="6"/>
            <w:tcMar>
              <w:top w:w="30" w:type="dxa"/>
              <w:left w:w="20" w:type="dxa"/>
              <w:bottom w:w="30" w:type="dxa"/>
              <w:right w:w="20" w:type="dxa"/>
            </w:tcMar>
            <w:vAlign w:val="bottom"/>
            <w:hideMark/>
          </w:tcPr>
          <w:p w14:paraId="09C0DCA0" w14:textId="77777777" w:rsidR="00000000" w:rsidRDefault="0068293C">
            <w:pPr>
              <w:spacing w:after="100"/>
              <w:rPr>
                <w:rFonts w:eastAsia="Times New Roman"/>
              </w:rPr>
            </w:pPr>
            <w:r>
              <w:rPr>
                <w:rFonts w:eastAsia="Times New Roman"/>
                <w:b/>
                <w:bCs/>
                <w:color w:val="000000"/>
                <w:sz w:val="16"/>
                <w:szCs w:val="16"/>
              </w:rPr>
              <w:t>In millions, except percentages</w:t>
            </w:r>
          </w:p>
        </w:tc>
        <w:tc>
          <w:tcPr>
            <w:tcW w:w="0" w:type="auto"/>
            <w:gridSpan w:val="3"/>
            <w:tcBorders>
              <w:top w:val="single" w:sz="8" w:space="0" w:color="000000"/>
            </w:tcBorders>
            <w:tcMar>
              <w:top w:w="30" w:type="dxa"/>
              <w:left w:w="20" w:type="dxa"/>
              <w:bottom w:w="30" w:type="dxa"/>
              <w:right w:w="20" w:type="dxa"/>
            </w:tcMar>
            <w:vAlign w:val="bottom"/>
            <w:hideMark/>
          </w:tcPr>
          <w:p w14:paraId="46DCA19E" w14:textId="77777777" w:rsidR="00000000" w:rsidRDefault="0068293C">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19310CC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C41B18" w14:textId="77777777" w:rsidR="00000000" w:rsidRDefault="0068293C">
            <w:pPr>
              <w:spacing w:after="100"/>
              <w:jc w:val="center"/>
              <w:rPr>
                <w:rFonts w:eastAsia="Times New Roman"/>
              </w:rPr>
            </w:pPr>
            <w:r>
              <w:rPr>
                <w:rFonts w:eastAsia="Times New Roman"/>
                <w:b/>
                <w:bCs/>
                <w:color w:val="000000"/>
                <w:sz w:val="16"/>
                <w:szCs w:val="16"/>
              </w:rPr>
              <w:t>Weighted-Average Interest Rate</w:t>
            </w:r>
          </w:p>
        </w:tc>
        <w:tc>
          <w:tcPr>
            <w:tcW w:w="0" w:type="auto"/>
            <w:gridSpan w:val="3"/>
            <w:tcMar>
              <w:top w:w="0" w:type="dxa"/>
              <w:left w:w="20" w:type="dxa"/>
              <w:bottom w:w="0" w:type="dxa"/>
              <w:right w:w="20" w:type="dxa"/>
            </w:tcMar>
            <w:vAlign w:val="center"/>
            <w:hideMark/>
          </w:tcPr>
          <w:p w14:paraId="4350114E"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B4AFE7" w14:textId="77777777" w:rsidR="00000000" w:rsidRDefault="0068293C">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3BCD3791"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D978E3" w14:textId="77777777" w:rsidR="00000000" w:rsidRDefault="0068293C">
            <w:pPr>
              <w:spacing w:after="100"/>
              <w:jc w:val="center"/>
              <w:rPr>
                <w:rFonts w:eastAsia="Times New Roman"/>
              </w:rPr>
            </w:pPr>
            <w:r>
              <w:rPr>
                <w:rFonts w:eastAsia="Times New Roman"/>
                <w:b/>
                <w:bCs/>
                <w:color w:val="000000"/>
                <w:sz w:val="16"/>
                <w:szCs w:val="16"/>
              </w:rPr>
              <w:t>Weighted-Average Interest Rate</w:t>
            </w:r>
          </w:p>
        </w:tc>
      </w:tr>
      <w:tr w:rsidR="00000000" w14:paraId="66E953FE" w14:textId="77777777">
        <w:trPr>
          <w:divId w:val="17657591"/>
          <w:jc w:val="center"/>
        </w:trPr>
        <w:tc>
          <w:tcPr>
            <w:tcW w:w="0" w:type="auto"/>
            <w:gridSpan w:val="6"/>
            <w:shd w:val="clear" w:color="auto" w:fill="CCEEFF"/>
            <w:tcMar>
              <w:top w:w="30" w:type="dxa"/>
              <w:left w:w="20" w:type="dxa"/>
              <w:bottom w:w="30" w:type="dxa"/>
              <w:right w:w="20" w:type="dxa"/>
            </w:tcMar>
            <w:vAlign w:val="bottom"/>
            <w:hideMark/>
          </w:tcPr>
          <w:p w14:paraId="4A05C489" w14:textId="77777777" w:rsidR="00000000" w:rsidRDefault="0068293C">
            <w:pPr>
              <w:spacing w:after="100"/>
              <w:rPr>
                <w:rFonts w:eastAsia="Times New Roman"/>
              </w:rPr>
            </w:pPr>
            <w:r>
              <w:rPr>
                <w:rFonts w:eastAsia="Times New Roman"/>
                <w:b/>
                <w:bCs/>
                <w:i/>
                <w:iCs/>
                <w:color w:val="000000"/>
                <w:sz w:val="20"/>
                <w:szCs w:val="20"/>
              </w:rPr>
              <w:t>Short-Term Borrowings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518BF1"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28408"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3FD477"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C69D7D"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94B07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424F7F"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F090A1" w14:textId="77777777" w:rsidR="00000000" w:rsidRDefault="0068293C">
            <w:pPr>
              <w:spacing w:after="100"/>
              <w:rPr>
                <w:rFonts w:eastAsia="Times New Roman"/>
                <w:sz w:val="20"/>
                <w:szCs w:val="20"/>
              </w:rPr>
            </w:pPr>
          </w:p>
        </w:tc>
      </w:tr>
      <w:tr w:rsidR="00000000" w14:paraId="7C7AA07E" w14:textId="77777777">
        <w:trPr>
          <w:divId w:val="17657591"/>
          <w:jc w:val="center"/>
        </w:trPr>
        <w:tc>
          <w:tcPr>
            <w:tcW w:w="0" w:type="auto"/>
            <w:gridSpan w:val="6"/>
            <w:shd w:val="clear" w:color="auto" w:fill="FFFFFF"/>
            <w:tcMar>
              <w:top w:w="30" w:type="dxa"/>
              <w:left w:w="20" w:type="dxa"/>
              <w:bottom w:w="30" w:type="dxa"/>
              <w:right w:w="20" w:type="dxa"/>
            </w:tcMar>
            <w:vAlign w:val="bottom"/>
            <w:hideMark/>
          </w:tcPr>
          <w:p w14:paraId="20481982" w14:textId="77777777" w:rsidR="00000000" w:rsidRDefault="0068293C">
            <w:pPr>
              <w:spacing w:after="100"/>
              <w:divId w:val="1749840825"/>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090748BA"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77DB965" w14:textId="77777777" w:rsidR="00000000" w:rsidRDefault="0068293C">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3E4FE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B2BB3"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8185E5F" w14:textId="77777777" w:rsidR="00000000" w:rsidRDefault="0068293C">
            <w:pPr>
              <w:spacing w:after="100"/>
              <w:jc w:val="center"/>
              <w:rPr>
                <w:rFonts w:eastAsia="Times New Roman"/>
              </w:rPr>
            </w:pPr>
            <w:r>
              <w:rPr>
                <w:rFonts w:eastAsia="Times New Roman"/>
                <w:b/>
                <w:bCs/>
                <w:color w:val="000000"/>
                <w:sz w:val="20"/>
                <w:szCs w:val="20"/>
              </w:rPr>
              <w:t>2.31%</w:t>
            </w:r>
          </w:p>
        </w:tc>
        <w:tc>
          <w:tcPr>
            <w:tcW w:w="0" w:type="auto"/>
            <w:gridSpan w:val="3"/>
            <w:shd w:val="clear" w:color="auto" w:fill="FFFFFF"/>
            <w:tcMar>
              <w:top w:w="0" w:type="dxa"/>
              <w:left w:w="20" w:type="dxa"/>
              <w:bottom w:w="0" w:type="dxa"/>
              <w:right w:w="20" w:type="dxa"/>
            </w:tcMar>
            <w:vAlign w:val="center"/>
            <w:hideMark/>
          </w:tcPr>
          <w:p w14:paraId="39E95561" w14:textId="77777777" w:rsidR="00000000" w:rsidRDefault="0068293C">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77D2F2C"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878905" w14:textId="77777777" w:rsidR="00000000" w:rsidRDefault="0068293C">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72A05D1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FC76C"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7323727" w14:textId="77777777" w:rsidR="00000000" w:rsidRDefault="0068293C">
            <w:pPr>
              <w:spacing w:after="100"/>
              <w:jc w:val="center"/>
              <w:rPr>
                <w:rFonts w:eastAsia="Times New Roman"/>
              </w:rPr>
            </w:pPr>
            <w:r>
              <w:rPr>
                <w:rFonts w:eastAsia="Times New Roman"/>
                <w:color w:val="000000"/>
                <w:sz w:val="20"/>
                <w:szCs w:val="20"/>
              </w:rPr>
              <w:t>2.63%</w:t>
            </w:r>
          </w:p>
        </w:tc>
      </w:tr>
      <w:tr w:rsidR="00000000" w14:paraId="13F2DB22" w14:textId="77777777">
        <w:trPr>
          <w:divId w:val="17657591"/>
          <w:jc w:val="center"/>
        </w:trPr>
        <w:tc>
          <w:tcPr>
            <w:tcW w:w="0" w:type="auto"/>
            <w:gridSpan w:val="6"/>
            <w:shd w:val="clear" w:color="auto" w:fill="CCEEFF"/>
            <w:tcMar>
              <w:top w:w="30" w:type="dxa"/>
              <w:left w:w="20" w:type="dxa"/>
              <w:bottom w:w="30" w:type="dxa"/>
              <w:right w:w="20" w:type="dxa"/>
            </w:tcMar>
            <w:vAlign w:val="bottom"/>
            <w:hideMark/>
          </w:tcPr>
          <w:p w14:paraId="076BED00" w14:textId="77777777" w:rsidR="00000000" w:rsidRDefault="0068293C">
            <w:pPr>
              <w:spacing w:after="100"/>
              <w:divId w:val="932713022"/>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26FC9C7" w14:textId="77777777" w:rsidR="00000000" w:rsidRDefault="0068293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9CBAA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1469A"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3EE42B0" w14:textId="77777777" w:rsidR="00000000" w:rsidRDefault="0068293C">
            <w:pPr>
              <w:spacing w:after="100"/>
              <w:jc w:val="center"/>
              <w:rPr>
                <w:rFonts w:eastAsia="Times New Roman"/>
              </w:rPr>
            </w:pPr>
            <w:r>
              <w:rPr>
                <w:rFonts w:eastAsia="Times New Roman"/>
                <w:b/>
                <w:bCs/>
                <w:color w:val="000000"/>
                <w:sz w:val="20"/>
                <w:szCs w:val="20"/>
              </w:rPr>
              <w:t>2.13%</w:t>
            </w:r>
          </w:p>
        </w:tc>
        <w:tc>
          <w:tcPr>
            <w:tcW w:w="0" w:type="auto"/>
            <w:gridSpan w:val="3"/>
            <w:shd w:val="clear" w:color="auto" w:fill="CCEEFF"/>
            <w:tcMar>
              <w:top w:w="0" w:type="dxa"/>
              <w:left w:w="20" w:type="dxa"/>
              <w:bottom w:w="0" w:type="dxa"/>
              <w:right w:w="20" w:type="dxa"/>
            </w:tcMar>
            <w:vAlign w:val="center"/>
            <w:hideMark/>
          </w:tcPr>
          <w:p w14:paraId="36810B04" w14:textId="77777777" w:rsidR="00000000" w:rsidRDefault="0068293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907152"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3581A9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1482E"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3AFC6F" w14:textId="77777777" w:rsidR="00000000" w:rsidRDefault="0068293C">
            <w:pPr>
              <w:spacing w:after="100"/>
              <w:jc w:val="center"/>
              <w:rPr>
                <w:rFonts w:eastAsia="Times New Roman"/>
              </w:rPr>
            </w:pPr>
            <w:r>
              <w:rPr>
                <w:rFonts w:eastAsia="Times New Roman"/>
                <w:color w:val="000000"/>
                <w:sz w:val="20"/>
                <w:szCs w:val="20"/>
              </w:rPr>
              <w:t>2.13%</w:t>
            </w:r>
          </w:p>
        </w:tc>
      </w:tr>
      <w:tr w:rsidR="00000000" w14:paraId="12A567F3" w14:textId="77777777">
        <w:trPr>
          <w:divId w:val="17657591"/>
          <w:jc w:val="center"/>
        </w:trPr>
        <w:tc>
          <w:tcPr>
            <w:tcW w:w="0" w:type="auto"/>
            <w:gridSpan w:val="3"/>
            <w:shd w:val="clear" w:color="auto" w:fill="FFFFFF"/>
            <w:tcMar>
              <w:top w:w="0" w:type="dxa"/>
              <w:left w:w="20" w:type="dxa"/>
              <w:bottom w:w="0" w:type="dxa"/>
              <w:right w:w="20" w:type="dxa"/>
            </w:tcMar>
            <w:vAlign w:val="center"/>
            <w:hideMark/>
          </w:tcPr>
          <w:p w14:paraId="66CD72A7" w14:textId="77777777" w:rsidR="00000000" w:rsidRDefault="006829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B45F8F" w14:textId="77777777" w:rsidR="00000000" w:rsidRDefault="0068293C">
            <w:pPr>
              <w:spacing w:after="100"/>
              <w:rPr>
                <w:rFonts w:eastAsia="Times New Roman"/>
              </w:rPr>
            </w:pPr>
            <w:r>
              <w:rPr>
                <w:rFonts w:eastAsia="Times New Roman"/>
                <w:color w:val="000000"/>
                <w:sz w:val="20"/>
                <w:szCs w:val="20"/>
              </w:rPr>
              <w:t>Total short-term borrowings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C2EA9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AD424C" w14:textId="77777777" w:rsidR="00000000" w:rsidRDefault="0068293C">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D528F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24169"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E4284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E9B1B6"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537A5F"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8A4D88" w14:textId="77777777" w:rsidR="00000000" w:rsidRDefault="0068293C">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CD04A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8D8AE"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DD6CD7" w14:textId="77777777" w:rsidR="00000000" w:rsidRDefault="0068293C">
            <w:pPr>
              <w:spacing w:after="100"/>
              <w:rPr>
                <w:rFonts w:eastAsia="Times New Roman"/>
                <w:sz w:val="20"/>
                <w:szCs w:val="20"/>
              </w:rPr>
            </w:pPr>
          </w:p>
        </w:tc>
      </w:tr>
      <w:tr w:rsidR="00000000" w14:paraId="3AF41CAE" w14:textId="77777777">
        <w:trPr>
          <w:divId w:val="17657591"/>
          <w:jc w:val="center"/>
        </w:trPr>
        <w:tc>
          <w:tcPr>
            <w:tcW w:w="0" w:type="auto"/>
            <w:gridSpan w:val="6"/>
            <w:shd w:val="clear" w:color="auto" w:fill="CCEEFF"/>
            <w:tcMar>
              <w:top w:w="30" w:type="dxa"/>
              <w:left w:w="20" w:type="dxa"/>
              <w:bottom w:w="30" w:type="dxa"/>
              <w:right w:w="20" w:type="dxa"/>
            </w:tcMar>
            <w:vAlign w:val="bottom"/>
            <w:hideMark/>
          </w:tcPr>
          <w:p w14:paraId="6E9181B5" w14:textId="77777777" w:rsidR="00000000" w:rsidRDefault="0068293C">
            <w:pPr>
              <w:spacing w:after="100"/>
              <w:rPr>
                <w:rFonts w:eastAsia="Times New Roman"/>
              </w:rPr>
            </w:pPr>
            <w:r>
              <w:rPr>
                <w:rFonts w:eastAsia="Times New Roman"/>
                <w:b/>
                <w:bCs/>
                <w:i/>
                <w:iCs/>
                <w:color w:val="000000"/>
                <w:sz w:val="20"/>
                <w:szCs w:val="20"/>
              </w:rPr>
              <w:t>Long-Term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29F1F1"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387AF"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E93C4F"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BB8695"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26BA79"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CA49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D2758B" w14:textId="77777777" w:rsidR="00000000" w:rsidRDefault="0068293C">
            <w:pPr>
              <w:spacing w:after="100"/>
              <w:rPr>
                <w:rFonts w:eastAsia="Times New Roman"/>
                <w:sz w:val="20"/>
                <w:szCs w:val="20"/>
              </w:rPr>
            </w:pPr>
          </w:p>
        </w:tc>
      </w:tr>
      <w:tr w:rsidR="00000000" w14:paraId="41DC9F71" w14:textId="77777777">
        <w:trPr>
          <w:divId w:val="17657591"/>
          <w:jc w:val="center"/>
        </w:trPr>
        <w:tc>
          <w:tcPr>
            <w:tcW w:w="0" w:type="auto"/>
            <w:gridSpan w:val="6"/>
            <w:shd w:val="clear" w:color="auto" w:fill="FFFFFF"/>
            <w:tcMar>
              <w:top w:w="30" w:type="dxa"/>
              <w:left w:w="20" w:type="dxa"/>
              <w:bottom w:w="30" w:type="dxa"/>
              <w:right w:w="20" w:type="dxa"/>
            </w:tcMar>
            <w:vAlign w:val="bottom"/>
            <w:hideMark/>
          </w:tcPr>
          <w:p w14:paraId="41FD081E" w14:textId="77777777" w:rsidR="00000000" w:rsidRDefault="0068293C">
            <w:pPr>
              <w:spacing w:after="100"/>
              <w:rPr>
                <w:rFonts w:eastAsia="Times New Roman"/>
              </w:rPr>
            </w:pPr>
            <w:r>
              <w:rPr>
                <w:rFonts w:eastAsia="Times New Roman"/>
                <w:color w:val="000000"/>
                <w:sz w:val="20"/>
                <w:szCs w:val="20"/>
              </w:rPr>
              <w:t>Senior Secured Credit Facility:</w:t>
            </w:r>
          </w:p>
        </w:tc>
        <w:tc>
          <w:tcPr>
            <w:tcW w:w="0" w:type="auto"/>
            <w:gridSpan w:val="3"/>
            <w:shd w:val="clear" w:color="auto" w:fill="FFFFFF"/>
            <w:tcMar>
              <w:top w:w="0" w:type="dxa"/>
              <w:left w:w="20" w:type="dxa"/>
              <w:bottom w:w="0" w:type="dxa"/>
              <w:right w:w="20" w:type="dxa"/>
            </w:tcMar>
            <w:vAlign w:val="center"/>
            <w:hideMark/>
          </w:tcPr>
          <w:p w14:paraId="232D36A0"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555C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091308"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2BDBE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A0A12F"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54679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795DA" w14:textId="77777777" w:rsidR="00000000" w:rsidRDefault="0068293C">
            <w:pPr>
              <w:spacing w:after="100"/>
              <w:rPr>
                <w:rFonts w:eastAsia="Times New Roman"/>
                <w:sz w:val="20"/>
                <w:szCs w:val="20"/>
              </w:rPr>
            </w:pPr>
          </w:p>
        </w:tc>
      </w:tr>
      <w:tr w:rsidR="00000000" w14:paraId="7CAAA9CF" w14:textId="77777777">
        <w:trPr>
          <w:divId w:val="17657591"/>
          <w:jc w:val="center"/>
        </w:trPr>
        <w:tc>
          <w:tcPr>
            <w:tcW w:w="0" w:type="auto"/>
            <w:gridSpan w:val="3"/>
            <w:shd w:val="clear" w:color="auto" w:fill="CCEEFF"/>
            <w:tcMar>
              <w:top w:w="0" w:type="dxa"/>
              <w:left w:w="20" w:type="dxa"/>
              <w:bottom w:w="0" w:type="dxa"/>
              <w:right w:w="20" w:type="dxa"/>
            </w:tcMar>
            <w:vAlign w:val="center"/>
            <w:hideMark/>
          </w:tcPr>
          <w:p w14:paraId="47DD8452" w14:textId="77777777" w:rsidR="00000000" w:rsidRDefault="0068293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82A2891" w14:textId="77777777" w:rsidR="00000000" w:rsidRDefault="0068293C">
            <w:pPr>
              <w:spacing w:after="100"/>
              <w:divId w:val="1942562188"/>
              <w:rPr>
                <w:rFonts w:eastAsia="Times New Roman"/>
              </w:rPr>
            </w:pPr>
            <w:r>
              <w:rPr>
                <w:rFonts w:eastAsia="Times New Roman"/>
                <w:color w:val="000000"/>
                <w:sz w:val="20"/>
                <w:szCs w:val="20"/>
              </w:rPr>
              <w:t>Term loan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2462EFEF"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29B7294" w14:textId="77777777" w:rsidR="00000000" w:rsidRDefault="0068293C">
            <w:pPr>
              <w:spacing w:after="100"/>
              <w:jc w:val="right"/>
              <w:rPr>
                <w:rFonts w:eastAsia="Times New Roman"/>
              </w:rPr>
            </w:pPr>
            <w:r>
              <w:rPr>
                <w:rFonts w:eastAsia="Times New Roman"/>
                <w:b/>
                <w:bCs/>
                <w:color w:val="000000"/>
                <w:sz w:val="20"/>
                <w:szCs w:val="20"/>
              </w:rPr>
              <w:t>1,857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87479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1818A"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6338EB" w14:textId="77777777" w:rsidR="00000000" w:rsidRDefault="0068293C">
            <w:pPr>
              <w:spacing w:after="100"/>
              <w:jc w:val="center"/>
              <w:rPr>
                <w:rFonts w:eastAsia="Times New Roman"/>
              </w:rPr>
            </w:pPr>
            <w:r>
              <w:rPr>
                <w:rFonts w:eastAsia="Times New Roman"/>
                <w:b/>
                <w:bCs/>
                <w:color w:val="000000"/>
                <w:sz w:val="20"/>
                <w:szCs w:val="20"/>
              </w:rPr>
              <w:t>2.47%</w:t>
            </w:r>
          </w:p>
        </w:tc>
        <w:tc>
          <w:tcPr>
            <w:tcW w:w="0" w:type="auto"/>
            <w:gridSpan w:val="3"/>
            <w:shd w:val="clear" w:color="auto" w:fill="CCEEFF"/>
            <w:tcMar>
              <w:top w:w="0" w:type="dxa"/>
              <w:left w:w="20" w:type="dxa"/>
              <w:bottom w:w="0" w:type="dxa"/>
              <w:right w:w="20" w:type="dxa"/>
            </w:tcMar>
            <w:vAlign w:val="center"/>
            <w:hideMark/>
          </w:tcPr>
          <w:p w14:paraId="798B422C" w14:textId="77777777" w:rsidR="00000000" w:rsidRDefault="0068293C">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6E767D2A"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ACAD44" w14:textId="77777777" w:rsidR="00000000" w:rsidRDefault="0068293C">
            <w:pPr>
              <w:spacing w:after="100"/>
              <w:jc w:val="right"/>
              <w:rPr>
                <w:rFonts w:eastAsia="Times New Roman"/>
              </w:rPr>
            </w:pPr>
            <w:r>
              <w:rPr>
                <w:rFonts w:eastAsia="Times New Roman"/>
                <w:color w:val="000000"/>
                <w:sz w:val="20"/>
                <w:szCs w:val="20"/>
              </w:rPr>
              <w:t>1,884 </w:t>
            </w:r>
          </w:p>
        </w:tc>
        <w:tc>
          <w:tcPr>
            <w:tcW w:w="0" w:type="auto"/>
            <w:shd w:val="clear" w:color="auto" w:fill="CCEEFF"/>
            <w:tcMar>
              <w:top w:w="30" w:type="dxa"/>
              <w:left w:w="0" w:type="dxa"/>
              <w:bottom w:w="30" w:type="dxa"/>
              <w:right w:w="20" w:type="dxa"/>
            </w:tcMar>
            <w:vAlign w:val="bottom"/>
            <w:hideMark/>
          </w:tcPr>
          <w:p w14:paraId="457FF10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E85E3"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7734854" w14:textId="77777777" w:rsidR="00000000" w:rsidRDefault="0068293C">
            <w:pPr>
              <w:spacing w:after="100"/>
              <w:jc w:val="center"/>
              <w:rPr>
                <w:rFonts w:eastAsia="Times New Roman"/>
              </w:rPr>
            </w:pPr>
            <w:r>
              <w:rPr>
                <w:rFonts w:eastAsia="Times New Roman"/>
                <w:color w:val="000000"/>
                <w:sz w:val="20"/>
                <w:szCs w:val="20"/>
              </w:rPr>
              <w:t>2.63%</w:t>
            </w:r>
          </w:p>
        </w:tc>
      </w:tr>
      <w:tr w:rsidR="00000000" w14:paraId="39BE2B63" w14:textId="77777777">
        <w:trPr>
          <w:divId w:val="17657591"/>
          <w:jc w:val="center"/>
        </w:trPr>
        <w:tc>
          <w:tcPr>
            <w:tcW w:w="0" w:type="auto"/>
            <w:gridSpan w:val="3"/>
            <w:shd w:val="clear" w:color="auto" w:fill="FFFFFF"/>
            <w:tcMar>
              <w:top w:w="0" w:type="dxa"/>
              <w:left w:w="20" w:type="dxa"/>
              <w:bottom w:w="0" w:type="dxa"/>
              <w:right w:w="20" w:type="dxa"/>
            </w:tcMar>
            <w:vAlign w:val="center"/>
            <w:hideMark/>
          </w:tcPr>
          <w:p w14:paraId="3A416E99" w14:textId="77777777" w:rsidR="00000000" w:rsidRDefault="006829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3CBBEB" w14:textId="77777777" w:rsidR="00000000" w:rsidRDefault="0068293C">
            <w:pPr>
              <w:spacing w:after="100"/>
              <w:divId w:val="2085639141"/>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64022C7E" w14:textId="77777777" w:rsidR="00000000" w:rsidRDefault="0068293C">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71BD0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CCA66"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89D6846" w14:textId="77777777" w:rsidR="00000000" w:rsidRDefault="0068293C">
            <w:pPr>
              <w:spacing w:after="100"/>
              <w:jc w:val="center"/>
              <w:rPr>
                <w:rFonts w:eastAsia="Times New Roman"/>
              </w:rPr>
            </w:pPr>
            <w:r>
              <w:rPr>
                <w:rFonts w:eastAsia="Times New Roman"/>
                <w:b/>
                <w:bCs/>
                <w:color w:val="000000"/>
                <w:sz w:val="20"/>
                <w:szCs w:val="20"/>
              </w:rPr>
              <w:t>2.54%</w:t>
            </w:r>
          </w:p>
        </w:tc>
        <w:tc>
          <w:tcPr>
            <w:tcW w:w="0" w:type="auto"/>
            <w:gridSpan w:val="3"/>
            <w:shd w:val="clear" w:color="auto" w:fill="FFFFFF"/>
            <w:tcMar>
              <w:top w:w="0" w:type="dxa"/>
              <w:left w:w="20" w:type="dxa"/>
              <w:bottom w:w="0" w:type="dxa"/>
              <w:right w:w="20" w:type="dxa"/>
            </w:tcMar>
            <w:vAlign w:val="center"/>
            <w:hideMark/>
          </w:tcPr>
          <w:p w14:paraId="19B60845" w14:textId="77777777" w:rsidR="00000000" w:rsidRDefault="0068293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67F370" w14:textId="77777777" w:rsidR="00000000" w:rsidRDefault="0068293C">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14:paraId="69F30E9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491DA"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4DC127D" w14:textId="77777777" w:rsidR="00000000" w:rsidRDefault="0068293C">
            <w:pPr>
              <w:spacing w:after="100"/>
              <w:jc w:val="center"/>
              <w:rPr>
                <w:rFonts w:eastAsia="Times New Roman"/>
              </w:rPr>
            </w:pPr>
            <w:r>
              <w:rPr>
                <w:rFonts w:eastAsia="Times New Roman"/>
                <w:color w:val="000000"/>
                <w:sz w:val="20"/>
                <w:szCs w:val="20"/>
              </w:rPr>
              <w:t>2.36%</w:t>
            </w:r>
          </w:p>
        </w:tc>
      </w:tr>
      <w:tr w:rsidR="00000000" w14:paraId="48854CBF" w14:textId="77777777">
        <w:trPr>
          <w:divId w:val="17657591"/>
          <w:jc w:val="center"/>
        </w:trPr>
        <w:tc>
          <w:tcPr>
            <w:tcW w:w="0" w:type="auto"/>
            <w:gridSpan w:val="6"/>
            <w:shd w:val="clear" w:color="auto" w:fill="CCEEFF"/>
            <w:tcMar>
              <w:top w:w="30" w:type="dxa"/>
              <w:left w:w="20" w:type="dxa"/>
              <w:bottom w:w="30" w:type="dxa"/>
              <w:right w:w="20" w:type="dxa"/>
            </w:tcMar>
            <w:vAlign w:val="bottom"/>
            <w:hideMark/>
          </w:tcPr>
          <w:p w14:paraId="4F93570C" w14:textId="77777777" w:rsidR="00000000" w:rsidRDefault="0068293C">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14:paraId="627F3848"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F0297"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32BEF"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291178"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8FF16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2DB9BE"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3B6B03" w14:textId="77777777" w:rsidR="00000000" w:rsidRDefault="0068293C">
            <w:pPr>
              <w:spacing w:after="100"/>
              <w:rPr>
                <w:rFonts w:eastAsia="Times New Roman"/>
                <w:sz w:val="20"/>
                <w:szCs w:val="20"/>
              </w:rPr>
            </w:pPr>
          </w:p>
        </w:tc>
      </w:tr>
      <w:tr w:rsidR="00000000" w14:paraId="70FB4EB1" w14:textId="77777777">
        <w:trPr>
          <w:divId w:val="17657591"/>
          <w:jc w:val="center"/>
        </w:trPr>
        <w:tc>
          <w:tcPr>
            <w:tcW w:w="0" w:type="auto"/>
            <w:gridSpan w:val="3"/>
            <w:vAlign w:val="center"/>
            <w:hideMark/>
          </w:tcPr>
          <w:p w14:paraId="3CDE2290" w14:textId="77777777" w:rsidR="00000000" w:rsidRDefault="0068293C">
            <w:pPr>
              <w:spacing w:after="100"/>
              <w:rPr>
                <w:rFonts w:eastAsia="Times New Roman"/>
                <w:sz w:val="20"/>
                <w:szCs w:val="20"/>
              </w:rPr>
            </w:pPr>
          </w:p>
        </w:tc>
        <w:tc>
          <w:tcPr>
            <w:tcW w:w="0" w:type="auto"/>
            <w:gridSpan w:val="3"/>
            <w:vAlign w:val="center"/>
            <w:hideMark/>
          </w:tcPr>
          <w:p w14:paraId="30E0CCB9" w14:textId="77777777" w:rsidR="00000000" w:rsidRDefault="0068293C">
            <w:pPr>
              <w:spacing w:after="100"/>
              <w:rPr>
                <w:rFonts w:eastAsia="Times New Roman"/>
                <w:sz w:val="20"/>
                <w:szCs w:val="20"/>
              </w:rPr>
            </w:pPr>
          </w:p>
        </w:tc>
        <w:tc>
          <w:tcPr>
            <w:tcW w:w="0" w:type="auto"/>
            <w:gridSpan w:val="3"/>
            <w:vAlign w:val="center"/>
            <w:hideMark/>
          </w:tcPr>
          <w:p w14:paraId="3B1AA9F4" w14:textId="77777777" w:rsidR="00000000" w:rsidRDefault="0068293C">
            <w:pPr>
              <w:spacing w:after="100"/>
              <w:rPr>
                <w:rFonts w:eastAsia="Times New Roman"/>
                <w:sz w:val="20"/>
                <w:szCs w:val="20"/>
              </w:rPr>
            </w:pPr>
          </w:p>
        </w:tc>
        <w:tc>
          <w:tcPr>
            <w:tcW w:w="0" w:type="auto"/>
            <w:gridSpan w:val="3"/>
            <w:vAlign w:val="center"/>
            <w:hideMark/>
          </w:tcPr>
          <w:p w14:paraId="08F6B9D4" w14:textId="77777777" w:rsidR="00000000" w:rsidRDefault="0068293C">
            <w:pPr>
              <w:spacing w:after="100"/>
              <w:rPr>
                <w:rFonts w:eastAsia="Times New Roman"/>
                <w:sz w:val="20"/>
                <w:szCs w:val="20"/>
              </w:rPr>
            </w:pPr>
          </w:p>
        </w:tc>
        <w:tc>
          <w:tcPr>
            <w:tcW w:w="0" w:type="auto"/>
            <w:gridSpan w:val="3"/>
            <w:vAlign w:val="center"/>
            <w:hideMark/>
          </w:tcPr>
          <w:p w14:paraId="7C43B8BA" w14:textId="77777777" w:rsidR="00000000" w:rsidRDefault="0068293C">
            <w:pPr>
              <w:spacing w:after="100"/>
              <w:rPr>
                <w:rFonts w:eastAsia="Times New Roman"/>
                <w:sz w:val="20"/>
                <w:szCs w:val="20"/>
              </w:rPr>
            </w:pPr>
          </w:p>
        </w:tc>
        <w:tc>
          <w:tcPr>
            <w:tcW w:w="0" w:type="auto"/>
            <w:gridSpan w:val="3"/>
            <w:vAlign w:val="center"/>
            <w:hideMark/>
          </w:tcPr>
          <w:p w14:paraId="4D12B90C" w14:textId="77777777" w:rsidR="00000000" w:rsidRDefault="0068293C">
            <w:pPr>
              <w:spacing w:after="100"/>
              <w:rPr>
                <w:rFonts w:eastAsia="Times New Roman"/>
                <w:sz w:val="20"/>
                <w:szCs w:val="20"/>
              </w:rPr>
            </w:pPr>
          </w:p>
        </w:tc>
        <w:tc>
          <w:tcPr>
            <w:tcW w:w="0" w:type="auto"/>
            <w:gridSpan w:val="3"/>
            <w:vAlign w:val="center"/>
            <w:hideMark/>
          </w:tcPr>
          <w:p w14:paraId="6251D667" w14:textId="77777777" w:rsidR="00000000" w:rsidRDefault="0068293C">
            <w:pPr>
              <w:spacing w:after="100"/>
              <w:rPr>
                <w:rFonts w:eastAsia="Times New Roman"/>
                <w:sz w:val="20"/>
                <w:szCs w:val="20"/>
              </w:rPr>
            </w:pPr>
          </w:p>
        </w:tc>
        <w:tc>
          <w:tcPr>
            <w:tcW w:w="0" w:type="auto"/>
            <w:gridSpan w:val="3"/>
            <w:vAlign w:val="center"/>
            <w:hideMark/>
          </w:tcPr>
          <w:p w14:paraId="789B0D79" w14:textId="77777777" w:rsidR="00000000" w:rsidRDefault="0068293C">
            <w:pPr>
              <w:spacing w:after="100"/>
              <w:rPr>
                <w:rFonts w:eastAsia="Times New Roman"/>
                <w:sz w:val="20"/>
                <w:szCs w:val="20"/>
              </w:rPr>
            </w:pPr>
          </w:p>
        </w:tc>
        <w:tc>
          <w:tcPr>
            <w:tcW w:w="0" w:type="auto"/>
            <w:gridSpan w:val="3"/>
            <w:vAlign w:val="center"/>
            <w:hideMark/>
          </w:tcPr>
          <w:p w14:paraId="6F60D5E9" w14:textId="77777777" w:rsidR="00000000" w:rsidRDefault="0068293C">
            <w:pPr>
              <w:spacing w:after="100"/>
              <w:rPr>
                <w:rFonts w:eastAsia="Times New Roman"/>
                <w:sz w:val="20"/>
                <w:szCs w:val="20"/>
              </w:rPr>
            </w:pPr>
          </w:p>
        </w:tc>
      </w:tr>
      <w:tr w:rsidR="00000000" w14:paraId="0B0FAA5A" w14:textId="77777777">
        <w:trPr>
          <w:divId w:val="17657591"/>
          <w:jc w:val="center"/>
        </w:trPr>
        <w:tc>
          <w:tcPr>
            <w:tcW w:w="0" w:type="auto"/>
            <w:gridSpan w:val="3"/>
            <w:shd w:val="clear" w:color="auto" w:fill="FFFFFF"/>
            <w:tcMar>
              <w:top w:w="0" w:type="dxa"/>
              <w:left w:w="20" w:type="dxa"/>
              <w:bottom w:w="0" w:type="dxa"/>
              <w:right w:w="20" w:type="dxa"/>
            </w:tcMar>
            <w:vAlign w:val="center"/>
            <w:hideMark/>
          </w:tcPr>
          <w:p w14:paraId="7406D0A9" w14:textId="77777777" w:rsidR="00000000" w:rsidRDefault="0068293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47FE70B" w14:textId="77777777" w:rsidR="00000000" w:rsidRDefault="0068293C">
            <w:pPr>
              <w:spacing w:after="100"/>
              <w:divId w:val="379747118"/>
              <w:rPr>
                <w:rFonts w:eastAsia="Times New Roman"/>
              </w:rPr>
            </w:pPr>
            <w:r>
              <w:rPr>
                <w:rFonts w:eastAsia="Times New Roman"/>
                <w:color w:val="000000"/>
                <w:sz w:val="20"/>
                <w:szCs w:val="20"/>
              </w:rPr>
              <w:t>5.750% Senior Notes due 2027</w:t>
            </w:r>
          </w:p>
        </w:tc>
        <w:tc>
          <w:tcPr>
            <w:tcW w:w="0" w:type="auto"/>
            <w:gridSpan w:val="2"/>
            <w:shd w:val="clear" w:color="auto" w:fill="FFFFFF"/>
            <w:tcMar>
              <w:top w:w="30" w:type="dxa"/>
              <w:left w:w="20" w:type="dxa"/>
              <w:bottom w:w="30" w:type="dxa"/>
              <w:right w:w="0" w:type="dxa"/>
            </w:tcMar>
            <w:vAlign w:val="bottom"/>
            <w:hideMark/>
          </w:tcPr>
          <w:p w14:paraId="79CF7060" w14:textId="77777777" w:rsidR="00000000" w:rsidRDefault="0068293C">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171BD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408CE"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22B0C9"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E4E2B7" w14:textId="77777777" w:rsidR="00000000" w:rsidRDefault="0068293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DA5C33" w14:textId="77777777" w:rsidR="00000000" w:rsidRDefault="0068293C">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350FE29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3F745"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E1F20D" w14:textId="77777777" w:rsidR="00000000" w:rsidRDefault="0068293C">
            <w:pPr>
              <w:spacing w:after="100"/>
              <w:rPr>
                <w:rFonts w:eastAsia="Times New Roman"/>
                <w:sz w:val="20"/>
                <w:szCs w:val="20"/>
              </w:rPr>
            </w:pPr>
          </w:p>
        </w:tc>
      </w:tr>
      <w:tr w:rsidR="00000000" w14:paraId="29AEBC92" w14:textId="77777777">
        <w:trPr>
          <w:divId w:val="17657591"/>
          <w:jc w:val="center"/>
        </w:trPr>
        <w:tc>
          <w:tcPr>
            <w:tcW w:w="0" w:type="auto"/>
            <w:gridSpan w:val="3"/>
            <w:shd w:val="clear" w:color="auto" w:fill="CCEEFF"/>
            <w:tcMar>
              <w:top w:w="0" w:type="dxa"/>
              <w:left w:w="20" w:type="dxa"/>
              <w:bottom w:w="0" w:type="dxa"/>
              <w:right w:w="20" w:type="dxa"/>
            </w:tcMar>
            <w:vAlign w:val="center"/>
            <w:hideMark/>
          </w:tcPr>
          <w:p w14:paraId="7306F910" w14:textId="77777777" w:rsidR="00000000" w:rsidRDefault="0068293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D8DC7C1" w14:textId="77777777" w:rsidR="00000000" w:rsidRDefault="0068293C">
            <w:pPr>
              <w:spacing w:after="100"/>
              <w:divId w:val="1248922974"/>
              <w:rPr>
                <w:rFonts w:eastAsia="Times New Roman"/>
              </w:rPr>
            </w:pPr>
            <w:r>
              <w:rPr>
                <w:rFonts w:eastAsia="Times New Roman"/>
                <w:color w:val="000000"/>
                <w:sz w:val="20"/>
                <w:szCs w:val="20"/>
              </w:rPr>
              <w:t>5.000</w:t>
            </w:r>
            <w:r>
              <w:rPr>
                <w:rFonts w:eastAsia="Times New Roman"/>
                <w:color w:val="000000"/>
                <w:sz w:val="20"/>
                <w:szCs w:val="20"/>
              </w:rPr>
              <w:t>% Senior Notes due 2028</w:t>
            </w:r>
          </w:p>
        </w:tc>
        <w:tc>
          <w:tcPr>
            <w:tcW w:w="0" w:type="auto"/>
            <w:gridSpan w:val="2"/>
            <w:shd w:val="clear" w:color="auto" w:fill="CCEEFF"/>
            <w:tcMar>
              <w:top w:w="30" w:type="dxa"/>
              <w:left w:w="20" w:type="dxa"/>
              <w:bottom w:w="30" w:type="dxa"/>
              <w:right w:w="0" w:type="dxa"/>
            </w:tcMar>
            <w:vAlign w:val="bottom"/>
            <w:hideMark/>
          </w:tcPr>
          <w:p w14:paraId="73353B82" w14:textId="77777777" w:rsidR="00000000" w:rsidRDefault="0068293C">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38E8E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CD24C"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2C6D4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9E596" w14:textId="77777777" w:rsidR="00000000" w:rsidRDefault="0068293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997154" w14:textId="77777777" w:rsidR="00000000" w:rsidRDefault="0068293C">
            <w:pPr>
              <w:spacing w:after="100"/>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14:paraId="2D9D621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88CCF"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E981F" w14:textId="77777777" w:rsidR="00000000" w:rsidRDefault="0068293C">
            <w:pPr>
              <w:spacing w:after="100"/>
              <w:rPr>
                <w:rFonts w:eastAsia="Times New Roman"/>
                <w:sz w:val="20"/>
                <w:szCs w:val="20"/>
              </w:rPr>
            </w:pPr>
          </w:p>
        </w:tc>
      </w:tr>
      <w:tr w:rsidR="00000000" w14:paraId="20CD9A4D" w14:textId="77777777">
        <w:trPr>
          <w:divId w:val="17657591"/>
          <w:jc w:val="center"/>
        </w:trPr>
        <w:tc>
          <w:tcPr>
            <w:tcW w:w="0" w:type="auto"/>
            <w:gridSpan w:val="3"/>
            <w:shd w:val="clear" w:color="auto" w:fill="FFFFFF"/>
            <w:tcMar>
              <w:top w:w="0" w:type="dxa"/>
              <w:left w:w="20" w:type="dxa"/>
              <w:bottom w:w="0" w:type="dxa"/>
              <w:right w:w="20" w:type="dxa"/>
            </w:tcMar>
            <w:vAlign w:val="center"/>
            <w:hideMark/>
          </w:tcPr>
          <w:p w14:paraId="2F8508AD" w14:textId="77777777" w:rsidR="00000000" w:rsidRDefault="0068293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DAAB44F" w14:textId="77777777" w:rsidR="00000000" w:rsidRDefault="0068293C">
            <w:pPr>
              <w:spacing w:after="100"/>
              <w:jc w:val="both"/>
              <w:rPr>
                <w:rFonts w:eastAsia="Times New Roman"/>
              </w:rPr>
            </w:pPr>
            <w:r>
              <w:rPr>
                <w:rFonts w:eastAsia="Times New Roman"/>
                <w:color w:val="000000"/>
                <w:sz w:val="20"/>
                <w:szCs w:val="20"/>
              </w:rPr>
              <w:t>5.125% Senior Notes due 2029</w:t>
            </w:r>
          </w:p>
        </w:tc>
        <w:tc>
          <w:tcPr>
            <w:tcW w:w="0" w:type="auto"/>
            <w:gridSpan w:val="2"/>
            <w:shd w:val="clear" w:color="auto" w:fill="FFFFFF"/>
            <w:tcMar>
              <w:top w:w="30" w:type="dxa"/>
              <w:left w:w="20" w:type="dxa"/>
              <w:bottom w:w="30" w:type="dxa"/>
              <w:right w:w="0" w:type="dxa"/>
            </w:tcMar>
            <w:vAlign w:val="bottom"/>
            <w:hideMark/>
          </w:tcPr>
          <w:p w14:paraId="38D3FDE9" w14:textId="77777777" w:rsidR="00000000" w:rsidRDefault="0068293C">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C0AAD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7A43E"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14D510"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3E8813" w14:textId="77777777" w:rsidR="00000000" w:rsidRDefault="0068293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F722C2" w14:textId="77777777" w:rsidR="00000000" w:rsidRDefault="0068293C">
            <w:pPr>
              <w:spacing w:after="100"/>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14:paraId="56FD4ED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7145B"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64B702" w14:textId="77777777" w:rsidR="00000000" w:rsidRDefault="0068293C">
            <w:pPr>
              <w:spacing w:after="100"/>
              <w:rPr>
                <w:rFonts w:eastAsia="Times New Roman"/>
                <w:sz w:val="20"/>
                <w:szCs w:val="20"/>
              </w:rPr>
            </w:pPr>
          </w:p>
        </w:tc>
      </w:tr>
      <w:tr w:rsidR="00000000" w14:paraId="5C1101F6" w14:textId="77777777">
        <w:trPr>
          <w:divId w:val="17657591"/>
          <w:jc w:val="center"/>
        </w:trPr>
        <w:tc>
          <w:tcPr>
            <w:tcW w:w="0" w:type="auto"/>
            <w:gridSpan w:val="3"/>
            <w:shd w:val="clear" w:color="auto" w:fill="CCEEFF"/>
            <w:tcMar>
              <w:top w:w="0" w:type="dxa"/>
              <w:left w:w="20" w:type="dxa"/>
              <w:bottom w:w="0" w:type="dxa"/>
              <w:right w:w="20" w:type="dxa"/>
            </w:tcMar>
            <w:vAlign w:val="center"/>
            <w:hideMark/>
          </w:tcPr>
          <w:p w14:paraId="0AA535E5" w14:textId="77777777" w:rsidR="00000000" w:rsidRDefault="0068293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F115553" w14:textId="77777777" w:rsidR="00000000" w:rsidRDefault="0068293C">
            <w:pPr>
              <w:spacing w:after="100"/>
              <w:divId w:val="1758356088"/>
              <w:rPr>
                <w:rFonts w:eastAsia="Times New Roman"/>
              </w:rPr>
            </w:pPr>
            <w:r>
              <w:rPr>
                <w:rFonts w:eastAsia="Times New Roman"/>
                <w:color w:val="000000"/>
                <w:sz w:val="20"/>
                <w:szCs w:val="20"/>
              </w:rPr>
              <w:t>6.125% Senior Notes due 2029</w:t>
            </w:r>
          </w:p>
        </w:tc>
        <w:tc>
          <w:tcPr>
            <w:tcW w:w="0" w:type="auto"/>
            <w:gridSpan w:val="2"/>
            <w:shd w:val="clear" w:color="auto" w:fill="CCEEFF"/>
            <w:tcMar>
              <w:top w:w="30" w:type="dxa"/>
              <w:left w:w="20" w:type="dxa"/>
              <w:bottom w:w="30" w:type="dxa"/>
              <w:right w:w="0" w:type="dxa"/>
            </w:tcMar>
            <w:vAlign w:val="bottom"/>
            <w:hideMark/>
          </w:tcPr>
          <w:p w14:paraId="570347C3" w14:textId="77777777" w:rsidR="00000000" w:rsidRDefault="0068293C">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E4F25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28A30"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EC3A51"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85F80A" w14:textId="77777777" w:rsidR="00000000" w:rsidRDefault="0068293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95D78" w14:textId="77777777" w:rsidR="00000000" w:rsidRDefault="0068293C">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51D3832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B8912"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A654D3" w14:textId="77777777" w:rsidR="00000000" w:rsidRDefault="0068293C">
            <w:pPr>
              <w:spacing w:after="100"/>
              <w:rPr>
                <w:rFonts w:eastAsia="Times New Roman"/>
                <w:sz w:val="20"/>
                <w:szCs w:val="20"/>
              </w:rPr>
            </w:pPr>
          </w:p>
        </w:tc>
      </w:tr>
      <w:tr w:rsidR="00000000" w14:paraId="5C3C4203" w14:textId="77777777">
        <w:trPr>
          <w:divId w:val="17657591"/>
          <w:jc w:val="center"/>
        </w:trPr>
        <w:tc>
          <w:tcPr>
            <w:tcW w:w="0" w:type="auto"/>
            <w:gridSpan w:val="3"/>
            <w:shd w:val="clear" w:color="auto" w:fill="FFFFFF"/>
            <w:tcMar>
              <w:top w:w="0" w:type="dxa"/>
              <w:left w:w="20" w:type="dxa"/>
              <w:bottom w:w="0" w:type="dxa"/>
              <w:right w:w="20" w:type="dxa"/>
            </w:tcMar>
            <w:vAlign w:val="center"/>
            <w:hideMark/>
          </w:tcPr>
          <w:p w14:paraId="13851602" w14:textId="77777777" w:rsidR="00000000" w:rsidRDefault="0068293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3AA03D2" w14:textId="77777777" w:rsidR="00000000" w:rsidRDefault="0068293C">
            <w:pPr>
              <w:spacing w:after="100"/>
              <w:divId w:val="1268006023"/>
              <w:rPr>
                <w:rFonts w:eastAsia="Times New Roman"/>
              </w:rPr>
            </w:pPr>
            <w:r>
              <w:rPr>
                <w:rFonts w:eastAsia="Times New Roman"/>
                <w:color w:val="000000"/>
                <w:sz w:val="20"/>
                <w:szCs w:val="20"/>
              </w:rPr>
              <w:t>5.250% Senior Notes due 2030</w:t>
            </w:r>
          </w:p>
        </w:tc>
        <w:tc>
          <w:tcPr>
            <w:tcW w:w="0" w:type="auto"/>
            <w:gridSpan w:val="2"/>
            <w:shd w:val="clear" w:color="auto" w:fill="FFFFFF"/>
            <w:tcMar>
              <w:top w:w="30" w:type="dxa"/>
              <w:left w:w="20" w:type="dxa"/>
              <w:bottom w:w="30" w:type="dxa"/>
              <w:right w:w="0" w:type="dxa"/>
            </w:tcMar>
            <w:vAlign w:val="bottom"/>
            <w:hideMark/>
          </w:tcPr>
          <w:p w14:paraId="5C6178DD" w14:textId="77777777" w:rsidR="00000000" w:rsidRDefault="0068293C">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668D9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231B1"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4945B8"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046554" w14:textId="77777777" w:rsidR="00000000" w:rsidRDefault="0068293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03E47" w14:textId="77777777" w:rsidR="00000000" w:rsidRDefault="0068293C">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14:paraId="0051FFE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275FD"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55289" w14:textId="77777777" w:rsidR="00000000" w:rsidRDefault="0068293C">
            <w:pPr>
              <w:spacing w:after="100"/>
              <w:rPr>
                <w:rFonts w:eastAsia="Times New Roman"/>
                <w:sz w:val="20"/>
                <w:szCs w:val="20"/>
              </w:rPr>
            </w:pPr>
          </w:p>
        </w:tc>
      </w:tr>
      <w:tr w:rsidR="00000000" w14:paraId="485760C6" w14:textId="77777777">
        <w:trPr>
          <w:divId w:val="17657591"/>
          <w:jc w:val="center"/>
        </w:trPr>
        <w:tc>
          <w:tcPr>
            <w:tcW w:w="0" w:type="auto"/>
            <w:gridSpan w:val="6"/>
            <w:shd w:val="clear" w:color="auto" w:fill="CCEEFF"/>
            <w:tcMar>
              <w:top w:w="30" w:type="dxa"/>
              <w:left w:w="20" w:type="dxa"/>
              <w:bottom w:w="30" w:type="dxa"/>
              <w:right w:w="20" w:type="dxa"/>
            </w:tcMar>
            <w:vAlign w:val="bottom"/>
            <w:hideMark/>
          </w:tcPr>
          <w:p w14:paraId="0EBD4AD4" w14:textId="77777777" w:rsidR="00000000" w:rsidRDefault="0068293C">
            <w:pPr>
              <w:spacing w:after="100"/>
              <w:rPr>
                <w:rFonts w:eastAsia="Times New Roman"/>
              </w:rPr>
            </w:pPr>
            <w:r>
              <w:rPr>
                <w:rFonts w:eastAsia="Times New Roman"/>
                <w:color w:val="000000"/>
                <w:sz w:val="20"/>
                <w:szCs w:val="20"/>
              </w:rPr>
              <w:t>Deferred financing fees</w:t>
            </w:r>
          </w:p>
        </w:tc>
        <w:tc>
          <w:tcPr>
            <w:tcW w:w="0" w:type="auto"/>
            <w:gridSpan w:val="2"/>
            <w:shd w:val="clear" w:color="auto" w:fill="CCEEFF"/>
            <w:tcMar>
              <w:top w:w="30" w:type="dxa"/>
              <w:left w:w="20" w:type="dxa"/>
              <w:bottom w:w="30" w:type="dxa"/>
              <w:right w:w="0" w:type="dxa"/>
            </w:tcMar>
            <w:vAlign w:val="bottom"/>
            <w:hideMark/>
          </w:tcPr>
          <w:p w14:paraId="0EEC6369" w14:textId="77777777" w:rsidR="00000000" w:rsidRDefault="0068293C">
            <w:pPr>
              <w:spacing w:after="100"/>
              <w:jc w:val="right"/>
              <w:rPr>
                <w:rFonts w:eastAsia="Times New Roman"/>
              </w:rPr>
            </w:pPr>
            <w:r>
              <w:rPr>
                <w:rFonts w:eastAsia="Times New Roman"/>
                <w:b/>
                <w:bCs/>
                <w:color w:val="000000"/>
                <w:sz w:val="20"/>
                <w:szCs w:val="20"/>
              </w:rPr>
              <w:t>(57)</w:t>
            </w:r>
          </w:p>
        </w:tc>
        <w:tc>
          <w:tcPr>
            <w:tcW w:w="0" w:type="auto"/>
            <w:shd w:val="clear" w:color="auto" w:fill="CCEEFF"/>
            <w:tcMar>
              <w:top w:w="30" w:type="dxa"/>
              <w:left w:w="0" w:type="dxa"/>
              <w:bottom w:w="30" w:type="dxa"/>
              <w:right w:w="20" w:type="dxa"/>
            </w:tcMar>
            <w:vAlign w:val="bottom"/>
            <w:hideMark/>
          </w:tcPr>
          <w:p w14:paraId="1DAE760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3D8CB"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D0B831"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36FE79" w14:textId="77777777" w:rsidR="00000000" w:rsidRDefault="0068293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CD5D84" w14:textId="77777777" w:rsidR="00000000" w:rsidRDefault="0068293C">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14:paraId="4C8990E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9DD97"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06CF9C" w14:textId="77777777" w:rsidR="00000000" w:rsidRDefault="0068293C">
            <w:pPr>
              <w:spacing w:after="100"/>
              <w:rPr>
                <w:rFonts w:eastAsia="Times New Roman"/>
                <w:sz w:val="20"/>
                <w:szCs w:val="20"/>
              </w:rPr>
            </w:pPr>
          </w:p>
        </w:tc>
      </w:tr>
      <w:tr w:rsidR="00000000" w14:paraId="2659B05A" w14:textId="77777777">
        <w:trPr>
          <w:divId w:val="17657591"/>
          <w:jc w:val="center"/>
        </w:trPr>
        <w:tc>
          <w:tcPr>
            <w:tcW w:w="0" w:type="auto"/>
            <w:gridSpan w:val="6"/>
            <w:shd w:val="clear" w:color="auto" w:fill="FFFFFF"/>
            <w:tcMar>
              <w:top w:w="30" w:type="dxa"/>
              <w:left w:w="20" w:type="dxa"/>
              <w:bottom w:w="30" w:type="dxa"/>
              <w:right w:w="20" w:type="dxa"/>
            </w:tcMar>
            <w:vAlign w:val="bottom"/>
            <w:hideMark/>
          </w:tcPr>
          <w:p w14:paraId="5B28623F" w14:textId="77777777" w:rsidR="00000000" w:rsidRDefault="0068293C">
            <w:pPr>
              <w:spacing w:after="100"/>
              <w:divId w:val="332999242"/>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74DEE51"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BC74B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566EB"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8DA1D30" w14:textId="77777777" w:rsidR="00000000" w:rsidRDefault="0068293C">
            <w:pPr>
              <w:spacing w:after="100"/>
              <w:jc w:val="center"/>
              <w:rPr>
                <w:rFonts w:eastAsia="Times New Roman"/>
              </w:rPr>
            </w:pPr>
            <w:r>
              <w:rPr>
                <w:rFonts w:eastAsia="Times New Roman"/>
                <w:b/>
                <w:bCs/>
                <w:color w:val="000000"/>
                <w:sz w:val="20"/>
                <w:szCs w:val="20"/>
              </w:rPr>
              <w:t>6.60%</w:t>
            </w:r>
          </w:p>
        </w:tc>
        <w:tc>
          <w:tcPr>
            <w:tcW w:w="0" w:type="auto"/>
            <w:gridSpan w:val="3"/>
            <w:shd w:val="clear" w:color="auto" w:fill="FFFFFF"/>
            <w:tcMar>
              <w:top w:w="0" w:type="dxa"/>
              <w:left w:w="20" w:type="dxa"/>
              <w:bottom w:w="0" w:type="dxa"/>
              <w:right w:w="20" w:type="dxa"/>
            </w:tcMar>
            <w:vAlign w:val="center"/>
            <w:hideMark/>
          </w:tcPr>
          <w:p w14:paraId="529E8FC8" w14:textId="77777777" w:rsidR="00000000" w:rsidRDefault="0068293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FEC13A"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7347922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FCCD3"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8217386" w14:textId="77777777" w:rsidR="00000000" w:rsidRDefault="0068293C">
            <w:pPr>
              <w:spacing w:after="100"/>
              <w:jc w:val="center"/>
              <w:rPr>
                <w:rFonts w:eastAsia="Times New Roman"/>
              </w:rPr>
            </w:pPr>
            <w:r>
              <w:rPr>
                <w:rFonts w:eastAsia="Times New Roman"/>
                <w:color w:val="000000"/>
                <w:sz w:val="20"/>
                <w:szCs w:val="20"/>
              </w:rPr>
              <w:t>6.62%</w:t>
            </w:r>
          </w:p>
        </w:tc>
      </w:tr>
      <w:tr w:rsidR="00000000" w14:paraId="73FBBCE0" w14:textId="77777777">
        <w:trPr>
          <w:divId w:val="17657591"/>
          <w:jc w:val="center"/>
        </w:trPr>
        <w:tc>
          <w:tcPr>
            <w:tcW w:w="0" w:type="auto"/>
            <w:gridSpan w:val="3"/>
            <w:shd w:val="clear" w:color="auto" w:fill="CCEEFF"/>
            <w:tcMar>
              <w:top w:w="0" w:type="dxa"/>
              <w:left w:w="20" w:type="dxa"/>
              <w:bottom w:w="0" w:type="dxa"/>
              <w:right w:w="20" w:type="dxa"/>
            </w:tcMar>
            <w:vAlign w:val="center"/>
            <w:hideMark/>
          </w:tcPr>
          <w:p w14:paraId="59CF29E9" w14:textId="77777777" w:rsidR="00000000" w:rsidRDefault="0068293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B87B8D7" w14:textId="77777777" w:rsidR="00000000" w:rsidRDefault="0068293C">
            <w:pPr>
              <w:spacing w:after="100"/>
              <w:rPr>
                <w:rFonts w:eastAsia="Times New Roman"/>
              </w:rPr>
            </w:pPr>
            <w:r>
              <w:rPr>
                <w:rFonts w:eastAsia="Times New Roman"/>
                <w:color w:val="000000"/>
                <w:sz w:val="20"/>
                <w:szCs w:val="20"/>
              </w:rPr>
              <w:t>Total long-term debt</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20CB113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295FF6E5" w14:textId="77777777" w:rsidR="00000000" w:rsidRDefault="0068293C">
            <w:pPr>
              <w:spacing w:after="100"/>
              <w:jc w:val="right"/>
              <w:rPr>
                <w:rFonts w:eastAsia="Times New Roman"/>
              </w:rPr>
            </w:pPr>
            <w:r>
              <w:rPr>
                <w:rFonts w:eastAsia="Times New Roman"/>
                <w:b/>
                <w:bCs/>
                <w:color w:val="000000"/>
                <w:sz w:val="20"/>
                <w:szCs w:val="20"/>
              </w:rPr>
              <w:t>5,516</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18F847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97177"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E2D0D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720C63" w14:textId="77777777" w:rsidR="00000000" w:rsidRDefault="0068293C">
            <w:pPr>
              <w:spacing w:after="100"/>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575214B8"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02F1C01F" w14:textId="77777777" w:rsidR="00000000" w:rsidRDefault="0068293C">
            <w:pPr>
              <w:spacing w:after="100"/>
              <w:jc w:val="right"/>
              <w:rPr>
                <w:rFonts w:eastAsia="Times New Roman"/>
              </w:rPr>
            </w:pPr>
            <w:r>
              <w:rPr>
                <w:rFonts w:eastAsia="Times New Roman"/>
                <w:color w:val="000000"/>
                <w:sz w:val="20"/>
                <w:szCs w:val="20"/>
              </w:rPr>
              <w:t>5,505 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0F64209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3AEC2"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9407CB" w14:textId="77777777" w:rsidR="00000000" w:rsidRDefault="0068293C">
            <w:pPr>
              <w:spacing w:after="100"/>
              <w:rPr>
                <w:rFonts w:eastAsia="Times New Roman"/>
                <w:sz w:val="20"/>
                <w:szCs w:val="20"/>
              </w:rPr>
            </w:pPr>
          </w:p>
        </w:tc>
      </w:tr>
    </w:tbl>
    <w:p w14:paraId="1B89DE2E" w14:textId="77777777" w:rsidR="00000000" w:rsidRDefault="0068293C">
      <w:pPr>
        <w:jc w:val="center"/>
        <w:divId w:val="17657591"/>
        <w:rPr>
          <w:rFonts w:eastAsia="Times New Roman"/>
        </w:rPr>
      </w:pPr>
      <w:r>
        <w:rPr>
          <w:rFonts w:eastAsia="Times New Roman"/>
          <w:color w:val="000000"/>
          <w:sz w:val="20"/>
          <w:szCs w:val="20"/>
        </w:rPr>
        <w:t>    </w:t>
      </w:r>
    </w:p>
    <w:p w14:paraId="131D477B" w14:textId="77777777" w:rsidR="00000000" w:rsidRDefault="0068293C">
      <w:pPr>
        <w:ind w:hanging="270"/>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Interest rates are weighted-average interest rates as of March 31, 2022 and December 31, 2021. </w:t>
      </w:r>
    </w:p>
    <w:p w14:paraId="654BF912" w14:textId="77777777" w:rsidR="00000000" w:rsidRDefault="0068293C">
      <w:pPr>
        <w:jc w:val="both"/>
        <w:divId w:val="335378105"/>
        <w:rPr>
          <w:rFonts w:eastAsia="Times New Roman"/>
        </w:rPr>
      </w:pPr>
    </w:p>
    <w:p w14:paraId="2E9F1B01" w14:textId="77777777" w:rsidR="00000000" w:rsidRDefault="0068293C">
      <w:pPr>
        <w:jc w:val="both"/>
        <w:rPr>
          <w:rFonts w:eastAsia="Times New Roman"/>
        </w:rPr>
      </w:pPr>
      <w:r>
        <w:rPr>
          <w:rFonts w:eastAsia="Times New Roman"/>
          <w:i/>
          <w:iCs/>
          <w:color w:val="000000"/>
          <w:sz w:val="20"/>
          <w:szCs w:val="20"/>
        </w:rPr>
        <w:t xml:space="preserve">Senior Secured Credit Facility </w:t>
      </w:r>
      <w:r>
        <w:rPr>
          <w:rFonts w:eastAsia="Times New Roman"/>
          <w:color w:val="000000"/>
          <w:sz w:val="20"/>
          <w:szCs w:val="20"/>
        </w:rPr>
        <w:t>The Company is party to</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a Senior Secured Credit Facility, which provides for a senior secured term loan A facility in an aggregate principal amount of $1.305 billion (the “TLA Facility”), a senior secured term loan B facility in an aggregate principal amount of $750 million (the </w:t>
      </w:r>
      <w:r>
        <w:rPr>
          <w:rFonts w:eastAsia="Times New Roman"/>
          <w:color w:val="000000"/>
          <w:sz w:val="20"/>
          <w:szCs w:val="20"/>
          <w:shd w:val="clear" w:color="auto" w:fill="FFFFFF"/>
        </w:rPr>
        <w:t>“TLB Facility” and together with the TLA Facility, the “Term Loan Facilities”), and a revolving credit facility with commitments in an initial aggregate principal amount of $1.3 billion (the “Revolving Credit Facility”).</w:t>
      </w:r>
    </w:p>
    <w:p w14:paraId="28DBCBAF" w14:textId="77777777" w:rsidR="00000000" w:rsidRDefault="0068293C">
      <w:pPr>
        <w:jc w:val="both"/>
        <w:rPr>
          <w:rFonts w:eastAsia="Times New Roman"/>
        </w:rPr>
      </w:pPr>
    </w:p>
    <w:p w14:paraId="1321B5A5" w14:textId="77777777" w:rsidR="00000000" w:rsidRDefault="0068293C">
      <w:pPr>
        <w:jc w:val="both"/>
        <w:rPr>
          <w:rFonts w:eastAsia="Times New Roman"/>
        </w:rPr>
      </w:pPr>
      <w:r>
        <w:rPr>
          <w:rFonts w:eastAsia="Times New Roman"/>
          <w:color w:val="000000"/>
          <w:sz w:val="20"/>
          <w:szCs w:val="20"/>
          <w:shd w:val="clear" w:color="auto" w:fill="FFFFFF"/>
        </w:rPr>
        <w:t>As of March 31, 2022, $1.938 bill</w:t>
      </w:r>
      <w:r>
        <w:rPr>
          <w:rFonts w:eastAsia="Times New Roman"/>
          <w:color w:val="000000"/>
          <w:sz w:val="20"/>
          <w:szCs w:val="20"/>
          <w:shd w:val="clear" w:color="auto" w:fill="FFFFFF"/>
        </w:rPr>
        <w:t>ion remained outstanding under the Term Loan Facilities.</w:t>
      </w:r>
      <w:r>
        <w:rPr>
          <w:rFonts w:eastAsia="Times New Roman"/>
          <w:color w:val="000000"/>
          <w:sz w:val="20"/>
          <w:szCs w:val="20"/>
        </w:rPr>
        <w:t xml:space="preserve"> </w:t>
      </w:r>
      <w:r>
        <w:rPr>
          <w:rFonts w:eastAsia="Times New Roman"/>
          <w:color w:val="000000"/>
          <w:sz w:val="20"/>
          <w:szCs w:val="20"/>
          <w:shd w:val="clear" w:color="auto" w:fill="FFFFFF"/>
        </w:rPr>
        <w:t>Additionally, as of March 31, 2022, there was $415 million outstanding under the Revolving Credit Facility. The Revolving Credit Facility also contains a sub-facility to be used for letters of credit</w:t>
      </w:r>
      <w:r>
        <w:rPr>
          <w:rFonts w:eastAsia="Times New Roman"/>
          <w:color w:val="000000"/>
          <w:sz w:val="20"/>
          <w:szCs w:val="20"/>
          <w:shd w:val="clear" w:color="auto" w:fill="FFFFFF"/>
        </w:rPr>
        <w:t xml:space="preserve">, and, as of March 31, 2022, outstanding letters of credit were $24 million. Our borrowing capacity under our Revolving Credit Facility was $861 million at March 31, 2022. </w:t>
      </w:r>
    </w:p>
    <w:p w14:paraId="0F422FD8" w14:textId="77777777" w:rsidR="00000000" w:rsidRDefault="0068293C">
      <w:pPr>
        <w:jc w:val="both"/>
        <w:rPr>
          <w:rFonts w:eastAsia="Times New Roman"/>
        </w:rPr>
      </w:pPr>
    </w:p>
    <w:p w14:paraId="79322E15" w14:textId="77777777" w:rsidR="00000000" w:rsidRDefault="0068293C">
      <w:pPr>
        <w:jc w:val="both"/>
        <w:rPr>
          <w:rFonts w:eastAsia="Times New Roman"/>
        </w:rPr>
      </w:pPr>
      <w:r>
        <w:rPr>
          <w:rFonts w:eastAsia="Times New Roman"/>
          <w:color w:val="000000"/>
          <w:sz w:val="20"/>
          <w:szCs w:val="20"/>
        </w:rPr>
        <w:t>The outstanding principal balance of the TLB Facility is required to be repaid in</w:t>
      </w:r>
      <w:r>
        <w:rPr>
          <w:rFonts w:eastAsia="Times New Roman"/>
          <w:color w:val="000000"/>
          <w:sz w:val="20"/>
          <w:szCs w:val="20"/>
        </w:rPr>
        <w:t xml:space="preserve"> equal quarterly installments of  0.25% of the original aggregate principal amount thereof that began with the fiscal quarter ended December 31, 2019, with the balance being due at maturity on August 28, 2026 (the “TLB Maturity Date”).</w:t>
      </w:r>
    </w:p>
    <w:p w14:paraId="151ED9D0" w14:textId="77777777" w:rsidR="00000000" w:rsidRDefault="0068293C">
      <w:pPr>
        <w:jc w:val="both"/>
        <w:rPr>
          <w:rFonts w:eastAsia="Times New Roman"/>
        </w:rPr>
      </w:pPr>
    </w:p>
    <w:p w14:paraId="5B96AF8B" w14:textId="77777777" w:rsidR="00000000" w:rsidRDefault="0068293C">
      <w:pPr>
        <w:jc w:val="both"/>
        <w:rPr>
          <w:rFonts w:eastAsia="Times New Roman"/>
        </w:rPr>
      </w:pPr>
      <w:r>
        <w:rPr>
          <w:rFonts w:eastAsia="Times New Roman"/>
          <w:color w:val="000000"/>
          <w:sz w:val="20"/>
          <w:szCs w:val="20"/>
        </w:rPr>
        <w:t>The outstanding pr</w:t>
      </w:r>
      <w:r>
        <w:rPr>
          <w:rFonts w:eastAsia="Times New Roman"/>
          <w:color w:val="000000"/>
          <w:sz w:val="20"/>
          <w:szCs w:val="20"/>
        </w:rPr>
        <w:t>incipal balance of the TLA Facility is required to be repaid in equal quarterly installments of 1.875% of the original aggregate principal amount thereof, that began with the fiscal quarter ended September 30, 2021, with the balance being due at maturity o</w:t>
      </w:r>
      <w:r>
        <w:rPr>
          <w:rFonts w:eastAsia="Times New Roman"/>
          <w:color w:val="000000"/>
          <w:sz w:val="20"/>
          <w:szCs w:val="20"/>
        </w:rPr>
        <w:t xml:space="preserve">n the earlier of (a) June 21, 2026 and (b) unless the loans under TLB Facility have been repaid prior to such date, the date that is 91 days prior to the TLB Maturity Date. </w:t>
      </w:r>
    </w:p>
    <w:p w14:paraId="3ED93D11" w14:textId="77777777" w:rsidR="00000000" w:rsidRDefault="0068293C">
      <w:pPr>
        <w:jc w:val="both"/>
        <w:rPr>
          <w:rFonts w:eastAsia="Times New Roman"/>
        </w:rPr>
      </w:pPr>
    </w:p>
    <w:p w14:paraId="2F087949" w14:textId="77777777" w:rsidR="00000000" w:rsidRDefault="0068293C">
      <w:pPr>
        <w:jc w:val="both"/>
        <w:rPr>
          <w:rFonts w:eastAsia="Times New Roman"/>
        </w:rPr>
      </w:pPr>
      <w:r>
        <w:rPr>
          <w:rFonts w:eastAsia="Times New Roman"/>
          <w:color w:val="000000"/>
          <w:sz w:val="20"/>
          <w:szCs w:val="20"/>
        </w:rPr>
        <w:t>Commitments under the Revolving Credit Facility are scheduled to terminate on th</w:t>
      </w:r>
      <w:r>
        <w:rPr>
          <w:rFonts w:eastAsia="Times New Roman"/>
          <w:color w:val="000000"/>
          <w:sz w:val="20"/>
          <w:szCs w:val="20"/>
        </w:rPr>
        <w:t>e earlier of (a) June 21, 2026 and (b) unless the loans under TLB Facility have been repaid prior to such date, the date that is 91 days prior to the TLB Maturity Date. Loans under the Revolving Credit Facility may be repaid and reborrowed prior to such da</w:t>
      </w:r>
      <w:r>
        <w:rPr>
          <w:rFonts w:eastAsia="Times New Roman"/>
          <w:color w:val="000000"/>
          <w:sz w:val="20"/>
          <w:szCs w:val="20"/>
        </w:rPr>
        <w:t>te, subject to the satisfaction of customary conditions.</w:t>
      </w:r>
    </w:p>
    <w:p w14:paraId="7321C3A0" w14:textId="77777777" w:rsidR="00000000" w:rsidRDefault="0068293C">
      <w:pPr>
        <w:divId w:val="1036929109"/>
        <w:rPr>
          <w:rFonts w:eastAsia="Times New Roman"/>
        </w:rPr>
      </w:pPr>
    </w:p>
    <w:p w14:paraId="715AD6B8" w14:textId="77777777" w:rsidR="00000000" w:rsidRDefault="0068293C">
      <w:pPr>
        <w:jc w:val="center"/>
        <w:divId w:val="328024949"/>
        <w:rPr>
          <w:rFonts w:eastAsia="Times New Roman"/>
        </w:rPr>
      </w:pPr>
      <w:r>
        <w:rPr>
          <w:rFonts w:eastAsia="Times New Roman"/>
          <w:color w:val="000000"/>
          <w:sz w:val="20"/>
          <w:szCs w:val="20"/>
        </w:rPr>
        <w:t>17</w:t>
      </w:r>
    </w:p>
    <w:p w14:paraId="44EC4BF3" w14:textId="77777777" w:rsidR="00000000" w:rsidRDefault="0068293C">
      <w:pPr>
        <w:rPr>
          <w:rFonts w:eastAsia="Times New Roman"/>
        </w:rPr>
      </w:pPr>
      <w:r>
        <w:rPr>
          <w:rFonts w:eastAsia="Times New Roman"/>
        </w:rPr>
        <w:pict w14:anchorId="56F8C8C8">
          <v:rect id="_x0000_i1042" style="width:0;height:1.5pt" o:hralign="center" o:hrstd="t" o:hr="t" fillcolor="#a0a0a0" stroked="f"/>
        </w:pict>
      </w:r>
    </w:p>
    <w:p w14:paraId="382A93E7" w14:textId="77777777" w:rsidR="00000000" w:rsidRDefault="0068293C">
      <w:pPr>
        <w:ind w:firstLine="720"/>
        <w:divId w:val="1218004718"/>
        <w:rPr>
          <w:rFonts w:eastAsia="Times New Roman"/>
        </w:rPr>
      </w:pPr>
      <w:hyperlink w:anchor="i78484f3d0d8e4e36a7c87ddd6ea9d725_7" w:history="1">
        <w:r>
          <w:rPr>
            <w:rStyle w:val="a3"/>
            <w:rFonts w:eastAsia="Times New Roman"/>
            <w:sz w:val="16"/>
            <w:szCs w:val="16"/>
          </w:rPr>
          <w:t>Table of Content</w:t>
        </w:r>
      </w:hyperlink>
    </w:p>
    <w:p w14:paraId="5478CA9A" w14:textId="77777777" w:rsidR="00000000" w:rsidRDefault="0068293C">
      <w:pPr>
        <w:jc w:val="center"/>
        <w:divId w:val="735861811"/>
        <w:rPr>
          <w:rFonts w:eastAsia="Times New Roman"/>
        </w:rPr>
      </w:pPr>
      <w:r>
        <w:rPr>
          <w:rFonts w:eastAsia="Times New Roman"/>
          <w:b/>
          <w:bCs/>
          <w:color w:val="000000"/>
          <w:sz w:val="20"/>
          <w:szCs w:val="20"/>
        </w:rPr>
        <w:t>NCR Corporation</w:t>
      </w:r>
    </w:p>
    <w:p w14:paraId="39014CF0" w14:textId="77777777" w:rsidR="00000000" w:rsidRDefault="0068293C">
      <w:pPr>
        <w:jc w:val="center"/>
        <w:divId w:val="735861811"/>
        <w:rPr>
          <w:rFonts w:eastAsia="Times New Roman"/>
        </w:rPr>
      </w:pPr>
      <w:r>
        <w:rPr>
          <w:rFonts w:eastAsia="Times New Roman"/>
          <w:b/>
          <w:bCs/>
          <w:color w:val="000000"/>
          <w:sz w:val="20"/>
          <w:szCs w:val="20"/>
        </w:rPr>
        <w:t>Notes to Condensed Consolidated Financial Statements (Unaudited)—(C</w:t>
      </w:r>
      <w:r>
        <w:rPr>
          <w:rFonts w:eastAsia="Times New Roman"/>
          <w:b/>
          <w:bCs/>
          <w:color w:val="000000"/>
          <w:sz w:val="20"/>
          <w:szCs w:val="20"/>
        </w:rPr>
        <w:t>ontinued)</w:t>
      </w:r>
    </w:p>
    <w:p w14:paraId="01F1689C" w14:textId="77777777" w:rsidR="00000000" w:rsidRDefault="0068293C">
      <w:pPr>
        <w:jc w:val="both"/>
        <w:rPr>
          <w:rFonts w:eastAsia="Times New Roman"/>
        </w:rPr>
      </w:pPr>
      <w:r>
        <w:rPr>
          <w:rFonts w:eastAsia="Times New Roman"/>
          <w:color w:val="000000"/>
          <w:sz w:val="20"/>
          <w:szCs w:val="20"/>
        </w:rPr>
        <w:t>The obligations under the Senior Secured Credit Facility are guaranteed by certain of the Company’s domestic material subsidiaries including the Guarantor Subsidiary and certain domestic subsidiaries acquired through the Cardtronics Transaction (</w:t>
      </w:r>
      <w:r>
        <w:rPr>
          <w:rFonts w:eastAsia="Times New Roman"/>
          <w:color w:val="000000"/>
          <w:sz w:val="20"/>
          <w:szCs w:val="20"/>
        </w:rPr>
        <w:t>collectively, the “Cardtronics Guarantors” and together with the Guarantor Subsidiary, the “Guarantors”).</w:t>
      </w:r>
      <w:r>
        <w:rPr>
          <w:rFonts w:eastAsia="Times New Roman"/>
          <w:color w:val="008080"/>
        </w:rPr>
        <w:t xml:space="preserve"> </w:t>
      </w:r>
      <w:r>
        <w:rPr>
          <w:rFonts w:eastAsia="Times New Roman"/>
          <w:color w:val="000000"/>
          <w:sz w:val="20"/>
          <w:szCs w:val="20"/>
        </w:rPr>
        <w:t xml:space="preserve">The obligations under the Senior Secured Credit Facility and the above described guarantee are secured by a first priority lien and security interest </w:t>
      </w:r>
      <w:r>
        <w:rPr>
          <w:rFonts w:eastAsia="Times New Roman"/>
          <w:color w:val="000000"/>
          <w:sz w:val="20"/>
          <w:szCs w:val="20"/>
        </w:rPr>
        <w:t>in certain equity interests owned by the Company and the Guarantors in certain of their respective domestic and foreign subsidiaries, and a first priority lien and security interest in substantially all of the assets of the Company and the Guarantors, subj</w:t>
      </w:r>
      <w:r>
        <w:rPr>
          <w:rFonts w:eastAsia="Times New Roman"/>
          <w:color w:val="000000"/>
          <w:sz w:val="20"/>
          <w:szCs w:val="20"/>
        </w:rPr>
        <w:t>ect to certain exclusions. These security interests would be released if the Company achieves an “investment grade” rating and will remain released so long as the Company maintains an “investment grade” rating.</w:t>
      </w:r>
    </w:p>
    <w:p w14:paraId="2546DED9" w14:textId="77777777" w:rsidR="00000000" w:rsidRDefault="0068293C">
      <w:pPr>
        <w:jc w:val="both"/>
        <w:divId w:val="851995133"/>
        <w:rPr>
          <w:rFonts w:eastAsia="Times New Roman"/>
        </w:rPr>
      </w:pPr>
      <w:r>
        <w:rPr>
          <w:rFonts w:eastAsia="Times New Roman"/>
          <w:color w:val="000000"/>
          <w:sz w:val="20"/>
          <w:szCs w:val="20"/>
        </w:rPr>
        <w:t>The Senior Secured Credit Facility includes a</w:t>
      </w:r>
      <w:r>
        <w:rPr>
          <w:rFonts w:eastAsia="Times New Roman"/>
          <w:color w:val="000000"/>
          <w:sz w:val="20"/>
          <w:szCs w:val="20"/>
        </w:rPr>
        <w:t>ffirmative and negative covenants that restrict or limit the ability of the Company and its subsidiaries to, among other things, incur indebtedness; create liens on assets; engage in certain fundamental corporate changes or changes to the Company's busines</w:t>
      </w:r>
      <w:r>
        <w:rPr>
          <w:rFonts w:eastAsia="Times New Roman"/>
          <w:color w:val="000000"/>
          <w:sz w:val="20"/>
          <w:szCs w:val="20"/>
        </w:rPr>
        <w:t>s activities; make investments; sell or otherwise dispose of assets; engage in sale-leaseback or hedging transactions; repurchase stock, pay dividends or make similar distributions; repay other indebtedness; engage in certain affiliate transactions; or ent</w:t>
      </w:r>
      <w:r>
        <w:rPr>
          <w:rFonts w:eastAsia="Times New Roman"/>
          <w:color w:val="000000"/>
          <w:sz w:val="20"/>
          <w:szCs w:val="20"/>
        </w:rPr>
        <w:t>er into agreements that restrict the Company's ability to create liens, pay dividends or make loan repayments. The Senior Secured Credit Facility also includes a financial covenant with respect to the Revolving Credit Facility and the TLA Facility. The fin</w:t>
      </w:r>
      <w:r>
        <w:rPr>
          <w:rFonts w:eastAsia="Times New Roman"/>
          <w:color w:val="000000"/>
          <w:sz w:val="20"/>
          <w:szCs w:val="20"/>
        </w:rPr>
        <w:t>ancial covenant requires the Company to maintain:</w:t>
      </w:r>
    </w:p>
    <w:p w14:paraId="2ADFEAD3" w14:textId="77777777" w:rsidR="00000000" w:rsidRDefault="0068293C">
      <w:pPr>
        <w:ind w:hanging="360"/>
        <w:jc w:val="both"/>
        <w:divId w:val="630132535"/>
        <w:rPr>
          <w:rFonts w:eastAsia="Times New Roman"/>
        </w:rPr>
      </w:pPr>
      <w:r>
        <w:rPr>
          <w:rFonts w:eastAsia="Times New Roman"/>
          <w:color w:val="000000"/>
          <w:sz w:val="20"/>
          <w:szCs w:val="20"/>
          <w:shd w:val="clear" w:color="auto" w:fill="FFFFFF"/>
        </w:rPr>
        <w:t>•</w:t>
      </w:r>
      <w:r>
        <w:rPr>
          <w:rFonts w:eastAsia="Times New Roman"/>
          <w:color w:val="000000"/>
          <w:sz w:val="20"/>
          <w:szCs w:val="20"/>
        </w:rPr>
        <w:t>A consolidated leverage ratio on the last day of any fiscal quarter, not to exceed (i) in the case of any fiscal quarter ending on or prior to December 31, 2021, 5.50 to 1.00, (ii) in the case of any fisca</w:t>
      </w:r>
      <w:r>
        <w:rPr>
          <w:rFonts w:eastAsia="Times New Roman"/>
          <w:color w:val="000000"/>
          <w:sz w:val="20"/>
          <w:szCs w:val="20"/>
        </w:rPr>
        <w:t>l quarter ending on or prior to September 30, 2022, 5.25 to 1.00, and (iii) in the case of any fiscal quarter ending on or after December 31, 2022, 4.75 to 1.00.</w:t>
      </w:r>
    </w:p>
    <w:p w14:paraId="6B406FC6" w14:textId="77777777" w:rsidR="00000000" w:rsidRDefault="0068293C">
      <w:pPr>
        <w:jc w:val="both"/>
        <w:rPr>
          <w:rFonts w:eastAsia="Times New Roman"/>
        </w:rPr>
      </w:pPr>
      <w:r>
        <w:rPr>
          <w:rFonts w:eastAsia="Times New Roman"/>
          <w:i/>
          <w:iCs/>
          <w:color w:val="000000"/>
          <w:sz w:val="20"/>
          <w:szCs w:val="20"/>
        </w:rPr>
        <w:t xml:space="preserve">Senior Unsecured Notes </w:t>
      </w:r>
      <w:r>
        <w:rPr>
          <w:rFonts w:eastAsia="Times New Roman"/>
          <w:color w:val="000000"/>
          <w:sz w:val="20"/>
          <w:szCs w:val="20"/>
        </w:rPr>
        <w:t xml:space="preserve">The Company’s senior unsecured notes are guaranteed by the Guarantors, </w:t>
      </w:r>
      <w:r>
        <w:rPr>
          <w:rFonts w:eastAsia="Times New Roman"/>
          <w:color w:val="000000"/>
          <w:sz w:val="20"/>
          <w:szCs w:val="20"/>
        </w:rPr>
        <w:t>which have guaranteed fully and unconditionally the obligations to pay principal and interest for the Company’s senior unsecured notes. The</w:t>
      </w:r>
      <w:r>
        <w:rPr>
          <w:rFonts w:eastAsia="Times New Roman"/>
          <w:color w:val="000000"/>
          <w:sz w:val="20"/>
          <w:szCs w:val="20"/>
          <w:shd w:val="clear" w:color="auto" w:fill="FFFFFF"/>
        </w:rPr>
        <w:t xml:space="preserve"> terms of the indentures for the Company’s senior unsecured notes limit the ability of the Company and certain of its</w:t>
      </w:r>
      <w:r>
        <w:rPr>
          <w:rFonts w:eastAsia="Times New Roman"/>
          <w:color w:val="000000"/>
          <w:sz w:val="20"/>
          <w:szCs w:val="20"/>
          <w:shd w:val="clear" w:color="auto" w:fill="FFFFFF"/>
        </w:rPr>
        <w:t xml:space="preserve"> subsidiaries to, among other things, incur additional debt or issue redeemable preferred stock; pay dividends or make certain other restricted payments or investments; incur liens; sell assets; incur restrictions on the ability of the Company's subsidiari</w:t>
      </w:r>
      <w:r>
        <w:rPr>
          <w:rFonts w:eastAsia="Times New Roman"/>
          <w:color w:val="000000"/>
          <w:sz w:val="20"/>
          <w:szCs w:val="20"/>
          <w:shd w:val="clear" w:color="auto" w:fill="FFFFFF"/>
        </w:rPr>
        <w:t>es to pay dividends to the Company; enter into affiliate transactions; engage in sa</w:t>
      </w:r>
      <w:r>
        <w:rPr>
          <w:rFonts w:eastAsia="Times New Roman"/>
          <w:color w:val="000000"/>
          <w:sz w:val="20"/>
          <w:szCs w:val="20"/>
        </w:rPr>
        <w:t>le and leaseback transactions; and consolidate, merge, sell or otherwise dispose of all or substantially all of the Company's or such subsidiaries' assets.</w:t>
      </w:r>
    </w:p>
    <w:p w14:paraId="220CF7F1" w14:textId="77777777" w:rsidR="00000000" w:rsidRDefault="0068293C">
      <w:pPr>
        <w:jc w:val="both"/>
        <w:rPr>
          <w:rFonts w:eastAsia="Times New Roman"/>
        </w:rPr>
      </w:pPr>
    </w:p>
    <w:p w14:paraId="66909983" w14:textId="77777777" w:rsidR="00000000" w:rsidRDefault="0068293C">
      <w:pPr>
        <w:jc w:val="both"/>
        <w:rPr>
          <w:rFonts w:eastAsia="Times New Roman"/>
        </w:rPr>
      </w:pPr>
      <w:r>
        <w:rPr>
          <w:rFonts w:eastAsia="Times New Roman"/>
          <w:i/>
          <w:iCs/>
          <w:color w:val="000000"/>
          <w:sz w:val="20"/>
          <w:szCs w:val="20"/>
        </w:rPr>
        <w:t>Fair Value of D</w:t>
      </w:r>
      <w:r>
        <w:rPr>
          <w:rFonts w:eastAsia="Times New Roman"/>
          <w:i/>
          <w:iCs/>
          <w:color w:val="000000"/>
          <w:sz w:val="20"/>
          <w:szCs w:val="20"/>
        </w:rPr>
        <w:t>ebt</w:t>
      </w:r>
      <w:r>
        <w:rPr>
          <w:rFonts w:eastAsia="Times New Roman"/>
          <w:color w:val="000000"/>
          <w:sz w:val="20"/>
          <w:szCs w:val="20"/>
        </w:rPr>
        <w:t xml:space="preserve"> The Company utilized Level 2 inputs, as defined in the fair value hierarchy, to measure the fair value of the long-term debt, which, as of March 31, 2022 and December 31, 2021 was $5.54 billion and $5.74 billion, respectively. Management's fair value e</w:t>
      </w:r>
      <w:r>
        <w:rPr>
          <w:rFonts w:eastAsia="Times New Roman"/>
          <w:color w:val="000000"/>
          <w:sz w:val="20"/>
          <w:szCs w:val="20"/>
        </w:rPr>
        <w:t>stimates were based on quoted prices for recent trades of NCR’s long-term debt, quoted prices for similar instruments, and inquiries with certain investment communities.</w:t>
      </w:r>
    </w:p>
    <w:p w14:paraId="545E22EF" w14:textId="77777777" w:rsidR="00000000" w:rsidRDefault="0068293C">
      <w:pPr>
        <w:divId w:val="1021469545"/>
        <w:rPr>
          <w:rFonts w:eastAsia="Times New Roman"/>
        </w:rPr>
      </w:pPr>
    </w:p>
    <w:p w14:paraId="3A6F1DB1" w14:textId="77777777" w:rsidR="00000000" w:rsidRDefault="0068293C">
      <w:pPr>
        <w:divId w:val="1415737642"/>
        <w:rPr>
          <w:rFonts w:eastAsia="Times New Roman"/>
        </w:rPr>
      </w:pPr>
    </w:p>
    <w:p w14:paraId="53D2D43C" w14:textId="77777777" w:rsidR="00000000" w:rsidRDefault="0068293C">
      <w:pPr>
        <w:divId w:val="1711366"/>
        <w:rPr>
          <w:rFonts w:eastAsia="Times New Roman"/>
        </w:rPr>
      </w:pPr>
      <w:r>
        <w:rPr>
          <w:rFonts w:eastAsia="Times New Roman"/>
          <w:b/>
          <w:bCs/>
          <w:color w:val="54B948"/>
          <w:sz w:val="20"/>
          <w:szCs w:val="20"/>
        </w:rPr>
        <w:t>6. TRADE RECEIVABLES FACILITY</w:t>
      </w:r>
    </w:p>
    <w:p w14:paraId="5A24DFD5" w14:textId="77777777" w:rsidR="00000000" w:rsidRDefault="0068293C">
      <w:pPr>
        <w:divId w:val="2122800418"/>
        <w:rPr>
          <w:rFonts w:eastAsia="Times New Roman"/>
        </w:rPr>
      </w:pPr>
    </w:p>
    <w:p w14:paraId="53ABC6A5" w14:textId="77777777" w:rsidR="00000000" w:rsidRDefault="0068293C">
      <w:pPr>
        <w:jc w:val="both"/>
        <w:rPr>
          <w:rFonts w:eastAsia="Times New Roman"/>
        </w:rPr>
      </w:pPr>
      <w:r>
        <w:rPr>
          <w:rFonts w:eastAsia="Times New Roman"/>
          <w:color w:val="000000"/>
          <w:sz w:val="20"/>
          <w:szCs w:val="20"/>
        </w:rPr>
        <w:t xml:space="preserve">The Company continues to maintain its trade receivables facility (the “T/R Facility”) with PNC Bank, National Association (“PNC”), which allows the Company's wholly-owned, bankruptcy remote subsidiary, NCR Receivables LLC (the “U.S. SPE”), to sell certain </w:t>
      </w:r>
      <w:r>
        <w:rPr>
          <w:rFonts w:eastAsia="Times New Roman"/>
          <w:color w:val="000000"/>
          <w:sz w:val="20"/>
          <w:szCs w:val="20"/>
        </w:rPr>
        <w:t xml:space="preserve">trade receivables on a revolving basis to PNC and the other unaffiliated purchasers participating in the T/R Facility. The T/R Facility, as amended, became effective September 30, 2021 and has a term of two years, which the Company and the U.S. SPE intend </w:t>
      </w:r>
      <w:r>
        <w:rPr>
          <w:rFonts w:eastAsia="Times New Roman"/>
          <w:color w:val="000000"/>
          <w:sz w:val="20"/>
          <w:szCs w:val="20"/>
        </w:rPr>
        <w:t>to renew.</w:t>
      </w:r>
    </w:p>
    <w:p w14:paraId="7FF080BA" w14:textId="77777777" w:rsidR="00000000" w:rsidRDefault="0068293C">
      <w:pPr>
        <w:jc w:val="both"/>
        <w:rPr>
          <w:rFonts w:eastAsia="Times New Roman"/>
        </w:rPr>
      </w:pPr>
    </w:p>
    <w:p w14:paraId="48876923" w14:textId="77777777" w:rsidR="00000000" w:rsidRDefault="0068293C">
      <w:pPr>
        <w:jc w:val="both"/>
        <w:rPr>
          <w:rFonts w:eastAsia="Times New Roman"/>
        </w:rPr>
      </w:pPr>
      <w:r>
        <w:rPr>
          <w:rFonts w:eastAsia="Times New Roman"/>
          <w:color w:val="000000"/>
          <w:sz w:val="20"/>
          <w:szCs w:val="20"/>
        </w:rPr>
        <w:t>Under the T/R Facility, the Company and certain United States and Canadian operating subsidiaries of the Company continuously sell their trade receivables as they are originated to the U.S. SPE and a Canadian bankruptcy-remote special purpose e</w:t>
      </w:r>
      <w:r>
        <w:rPr>
          <w:rFonts w:eastAsia="Times New Roman"/>
          <w:color w:val="000000"/>
          <w:sz w:val="20"/>
          <w:szCs w:val="20"/>
        </w:rPr>
        <w:t>ntity (collectively, the “SPEs”), as applicable.</w:t>
      </w:r>
      <w:r>
        <w:rPr>
          <w:rFonts w:eastAsia="Times New Roman"/>
          <w:color w:val="000000"/>
        </w:rPr>
        <w:t xml:space="preserve"> </w:t>
      </w:r>
      <w:r>
        <w:rPr>
          <w:rFonts w:eastAsia="Times New Roman"/>
          <w:color w:val="000000"/>
          <w:sz w:val="20"/>
          <w:szCs w:val="20"/>
        </w:rPr>
        <w:t xml:space="preserve">None of the assets or credit of either SPE is available to satisfy the debts and obligations owed to the creditors of the Company or any other person until the obligations of the SPEs under the T/R Facility </w:t>
      </w:r>
      <w:r>
        <w:rPr>
          <w:rFonts w:eastAsia="Times New Roman"/>
          <w:color w:val="000000"/>
          <w:sz w:val="20"/>
          <w:szCs w:val="20"/>
        </w:rPr>
        <w:t xml:space="preserve">have been satisfied. The Company controls and therefore consolidates the SPEs in its condensed consolidated financial statements. </w:t>
      </w:r>
    </w:p>
    <w:p w14:paraId="0DD95070" w14:textId="77777777" w:rsidR="00000000" w:rsidRDefault="0068293C">
      <w:pPr>
        <w:jc w:val="both"/>
        <w:rPr>
          <w:rFonts w:eastAsia="Times New Roman"/>
        </w:rPr>
      </w:pPr>
    </w:p>
    <w:p w14:paraId="64EFA1AA" w14:textId="77777777" w:rsidR="00000000" w:rsidRDefault="0068293C">
      <w:pPr>
        <w:jc w:val="both"/>
        <w:rPr>
          <w:rFonts w:eastAsia="Times New Roman"/>
        </w:rPr>
      </w:pPr>
      <w:r>
        <w:rPr>
          <w:rFonts w:eastAsia="Times New Roman"/>
          <w:color w:val="000000"/>
          <w:sz w:val="20"/>
          <w:szCs w:val="20"/>
        </w:rPr>
        <w:t xml:space="preserve">As cash is collected on the trade receivables, the U.S. SPE has the ability to continuously transfer ownership and control </w:t>
      </w:r>
      <w:r>
        <w:rPr>
          <w:rFonts w:eastAsia="Times New Roman"/>
          <w:color w:val="000000"/>
          <w:sz w:val="20"/>
          <w:szCs w:val="20"/>
        </w:rPr>
        <w:t>of new qualifying receivables to PNC and the other unaffiliated purchasers such that the total outstanding balance of trade receivables sold can be up to $300 million at any point in time, which is the maximum purchase commitment of PNC and the other unaff</w:t>
      </w:r>
      <w:r>
        <w:rPr>
          <w:rFonts w:eastAsia="Times New Roman"/>
          <w:color w:val="000000"/>
          <w:sz w:val="20"/>
          <w:szCs w:val="20"/>
        </w:rPr>
        <w:t>iliated purchasers. The future outstanding balance of trade receivables that are sold is expected to vary based on the level of activity and other factors and could be less than the maximum purchase commitment of $300 million. The total outstanding balance</w:t>
      </w:r>
      <w:r>
        <w:rPr>
          <w:rFonts w:eastAsia="Times New Roman"/>
          <w:color w:val="000000"/>
          <w:sz w:val="20"/>
          <w:szCs w:val="20"/>
        </w:rPr>
        <w:t xml:space="preserve"> of trade receivables that have been sold and derecognized by the U.S. SPE to PNC and the other unaffiliated purchasers is approximately $300 million as of March 31, 2022 and December 31, 2021. Excluding the trade receivables sold to PNC and other unaffili</w:t>
      </w:r>
      <w:r>
        <w:rPr>
          <w:rFonts w:eastAsia="Times New Roman"/>
          <w:color w:val="000000"/>
          <w:sz w:val="20"/>
          <w:szCs w:val="20"/>
        </w:rPr>
        <w:t xml:space="preserve">ated purchasers, the SPEs collectively owned $326 million and $228 million of trade receivable as of March 31, </w:t>
      </w:r>
    </w:p>
    <w:p w14:paraId="5819F3D0" w14:textId="77777777" w:rsidR="00000000" w:rsidRDefault="0068293C">
      <w:pPr>
        <w:jc w:val="center"/>
        <w:divId w:val="2054840481"/>
        <w:rPr>
          <w:rFonts w:eastAsia="Times New Roman"/>
        </w:rPr>
      </w:pPr>
      <w:r>
        <w:rPr>
          <w:rFonts w:eastAsia="Times New Roman"/>
          <w:color w:val="000000"/>
          <w:sz w:val="20"/>
          <w:szCs w:val="20"/>
        </w:rPr>
        <w:t>18</w:t>
      </w:r>
    </w:p>
    <w:p w14:paraId="76AB5278" w14:textId="77777777" w:rsidR="00000000" w:rsidRDefault="0068293C">
      <w:pPr>
        <w:rPr>
          <w:rFonts w:eastAsia="Times New Roman"/>
        </w:rPr>
      </w:pPr>
      <w:r>
        <w:rPr>
          <w:rFonts w:eastAsia="Times New Roman"/>
        </w:rPr>
        <w:pict w14:anchorId="213B965F">
          <v:rect id="_x0000_i1043" style="width:0;height:1.5pt" o:hralign="center" o:hrstd="t" o:hr="t" fillcolor="#a0a0a0" stroked="f"/>
        </w:pict>
      </w:r>
    </w:p>
    <w:p w14:paraId="2587B29E" w14:textId="77777777" w:rsidR="00000000" w:rsidRDefault="0068293C">
      <w:pPr>
        <w:ind w:firstLine="720"/>
        <w:divId w:val="764349637"/>
        <w:rPr>
          <w:rFonts w:eastAsia="Times New Roman"/>
        </w:rPr>
      </w:pPr>
      <w:hyperlink w:anchor="i78484f3d0d8e4e36a7c87ddd6ea9d725_7" w:history="1">
        <w:r>
          <w:rPr>
            <w:rStyle w:val="a3"/>
            <w:rFonts w:eastAsia="Times New Roman"/>
            <w:sz w:val="16"/>
            <w:szCs w:val="16"/>
          </w:rPr>
          <w:t>Table of Content</w:t>
        </w:r>
      </w:hyperlink>
    </w:p>
    <w:p w14:paraId="61DC15F6" w14:textId="77777777" w:rsidR="00000000" w:rsidRDefault="0068293C">
      <w:pPr>
        <w:jc w:val="center"/>
        <w:divId w:val="1609653352"/>
        <w:rPr>
          <w:rFonts w:eastAsia="Times New Roman"/>
        </w:rPr>
      </w:pPr>
      <w:r>
        <w:rPr>
          <w:rFonts w:eastAsia="Times New Roman"/>
          <w:b/>
          <w:bCs/>
          <w:color w:val="000000"/>
          <w:sz w:val="20"/>
          <w:szCs w:val="20"/>
        </w:rPr>
        <w:t>NCR Corporation</w:t>
      </w:r>
    </w:p>
    <w:p w14:paraId="534371E8" w14:textId="77777777" w:rsidR="00000000" w:rsidRDefault="0068293C">
      <w:pPr>
        <w:jc w:val="center"/>
        <w:divId w:val="1609653352"/>
        <w:rPr>
          <w:rFonts w:eastAsia="Times New Roman"/>
        </w:rPr>
      </w:pPr>
      <w:r>
        <w:rPr>
          <w:rFonts w:eastAsia="Times New Roman"/>
          <w:b/>
          <w:bCs/>
          <w:color w:val="000000"/>
          <w:sz w:val="20"/>
          <w:szCs w:val="20"/>
        </w:rPr>
        <w:t>Notes to Cond</w:t>
      </w:r>
      <w:r>
        <w:rPr>
          <w:rFonts w:eastAsia="Times New Roman"/>
          <w:b/>
          <w:bCs/>
          <w:color w:val="000000"/>
          <w:sz w:val="20"/>
          <w:szCs w:val="20"/>
        </w:rPr>
        <w:t>ensed Consolidated Financial Statements (Unaudited)—(Continued)</w:t>
      </w:r>
    </w:p>
    <w:p w14:paraId="5D75AE91" w14:textId="77777777" w:rsidR="00000000" w:rsidRDefault="0068293C">
      <w:pPr>
        <w:jc w:val="both"/>
        <w:rPr>
          <w:rFonts w:eastAsia="Times New Roman"/>
        </w:rPr>
      </w:pPr>
      <w:r>
        <w:rPr>
          <w:rFonts w:eastAsia="Times New Roman"/>
          <w:color w:val="000000"/>
          <w:sz w:val="20"/>
          <w:szCs w:val="20"/>
        </w:rPr>
        <w:t xml:space="preserve">2022 and December 31, 2021, respectively, and these amounts are included in Accounts receivable, net in the Company’s Condensed Consolidated Balance Sheets. </w:t>
      </w:r>
    </w:p>
    <w:p w14:paraId="06B6CFFD" w14:textId="77777777" w:rsidR="00000000" w:rsidRDefault="0068293C">
      <w:pPr>
        <w:divId w:val="913901594"/>
        <w:rPr>
          <w:rFonts w:eastAsia="Times New Roman"/>
        </w:rPr>
      </w:pPr>
    </w:p>
    <w:p w14:paraId="2E55D230" w14:textId="77777777" w:rsidR="00000000" w:rsidRDefault="0068293C">
      <w:pPr>
        <w:jc w:val="both"/>
        <w:rPr>
          <w:rFonts w:eastAsia="Times New Roman"/>
        </w:rPr>
      </w:pPr>
      <w:r>
        <w:rPr>
          <w:rFonts w:eastAsia="Times New Roman"/>
          <w:color w:val="000000"/>
          <w:sz w:val="20"/>
          <w:szCs w:val="20"/>
        </w:rPr>
        <w:t>Continuous cash activity related</w:t>
      </w:r>
      <w:r>
        <w:rPr>
          <w:rFonts w:eastAsia="Times New Roman"/>
          <w:color w:val="000000"/>
          <w:sz w:val="20"/>
          <w:szCs w:val="20"/>
        </w:rPr>
        <w:t xml:space="preserve"> to the T/R Facility is reflected in Net cash provided by operating activities in the Condensed Consolidated Statements of Cash Flows. The U.S. SPE incurs fees due and payable to PNC and the other unaffiliated purchasers participating in the T/R Facility. </w:t>
      </w:r>
      <w:r>
        <w:rPr>
          <w:rFonts w:eastAsia="Times New Roman"/>
          <w:color w:val="000000"/>
          <w:sz w:val="20"/>
          <w:szCs w:val="20"/>
        </w:rPr>
        <w:t>Those fees, which are immaterial, are recorded within Other income (expense), net in the Condensed Consolidated Statements of Operations.</w:t>
      </w:r>
      <w:r>
        <w:rPr>
          <w:rFonts w:eastAsia="Times New Roman"/>
          <w:color w:val="000000"/>
        </w:rPr>
        <w:t xml:space="preserve"> </w:t>
      </w:r>
      <w:r>
        <w:rPr>
          <w:rFonts w:eastAsia="Times New Roman"/>
          <w:color w:val="000000"/>
          <w:sz w:val="20"/>
          <w:szCs w:val="20"/>
        </w:rPr>
        <w:t>In addition, each of the SPEs has provided a full recourse guarantee in favor of PNC and the other unaffiliated purcha</w:t>
      </w:r>
      <w:r>
        <w:rPr>
          <w:rFonts w:eastAsia="Times New Roman"/>
          <w:color w:val="000000"/>
          <w:sz w:val="20"/>
          <w:szCs w:val="20"/>
        </w:rPr>
        <w:t>sers of the full and timely payment of all trade receivables sold to them by the U.S. SPE. The guarantee is collateralized by all the trade receivables owned by each of the SPEs that have not been sold to PNC or the other unaffiliated purchasers.</w:t>
      </w:r>
      <w:r>
        <w:rPr>
          <w:rFonts w:eastAsia="Times New Roman"/>
          <w:color w:val="000000"/>
        </w:rPr>
        <w:t xml:space="preserve"> </w:t>
      </w:r>
      <w:r>
        <w:rPr>
          <w:rFonts w:eastAsia="Times New Roman"/>
          <w:color w:val="000000"/>
          <w:sz w:val="20"/>
          <w:szCs w:val="20"/>
        </w:rPr>
        <w:t>The reser</w:t>
      </w:r>
      <w:r>
        <w:rPr>
          <w:rFonts w:eastAsia="Times New Roman"/>
          <w:color w:val="000000"/>
          <w:sz w:val="20"/>
          <w:szCs w:val="20"/>
        </w:rPr>
        <w:t xml:space="preserve">ve recognized for this recourse obligation as of March 31, 2022 is not material. </w:t>
      </w:r>
    </w:p>
    <w:p w14:paraId="2D6D3489" w14:textId="77777777" w:rsidR="00000000" w:rsidRDefault="0068293C">
      <w:pPr>
        <w:divId w:val="1689288620"/>
        <w:rPr>
          <w:rFonts w:eastAsia="Times New Roman"/>
        </w:rPr>
      </w:pPr>
    </w:p>
    <w:p w14:paraId="51852EFB" w14:textId="77777777" w:rsidR="00000000" w:rsidRDefault="0068293C">
      <w:pPr>
        <w:jc w:val="both"/>
        <w:rPr>
          <w:rFonts w:eastAsia="Times New Roman"/>
        </w:rPr>
      </w:pPr>
      <w:r>
        <w:rPr>
          <w:rFonts w:eastAsia="Times New Roman"/>
          <w:color w:val="000000"/>
          <w:sz w:val="20"/>
          <w:szCs w:val="20"/>
        </w:rPr>
        <w:t xml:space="preserve">The Company, or in the case of any Canadian trade receivables, NCR Canada Corp., continues to be involved with the trade receivables even after they are transferred to the </w:t>
      </w:r>
      <w:r>
        <w:rPr>
          <w:rFonts w:eastAsia="Times New Roman"/>
          <w:color w:val="000000"/>
          <w:sz w:val="20"/>
          <w:szCs w:val="20"/>
        </w:rPr>
        <w:t>SPEs (or further transferred to PNC and the other unaffiliated purchasers) by acting as servicer.</w:t>
      </w:r>
      <w:r>
        <w:rPr>
          <w:rFonts w:eastAsia="Times New Roman"/>
          <w:color w:val="000000"/>
        </w:rPr>
        <w:t xml:space="preserve"> </w:t>
      </w:r>
      <w:r>
        <w:rPr>
          <w:rFonts w:eastAsia="Times New Roman"/>
          <w:color w:val="000000"/>
          <w:sz w:val="20"/>
          <w:szCs w:val="20"/>
        </w:rPr>
        <w:t>In addition to any obligations as servicer, the Company and each of its subsidiaries acting as an originator under the T/R Facility provide the SPEs with cust</w:t>
      </w:r>
      <w:r>
        <w:rPr>
          <w:rFonts w:eastAsia="Times New Roman"/>
          <w:color w:val="000000"/>
          <w:sz w:val="20"/>
          <w:szCs w:val="20"/>
        </w:rPr>
        <w:t>omary recourse in respect of (i) certain dilutive events with respect to the trade receivables sold to the SPEs that are caused by the Company or another originator and (ii) in the event of certain violations by the Company or another originator of their r</w:t>
      </w:r>
      <w:r>
        <w:rPr>
          <w:rFonts w:eastAsia="Times New Roman"/>
          <w:color w:val="000000"/>
          <w:sz w:val="20"/>
          <w:szCs w:val="20"/>
        </w:rPr>
        <w:t>epresentations and warranties with respect to the trade receivables sold to the SPEs.</w:t>
      </w:r>
      <w:r>
        <w:rPr>
          <w:rFonts w:eastAsia="Times New Roman"/>
          <w:color w:val="000000"/>
        </w:rPr>
        <w:t xml:space="preserve"> </w:t>
      </w:r>
      <w:r>
        <w:rPr>
          <w:rFonts w:eastAsia="Times New Roman"/>
          <w:color w:val="000000"/>
          <w:sz w:val="20"/>
          <w:szCs w:val="20"/>
        </w:rPr>
        <w:t>These servicing and originator liabilities of the Company and its subsidiaries (other than the SPEs) under the T/R Facility are not expected to be material, given the hig</w:t>
      </w:r>
      <w:r>
        <w:rPr>
          <w:rFonts w:eastAsia="Times New Roman"/>
          <w:color w:val="000000"/>
          <w:sz w:val="20"/>
          <w:szCs w:val="20"/>
        </w:rPr>
        <w:t>h quality of the customers underlying the receivables and the anticipated short collection period.</w:t>
      </w:r>
    </w:p>
    <w:p w14:paraId="7D682A66" w14:textId="77777777" w:rsidR="00000000" w:rsidRDefault="0068293C">
      <w:pPr>
        <w:jc w:val="both"/>
        <w:rPr>
          <w:rFonts w:eastAsia="Times New Roman"/>
        </w:rPr>
      </w:pPr>
    </w:p>
    <w:p w14:paraId="202F7561" w14:textId="77777777" w:rsidR="00000000" w:rsidRDefault="0068293C">
      <w:pPr>
        <w:divId w:val="570307865"/>
        <w:rPr>
          <w:rFonts w:eastAsia="Times New Roman"/>
        </w:rPr>
      </w:pPr>
    </w:p>
    <w:p w14:paraId="57B6DA7C" w14:textId="77777777" w:rsidR="00000000" w:rsidRDefault="0068293C">
      <w:pPr>
        <w:divId w:val="170678704"/>
        <w:rPr>
          <w:rFonts w:eastAsia="Times New Roman"/>
        </w:rPr>
      </w:pPr>
      <w:r>
        <w:rPr>
          <w:rFonts w:eastAsia="Times New Roman"/>
          <w:b/>
          <w:bCs/>
          <w:color w:val="54B948"/>
          <w:sz w:val="20"/>
          <w:szCs w:val="20"/>
          <w:shd w:val="clear" w:color="auto" w:fill="FFFFFF"/>
        </w:rPr>
        <w:t>7. INCOME TAXES</w:t>
      </w:r>
    </w:p>
    <w:p w14:paraId="1CE8B57E" w14:textId="77777777" w:rsidR="00000000" w:rsidRDefault="0068293C">
      <w:pPr>
        <w:divId w:val="1374234391"/>
        <w:rPr>
          <w:rFonts w:eastAsia="Times New Roman"/>
        </w:rPr>
      </w:pPr>
    </w:p>
    <w:p w14:paraId="26877293" w14:textId="77777777" w:rsidR="00000000" w:rsidRDefault="0068293C">
      <w:pPr>
        <w:jc w:val="both"/>
        <w:rPr>
          <w:rFonts w:eastAsia="Times New Roman"/>
        </w:rPr>
      </w:pPr>
      <w:r>
        <w:rPr>
          <w:rFonts w:eastAsia="Times New Roman"/>
          <w:color w:val="000000"/>
          <w:sz w:val="20"/>
          <w:szCs w:val="20"/>
        </w:rPr>
        <w:t xml:space="preserve">Income tax provisions for interim (quarterly) periods are based on an estimated annual effective income tax rate calculated separately </w:t>
      </w:r>
      <w:r>
        <w:rPr>
          <w:rFonts w:eastAsia="Times New Roman"/>
          <w:color w:val="000000"/>
          <w:sz w:val="20"/>
          <w:szCs w:val="20"/>
        </w:rPr>
        <w:t>from the effect of significant, infrequent or unusual items. Income tax expense was $13 million for the three months ended March 31, 2022 compared to income tax expense of $17 million for the three months ended March 31, 2021. The change was primarily driv</w:t>
      </w:r>
      <w:r>
        <w:rPr>
          <w:rFonts w:eastAsia="Times New Roman"/>
          <w:color w:val="000000"/>
          <w:sz w:val="20"/>
          <w:szCs w:val="20"/>
        </w:rPr>
        <w:t>en by a pre-tax book loss offset by the removal of tax benefit in certain foreign jurisdictions where the benefit will not be realized. Additionally, during the three months ended March 31, 2022, the Company did not recognize any material discrete tax cons</w:t>
      </w:r>
      <w:r>
        <w:rPr>
          <w:rFonts w:eastAsia="Times New Roman"/>
          <w:color w:val="000000"/>
          <w:sz w:val="20"/>
          <w:szCs w:val="20"/>
        </w:rPr>
        <w:t>istent with the three months ended March 31, 2021.</w:t>
      </w:r>
    </w:p>
    <w:p w14:paraId="3543360A" w14:textId="77777777" w:rsidR="00000000" w:rsidRDefault="0068293C">
      <w:pPr>
        <w:jc w:val="both"/>
        <w:rPr>
          <w:rFonts w:eastAsia="Times New Roman"/>
        </w:rPr>
      </w:pPr>
    </w:p>
    <w:p w14:paraId="6E7CDFCB" w14:textId="77777777" w:rsidR="00000000" w:rsidRDefault="0068293C">
      <w:pPr>
        <w:jc w:val="both"/>
        <w:rPr>
          <w:rFonts w:eastAsia="Times New Roman"/>
        </w:rPr>
      </w:pPr>
      <w:r>
        <w:rPr>
          <w:rFonts w:eastAsia="Times New Roman"/>
          <w:color w:val="000000"/>
          <w:sz w:val="20"/>
          <w:szCs w:val="20"/>
        </w:rPr>
        <w:t>The Company engages in continuous discussions and negotiations with taxing authorities regarding tax matters, and the Company has determined that over the next 12 months it expects to resolve certain tax</w:t>
      </w:r>
      <w:r>
        <w:rPr>
          <w:rFonts w:eastAsia="Times New Roman"/>
          <w:color w:val="000000"/>
          <w:sz w:val="20"/>
          <w:szCs w:val="20"/>
        </w:rPr>
        <w:t xml:space="preserve"> matters related to U.S. and foreign jurisdictions. As a result, as of March 31, 2022, we estimate that it is reasonably possible that gross unrecognized tax benefits may decrease by $5 million to $13 million in the next 12 months.</w:t>
      </w:r>
    </w:p>
    <w:p w14:paraId="47A2577F" w14:textId="77777777" w:rsidR="00000000" w:rsidRDefault="0068293C">
      <w:pPr>
        <w:jc w:val="both"/>
        <w:rPr>
          <w:rFonts w:eastAsia="Times New Roman"/>
        </w:rPr>
      </w:pPr>
    </w:p>
    <w:p w14:paraId="3A037A94" w14:textId="77777777" w:rsidR="00000000" w:rsidRDefault="0068293C">
      <w:pPr>
        <w:ind w:firstLine="720"/>
        <w:divId w:val="1069185717"/>
        <w:rPr>
          <w:rFonts w:eastAsia="Times New Roman"/>
        </w:rPr>
      </w:pPr>
    </w:p>
    <w:p w14:paraId="328258A2" w14:textId="77777777" w:rsidR="00000000" w:rsidRDefault="0068293C">
      <w:pPr>
        <w:divId w:val="642122127"/>
        <w:rPr>
          <w:rFonts w:eastAsia="Times New Roman"/>
        </w:rPr>
      </w:pPr>
      <w:r>
        <w:rPr>
          <w:rFonts w:eastAsia="Times New Roman"/>
          <w:b/>
          <w:bCs/>
          <w:color w:val="54B948"/>
          <w:sz w:val="20"/>
          <w:szCs w:val="20"/>
        </w:rPr>
        <w:t>8. STOCK COMPENSATIO</w:t>
      </w:r>
      <w:r>
        <w:rPr>
          <w:rFonts w:eastAsia="Times New Roman"/>
          <w:b/>
          <w:bCs/>
          <w:color w:val="54B948"/>
          <w:sz w:val="20"/>
          <w:szCs w:val="20"/>
        </w:rPr>
        <w:t>N PLANS</w:t>
      </w:r>
      <w:r>
        <w:rPr>
          <w:rFonts w:eastAsia="Times New Roman"/>
          <w:b/>
          <w:bCs/>
          <w:color w:val="000000"/>
          <w:sz w:val="20"/>
          <w:szCs w:val="20"/>
        </w:rPr>
        <w:t xml:space="preserve"> </w:t>
      </w:r>
    </w:p>
    <w:p w14:paraId="4D8F02A9" w14:textId="77777777" w:rsidR="00000000" w:rsidRDefault="0068293C">
      <w:pPr>
        <w:divId w:val="1409231731"/>
        <w:rPr>
          <w:rFonts w:eastAsia="Times New Roman"/>
        </w:rPr>
      </w:pPr>
    </w:p>
    <w:p w14:paraId="0265F600" w14:textId="77777777" w:rsidR="00000000" w:rsidRDefault="0068293C">
      <w:pPr>
        <w:jc w:val="both"/>
        <w:rPr>
          <w:rFonts w:eastAsia="Times New Roman"/>
        </w:rPr>
      </w:pPr>
      <w:r>
        <w:rPr>
          <w:rFonts w:eastAsia="Times New Roman"/>
          <w:color w:val="000000"/>
          <w:sz w:val="20"/>
          <w:szCs w:val="20"/>
        </w:rPr>
        <w:t xml:space="preserve">As of March 31, 2022, the Company’s primary type of stock-based compensation was restricted stock units and stock options. </w:t>
      </w:r>
      <w:r>
        <w:rPr>
          <w:rFonts w:eastAsia="Times New Roman"/>
          <w:color w:val="000000"/>
          <w:sz w:val="20"/>
          <w:szCs w:val="20"/>
        </w:rPr>
        <w:t>Stock-based compensation expense for the following periods were: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04"/>
        <w:gridCol w:w="37"/>
        <w:gridCol w:w="120"/>
        <w:gridCol w:w="1020"/>
        <w:gridCol w:w="36"/>
        <w:gridCol w:w="36"/>
        <w:gridCol w:w="36"/>
        <w:gridCol w:w="36"/>
        <w:gridCol w:w="120"/>
        <w:gridCol w:w="985"/>
        <w:gridCol w:w="36"/>
      </w:tblGrid>
      <w:tr w:rsidR="00000000" w14:paraId="0CF55B02" w14:textId="77777777">
        <w:trPr>
          <w:divId w:val="1305158698"/>
          <w:jc w:val="center"/>
        </w:trPr>
        <w:tc>
          <w:tcPr>
            <w:tcW w:w="50" w:type="pct"/>
            <w:vAlign w:val="center"/>
            <w:hideMark/>
          </w:tcPr>
          <w:p w14:paraId="1C9B00FE" w14:textId="77777777" w:rsidR="00000000" w:rsidRDefault="0068293C">
            <w:pPr>
              <w:jc w:val="both"/>
              <w:rPr>
                <w:rFonts w:eastAsia="Times New Roman"/>
              </w:rPr>
            </w:pPr>
          </w:p>
        </w:tc>
        <w:tc>
          <w:tcPr>
            <w:tcW w:w="3519" w:type="pct"/>
            <w:vAlign w:val="center"/>
            <w:hideMark/>
          </w:tcPr>
          <w:p w14:paraId="0181E373" w14:textId="77777777" w:rsidR="00000000" w:rsidRDefault="0068293C">
            <w:pPr>
              <w:spacing w:after="100"/>
              <w:rPr>
                <w:rFonts w:eastAsia="Times New Roman"/>
                <w:sz w:val="20"/>
                <w:szCs w:val="20"/>
              </w:rPr>
            </w:pPr>
          </w:p>
        </w:tc>
        <w:tc>
          <w:tcPr>
            <w:tcW w:w="5" w:type="pct"/>
            <w:vAlign w:val="center"/>
            <w:hideMark/>
          </w:tcPr>
          <w:p w14:paraId="6EFF6EB8" w14:textId="77777777" w:rsidR="00000000" w:rsidRDefault="0068293C">
            <w:pPr>
              <w:spacing w:after="100"/>
              <w:rPr>
                <w:rFonts w:eastAsia="Times New Roman"/>
                <w:sz w:val="20"/>
                <w:szCs w:val="20"/>
              </w:rPr>
            </w:pPr>
          </w:p>
        </w:tc>
        <w:tc>
          <w:tcPr>
            <w:tcW w:w="50" w:type="pct"/>
            <w:vAlign w:val="center"/>
            <w:hideMark/>
          </w:tcPr>
          <w:p w14:paraId="58476EAC" w14:textId="77777777" w:rsidR="00000000" w:rsidRDefault="0068293C">
            <w:pPr>
              <w:spacing w:after="100"/>
              <w:rPr>
                <w:rFonts w:eastAsia="Times New Roman"/>
                <w:sz w:val="20"/>
                <w:szCs w:val="20"/>
              </w:rPr>
            </w:pPr>
          </w:p>
        </w:tc>
        <w:tc>
          <w:tcPr>
            <w:tcW w:w="639" w:type="pct"/>
            <w:vAlign w:val="center"/>
            <w:hideMark/>
          </w:tcPr>
          <w:p w14:paraId="476D9C2B" w14:textId="77777777" w:rsidR="00000000" w:rsidRDefault="0068293C">
            <w:pPr>
              <w:spacing w:after="100"/>
              <w:rPr>
                <w:rFonts w:eastAsia="Times New Roman"/>
                <w:sz w:val="20"/>
                <w:szCs w:val="20"/>
              </w:rPr>
            </w:pPr>
          </w:p>
        </w:tc>
        <w:tc>
          <w:tcPr>
            <w:tcW w:w="5" w:type="pct"/>
            <w:vAlign w:val="center"/>
            <w:hideMark/>
          </w:tcPr>
          <w:p w14:paraId="530CF5BC" w14:textId="77777777" w:rsidR="00000000" w:rsidRDefault="0068293C">
            <w:pPr>
              <w:spacing w:after="100"/>
              <w:rPr>
                <w:rFonts w:eastAsia="Times New Roman"/>
                <w:sz w:val="20"/>
                <w:szCs w:val="20"/>
              </w:rPr>
            </w:pPr>
          </w:p>
        </w:tc>
        <w:tc>
          <w:tcPr>
            <w:tcW w:w="5" w:type="pct"/>
            <w:vAlign w:val="center"/>
            <w:hideMark/>
          </w:tcPr>
          <w:p w14:paraId="333C1E84" w14:textId="77777777" w:rsidR="00000000" w:rsidRDefault="0068293C">
            <w:pPr>
              <w:spacing w:after="100"/>
              <w:rPr>
                <w:rFonts w:eastAsia="Times New Roman"/>
                <w:sz w:val="20"/>
                <w:szCs w:val="20"/>
              </w:rPr>
            </w:pPr>
          </w:p>
        </w:tc>
        <w:tc>
          <w:tcPr>
            <w:tcW w:w="26" w:type="pct"/>
            <w:vAlign w:val="center"/>
            <w:hideMark/>
          </w:tcPr>
          <w:p w14:paraId="246B730A" w14:textId="77777777" w:rsidR="00000000" w:rsidRDefault="0068293C">
            <w:pPr>
              <w:spacing w:after="100"/>
              <w:rPr>
                <w:rFonts w:eastAsia="Times New Roman"/>
                <w:sz w:val="20"/>
                <w:szCs w:val="20"/>
              </w:rPr>
            </w:pPr>
          </w:p>
        </w:tc>
        <w:tc>
          <w:tcPr>
            <w:tcW w:w="5" w:type="pct"/>
            <w:vAlign w:val="center"/>
            <w:hideMark/>
          </w:tcPr>
          <w:p w14:paraId="49290C3E" w14:textId="77777777" w:rsidR="00000000" w:rsidRDefault="0068293C">
            <w:pPr>
              <w:spacing w:after="100"/>
              <w:rPr>
                <w:rFonts w:eastAsia="Times New Roman"/>
                <w:sz w:val="20"/>
                <w:szCs w:val="20"/>
              </w:rPr>
            </w:pPr>
          </w:p>
        </w:tc>
        <w:tc>
          <w:tcPr>
            <w:tcW w:w="50" w:type="pct"/>
            <w:vAlign w:val="center"/>
            <w:hideMark/>
          </w:tcPr>
          <w:p w14:paraId="46C7768C" w14:textId="77777777" w:rsidR="00000000" w:rsidRDefault="0068293C">
            <w:pPr>
              <w:spacing w:after="100"/>
              <w:rPr>
                <w:rFonts w:eastAsia="Times New Roman"/>
                <w:sz w:val="20"/>
                <w:szCs w:val="20"/>
              </w:rPr>
            </w:pPr>
          </w:p>
        </w:tc>
        <w:tc>
          <w:tcPr>
            <w:tcW w:w="639" w:type="pct"/>
            <w:vAlign w:val="center"/>
            <w:hideMark/>
          </w:tcPr>
          <w:p w14:paraId="6D1BB265" w14:textId="77777777" w:rsidR="00000000" w:rsidRDefault="0068293C">
            <w:pPr>
              <w:spacing w:after="100"/>
              <w:rPr>
                <w:rFonts w:eastAsia="Times New Roman"/>
                <w:sz w:val="20"/>
                <w:szCs w:val="20"/>
              </w:rPr>
            </w:pPr>
          </w:p>
        </w:tc>
        <w:tc>
          <w:tcPr>
            <w:tcW w:w="5" w:type="pct"/>
            <w:vAlign w:val="center"/>
            <w:hideMark/>
          </w:tcPr>
          <w:p w14:paraId="5A97CF37" w14:textId="77777777" w:rsidR="00000000" w:rsidRDefault="0068293C">
            <w:pPr>
              <w:spacing w:after="100"/>
              <w:rPr>
                <w:rFonts w:eastAsia="Times New Roman"/>
                <w:sz w:val="20"/>
                <w:szCs w:val="20"/>
              </w:rPr>
            </w:pPr>
          </w:p>
        </w:tc>
      </w:tr>
      <w:tr w:rsidR="00000000" w14:paraId="04E56D81" w14:textId="77777777">
        <w:trPr>
          <w:divId w:val="1305158698"/>
          <w:trHeight w:val="420"/>
          <w:jc w:val="center"/>
        </w:trPr>
        <w:tc>
          <w:tcPr>
            <w:tcW w:w="0" w:type="auto"/>
            <w:gridSpan w:val="3"/>
            <w:vMerge w:val="restart"/>
            <w:tcMar>
              <w:top w:w="30" w:type="dxa"/>
              <w:left w:w="20" w:type="dxa"/>
              <w:bottom w:w="30" w:type="dxa"/>
              <w:right w:w="20" w:type="dxa"/>
            </w:tcMar>
            <w:vAlign w:val="bottom"/>
            <w:hideMark/>
          </w:tcPr>
          <w:p w14:paraId="3BB11007"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12C0AE25"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6760BA9B" w14:textId="77777777">
        <w:trPr>
          <w:divId w:val="1305158698"/>
          <w:trHeight w:val="240"/>
          <w:jc w:val="center"/>
        </w:trPr>
        <w:tc>
          <w:tcPr>
            <w:tcW w:w="0" w:type="auto"/>
            <w:gridSpan w:val="3"/>
            <w:vMerge/>
            <w:vAlign w:val="center"/>
            <w:hideMark/>
          </w:tcPr>
          <w:p w14:paraId="70A699D8"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68E536"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D2E184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65C5C3"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0ADB301E" w14:textId="77777777">
        <w:trPr>
          <w:divId w:val="1305158698"/>
          <w:jc w:val="center"/>
        </w:trPr>
        <w:tc>
          <w:tcPr>
            <w:tcW w:w="0" w:type="auto"/>
            <w:gridSpan w:val="3"/>
            <w:shd w:val="clear" w:color="auto" w:fill="CCEEFF"/>
            <w:tcMar>
              <w:top w:w="30" w:type="dxa"/>
              <w:left w:w="20" w:type="dxa"/>
              <w:bottom w:w="30" w:type="dxa"/>
              <w:right w:w="20" w:type="dxa"/>
            </w:tcMar>
            <w:hideMark/>
          </w:tcPr>
          <w:p w14:paraId="04E3B463" w14:textId="77777777" w:rsidR="00000000" w:rsidRDefault="0068293C">
            <w:pPr>
              <w:spacing w:after="100"/>
              <w:rPr>
                <w:rFonts w:eastAsia="Times New Roman"/>
              </w:rPr>
            </w:pPr>
            <w:r>
              <w:rPr>
                <w:rFonts w:eastAsia="Times New Roman"/>
                <w:color w:val="000000"/>
                <w:sz w:val="20"/>
                <w:szCs w:val="20"/>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8BF8E8"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D8A5EF" w14:textId="77777777" w:rsidR="00000000" w:rsidRDefault="0068293C">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62B0D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815D6"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DA567B"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349F2D" w14:textId="77777777" w:rsidR="00000000" w:rsidRDefault="0068293C">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CB49CE" w14:textId="77777777" w:rsidR="00000000" w:rsidRDefault="0068293C">
            <w:pPr>
              <w:spacing w:after="100"/>
              <w:jc w:val="right"/>
              <w:rPr>
                <w:rFonts w:eastAsia="Times New Roman"/>
              </w:rPr>
            </w:pPr>
          </w:p>
        </w:tc>
      </w:tr>
      <w:tr w:rsidR="00000000" w14:paraId="3E9381ED" w14:textId="77777777">
        <w:trPr>
          <w:divId w:val="1305158698"/>
          <w:jc w:val="center"/>
        </w:trPr>
        <w:tc>
          <w:tcPr>
            <w:tcW w:w="0" w:type="auto"/>
            <w:gridSpan w:val="3"/>
            <w:shd w:val="clear" w:color="auto" w:fill="FFFFFF"/>
            <w:tcMar>
              <w:top w:w="30" w:type="dxa"/>
              <w:left w:w="20" w:type="dxa"/>
              <w:bottom w:w="30" w:type="dxa"/>
              <w:right w:w="20" w:type="dxa"/>
            </w:tcMar>
            <w:hideMark/>
          </w:tcPr>
          <w:p w14:paraId="15D19EEE" w14:textId="77777777" w:rsidR="00000000" w:rsidRDefault="0068293C">
            <w:pPr>
              <w:spacing w:after="100"/>
              <w:rPr>
                <w:rFonts w:eastAsia="Times New Roman"/>
              </w:rPr>
            </w:pPr>
            <w:r>
              <w:rPr>
                <w:rFonts w:eastAsia="Times New Roman"/>
                <w:color w:val="000000"/>
                <w:sz w:val="20"/>
                <w:szCs w:val="20"/>
              </w:rPr>
              <w:t>Stock options</w:t>
            </w:r>
          </w:p>
        </w:tc>
        <w:tc>
          <w:tcPr>
            <w:tcW w:w="0" w:type="auto"/>
            <w:gridSpan w:val="3"/>
            <w:shd w:val="clear" w:color="auto" w:fill="FFFFFF"/>
            <w:tcMar>
              <w:top w:w="30" w:type="dxa"/>
              <w:left w:w="20" w:type="dxa"/>
              <w:bottom w:w="30" w:type="dxa"/>
              <w:right w:w="20" w:type="dxa"/>
            </w:tcMar>
            <w:vAlign w:val="bottom"/>
            <w:hideMark/>
          </w:tcPr>
          <w:p w14:paraId="25CAD47F" w14:textId="77777777" w:rsidR="00000000" w:rsidRDefault="0068293C">
            <w:pPr>
              <w:spacing w:after="100"/>
              <w:jc w:val="right"/>
              <w:rPr>
                <w:rFonts w:eastAsia="Times New Roman"/>
              </w:rPr>
            </w:pPr>
            <w:r>
              <w:rPr>
                <w:rFonts w:eastAsia="Times New Roman"/>
                <w:b/>
                <w:bCs/>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14:paraId="7146E347"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89FE26" w14:textId="77777777" w:rsidR="00000000" w:rsidRDefault="0068293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13E7CC40" w14:textId="77777777" w:rsidR="00000000" w:rsidRDefault="0068293C">
            <w:pPr>
              <w:spacing w:after="100"/>
              <w:jc w:val="right"/>
              <w:rPr>
                <w:rFonts w:eastAsia="Times New Roman"/>
              </w:rPr>
            </w:pPr>
          </w:p>
        </w:tc>
      </w:tr>
      <w:tr w:rsidR="00000000" w14:paraId="1704125F" w14:textId="77777777">
        <w:trPr>
          <w:divId w:val="1305158698"/>
          <w:jc w:val="center"/>
        </w:trPr>
        <w:tc>
          <w:tcPr>
            <w:tcW w:w="0" w:type="auto"/>
            <w:gridSpan w:val="3"/>
            <w:shd w:val="clear" w:color="auto" w:fill="CCEEFF"/>
            <w:tcMar>
              <w:top w:w="30" w:type="dxa"/>
              <w:left w:w="20" w:type="dxa"/>
              <w:bottom w:w="30" w:type="dxa"/>
              <w:right w:w="20" w:type="dxa"/>
            </w:tcMar>
            <w:hideMark/>
          </w:tcPr>
          <w:p w14:paraId="3BEC304C" w14:textId="77777777" w:rsidR="00000000" w:rsidRDefault="0068293C">
            <w:pPr>
              <w:spacing w:after="100"/>
              <w:rPr>
                <w:rFonts w:eastAsia="Times New Roman"/>
              </w:rPr>
            </w:pPr>
            <w:r>
              <w:rPr>
                <w:rFonts w:eastAsia="Times New Roman"/>
                <w:color w:val="000000"/>
                <w:sz w:val="20"/>
                <w:szCs w:val="20"/>
              </w:rPr>
              <w:t>Employee stock purchase plan</w:t>
            </w:r>
          </w:p>
        </w:tc>
        <w:tc>
          <w:tcPr>
            <w:tcW w:w="0" w:type="auto"/>
            <w:gridSpan w:val="3"/>
            <w:shd w:val="clear" w:color="auto" w:fill="CCEEFF"/>
            <w:tcMar>
              <w:top w:w="30" w:type="dxa"/>
              <w:left w:w="20" w:type="dxa"/>
              <w:bottom w:w="30" w:type="dxa"/>
              <w:right w:w="20" w:type="dxa"/>
            </w:tcMar>
            <w:vAlign w:val="bottom"/>
            <w:hideMark/>
          </w:tcPr>
          <w:p w14:paraId="6F05AD39" w14:textId="77777777" w:rsidR="00000000" w:rsidRDefault="0068293C">
            <w:pPr>
              <w:spacing w:after="100"/>
              <w:jc w:val="right"/>
              <w:rPr>
                <w:rFonts w:eastAsia="Times New Roman"/>
              </w:rPr>
            </w:pPr>
            <w:r>
              <w:rPr>
                <w:rFonts w:eastAsia="Times New Roman"/>
                <w:b/>
                <w:bCs/>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14:paraId="47D346D6"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516593" w14:textId="77777777" w:rsidR="00000000" w:rsidRDefault="0068293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0B2661C" w14:textId="77777777" w:rsidR="00000000" w:rsidRDefault="0068293C">
            <w:pPr>
              <w:spacing w:after="100"/>
              <w:jc w:val="right"/>
              <w:rPr>
                <w:rFonts w:eastAsia="Times New Roman"/>
              </w:rPr>
            </w:pPr>
          </w:p>
        </w:tc>
      </w:tr>
      <w:tr w:rsidR="00000000" w14:paraId="47935511" w14:textId="77777777">
        <w:trPr>
          <w:divId w:val="1305158698"/>
          <w:jc w:val="center"/>
        </w:trPr>
        <w:tc>
          <w:tcPr>
            <w:tcW w:w="0" w:type="auto"/>
            <w:gridSpan w:val="3"/>
            <w:shd w:val="clear" w:color="auto" w:fill="FFFFFF"/>
            <w:tcMar>
              <w:top w:w="30" w:type="dxa"/>
              <w:left w:w="20" w:type="dxa"/>
              <w:bottom w:w="30" w:type="dxa"/>
              <w:right w:w="20" w:type="dxa"/>
            </w:tcMar>
            <w:hideMark/>
          </w:tcPr>
          <w:p w14:paraId="124183F5" w14:textId="77777777" w:rsidR="00000000" w:rsidRDefault="0068293C">
            <w:pPr>
              <w:spacing w:after="100"/>
              <w:rPr>
                <w:rFonts w:eastAsia="Times New Roman"/>
              </w:rPr>
            </w:pPr>
            <w:r>
              <w:rPr>
                <w:rFonts w:eastAsia="Times New Roman"/>
                <w:color w:val="000000"/>
                <w:sz w:val="20"/>
                <w:szCs w:val="20"/>
              </w:rPr>
              <w:t>Stock-based compensation expense</w:t>
            </w:r>
          </w:p>
        </w:tc>
        <w:tc>
          <w:tcPr>
            <w:tcW w:w="0" w:type="auto"/>
            <w:gridSpan w:val="3"/>
            <w:tcBorders>
              <w:top w:val="single" w:sz="8" w:space="0" w:color="000000"/>
            </w:tcBorders>
            <w:tcMar>
              <w:top w:w="30" w:type="dxa"/>
              <w:left w:w="20" w:type="dxa"/>
              <w:bottom w:w="30" w:type="dxa"/>
              <w:right w:w="20" w:type="dxa"/>
            </w:tcMar>
            <w:vAlign w:val="bottom"/>
            <w:hideMark/>
          </w:tcPr>
          <w:p w14:paraId="766FFF61" w14:textId="77777777" w:rsidR="00000000" w:rsidRDefault="0068293C">
            <w:pPr>
              <w:spacing w:after="100"/>
              <w:jc w:val="right"/>
              <w:rPr>
                <w:rFonts w:eastAsia="Times New Roman"/>
              </w:rPr>
            </w:pPr>
            <w:r>
              <w:rPr>
                <w:rFonts w:eastAsia="Times New Roman"/>
                <w:b/>
                <w:bCs/>
                <w:color w:val="000000"/>
                <w:sz w:val="20"/>
                <w:szCs w:val="20"/>
              </w:rPr>
              <w:t>34</w:t>
            </w:r>
          </w:p>
        </w:tc>
        <w:tc>
          <w:tcPr>
            <w:tcW w:w="0" w:type="auto"/>
            <w:gridSpan w:val="3"/>
            <w:tcMar>
              <w:top w:w="0" w:type="dxa"/>
              <w:left w:w="20" w:type="dxa"/>
              <w:bottom w:w="0" w:type="dxa"/>
              <w:right w:w="20" w:type="dxa"/>
            </w:tcMar>
            <w:vAlign w:val="center"/>
            <w:hideMark/>
          </w:tcPr>
          <w:p w14:paraId="41A520FA" w14:textId="77777777" w:rsidR="00000000" w:rsidRDefault="0068293C">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EEF0A8" w14:textId="77777777" w:rsidR="00000000" w:rsidRDefault="0068293C">
            <w:pPr>
              <w:spacing w:after="100"/>
              <w:jc w:val="right"/>
              <w:rPr>
                <w:rFonts w:eastAsia="Times New Roman"/>
              </w:rPr>
            </w:pPr>
            <w:r>
              <w:rPr>
                <w:rFonts w:eastAsia="Times New Roman"/>
                <w:color w:val="000000"/>
                <w:sz w:val="20"/>
                <w:szCs w:val="20"/>
              </w:rPr>
              <w:t>44</w:t>
            </w:r>
          </w:p>
        </w:tc>
      </w:tr>
      <w:tr w:rsidR="00000000" w14:paraId="571A9968" w14:textId="77777777">
        <w:trPr>
          <w:divId w:val="1305158698"/>
          <w:jc w:val="center"/>
        </w:trPr>
        <w:tc>
          <w:tcPr>
            <w:tcW w:w="0" w:type="auto"/>
            <w:gridSpan w:val="3"/>
            <w:shd w:val="clear" w:color="auto" w:fill="CCEEFF"/>
            <w:tcMar>
              <w:top w:w="30" w:type="dxa"/>
              <w:left w:w="20" w:type="dxa"/>
              <w:bottom w:w="30" w:type="dxa"/>
              <w:right w:w="20" w:type="dxa"/>
            </w:tcMar>
            <w:hideMark/>
          </w:tcPr>
          <w:p w14:paraId="7A3346B6" w14:textId="77777777" w:rsidR="00000000" w:rsidRDefault="0068293C">
            <w:pPr>
              <w:spacing w:after="100"/>
              <w:rPr>
                <w:rFonts w:eastAsia="Times New Roman"/>
              </w:rPr>
            </w:pPr>
            <w:r>
              <w:rPr>
                <w:rFonts w:eastAsia="Times New Roman"/>
                <w:color w:val="000000"/>
                <w:sz w:val="20"/>
                <w:szCs w:val="20"/>
              </w:rPr>
              <w:t>Tax benefit</w:t>
            </w:r>
          </w:p>
        </w:tc>
        <w:tc>
          <w:tcPr>
            <w:tcW w:w="0" w:type="auto"/>
            <w:gridSpan w:val="2"/>
            <w:shd w:val="clear" w:color="auto" w:fill="CCEEFF"/>
            <w:tcMar>
              <w:top w:w="30" w:type="dxa"/>
              <w:left w:w="20" w:type="dxa"/>
              <w:bottom w:w="30" w:type="dxa"/>
              <w:right w:w="0" w:type="dxa"/>
            </w:tcMar>
            <w:vAlign w:val="bottom"/>
            <w:hideMark/>
          </w:tcPr>
          <w:p w14:paraId="1C2CB6A5" w14:textId="77777777" w:rsidR="00000000" w:rsidRDefault="0068293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7A679B9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93D9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4D5B6C" w14:textId="77777777" w:rsidR="00000000" w:rsidRDefault="0068293C">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54B8F84E" w14:textId="77777777" w:rsidR="00000000" w:rsidRDefault="0068293C">
            <w:pPr>
              <w:spacing w:after="100"/>
              <w:jc w:val="right"/>
              <w:rPr>
                <w:rFonts w:eastAsia="Times New Roman"/>
              </w:rPr>
            </w:pPr>
          </w:p>
        </w:tc>
      </w:tr>
      <w:tr w:rsidR="00000000" w14:paraId="60DD473E" w14:textId="77777777">
        <w:trPr>
          <w:divId w:val="1305158698"/>
          <w:jc w:val="center"/>
        </w:trPr>
        <w:tc>
          <w:tcPr>
            <w:tcW w:w="0" w:type="auto"/>
            <w:gridSpan w:val="3"/>
            <w:shd w:val="clear" w:color="auto" w:fill="FFFFFF"/>
            <w:tcMar>
              <w:top w:w="30" w:type="dxa"/>
              <w:left w:w="20" w:type="dxa"/>
              <w:bottom w:w="30" w:type="dxa"/>
              <w:right w:w="20" w:type="dxa"/>
            </w:tcMar>
            <w:hideMark/>
          </w:tcPr>
          <w:p w14:paraId="327C1927" w14:textId="77777777" w:rsidR="00000000" w:rsidRDefault="0068293C">
            <w:pPr>
              <w:spacing w:after="100"/>
              <w:rPr>
                <w:rFonts w:eastAsia="Times New Roman"/>
              </w:rPr>
            </w:pPr>
            <w:r>
              <w:rPr>
                <w:rFonts w:eastAsia="Times New Roman"/>
                <w:color w:val="000000"/>
                <w:sz w:val="20"/>
                <w:szCs w:val="20"/>
              </w:rPr>
              <w:t>Stock-based compensation expense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DDB5FF"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9BE6C2" w14:textId="77777777" w:rsidR="00000000" w:rsidRDefault="0068293C">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F0624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6909D"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169C9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816199" w14:textId="77777777" w:rsidR="00000000" w:rsidRDefault="0068293C">
            <w:pPr>
              <w:spacing w:after="100"/>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89F087" w14:textId="77777777" w:rsidR="00000000" w:rsidRDefault="0068293C">
            <w:pPr>
              <w:spacing w:after="100"/>
              <w:jc w:val="right"/>
              <w:rPr>
                <w:rFonts w:eastAsia="Times New Roman"/>
              </w:rPr>
            </w:pPr>
          </w:p>
        </w:tc>
      </w:tr>
    </w:tbl>
    <w:p w14:paraId="2402EFBD" w14:textId="77777777" w:rsidR="00000000" w:rsidRDefault="0068293C">
      <w:pPr>
        <w:jc w:val="both"/>
        <w:rPr>
          <w:rFonts w:eastAsia="Times New Roman"/>
        </w:rPr>
      </w:pPr>
      <w:r>
        <w:rPr>
          <w:rFonts w:eastAsia="Times New Roman"/>
          <w:color w:val="000000"/>
          <w:sz w:val="20"/>
          <w:szCs w:val="20"/>
        </w:rPr>
        <w:t xml:space="preserve">Stock-based compensation expense is recognized in the financial statements based upon fair value. </w:t>
      </w:r>
    </w:p>
    <w:p w14:paraId="1FB3F3D0" w14:textId="77777777" w:rsidR="00000000" w:rsidRDefault="0068293C">
      <w:pPr>
        <w:jc w:val="both"/>
        <w:rPr>
          <w:rFonts w:eastAsia="Times New Roman"/>
        </w:rPr>
      </w:pPr>
    </w:p>
    <w:p w14:paraId="559D3758" w14:textId="77777777" w:rsidR="00000000" w:rsidRDefault="0068293C">
      <w:pPr>
        <w:jc w:val="center"/>
        <w:divId w:val="1689018003"/>
        <w:rPr>
          <w:rFonts w:eastAsia="Times New Roman"/>
        </w:rPr>
      </w:pPr>
      <w:r>
        <w:rPr>
          <w:rFonts w:eastAsia="Times New Roman"/>
          <w:color w:val="000000"/>
          <w:sz w:val="20"/>
          <w:szCs w:val="20"/>
        </w:rPr>
        <w:t>19</w:t>
      </w:r>
    </w:p>
    <w:p w14:paraId="0B61216F" w14:textId="77777777" w:rsidR="00000000" w:rsidRDefault="0068293C">
      <w:pPr>
        <w:rPr>
          <w:rFonts w:eastAsia="Times New Roman"/>
        </w:rPr>
      </w:pPr>
      <w:r>
        <w:rPr>
          <w:rFonts w:eastAsia="Times New Roman"/>
        </w:rPr>
        <w:pict w14:anchorId="06047BB4">
          <v:rect id="_x0000_i1044" style="width:0;height:1.5pt" o:hralign="center" o:hrstd="t" o:hr="t" fillcolor="#a0a0a0" stroked="f"/>
        </w:pict>
      </w:r>
    </w:p>
    <w:p w14:paraId="284C5978" w14:textId="77777777" w:rsidR="00000000" w:rsidRDefault="0068293C">
      <w:pPr>
        <w:ind w:firstLine="720"/>
        <w:divId w:val="1117408393"/>
        <w:rPr>
          <w:rFonts w:eastAsia="Times New Roman"/>
        </w:rPr>
      </w:pPr>
      <w:hyperlink w:anchor="i78484f3d0d8e4e36a7c87ddd6ea9d725_7" w:history="1">
        <w:r>
          <w:rPr>
            <w:rStyle w:val="a3"/>
            <w:rFonts w:eastAsia="Times New Roman"/>
            <w:sz w:val="16"/>
            <w:szCs w:val="16"/>
          </w:rPr>
          <w:t>Table of Content</w:t>
        </w:r>
      </w:hyperlink>
    </w:p>
    <w:p w14:paraId="141128A3" w14:textId="77777777" w:rsidR="00000000" w:rsidRDefault="0068293C">
      <w:pPr>
        <w:jc w:val="center"/>
        <w:divId w:val="901479308"/>
        <w:rPr>
          <w:rFonts w:eastAsia="Times New Roman"/>
        </w:rPr>
      </w:pPr>
      <w:r>
        <w:rPr>
          <w:rFonts w:eastAsia="Times New Roman"/>
          <w:b/>
          <w:bCs/>
          <w:color w:val="000000"/>
          <w:sz w:val="20"/>
          <w:szCs w:val="20"/>
        </w:rPr>
        <w:t>NCR Corporation</w:t>
      </w:r>
    </w:p>
    <w:p w14:paraId="7150B919" w14:textId="77777777" w:rsidR="00000000" w:rsidRDefault="0068293C">
      <w:pPr>
        <w:jc w:val="center"/>
        <w:divId w:val="901479308"/>
        <w:rPr>
          <w:rFonts w:eastAsia="Times New Roman"/>
        </w:rPr>
      </w:pPr>
      <w:r>
        <w:rPr>
          <w:rFonts w:eastAsia="Times New Roman"/>
          <w:b/>
          <w:bCs/>
          <w:color w:val="000000"/>
          <w:sz w:val="20"/>
          <w:szCs w:val="20"/>
        </w:rPr>
        <w:t>Notes to Condensed Consolidated Financial Statements (Unaudited)—(Continued)</w:t>
      </w:r>
    </w:p>
    <w:p w14:paraId="40D9E3A7" w14:textId="77777777" w:rsidR="00000000" w:rsidRDefault="0068293C">
      <w:pPr>
        <w:jc w:val="both"/>
        <w:rPr>
          <w:rFonts w:eastAsia="Times New Roman"/>
        </w:rPr>
      </w:pPr>
      <w:r>
        <w:rPr>
          <w:rFonts w:eastAsia="Times New Roman"/>
          <w:color w:val="000000"/>
          <w:sz w:val="20"/>
          <w:szCs w:val="20"/>
        </w:rPr>
        <w:t>On February 25, 2022, the Company granted market-based restricted stock units with 100% of the award vesting on December 31, 2024. The number of awards that vest are subject to the performance of the Company's stock price from the date of grant to December</w:t>
      </w:r>
      <w:r>
        <w:rPr>
          <w:rFonts w:eastAsia="Times New Roman"/>
          <w:color w:val="000000"/>
          <w:sz w:val="20"/>
          <w:szCs w:val="20"/>
        </w:rPr>
        <w:t> 31, 2024. The fair value was determined to be $57.67 based on using a Monte-Carlo simulation model and will be recognized over the requisite service period. The table below details the assumptions used in determining the fair value of the market-based res</w:t>
      </w:r>
      <w:r>
        <w:rPr>
          <w:rFonts w:eastAsia="Times New Roman"/>
          <w:color w:val="000000"/>
          <w:sz w:val="20"/>
          <w:szCs w:val="20"/>
        </w:rPr>
        <w:t xml:space="preserve">tricted stock units. </w:t>
      </w:r>
    </w:p>
    <w:tbl>
      <w:tblPr>
        <w:tblW w:w="4970" w:type="pct"/>
        <w:tblCellMar>
          <w:top w:w="15" w:type="dxa"/>
          <w:left w:w="15" w:type="dxa"/>
          <w:bottom w:w="15" w:type="dxa"/>
          <w:right w:w="15" w:type="dxa"/>
        </w:tblCellMar>
        <w:tblLook w:val="04A0" w:firstRow="1" w:lastRow="0" w:firstColumn="1" w:lastColumn="0" w:noHBand="0" w:noVBand="1"/>
      </w:tblPr>
      <w:tblGrid>
        <w:gridCol w:w="37"/>
        <w:gridCol w:w="5918"/>
        <w:gridCol w:w="36"/>
        <w:gridCol w:w="39"/>
        <w:gridCol w:w="2006"/>
        <w:gridCol w:w="220"/>
      </w:tblGrid>
      <w:tr w:rsidR="00000000" w14:paraId="1BB4B7DF" w14:textId="77777777">
        <w:trPr>
          <w:divId w:val="1435708668"/>
        </w:trPr>
        <w:tc>
          <w:tcPr>
            <w:tcW w:w="50" w:type="pct"/>
            <w:vAlign w:val="center"/>
            <w:hideMark/>
          </w:tcPr>
          <w:p w14:paraId="01FF42FB" w14:textId="77777777" w:rsidR="00000000" w:rsidRDefault="0068293C">
            <w:pPr>
              <w:jc w:val="both"/>
              <w:rPr>
                <w:rFonts w:eastAsia="Times New Roman"/>
              </w:rPr>
            </w:pPr>
          </w:p>
        </w:tc>
        <w:tc>
          <w:tcPr>
            <w:tcW w:w="3628" w:type="pct"/>
            <w:vAlign w:val="center"/>
            <w:hideMark/>
          </w:tcPr>
          <w:p w14:paraId="38B94B56" w14:textId="77777777" w:rsidR="00000000" w:rsidRDefault="0068293C">
            <w:pPr>
              <w:spacing w:after="100"/>
              <w:rPr>
                <w:rFonts w:eastAsia="Times New Roman"/>
                <w:sz w:val="20"/>
                <w:szCs w:val="20"/>
              </w:rPr>
            </w:pPr>
          </w:p>
        </w:tc>
        <w:tc>
          <w:tcPr>
            <w:tcW w:w="5" w:type="pct"/>
            <w:vAlign w:val="center"/>
            <w:hideMark/>
          </w:tcPr>
          <w:p w14:paraId="378BE5E8" w14:textId="77777777" w:rsidR="00000000" w:rsidRDefault="0068293C">
            <w:pPr>
              <w:spacing w:after="100"/>
              <w:rPr>
                <w:rFonts w:eastAsia="Times New Roman"/>
                <w:sz w:val="20"/>
                <w:szCs w:val="20"/>
              </w:rPr>
            </w:pPr>
          </w:p>
        </w:tc>
        <w:tc>
          <w:tcPr>
            <w:tcW w:w="50" w:type="pct"/>
            <w:vAlign w:val="center"/>
            <w:hideMark/>
          </w:tcPr>
          <w:p w14:paraId="0CFFC096" w14:textId="77777777" w:rsidR="00000000" w:rsidRDefault="0068293C">
            <w:pPr>
              <w:spacing w:after="100"/>
              <w:rPr>
                <w:rFonts w:eastAsia="Times New Roman"/>
                <w:sz w:val="20"/>
                <w:szCs w:val="20"/>
              </w:rPr>
            </w:pPr>
          </w:p>
        </w:tc>
        <w:tc>
          <w:tcPr>
            <w:tcW w:w="1261" w:type="pct"/>
            <w:vAlign w:val="center"/>
            <w:hideMark/>
          </w:tcPr>
          <w:p w14:paraId="4A8C0306" w14:textId="77777777" w:rsidR="00000000" w:rsidRDefault="0068293C">
            <w:pPr>
              <w:spacing w:after="100"/>
              <w:rPr>
                <w:rFonts w:eastAsia="Times New Roman"/>
                <w:sz w:val="20"/>
                <w:szCs w:val="20"/>
              </w:rPr>
            </w:pPr>
          </w:p>
        </w:tc>
        <w:tc>
          <w:tcPr>
            <w:tcW w:w="5" w:type="pct"/>
            <w:vAlign w:val="center"/>
            <w:hideMark/>
          </w:tcPr>
          <w:p w14:paraId="785CD06C" w14:textId="77777777" w:rsidR="00000000" w:rsidRDefault="0068293C">
            <w:pPr>
              <w:spacing w:after="100"/>
              <w:rPr>
                <w:rFonts w:eastAsia="Times New Roman"/>
                <w:sz w:val="20"/>
                <w:szCs w:val="20"/>
              </w:rPr>
            </w:pPr>
          </w:p>
        </w:tc>
      </w:tr>
      <w:tr w:rsidR="00000000" w14:paraId="2F05A83E" w14:textId="77777777">
        <w:trPr>
          <w:divId w:val="1435708668"/>
          <w:trHeight w:val="360"/>
        </w:trPr>
        <w:tc>
          <w:tcPr>
            <w:tcW w:w="0" w:type="auto"/>
            <w:gridSpan w:val="3"/>
            <w:tcMar>
              <w:top w:w="0" w:type="dxa"/>
              <w:left w:w="20" w:type="dxa"/>
              <w:bottom w:w="0" w:type="dxa"/>
              <w:right w:w="20" w:type="dxa"/>
            </w:tcMar>
            <w:vAlign w:val="center"/>
            <w:hideMark/>
          </w:tcPr>
          <w:p w14:paraId="7EFEAA9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E28499" w14:textId="77777777" w:rsidR="00000000" w:rsidRDefault="0068293C">
            <w:pPr>
              <w:spacing w:after="100"/>
              <w:rPr>
                <w:rFonts w:eastAsia="Times New Roman"/>
                <w:sz w:val="20"/>
                <w:szCs w:val="20"/>
              </w:rPr>
            </w:pPr>
          </w:p>
        </w:tc>
      </w:tr>
      <w:tr w:rsidR="00000000" w14:paraId="75136767" w14:textId="77777777">
        <w:trPr>
          <w:divId w:val="1435708668"/>
        </w:trPr>
        <w:tc>
          <w:tcPr>
            <w:tcW w:w="0" w:type="auto"/>
            <w:gridSpan w:val="3"/>
            <w:shd w:val="clear" w:color="auto" w:fill="CCEEFF"/>
            <w:tcMar>
              <w:top w:w="30" w:type="dxa"/>
              <w:left w:w="20" w:type="dxa"/>
              <w:bottom w:w="30" w:type="dxa"/>
              <w:right w:w="20" w:type="dxa"/>
            </w:tcMar>
            <w:hideMark/>
          </w:tcPr>
          <w:p w14:paraId="07141104" w14:textId="77777777" w:rsidR="00000000" w:rsidRDefault="0068293C">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14:paraId="27DD8CAA"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6A10CC" w14:textId="77777777" w:rsidR="00000000" w:rsidRDefault="0068293C">
            <w:pPr>
              <w:spacing w:after="100"/>
              <w:jc w:val="right"/>
              <w:rPr>
                <w:rFonts w:eastAsia="Times New Roman"/>
              </w:rPr>
            </w:pPr>
            <w:r>
              <w:rPr>
                <w:rFonts w:eastAsia="Times New Roman"/>
                <w:b/>
                <w:bCs/>
                <w:color w:val="000000"/>
                <w:sz w:val="20"/>
                <w:szCs w:val="20"/>
              </w:rPr>
              <w:t>%</w:t>
            </w:r>
          </w:p>
        </w:tc>
      </w:tr>
      <w:tr w:rsidR="00000000" w14:paraId="2801B132" w14:textId="77777777">
        <w:trPr>
          <w:divId w:val="1435708668"/>
        </w:trPr>
        <w:tc>
          <w:tcPr>
            <w:tcW w:w="0" w:type="auto"/>
            <w:gridSpan w:val="3"/>
            <w:shd w:val="clear" w:color="auto" w:fill="FFFFFF"/>
            <w:tcMar>
              <w:top w:w="30" w:type="dxa"/>
              <w:left w:w="20" w:type="dxa"/>
              <w:bottom w:w="30" w:type="dxa"/>
              <w:right w:w="20" w:type="dxa"/>
            </w:tcMar>
            <w:hideMark/>
          </w:tcPr>
          <w:p w14:paraId="0472E005" w14:textId="77777777" w:rsidR="00000000" w:rsidRDefault="0068293C">
            <w:pPr>
              <w:spacing w:after="100"/>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14:paraId="4608CE32" w14:textId="77777777" w:rsidR="00000000" w:rsidRDefault="0068293C">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DB3EB6" w14:textId="77777777" w:rsidR="00000000" w:rsidRDefault="0068293C">
            <w:pPr>
              <w:spacing w:after="100"/>
              <w:jc w:val="right"/>
              <w:rPr>
                <w:rFonts w:eastAsia="Times New Roman"/>
              </w:rPr>
            </w:pPr>
            <w:r>
              <w:rPr>
                <w:rFonts w:eastAsia="Times New Roman"/>
                <w:b/>
                <w:bCs/>
                <w:color w:val="000000"/>
                <w:sz w:val="20"/>
                <w:szCs w:val="20"/>
              </w:rPr>
              <w:t>%</w:t>
            </w:r>
          </w:p>
        </w:tc>
      </w:tr>
      <w:tr w:rsidR="00000000" w14:paraId="06D09012" w14:textId="77777777">
        <w:trPr>
          <w:divId w:val="1435708668"/>
        </w:trPr>
        <w:tc>
          <w:tcPr>
            <w:tcW w:w="0" w:type="auto"/>
            <w:gridSpan w:val="3"/>
            <w:shd w:val="clear" w:color="auto" w:fill="CCEEFF"/>
            <w:tcMar>
              <w:top w:w="30" w:type="dxa"/>
              <w:left w:w="20" w:type="dxa"/>
              <w:bottom w:w="30" w:type="dxa"/>
              <w:right w:w="20" w:type="dxa"/>
            </w:tcMar>
            <w:hideMark/>
          </w:tcPr>
          <w:p w14:paraId="63F7A646" w14:textId="77777777" w:rsidR="00000000" w:rsidRDefault="0068293C">
            <w:pPr>
              <w:spacing w:after="100"/>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14:paraId="2EB2C6D7" w14:textId="77777777" w:rsidR="00000000" w:rsidRDefault="0068293C">
            <w:pPr>
              <w:spacing w:after="100"/>
              <w:jc w:val="right"/>
              <w:rPr>
                <w:rFonts w:eastAsia="Times New Roman"/>
              </w:rPr>
            </w:pPr>
            <w:r>
              <w:rPr>
                <w:rFonts w:eastAsia="Times New Roman"/>
                <w:b/>
                <w:bCs/>
                <w:color w:val="000000"/>
                <w:sz w:val="20"/>
                <w:szCs w:val="20"/>
              </w:rPr>
              <w:t>59.26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82DFCE" w14:textId="77777777" w:rsidR="00000000" w:rsidRDefault="0068293C">
            <w:pPr>
              <w:spacing w:after="100"/>
              <w:jc w:val="right"/>
              <w:rPr>
                <w:rFonts w:eastAsia="Times New Roman"/>
              </w:rPr>
            </w:pPr>
            <w:r>
              <w:rPr>
                <w:rFonts w:eastAsia="Times New Roman"/>
                <w:b/>
                <w:bCs/>
                <w:color w:val="000000"/>
                <w:sz w:val="20"/>
                <w:szCs w:val="20"/>
              </w:rPr>
              <w:t>%</w:t>
            </w:r>
          </w:p>
        </w:tc>
      </w:tr>
    </w:tbl>
    <w:p w14:paraId="0A33B8CA" w14:textId="77777777" w:rsidR="00000000" w:rsidRDefault="0068293C">
      <w:pPr>
        <w:divId w:val="1391801837"/>
        <w:rPr>
          <w:rFonts w:eastAsia="Times New Roman"/>
        </w:rPr>
      </w:pPr>
    </w:p>
    <w:p w14:paraId="7D44E456" w14:textId="77777777" w:rsidR="00000000" w:rsidRDefault="0068293C">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three year U.S. Treasury yield curve in effect at the time of the grant.</w:t>
      </w:r>
    </w:p>
    <w:p w14:paraId="56F8B7F8" w14:textId="77777777" w:rsidR="00000000" w:rsidRDefault="0068293C">
      <w:pPr>
        <w:jc w:val="both"/>
        <w:rPr>
          <w:rFonts w:eastAsia="Times New Roman"/>
        </w:rPr>
      </w:pPr>
    </w:p>
    <w:p w14:paraId="1EB68155" w14:textId="77777777" w:rsidR="00000000" w:rsidRDefault="0068293C">
      <w:pPr>
        <w:jc w:val="both"/>
        <w:rPr>
          <w:rFonts w:eastAsia="Times New Roman"/>
        </w:rPr>
      </w:pPr>
      <w:r>
        <w:rPr>
          <w:rFonts w:eastAsia="Times New Roman"/>
          <w:color w:val="000000"/>
          <w:sz w:val="20"/>
          <w:szCs w:val="20"/>
        </w:rPr>
        <w:t xml:space="preserve">As of March 31, 2022, the total unrecognized compensation cost of $228 </w:t>
      </w:r>
      <w:r>
        <w:rPr>
          <w:rFonts w:eastAsia="Times New Roman"/>
          <w:color w:val="000000"/>
          <w:sz w:val="20"/>
          <w:szCs w:val="20"/>
        </w:rPr>
        <w:t>million related to unvested restricted stock grants is expected to be recognized over a weighted average period of approximately 1.2 years. As of March 31, 2022, the total unrecognized compensation cost of $15 million related to unvested stock option grant</w:t>
      </w:r>
      <w:r>
        <w:rPr>
          <w:rFonts w:eastAsia="Times New Roman"/>
          <w:color w:val="000000"/>
          <w:sz w:val="20"/>
          <w:szCs w:val="20"/>
        </w:rPr>
        <w:t xml:space="preserve">s is expected to be recognized over a weighted average period of approximately 0.5 years. </w:t>
      </w:r>
    </w:p>
    <w:p w14:paraId="5A8C645B" w14:textId="77777777" w:rsidR="00000000" w:rsidRDefault="0068293C">
      <w:pPr>
        <w:jc w:val="both"/>
        <w:rPr>
          <w:rFonts w:eastAsia="Times New Roman"/>
        </w:rPr>
      </w:pPr>
    </w:p>
    <w:p w14:paraId="56F2E607" w14:textId="77777777" w:rsidR="00000000" w:rsidRDefault="0068293C">
      <w:pPr>
        <w:jc w:val="both"/>
        <w:rPr>
          <w:rFonts w:eastAsia="Times New Roman"/>
        </w:rPr>
      </w:pPr>
      <w:r>
        <w:rPr>
          <w:rFonts w:eastAsia="Times New Roman"/>
          <w:i/>
          <w:iCs/>
          <w:color w:val="000000"/>
          <w:sz w:val="20"/>
          <w:szCs w:val="20"/>
        </w:rPr>
        <w:t xml:space="preserve">Employee Stock Purchase Plan </w:t>
      </w:r>
      <w:r>
        <w:rPr>
          <w:rFonts w:eastAsia="Times New Roman"/>
          <w:color w:val="000000"/>
          <w:sz w:val="20"/>
          <w:szCs w:val="20"/>
        </w:rPr>
        <w:t>The Company's Employee Stock Purchase Plan (“ESPP”) provides employees a 15% discount on stock purchases using a three-month look-back</w:t>
      </w:r>
      <w:r>
        <w:rPr>
          <w:rFonts w:eastAsia="Times New Roman"/>
          <w:color w:val="000000"/>
          <w:sz w:val="20"/>
          <w:szCs w:val="20"/>
        </w:rPr>
        <w:t xml:space="preserve"> feature where the discount is applied to the stock price that represents the lower of NCR’s closing stock price on either the first day or the last day of each calendar quarter. Participants can contribute between 1% and 10% of their compensation. </w:t>
      </w:r>
    </w:p>
    <w:p w14:paraId="3F6F74C2" w14:textId="77777777" w:rsidR="00000000" w:rsidRDefault="0068293C">
      <w:pPr>
        <w:jc w:val="both"/>
        <w:rPr>
          <w:rFonts w:eastAsia="Times New Roman"/>
        </w:rPr>
      </w:pPr>
    </w:p>
    <w:p w14:paraId="31DF04A1" w14:textId="77777777" w:rsidR="00000000" w:rsidRDefault="0068293C">
      <w:pPr>
        <w:jc w:val="both"/>
        <w:rPr>
          <w:rFonts w:eastAsia="Times New Roman"/>
        </w:rPr>
      </w:pPr>
      <w:r>
        <w:rPr>
          <w:rFonts w:eastAsia="Times New Roman"/>
          <w:color w:val="000000"/>
          <w:sz w:val="20"/>
          <w:szCs w:val="20"/>
        </w:rPr>
        <w:t xml:space="preserve">For </w:t>
      </w:r>
      <w:r>
        <w:rPr>
          <w:rFonts w:eastAsia="Times New Roman"/>
          <w:color w:val="000000"/>
          <w:sz w:val="20"/>
          <w:szCs w:val="20"/>
        </w:rPr>
        <w:t xml:space="preserve">the three months ended March 31, 2022, employees purchased 0.3 million shares, at a discounted price of $34.16. For the three months ended March 31, 2021, employees purchased 0.2 million shares, at a discounted price of $30.82. </w:t>
      </w:r>
    </w:p>
    <w:p w14:paraId="53C15946" w14:textId="77777777" w:rsidR="00000000" w:rsidRDefault="0068293C">
      <w:pPr>
        <w:jc w:val="both"/>
        <w:rPr>
          <w:rFonts w:eastAsia="Times New Roman"/>
        </w:rPr>
      </w:pPr>
    </w:p>
    <w:p w14:paraId="3B8AA287" w14:textId="77777777" w:rsidR="00000000" w:rsidRDefault="0068293C">
      <w:pPr>
        <w:divId w:val="1368991130"/>
        <w:rPr>
          <w:rFonts w:eastAsia="Times New Roman"/>
        </w:rPr>
      </w:pPr>
      <w:r>
        <w:rPr>
          <w:rFonts w:eastAsia="Times New Roman"/>
          <w:b/>
          <w:bCs/>
          <w:color w:val="54B948"/>
          <w:sz w:val="20"/>
          <w:szCs w:val="20"/>
        </w:rPr>
        <w:t>9. EMPLOYEE BENEFIT PLANS</w:t>
      </w:r>
      <w:r>
        <w:rPr>
          <w:rFonts w:eastAsia="Times New Roman"/>
          <w:b/>
          <w:bCs/>
          <w:color w:val="000000"/>
          <w:sz w:val="20"/>
          <w:szCs w:val="20"/>
        </w:rPr>
        <w:t xml:space="preserve"> </w:t>
      </w:r>
    </w:p>
    <w:p w14:paraId="5089F58D" w14:textId="77777777" w:rsidR="00000000" w:rsidRDefault="0068293C">
      <w:pPr>
        <w:divId w:val="319432453"/>
        <w:rPr>
          <w:rFonts w:eastAsia="Times New Roman"/>
        </w:rPr>
      </w:pPr>
    </w:p>
    <w:p w14:paraId="579DFA43" w14:textId="77777777" w:rsidR="00000000" w:rsidRDefault="0068293C">
      <w:pPr>
        <w:divId w:val="2042826658"/>
        <w:rPr>
          <w:rFonts w:eastAsia="Times New Roman"/>
        </w:rPr>
      </w:pPr>
      <w:r>
        <w:rPr>
          <w:rFonts w:eastAsia="Times New Roman"/>
          <w:color w:val="000000"/>
          <w:sz w:val="20"/>
          <w:szCs w:val="20"/>
        </w:rPr>
        <w:t>Components of net periodic benefit cost (income) of the pension plans for the three months ended March 31 were as follows: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2113"/>
        <w:gridCol w:w="39"/>
        <w:gridCol w:w="121"/>
        <w:gridCol w:w="647"/>
        <w:gridCol w:w="37"/>
        <w:gridCol w:w="37"/>
        <w:gridCol w:w="37"/>
        <w:gridCol w:w="37"/>
        <w:gridCol w:w="120"/>
        <w:gridCol w:w="646"/>
        <w:gridCol w:w="36"/>
        <w:gridCol w:w="36"/>
        <w:gridCol w:w="36"/>
        <w:gridCol w:w="36"/>
        <w:gridCol w:w="121"/>
        <w:gridCol w:w="918"/>
        <w:gridCol w:w="37"/>
        <w:gridCol w:w="37"/>
        <w:gridCol w:w="50"/>
        <w:gridCol w:w="36"/>
        <w:gridCol w:w="120"/>
        <w:gridCol w:w="917"/>
        <w:gridCol w:w="36"/>
        <w:gridCol w:w="36"/>
        <w:gridCol w:w="36"/>
        <w:gridCol w:w="36"/>
        <w:gridCol w:w="121"/>
        <w:gridCol w:w="681"/>
        <w:gridCol w:w="36"/>
        <w:gridCol w:w="36"/>
        <w:gridCol w:w="37"/>
        <w:gridCol w:w="36"/>
        <w:gridCol w:w="120"/>
        <w:gridCol w:w="682"/>
        <w:gridCol w:w="36"/>
      </w:tblGrid>
      <w:tr w:rsidR="00000000" w14:paraId="7C9B50BF" w14:textId="77777777">
        <w:trPr>
          <w:divId w:val="1079248947"/>
          <w:jc w:val="center"/>
        </w:trPr>
        <w:tc>
          <w:tcPr>
            <w:tcW w:w="50" w:type="pct"/>
            <w:vAlign w:val="center"/>
            <w:hideMark/>
          </w:tcPr>
          <w:p w14:paraId="6296C696" w14:textId="77777777" w:rsidR="00000000" w:rsidRDefault="0068293C">
            <w:pPr>
              <w:rPr>
                <w:rFonts w:eastAsia="Times New Roman"/>
              </w:rPr>
            </w:pPr>
          </w:p>
        </w:tc>
        <w:tc>
          <w:tcPr>
            <w:tcW w:w="1510" w:type="pct"/>
            <w:vAlign w:val="center"/>
            <w:hideMark/>
          </w:tcPr>
          <w:p w14:paraId="4D4D580F" w14:textId="77777777" w:rsidR="00000000" w:rsidRDefault="0068293C">
            <w:pPr>
              <w:spacing w:after="100"/>
              <w:rPr>
                <w:rFonts w:eastAsia="Times New Roman"/>
                <w:sz w:val="20"/>
                <w:szCs w:val="20"/>
              </w:rPr>
            </w:pPr>
          </w:p>
        </w:tc>
        <w:tc>
          <w:tcPr>
            <w:tcW w:w="5" w:type="pct"/>
            <w:vAlign w:val="center"/>
            <w:hideMark/>
          </w:tcPr>
          <w:p w14:paraId="2B38230C" w14:textId="77777777" w:rsidR="00000000" w:rsidRDefault="0068293C">
            <w:pPr>
              <w:spacing w:after="100"/>
              <w:rPr>
                <w:rFonts w:eastAsia="Times New Roman"/>
                <w:sz w:val="20"/>
                <w:szCs w:val="20"/>
              </w:rPr>
            </w:pPr>
          </w:p>
        </w:tc>
        <w:tc>
          <w:tcPr>
            <w:tcW w:w="50" w:type="pct"/>
            <w:vAlign w:val="center"/>
            <w:hideMark/>
          </w:tcPr>
          <w:p w14:paraId="23A556E8" w14:textId="77777777" w:rsidR="00000000" w:rsidRDefault="0068293C">
            <w:pPr>
              <w:spacing w:after="100"/>
              <w:rPr>
                <w:rFonts w:eastAsia="Times New Roman"/>
                <w:sz w:val="20"/>
                <w:szCs w:val="20"/>
              </w:rPr>
            </w:pPr>
          </w:p>
        </w:tc>
        <w:tc>
          <w:tcPr>
            <w:tcW w:w="486" w:type="pct"/>
            <w:vAlign w:val="center"/>
            <w:hideMark/>
          </w:tcPr>
          <w:p w14:paraId="1903CA11" w14:textId="77777777" w:rsidR="00000000" w:rsidRDefault="0068293C">
            <w:pPr>
              <w:spacing w:after="100"/>
              <w:rPr>
                <w:rFonts w:eastAsia="Times New Roman"/>
                <w:sz w:val="20"/>
                <w:szCs w:val="20"/>
              </w:rPr>
            </w:pPr>
          </w:p>
        </w:tc>
        <w:tc>
          <w:tcPr>
            <w:tcW w:w="5" w:type="pct"/>
            <w:vAlign w:val="center"/>
            <w:hideMark/>
          </w:tcPr>
          <w:p w14:paraId="416BA21A" w14:textId="77777777" w:rsidR="00000000" w:rsidRDefault="0068293C">
            <w:pPr>
              <w:spacing w:after="100"/>
              <w:rPr>
                <w:rFonts w:eastAsia="Times New Roman"/>
                <w:sz w:val="20"/>
                <w:szCs w:val="20"/>
              </w:rPr>
            </w:pPr>
          </w:p>
        </w:tc>
        <w:tc>
          <w:tcPr>
            <w:tcW w:w="5" w:type="pct"/>
            <w:vAlign w:val="center"/>
            <w:hideMark/>
          </w:tcPr>
          <w:p w14:paraId="59369490" w14:textId="77777777" w:rsidR="00000000" w:rsidRDefault="0068293C">
            <w:pPr>
              <w:spacing w:after="100"/>
              <w:rPr>
                <w:rFonts w:eastAsia="Times New Roman"/>
                <w:sz w:val="20"/>
                <w:szCs w:val="20"/>
              </w:rPr>
            </w:pPr>
          </w:p>
        </w:tc>
        <w:tc>
          <w:tcPr>
            <w:tcW w:w="27" w:type="pct"/>
            <w:vAlign w:val="center"/>
            <w:hideMark/>
          </w:tcPr>
          <w:p w14:paraId="1DEE3F57" w14:textId="77777777" w:rsidR="00000000" w:rsidRDefault="0068293C">
            <w:pPr>
              <w:spacing w:after="100"/>
              <w:rPr>
                <w:rFonts w:eastAsia="Times New Roman"/>
                <w:sz w:val="20"/>
                <w:szCs w:val="20"/>
              </w:rPr>
            </w:pPr>
          </w:p>
        </w:tc>
        <w:tc>
          <w:tcPr>
            <w:tcW w:w="5" w:type="pct"/>
            <w:vAlign w:val="center"/>
            <w:hideMark/>
          </w:tcPr>
          <w:p w14:paraId="5800BD14" w14:textId="77777777" w:rsidR="00000000" w:rsidRDefault="0068293C">
            <w:pPr>
              <w:spacing w:after="100"/>
              <w:rPr>
                <w:rFonts w:eastAsia="Times New Roman"/>
                <w:sz w:val="20"/>
                <w:szCs w:val="20"/>
              </w:rPr>
            </w:pPr>
          </w:p>
        </w:tc>
        <w:tc>
          <w:tcPr>
            <w:tcW w:w="50" w:type="pct"/>
            <w:vAlign w:val="center"/>
            <w:hideMark/>
          </w:tcPr>
          <w:p w14:paraId="2F628541" w14:textId="77777777" w:rsidR="00000000" w:rsidRDefault="0068293C">
            <w:pPr>
              <w:spacing w:after="100"/>
              <w:rPr>
                <w:rFonts w:eastAsia="Times New Roman"/>
                <w:sz w:val="20"/>
                <w:szCs w:val="20"/>
              </w:rPr>
            </w:pPr>
          </w:p>
        </w:tc>
        <w:tc>
          <w:tcPr>
            <w:tcW w:w="486" w:type="pct"/>
            <w:vAlign w:val="center"/>
            <w:hideMark/>
          </w:tcPr>
          <w:p w14:paraId="719ED20C" w14:textId="77777777" w:rsidR="00000000" w:rsidRDefault="0068293C">
            <w:pPr>
              <w:spacing w:after="100"/>
              <w:rPr>
                <w:rFonts w:eastAsia="Times New Roman"/>
                <w:sz w:val="20"/>
                <w:szCs w:val="20"/>
              </w:rPr>
            </w:pPr>
          </w:p>
        </w:tc>
        <w:tc>
          <w:tcPr>
            <w:tcW w:w="5" w:type="pct"/>
            <w:vAlign w:val="center"/>
            <w:hideMark/>
          </w:tcPr>
          <w:p w14:paraId="74ED027A" w14:textId="77777777" w:rsidR="00000000" w:rsidRDefault="0068293C">
            <w:pPr>
              <w:spacing w:after="100"/>
              <w:rPr>
                <w:rFonts w:eastAsia="Times New Roman"/>
                <w:sz w:val="20"/>
                <w:szCs w:val="20"/>
              </w:rPr>
            </w:pPr>
          </w:p>
        </w:tc>
        <w:tc>
          <w:tcPr>
            <w:tcW w:w="5" w:type="pct"/>
            <w:vAlign w:val="center"/>
            <w:hideMark/>
          </w:tcPr>
          <w:p w14:paraId="438506B8" w14:textId="77777777" w:rsidR="00000000" w:rsidRDefault="0068293C">
            <w:pPr>
              <w:spacing w:after="100"/>
              <w:rPr>
                <w:rFonts w:eastAsia="Times New Roman"/>
                <w:sz w:val="20"/>
                <w:szCs w:val="20"/>
              </w:rPr>
            </w:pPr>
          </w:p>
        </w:tc>
        <w:tc>
          <w:tcPr>
            <w:tcW w:w="27" w:type="pct"/>
            <w:vAlign w:val="center"/>
            <w:hideMark/>
          </w:tcPr>
          <w:p w14:paraId="615F992F" w14:textId="77777777" w:rsidR="00000000" w:rsidRDefault="0068293C">
            <w:pPr>
              <w:spacing w:after="100"/>
              <w:rPr>
                <w:rFonts w:eastAsia="Times New Roman"/>
                <w:sz w:val="20"/>
                <w:szCs w:val="20"/>
              </w:rPr>
            </w:pPr>
          </w:p>
        </w:tc>
        <w:tc>
          <w:tcPr>
            <w:tcW w:w="5" w:type="pct"/>
            <w:vAlign w:val="center"/>
            <w:hideMark/>
          </w:tcPr>
          <w:p w14:paraId="2B847FD6" w14:textId="77777777" w:rsidR="00000000" w:rsidRDefault="0068293C">
            <w:pPr>
              <w:spacing w:after="100"/>
              <w:rPr>
                <w:rFonts w:eastAsia="Times New Roman"/>
                <w:sz w:val="20"/>
                <w:szCs w:val="20"/>
              </w:rPr>
            </w:pPr>
          </w:p>
        </w:tc>
        <w:tc>
          <w:tcPr>
            <w:tcW w:w="50" w:type="pct"/>
            <w:vAlign w:val="center"/>
            <w:hideMark/>
          </w:tcPr>
          <w:p w14:paraId="1528ED77" w14:textId="77777777" w:rsidR="00000000" w:rsidRDefault="0068293C">
            <w:pPr>
              <w:spacing w:after="100"/>
              <w:rPr>
                <w:rFonts w:eastAsia="Times New Roman"/>
                <w:sz w:val="20"/>
                <w:szCs w:val="20"/>
              </w:rPr>
            </w:pPr>
          </w:p>
        </w:tc>
        <w:tc>
          <w:tcPr>
            <w:tcW w:w="486" w:type="pct"/>
            <w:vAlign w:val="center"/>
            <w:hideMark/>
          </w:tcPr>
          <w:p w14:paraId="5E2AB4F6" w14:textId="77777777" w:rsidR="00000000" w:rsidRDefault="0068293C">
            <w:pPr>
              <w:spacing w:after="100"/>
              <w:rPr>
                <w:rFonts w:eastAsia="Times New Roman"/>
                <w:sz w:val="20"/>
                <w:szCs w:val="20"/>
              </w:rPr>
            </w:pPr>
          </w:p>
        </w:tc>
        <w:tc>
          <w:tcPr>
            <w:tcW w:w="5" w:type="pct"/>
            <w:vAlign w:val="center"/>
            <w:hideMark/>
          </w:tcPr>
          <w:p w14:paraId="276D2D31" w14:textId="77777777" w:rsidR="00000000" w:rsidRDefault="0068293C">
            <w:pPr>
              <w:spacing w:after="100"/>
              <w:rPr>
                <w:rFonts w:eastAsia="Times New Roman"/>
                <w:sz w:val="20"/>
                <w:szCs w:val="20"/>
              </w:rPr>
            </w:pPr>
          </w:p>
        </w:tc>
        <w:tc>
          <w:tcPr>
            <w:tcW w:w="5" w:type="pct"/>
            <w:vAlign w:val="center"/>
            <w:hideMark/>
          </w:tcPr>
          <w:p w14:paraId="226B72E4" w14:textId="77777777" w:rsidR="00000000" w:rsidRDefault="0068293C">
            <w:pPr>
              <w:spacing w:after="100"/>
              <w:rPr>
                <w:rFonts w:eastAsia="Times New Roman"/>
                <w:sz w:val="20"/>
                <w:szCs w:val="20"/>
              </w:rPr>
            </w:pPr>
          </w:p>
        </w:tc>
        <w:tc>
          <w:tcPr>
            <w:tcW w:w="27" w:type="pct"/>
            <w:vAlign w:val="center"/>
            <w:hideMark/>
          </w:tcPr>
          <w:p w14:paraId="0F235040" w14:textId="77777777" w:rsidR="00000000" w:rsidRDefault="0068293C">
            <w:pPr>
              <w:spacing w:after="100"/>
              <w:rPr>
                <w:rFonts w:eastAsia="Times New Roman"/>
                <w:sz w:val="20"/>
                <w:szCs w:val="20"/>
              </w:rPr>
            </w:pPr>
          </w:p>
        </w:tc>
        <w:tc>
          <w:tcPr>
            <w:tcW w:w="5" w:type="pct"/>
            <w:vAlign w:val="center"/>
            <w:hideMark/>
          </w:tcPr>
          <w:p w14:paraId="58CA5C4C" w14:textId="77777777" w:rsidR="00000000" w:rsidRDefault="0068293C">
            <w:pPr>
              <w:spacing w:after="100"/>
              <w:rPr>
                <w:rFonts w:eastAsia="Times New Roman"/>
                <w:sz w:val="20"/>
                <w:szCs w:val="20"/>
              </w:rPr>
            </w:pPr>
          </w:p>
        </w:tc>
        <w:tc>
          <w:tcPr>
            <w:tcW w:w="50" w:type="pct"/>
            <w:vAlign w:val="center"/>
            <w:hideMark/>
          </w:tcPr>
          <w:p w14:paraId="6643C086" w14:textId="77777777" w:rsidR="00000000" w:rsidRDefault="0068293C">
            <w:pPr>
              <w:spacing w:after="100"/>
              <w:rPr>
                <w:rFonts w:eastAsia="Times New Roman"/>
                <w:sz w:val="20"/>
                <w:szCs w:val="20"/>
              </w:rPr>
            </w:pPr>
          </w:p>
        </w:tc>
        <w:tc>
          <w:tcPr>
            <w:tcW w:w="486" w:type="pct"/>
            <w:vAlign w:val="center"/>
            <w:hideMark/>
          </w:tcPr>
          <w:p w14:paraId="503DCA9E" w14:textId="77777777" w:rsidR="00000000" w:rsidRDefault="0068293C">
            <w:pPr>
              <w:spacing w:after="100"/>
              <w:rPr>
                <w:rFonts w:eastAsia="Times New Roman"/>
                <w:sz w:val="20"/>
                <w:szCs w:val="20"/>
              </w:rPr>
            </w:pPr>
          </w:p>
        </w:tc>
        <w:tc>
          <w:tcPr>
            <w:tcW w:w="5" w:type="pct"/>
            <w:vAlign w:val="center"/>
            <w:hideMark/>
          </w:tcPr>
          <w:p w14:paraId="6D92E57D" w14:textId="77777777" w:rsidR="00000000" w:rsidRDefault="0068293C">
            <w:pPr>
              <w:spacing w:after="100"/>
              <w:rPr>
                <w:rFonts w:eastAsia="Times New Roman"/>
                <w:sz w:val="20"/>
                <w:szCs w:val="20"/>
              </w:rPr>
            </w:pPr>
          </w:p>
        </w:tc>
        <w:tc>
          <w:tcPr>
            <w:tcW w:w="5" w:type="pct"/>
            <w:vAlign w:val="center"/>
            <w:hideMark/>
          </w:tcPr>
          <w:p w14:paraId="377AE14D" w14:textId="77777777" w:rsidR="00000000" w:rsidRDefault="0068293C">
            <w:pPr>
              <w:spacing w:after="100"/>
              <w:rPr>
                <w:rFonts w:eastAsia="Times New Roman"/>
                <w:sz w:val="20"/>
                <w:szCs w:val="20"/>
              </w:rPr>
            </w:pPr>
          </w:p>
        </w:tc>
        <w:tc>
          <w:tcPr>
            <w:tcW w:w="27" w:type="pct"/>
            <w:vAlign w:val="center"/>
            <w:hideMark/>
          </w:tcPr>
          <w:p w14:paraId="0022083D" w14:textId="77777777" w:rsidR="00000000" w:rsidRDefault="0068293C">
            <w:pPr>
              <w:spacing w:after="100"/>
              <w:rPr>
                <w:rFonts w:eastAsia="Times New Roman"/>
                <w:sz w:val="20"/>
                <w:szCs w:val="20"/>
              </w:rPr>
            </w:pPr>
          </w:p>
        </w:tc>
        <w:tc>
          <w:tcPr>
            <w:tcW w:w="5" w:type="pct"/>
            <w:vAlign w:val="center"/>
            <w:hideMark/>
          </w:tcPr>
          <w:p w14:paraId="34A2C7A7" w14:textId="77777777" w:rsidR="00000000" w:rsidRDefault="0068293C">
            <w:pPr>
              <w:spacing w:after="100"/>
              <w:rPr>
                <w:rFonts w:eastAsia="Times New Roman"/>
                <w:sz w:val="20"/>
                <w:szCs w:val="20"/>
              </w:rPr>
            </w:pPr>
          </w:p>
        </w:tc>
        <w:tc>
          <w:tcPr>
            <w:tcW w:w="50" w:type="pct"/>
            <w:vAlign w:val="center"/>
            <w:hideMark/>
          </w:tcPr>
          <w:p w14:paraId="63D2340C" w14:textId="77777777" w:rsidR="00000000" w:rsidRDefault="0068293C">
            <w:pPr>
              <w:spacing w:after="100"/>
              <w:rPr>
                <w:rFonts w:eastAsia="Times New Roman"/>
                <w:sz w:val="20"/>
                <w:szCs w:val="20"/>
              </w:rPr>
            </w:pPr>
          </w:p>
        </w:tc>
        <w:tc>
          <w:tcPr>
            <w:tcW w:w="486" w:type="pct"/>
            <w:vAlign w:val="center"/>
            <w:hideMark/>
          </w:tcPr>
          <w:p w14:paraId="1223AB8B" w14:textId="77777777" w:rsidR="00000000" w:rsidRDefault="0068293C">
            <w:pPr>
              <w:spacing w:after="100"/>
              <w:rPr>
                <w:rFonts w:eastAsia="Times New Roman"/>
                <w:sz w:val="20"/>
                <w:szCs w:val="20"/>
              </w:rPr>
            </w:pPr>
          </w:p>
        </w:tc>
        <w:tc>
          <w:tcPr>
            <w:tcW w:w="5" w:type="pct"/>
            <w:vAlign w:val="center"/>
            <w:hideMark/>
          </w:tcPr>
          <w:p w14:paraId="7D78BEA5" w14:textId="77777777" w:rsidR="00000000" w:rsidRDefault="0068293C">
            <w:pPr>
              <w:spacing w:after="100"/>
              <w:rPr>
                <w:rFonts w:eastAsia="Times New Roman"/>
                <w:sz w:val="20"/>
                <w:szCs w:val="20"/>
              </w:rPr>
            </w:pPr>
          </w:p>
        </w:tc>
        <w:tc>
          <w:tcPr>
            <w:tcW w:w="5" w:type="pct"/>
            <w:vAlign w:val="center"/>
            <w:hideMark/>
          </w:tcPr>
          <w:p w14:paraId="1C36C744" w14:textId="77777777" w:rsidR="00000000" w:rsidRDefault="0068293C">
            <w:pPr>
              <w:spacing w:after="100"/>
              <w:rPr>
                <w:rFonts w:eastAsia="Times New Roman"/>
                <w:sz w:val="20"/>
                <w:szCs w:val="20"/>
              </w:rPr>
            </w:pPr>
          </w:p>
        </w:tc>
        <w:tc>
          <w:tcPr>
            <w:tcW w:w="27" w:type="pct"/>
            <w:vAlign w:val="center"/>
            <w:hideMark/>
          </w:tcPr>
          <w:p w14:paraId="7C8730F9" w14:textId="77777777" w:rsidR="00000000" w:rsidRDefault="0068293C">
            <w:pPr>
              <w:spacing w:after="100"/>
              <w:rPr>
                <w:rFonts w:eastAsia="Times New Roman"/>
                <w:sz w:val="20"/>
                <w:szCs w:val="20"/>
              </w:rPr>
            </w:pPr>
          </w:p>
        </w:tc>
        <w:tc>
          <w:tcPr>
            <w:tcW w:w="5" w:type="pct"/>
            <w:vAlign w:val="center"/>
            <w:hideMark/>
          </w:tcPr>
          <w:p w14:paraId="696EC647" w14:textId="77777777" w:rsidR="00000000" w:rsidRDefault="0068293C">
            <w:pPr>
              <w:spacing w:after="100"/>
              <w:rPr>
                <w:rFonts w:eastAsia="Times New Roman"/>
                <w:sz w:val="20"/>
                <w:szCs w:val="20"/>
              </w:rPr>
            </w:pPr>
          </w:p>
        </w:tc>
        <w:tc>
          <w:tcPr>
            <w:tcW w:w="50" w:type="pct"/>
            <w:vAlign w:val="center"/>
            <w:hideMark/>
          </w:tcPr>
          <w:p w14:paraId="59B97B84" w14:textId="77777777" w:rsidR="00000000" w:rsidRDefault="0068293C">
            <w:pPr>
              <w:spacing w:after="100"/>
              <w:rPr>
                <w:rFonts w:eastAsia="Times New Roman"/>
                <w:sz w:val="20"/>
                <w:szCs w:val="20"/>
              </w:rPr>
            </w:pPr>
          </w:p>
        </w:tc>
        <w:tc>
          <w:tcPr>
            <w:tcW w:w="487" w:type="pct"/>
            <w:vAlign w:val="center"/>
            <w:hideMark/>
          </w:tcPr>
          <w:p w14:paraId="3BC45C1B" w14:textId="77777777" w:rsidR="00000000" w:rsidRDefault="0068293C">
            <w:pPr>
              <w:spacing w:after="100"/>
              <w:rPr>
                <w:rFonts w:eastAsia="Times New Roman"/>
                <w:sz w:val="20"/>
                <w:szCs w:val="20"/>
              </w:rPr>
            </w:pPr>
          </w:p>
        </w:tc>
        <w:tc>
          <w:tcPr>
            <w:tcW w:w="5" w:type="pct"/>
            <w:vAlign w:val="center"/>
            <w:hideMark/>
          </w:tcPr>
          <w:p w14:paraId="770E59E3" w14:textId="77777777" w:rsidR="00000000" w:rsidRDefault="0068293C">
            <w:pPr>
              <w:spacing w:after="100"/>
              <w:rPr>
                <w:rFonts w:eastAsia="Times New Roman"/>
                <w:sz w:val="20"/>
                <w:szCs w:val="20"/>
              </w:rPr>
            </w:pPr>
          </w:p>
        </w:tc>
      </w:tr>
      <w:tr w:rsidR="00000000" w14:paraId="269805DC" w14:textId="77777777">
        <w:trPr>
          <w:divId w:val="1079248947"/>
          <w:trHeight w:val="240"/>
          <w:jc w:val="center"/>
        </w:trPr>
        <w:tc>
          <w:tcPr>
            <w:tcW w:w="0" w:type="auto"/>
            <w:gridSpan w:val="3"/>
            <w:vMerge w:val="restart"/>
            <w:tcMar>
              <w:top w:w="30" w:type="dxa"/>
              <w:left w:w="20" w:type="dxa"/>
              <w:bottom w:w="30" w:type="dxa"/>
              <w:right w:w="20" w:type="dxa"/>
            </w:tcMar>
            <w:vAlign w:val="bottom"/>
            <w:hideMark/>
          </w:tcPr>
          <w:p w14:paraId="6D75B62E"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57DAFA38" w14:textId="77777777" w:rsidR="00000000" w:rsidRDefault="0068293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14:paraId="06BE2BC3" w14:textId="77777777" w:rsidR="00000000" w:rsidRDefault="0068293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8A17D27" w14:textId="77777777" w:rsidR="00000000" w:rsidRDefault="0068293C">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14:paraId="764B2C8A" w14:textId="77777777" w:rsidR="00000000" w:rsidRDefault="0068293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CF88F23" w14:textId="77777777" w:rsidR="00000000" w:rsidRDefault="0068293C">
            <w:pPr>
              <w:spacing w:after="100"/>
              <w:jc w:val="center"/>
              <w:rPr>
                <w:rFonts w:eastAsia="Times New Roman"/>
              </w:rPr>
            </w:pPr>
            <w:r>
              <w:rPr>
                <w:rFonts w:eastAsia="Times New Roman"/>
                <w:b/>
                <w:bCs/>
                <w:color w:val="000000"/>
                <w:sz w:val="16"/>
                <w:szCs w:val="16"/>
              </w:rPr>
              <w:t>Total Pension Benefits</w:t>
            </w:r>
          </w:p>
        </w:tc>
      </w:tr>
      <w:tr w:rsidR="00000000" w14:paraId="0BDD9D2F" w14:textId="77777777">
        <w:trPr>
          <w:divId w:val="1079248947"/>
          <w:trHeight w:val="240"/>
          <w:jc w:val="center"/>
        </w:trPr>
        <w:tc>
          <w:tcPr>
            <w:tcW w:w="0" w:type="auto"/>
            <w:gridSpan w:val="3"/>
            <w:vMerge/>
            <w:vAlign w:val="center"/>
            <w:hideMark/>
          </w:tcPr>
          <w:p w14:paraId="3125A216"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C805AE"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38E95F7"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1BEF95"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AC3129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AC7D6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C529BE6"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33A017"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F9194E1"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0965C3"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691C493"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2F3A56"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18930343" w14:textId="77777777">
        <w:trPr>
          <w:divId w:val="1079248947"/>
          <w:jc w:val="center"/>
        </w:trPr>
        <w:tc>
          <w:tcPr>
            <w:tcW w:w="0" w:type="auto"/>
            <w:gridSpan w:val="3"/>
            <w:shd w:val="clear" w:color="auto" w:fill="CCEEFF"/>
            <w:tcMar>
              <w:top w:w="30" w:type="dxa"/>
              <w:left w:w="155" w:type="dxa"/>
              <w:bottom w:w="30" w:type="dxa"/>
              <w:right w:w="20" w:type="dxa"/>
            </w:tcMar>
            <w:hideMark/>
          </w:tcPr>
          <w:p w14:paraId="4FE3C06F" w14:textId="77777777" w:rsidR="00000000" w:rsidRDefault="0068293C">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5A35AE"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CA4427"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A5746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F13A4"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516953"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425A76"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953B6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3E243"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DBFF02"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D29AF5"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8FA1C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EABCF"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51ED8E"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1333C1"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B564C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8153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81A5AF"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BDFCD8"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99D53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67F26"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987D3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0796F7"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378917" w14:textId="77777777" w:rsidR="00000000" w:rsidRDefault="0068293C">
            <w:pPr>
              <w:spacing w:after="100"/>
              <w:jc w:val="right"/>
              <w:rPr>
                <w:rFonts w:eastAsia="Times New Roman"/>
              </w:rPr>
            </w:pPr>
          </w:p>
        </w:tc>
      </w:tr>
      <w:tr w:rsidR="00000000" w14:paraId="3135EC93" w14:textId="77777777">
        <w:trPr>
          <w:divId w:val="1079248947"/>
          <w:jc w:val="center"/>
        </w:trPr>
        <w:tc>
          <w:tcPr>
            <w:tcW w:w="0" w:type="auto"/>
            <w:gridSpan w:val="3"/>
            <w:shd w:val="clear" w:color="auto" w:fill="FFFFFF"/>
            <w:tcMar>
              <w:top w:w="30" w:type="dxa"/>
              <w:left w:w="155" w:type="dxa"/>
              <w:bottom w:w="30" w:type="dxa"/>
              <w:right w:w="20" w:type="dxa"/>
            </w:tcMar>
            <w:hideMark/>
          </w:tcPr>
          <w:p w14:paraId="5AF0D4E4" w14:textId="77777777" w:rsidR="00000000" w:rsidRDefault="0068293C">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64240777" w14:textId="77777777" w:rsidR="00000000" w:rsidRDefault="0068293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3F5BD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3FBE2"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D2FBB2"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0EB966" w14:textId="77777777" w:rsidR="00000000" w:rsidRDefault="0068293C">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51EB60C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DCE7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16D9AA" w14:textId="77777777" w:rsidR="00000000" w:rsidRDefault="0068293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A9233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85091"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F799E1" w14:textId="77777777" w:rsidR="00000000" w:rsidRDefault="0068293C">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3FD716FE"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99E857"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7311D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F7251"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15CC6" w14:textId="77777777" w:rsidR="00000000" w:rsidRDefault="0068293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160FF7A" w14:textId="77777777" w:rsidR="00000000" w:rsidRDefault="0068293C">
            <w:pPr>
              <w:spacing w:after="100"/>
              <w:jc w:val="right"/>
              <w:rPr>
                <w:rFonts w:eastAsia="Times New Roman"/>
              </w:rPr>
            </w:pPr>
          </w:p>
        </w:tc>
      </w:tr>
      <w:tr w:rsidR="00000000" w14:paraId="01EBAC29" w14:textId="77777777">
        <w:trPr>
          <w:divId w:val="1079248947"/>
          <w:jc w:val="center"/>
        </w:trPr>
        <w:tc>
          <w:tcPr>
            <w:tcW w:w="0" w:type="auto"/>
            <w:gridSpan w:val="3"/>
            <w:shd w:val="clear" w:color="auto" w:fill="CCEEFF"/>
            <w:tcMar>
              <w:top w:w="30" w:type="dxa"/>
              <w:left w:w="155" w:type="dxa"/>
              <w:bottom w:w="30" w:type="dxa"/>
              <w:right w:w="20" w:type="dxa"/>
            </w:tcMar>
            <w:hideMark/>
          </w:tcPr>
          <w:p w14:paraId="7CC1839D" w14:textId="77777777" w:rsidR="00000000" w:rsidRDefault="0068293C">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14:paraId="26E3116D" w14:textId="77777777" w:rsidR="00000000" w:rsidRDefault="0068293C">
            <w:pPr>
              <w:spacing w:after="100"/>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14:paraId="702051F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4987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89E845" w14:textId="77777777" w:rsidR="00000000" w:rsidRDefault="0068293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71A06D2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7E242"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FD246" w14:textId="77777777" w:rsidR="00000000" w:rsidRDefault="0068293C">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14:paraId="6E32882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EB11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B8BC1" w14:textId="77777777" w:rsidR="00000000" w:rsidRDefault="0068293C">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622D35E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9504E"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0AB06D" w14:textId="77777777" w:rsidR="00000000" w:rsidRDefault="0068293C">
            <w:pPr>
              <w:spacing w:after="100"/>
              <w:jc w:val="right"/>
              <w:rPr>
                <w:rFonts w:eastAsia="Times New Roman"/>
              </w:rPr>
            </w:pPr>
            <w:r>
              <w:rPr>
                <w:rFonts w:eastAsia="Times New Roman"/>
                <w:b/>
                <w:bCs/>
                <w:color w:val="000000"/>
                <w:sz w:val="20"/>
                <w:szCs w:val="20"/>
              </w:rPr>
              <w:t>(24)</w:t>
            </w:r>
          </w:p>
        </w:tc>
        <w:tc>
          <w:tcPr>
            <w:tcW w:w="0" w:type="auto"/>
            <w:shd w:val="clear" w:color="auto" w:fill="CCEEFF"/>
            <w:tcMar>
              <w:top w:w="30" w:type="dxa"/>
              <w:left w:w="0" w:type="dxa"/>
              <w:bottom w:w="30" w:type="dxa"/>
              <w:right w:w="20" w:type="dxa"/>
            </w:tcMar>
            <w:vAlign w:val="bottom"/>
            <w:hideMark/>
          </w:tcPr>
          <w:p w14:paraId="4D1F3B9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EACC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785291" w14:textId="77777777" w:rsidR="00000000" w:rsidRDefault="0068293C">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18048EEC" w14:textId="77777777" w:rsidR="00000000" w:rsidRDefault="0068293C">
            <w:pPr>
              <w:spacing w:after="100"/>
              <w:jc w:val="right"/>
              <w:rPr>
                <w:rFonts w:eastAsia="Times New Roman"/>
              </w:rPr>
            </w:pPr>
          </w:p>
        </w:tc>
      </w:tr>
      <w:tr w:rsidR="00000000" w14:paraId="61F4A561" w14:textId="77777777">
        <w:trPr>
          <w:divId w:val="1079248947"/>
          <w:jc w:val="center"/>
        </w:trPr>
        <w:tc>
          <w:tcPr>
            <w:tcW w:w="0" w:type="auto"/>
            <w:gridSpan w:val="3"/>
            <w:shd w:val="clear" w:color="auto" w:fill="FFFFFF"/>
            <w:tcMar>
              <w:top w:w="30" w:type="dxa"/>
              <w:left w:w="155" w:type="dxa"/>
              <w:bottom w:w="30" w:type="dxa"/>
              <w:right w:w="20" w:type="dxa"/>
            </w:tcMar>
            <w:hideMark/>
          </w:tcPr>
          <w:p w14:paraId="49384BC1" w14:textId="77777777" w:rsidR="00000000" w:rsidRDefault="0068293C">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14:paraId="0FBF0110"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98740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88A6F"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D3A641"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9DF4F6"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CB6A3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5B81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63049E"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B5143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459C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4965D"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891F5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31C6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E46052"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5014A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348BF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9E834"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7E078E" w14:textId="77777777" w:rsidR="00000000" w:rsidRDefault="0068293C">
            <w:pPr>
              <w:spacing w:after="100"/>
              <w:jc w:val="right"/>
              <w:rPr>
                <w:rFonts w:eastAsia="Times New Roman"/>
              </w:rPr>
            </w:pPr>
          </w:p>
        </w:tc>
      </w:tr>
      <w:tr w:rsidR="00000000" w14:paraId="7878A3C0" w14:textId="77777777">
        <w:trPr>
          <w:divId w:val="1079248947"/>
          <w:jc w:val="center"/>
        </w:trPr>
        <w:tc>
          <w:tcPr>
            <w:tcW w:w="0" w:type="auto"/>
            <w:gridSpan w:val="3"/>
            <w:shd w:val="clear" w:color="auto" w:fill="CCEEFF"/>
            <w:tcMar>
              <w:top w:w="30" w:type="dxa"/>
              <w:left w:w="20" w:type="dxa"/>
              <w:bottom w:w="30" w:type="dxa"/>
              <w:right w:w="20" w:type="dxa"/>
            </w:tcMar>
            <w:hideMark/>
          </w:tcPr>
          <w:p w14:paraId="01796F6E" w14:textId="77777777" w:rsidR="00000000" w:rsidRDefault="0068293C">
            <w:pPr>
              <w:spacing w:after="100"/>
              <w:rPr>
                <w:rFonts w:eastAsia="Times New Roman"/>
              </w:rPr>
            </w:pPr>
            <w:r>
              <w:rPr>
                <w:rFonts w:eastAsia="Times New Roman"/>
                <w:color w:val="000000"/>
                <w:sz w:val="20"/>
                <w:szCs w:val="20"/>
              </w:rPr>
              <w:t>Net periodic benefit cost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B485B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7B4EAB" w14:textId="77777777" w:rsidR="00000000" w:rsidRDefault="0068293C">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85E58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C24CE6"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0CCE8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5BC2A5"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47173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2B31D"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AE050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02A3F2" w14:textId="77777777" w:rsidR="00000000" w:rsidRDefault="0068293C">
            <w:pPr>
              <w:spacing w:after="100"/>
              <w:jc w:val="right"/>
              <w:rPr>
                <w:rFonts w:eastAsia="Times New Roman"/>
              </w:rPr>
            </w:pPr>
            <w:r>
              <w:rPr>
                <w:rFonts w:eastAsia="Times New Roman"/>
                <w:b/>
                <w:bCs/>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5857A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85CBD"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7AB737"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D3C326" w14:textId="77777777" w:rsidR="00000000" w:rsidRDefault="0068293C">
            <w:pPr>
              <w:spacing w:after="100"/>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F2608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EA93D"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5F3C7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A04B25" w14:textId="77777777" w:rsidR="00000000" w:rsidRDefault="0068293C">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6FB79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25E90"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52A43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71922B" w14:textId="77777777" w:rsidR="00000000" w:rsidRDefault="0068293C">
            <w:pPr>
              <w:spacing w:after="100"/>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012F18" w14:textId="77777777" w:rsidR="00000000" w:rsidRDefault="0068293C">
            <w:pPr>
              <w:spacing w:after="100"/>
              <w:jc w:val="right"/>
              <w:rPr>
                <w:rFonts w:eastAsia="Times New Roman"/>
              </w:rPr>
            </w:pPr>
          </w:p>
        </w:tc>
      </w:tr>
    </w:tbl>
    <w:p w14:paraId="472EFCA7" w14:textId="77777777" w:rsidR="00000000" w:rsidRDefault="0068293C">
      <w:pPr>
        <w:jc w:val="center"/>
        <w:rPr>
          <w:rFonts w:eastAsia="Times New Roman"/>
        </w:rPr>
      </w:pPr>
    </w:p>
    <w:p w14:paraId="709F6EE7" w14:textId="77777777" w:rsidR="00000000" w:rsidRDefault="0068293C">
      <w:pPr>
        <w:divId w:val="538009729"/>
        <w:rPr>
          <w:rFonts w:eastAsia="Times New Roman"/>
        </w:rPr>
      </w:pPr>
      <w:r>
        <w:rPr>
          <w:rFonts w:eastAsia="Times New Roman"/>
          <w:color w:val="000000"/>
          <w:sz w:val="20"/>
          <w:szCs w:val="20"/>
        </w:rPr>
        <w:t xml:space="preserve">Net postretirement benefit was zero for the three months ending March 31, 2022 and 2021. </w:t>
      </w:r>
    </w:p>
    <w:p w14:paraId="2F6E84C3" w14:textId="77777777" w:rsidR="00000000" w:rsidRDefault="0068293C">
      <w:pPr>
        <w:divId w:val="1221402047"/>
        <w:rPr>
          <w:rFonts w:eastAsia="Times New Roman"/>
        </w:rPr>
      </w:pPr>
      <w:r>
        <w:rPr>
          <w:rFonts w:eastAsia="Times New Roman"/>
          <w:color w:val="000000"/>
          <w:sz w:val="20"/>
          <w:szCs w:val="20"/>
        </w:rPr>
        <w:t>Components</w:t>
      </w:r>
      <w:r>
        <w:rPr>
          <w:rFonts w:eastAsia="Times New Roman"/>
          <w:color w:val="000000"/>
          <w:sz w:val="20"/>
          <w:szCs w:val="20"/>
        </w:rPr>
        <w:t xml:space="preserve"> of the net cost of the postemployment plan for the following periods were:</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46"/>
        <w:gridCol w:w="37"/>
        <w:gridCol w:w="120"/>
        <w:gridCol w:w="1249"/>
        <w:gridCol w:w="36"/>
        <w:gridCol w:w="36"/>
        <w:gridCol w:w="36"/>
        <w:gridCol w:w="36"/>
        <w:gridCol w:w="121"/>
        <w:gridCol w:w="1106"/>
        <w:gridCol w:w="37"/>
        <w:gridCol w:w="36"/>
        <w:gridCol w:w="36"/>
        <w:gridCol w:w="36"/>
      </w:tblGrid>
      <w:tr w:rsidR="00000000" w14:paraId="193D1635" w14:textId="77777777">
        <w:trPr>
          <w:divId w:val="1683817961"/>
          <w:jc w:val="center"/>
        </w:trPr>
        <w:tc>
          <w:tcPr>
            <w:tcW w:w="50" w:type="pct"/>
            <w:vAlign w:val="center"/>
            <w:hideMark/>
          </w:tcPr>
          <w:p w14:paraId="3DE7F598" w14:textId="77777777" w:rsidR="00000000" w:rsidRDefault="0068293C">
            <w:pPr>
              <w:rPr>
                <w:rFonts w:eastAsia="Times New Roman"/>
              </w:rPr>
            </w:pPr>
          </w:p>
        </w:tc>
        <w:tc>
          <w:tcPr>
            <w:tcW w:w="3256" w:type="pct"/>
            <w:vAlign w:val="center"/>
            <w:hideMark/>
          </w:tcPr>
          <w:p w14:paraId="06C5B05F" w14:textId="77777777" w:rsidR="00000000" w:rsidRDefault="0068293C">
            <w:pPr>
              <w:spacing w:after="100"/>
              <w:rPr>
                <w:rFonts w:eastAsia="Times New Roman"/>
                <w:sz w:val="20"/>
                <w:szCs w:val="20"/>
              </w:rPr>
            </w:pPr>
          </w:p>
        </w:tc>
        <w:tc>
          <w:tcPr>
            <w:tcW w:w="5" w:type="pct"/>
            <w:vAlign w:val="center"/>
            <w:hideMark/>
          </w:tcPr>
          <w:p w14:paraId="690BF26B" w14:textId="77777777" w:rsidR="00000000" w:rsidRDefault="0068293C">
            <w:pPr>
              <w:spacing w:after="100"/>
              <w:rPr>
                <w:rFonts w:eastAsia="Times New Roman"/>
                <w:sz w:val="20"/>
                <w:szCs w:val="20"/>
              </w:rPr>
            </w:pPr>
          </w:p>
        </w:tc>
        <w:tc>
          <w:tcPr>
            <w:tcW w:w="50" w:type="pct"/>
            <w:vAlign w:val="center"/>
            <w:hideMark/>
          </w:tcPr>
          <w:p w14:paraId="0A5FDEC5" w14:textId="77777777" w:rsidR="00000000" w:rsidRDefault="0068293C">
            <w:pPr>
              <w:spacing w:after="100"/>
              <w:rPr>
                <w:rFonts w:eastAsia="Times New Roman"/>
                <w:sz w:val="20"/>
                <w:szCs w:val="20"/>
              </w:rPr>
            </w:pPr>
          </w:p>
        </w:tc>
        <w:tc>
          <w:tcPr>
            <w:tcW w:w="785" w:type="pct"/>
            <w:vAlign w:val="center"/>
            <w:hideMark/>
          </w:tcPr>
          <w:p w14:paraId="1AF1F4A0" w14:textId="77777777" w:rsidR="00000000" w:rsidRDefault="0068293C">
            <w:pPr>
              <w:spacing w:after="100"/>
              <w:rPr>
                <w:rFonts w:eastAsia="Times New Roman"/>
                <w:sz w:val="20"/>
                <w:szCs w:val="20"/>
              </w:rPr>
            </w:pPr>
          </w:p>
        </w:tc>
        <w:tc>
          <w:tcPr>
            <w:tcW w:w="5" w:type="pct"/>
            <w:vAlign w:val="center"/>
            <w:hideMark/>
          </w:tcPr>
          <w:p w14:paraId="4F42556C" w14:textId="77777777" w:rsidR="00000000" w:rsidRDefault="0068293C">
            <w:pPr>
              <w:spacing w:after="100"/>
              <w:rPr>
                <w:rFonts w:eastAsia="Times New Roman"/>
                <w:sz w:val="20"/>
                <w:szCs w:val="20"/>
              </w:rPr>
            </w:pPr>
          </w:p>
        </w:tc>
        <w:tc>
          <w:tcPr>
            <w:tcW w:w="5" w:type="pct"/>
            <w:vAlign w:val="center"/>
            <w:hideMark/>
          </w:tcPr>
          <w:p w14:paraId="3ED3EC06" w14:textId="77777777" w:rsidR="00000000" w:rsidRDefault="0068293C">
            <w:pPr>
              <w:spacing w:after="100"/>
              <w:rPr>
                <w:rFonts w:eastAsia="Times New Roman"/>
                <w:sz w:val="20"/>
                <w:szCs w:val="20"/>
              </w:rPr>
            </w:pPr>
          </w:p>
        </w:tc>
        <w:tc>
          <w:tcPr>
            <w:tcW w:w="26" w:type="pct"/>
            <w:vAlign w:val="center"/>
            <w:hideMark/>
          </w:tcPr>
          <w:p w14:paraId="63126936" w14:textId="77777777" w:rsidR="00000000" w:rsidRDefault="0068293C">
            <w:pPr>
              <w:spacing w:after="100"/>
              <w:rPr>
                <w:rFonts w:eastAsia="Times New Roman"/>
                <w:sz w:val="20"/>
                <w:szCs w:val="20"/>
              </w:rPr>
            </w:pPr>
          </w:p>
        </w:tc>
        <w:tc>
          <w:tcPr>
            <w:tcW w:w="5" w:type="pct"/>
            <w:vAlign w:val="center"/>
            <w:hideMark/>
          </w:tcPr>
          <w:p w14:paraId="545B1DF3" w14:textId="77777777" w:rsidR="00000000" w:rsidRDefault="0068293C">
            <w:pPr>
              <w:spacing w:after="100"/>
              <w:rPr>
                <w:rFonts w:eastAsia="Times New Roman"/>
                <w:sz w:val="20"/>
                <w:szCs w:val="20"/>
              </w:rPr>
            </w:pPr>
          </w:p>
        </w:tc>
        <w:tc>
          <w:tcPr>
            <w:tcW w:w="50" w:type="pct"/>
            <w:vAlign w:val="center"/>
            <w:hideMark/>
          </w:tcPr>
          <w:p w14:paraId="4698CB3E" w14:textId="77777777" w:rsidR="00000000" w:rsidRDefault="0068293C">
            <w:pPr>
              <w:spacing w:after="100"/>
              <w:rPr>
                <w:rFonts w:eastAsia="Times New Roman"/>
                <w:sz w:val="20"/>
                <w:szCs w:val="20"/>
              </w:rPr>
            </w:pPr>
          </w:p>
        </w:tc>
        <w:tc>
          <w:tcPr>
            <w:tcW w:w="727" w:type="pct"/>
            <w:vAlign w:val="center"/>
            <w:hideMark/>
          </w:tcPr>
          <w:p w14:paraId="6EB9ECCD" w14:textId="77777777" w:rsidR="00000000" w:rsidRDefault="0068293C">
            <w:pPr>
              <w:spacing w:after="100"/>
              <w:rPr>
                <w:rFonts w:eastAsia="Times New Roman"/>
                <w:sz w:val="20"/>
                <w:szCs w:val="20"/>
              </w:rPr>
            </w:pPr>
          </w:p>
        </w:tc>
        <w:tc>
          <w:tcPr>
            <w:tcW w:w="5" w:type="pct"/>
            <w:vAlign w:val="center"/>
            <w:hideMark/>
          </w:tcPr>
          <w:p w14:paraId="6DBE6829" w14:textId="77777777" w:rsidR="00000000" w:rsidRDefault="0068293C">
            <w:pPr>
              <w:spacing w:after="100"/>
              <w:rPr>
                <w:rFonts w:eastAsia="Times New Roman"/>
                <w:sz w:val="20"/>
                <w:szCs w:val="20"/>
              </w:rPr>
            </w:pPr>
          </w:p>
        </w:tc>
        <w:tc>
          <w:tcPr>
            <w:tcW w:w="5" w:type="pct"/>
            <w:vAlign w:val="center"/>
            <w:hideMark/>
          </w:tcPr>
          <w:p w14:paraId="3CAED81E" w14:textId="77777777" w:rsidR="00000000" w:rsidRDefault="0068293C">
            <w:pPr>
              <w:spacing w:after="100"/>
              <w:rPr>
                <w:rFonts w:eastAsia="Times New Roman"/>
                <w:sz w:val="20"/>
                <w:szCs w:val="20"/>
              </w:rPr>
            </w:pPr>
          </w:p>
        </w:tc>
        <w:tc>
          <w:tcPr>
            <w:tcW w:w="19" w:type="pct"/>
            <w:vAlign w:val="center"/>
            <w:hideMark/>
          </w:tcPr>
          <w:p w14:paraId="1AA5CE0B" w14:textId="77777777" w:rsidR="00000000" w:rsidRDefault="0068293C">
            <w:pPr>
              <w:spacing w:after="100"/>
              <w:rPr>
                <w:rFonts w:eastAsia="Times New Roman"/>
                <w:sz w:val="20"/>
                <w:szCs w:val="20"/>
              </w:rPr>
            </w:pPr>
          </w:p>
        </w:tc>
        <w:tc>
          <w:tcPr>
            <w:tcW w:w="5" w:type="pct"/>
            <w:vAlign w:val="center"/>
            <w:hideMark/>
          </w:tcPr>
          <w:p w14:paraId="65DE38FC" w14:textId="77777777" w:rsidR="00000000" w:rsidRDefault="0068293C">
            <w:pPr>
              <w:spacing w:after="100"/>
              <w:rPr>
                <w:rFonts w:eastAsia="Times New Roman"/>
                <w:sz w:val="20"/>
                <w:szCs w:val="20"/>
              </w:rPr>
            </w:pPr>
          </w:p>
        </w:tc>
      </w:tr>
      <w:tr w:rsidR="00000000" w14:paraId="3EE3F524" w14:textId="77777777">
        <w:trPr>
          <w:divId w:val="1683817961"/>
          <w:jc w:val="center"/>
        </w:trPr>
        <w:tc>
          <w:tcPr>
            <w:tcW w:w="0" w:type="auto"/>
            <w:gridSpan w:val="3"/>
            <w:tcMar>
              <w:top w:w="0" w:type="dxa"/>
              <w:left w:w="20" w:type="dxa"/>
              <w:bottom w:w="0" w:type="dxa"/>
              <w:right w:w="20" w:type="dxa"/>
            </w:tcMar>
            <w:vAlign w:val="center"/>
            <w:hideMark/>
          </w:tcPr>
          <w:p w14:paraId="5789AFFE"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8317AB7"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7D3D9758" w14:textId="77777777" w:rsidR="00000000" w:rsidRDefault="0068293C">
            <w:pPr>
              <w:spacing w:after="100"/>
              <w:jc w:val="center"/>
              <w:rPr>
                <w:rFonts w:eastAsia="Times New Roman"/>
              </w:rPr>
            </w:pPr>
          </w:p>
        </w:tc>
      </w:tr>
      <w:tr w:rsidR="00000000" w14:paraId="65997509" w14:textId="77777777">
        <w:trPr>
          <w:divId w:val="1683817961"/>
          <w:jc w:val="center"/>
        </w:trPr>
        <w:tc>
          <w:tcPr>
            <w:tcW w:w="0" w:type="auto"/>
            <w:gridSpan w:val="3"/>
            <w:tcMar>
              <w:top w:w="30" w:type="dxa"/>
              <w:left w:w="20" w:type="dxa"/>
              <w:bottom w:w="30" w:type="dxa"/>
              <w:right w:w="20" w:type="dxa"/>
            </w:tcMar>
            <w:vAlign w:val="bottom"/>
            <w:hideMark/>
          </w:tcPr>
          <w:p w14:paraId="4A404EC1"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01A127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34221B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151B57"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3C69D9E" w14:textId="77777777" w:rsidR="00000000" w:rsidRDefault="0068293C">
            <w:pPr>
              <w:spacing w:after="100"/>
              <w:jc w:val="center"/>
              <w:rPr>
                <w:rFonts w:eastAsia="Times New Roman"/>
              </w:rPr>
            </w:pPr>
          </w:p>
        </w:tc>
      </w:tr>
      <w:tr w:rsidR="00000000" w14:paraId="7106E5C7" w14:textId="77777777">
        <w:trPr>
          <w:divId w:val="1683817961"/>
          <w:jc w:val="center"/>
        </w:trPr>
        <w:tc>
          <w:tcPr>
            <w:tcW w:w="0" w:type="auto"/>
            <w:gridSpan w:val="3"/>
            <w:shd w:val="clear" w:color="auto" w:fill="CCEEFF"/>
            <w:tcMar>
              <w:top w:w="30" w:type="dxa"/>
              <w:left w:w="20" w:type="dxa"/>
              <w:bottom w:w="30" w:type="dxa"/>
              <w:right w:w="20" w:type="dxa"/>
            </w:tcMar>
            <w:hideMark/>
          </w:tcPr>
          <w:p w14:paraId="4B2BD4C7" w14:textId="77777777" w:rsidR="00000000" w:rsidRDefault="0068293C">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8EAF75"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EDFB30"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CA38A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B4A50"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8EA006"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9DF288" w14:textId="77777777" w:rsidR="00000000" w:rsidRDefault="0068293C">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6DF18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84CCB" w14:textId="77777777" w:rsidR="00000000" w:rsidRDefault="0068293C">
            <w:pPr>
              <w:spacing w:after="100"/>
              <w:jc w:val="right"/>
              <w:rPr>
                <w:rFonts w:eastAsia="Times New Roman"/>
                <w:sz w:val="20"/>
                <w:szCs w:val="20"/>
              </w:rPr>
            </w:pPr>
          </w:p>
        </w:tc>
      </w:tr>
      <w:tr w:rsidR="00000000" w14:paraId="3356F8C0" w14:textId="77777777">
        <w:trPr>
          <w:divId w:val="1683817961"/>
          <w:jc w:val="center"/>
        </w:trPr>
        <w:tc>
          <w:tcPr>
            <w:tcW w:w="0" w:type="auto"/>
            <w:gridSpan w:val="3"/>
            <w:shd w:val="clear" w:color="auto" w:fill="FFFFFF"/>
            <w:tcMar>
              <w:top w:w="30" w:type="dxa"/>
              <w:left w:w="20" w:type="dxa"/>
              <w:bottom w:w="30" w:type="dxa"/>
              <w:right w:w="20" w:type="dxa"/>
            </w:tcMar>
            <w:hideMark/>
          </w:tcPr>
          <w:p w14:paraId="30AA01EC" w14:textId="77777777" w:rsidR="00000000" w:rsidRDefault="0068293C">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051893AE"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E61EA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1C49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503809"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182A74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85238" w14:textId="77777777" w:rsidR="00000000" w:rsidRDefault="0068293C">
            <w:pPr>
              <w:spacing w:after="100"/>
              <w:jc w:val="right"/>
              <w:rPr>
                <w:rFonts w:eastAsia="Times New Roman"/>
                <w:sz w:val="20"/>
                <w:szCs w:val="20"/>
              </w:rPr>
            </w:pPr>
          </w:p>
        </w:tc>
      </w:tr>
      <w:tr w:rsidR="00000000" w14:paraId="7903F33D" w14:textId="77777777">
        <w:trPr>
          <w:divId w:val="1683817961"/>
          <w:jc w:val="center"/>
        </w:trPr>
        <w:tc>
          <w:tcPr>
            <w:tcW w:w="0" w:type="auto"/>
            <w:gridSpan w:val="3"/>
            <w:shd w:val="clear" w:color="auto" w:fill="CCEEFF"/>
            <w:tcMar>
              <w:top w:w="30" w:type="dxa"/>
              <w:left w:w="20" w:type="dxa"/>
              <w:bottom w:w="30" w:type="dxa"/>
              <w:right w:w="20" w:type="dxa"/>
            </w:tcMar>
            <w:hideMark/>
          </w:tcPr>
          <w:p w14:paraId="2A91AAE4" w14:textId="77777777" w:rsidR="00000000" w:rsidRDefault="0068293C">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14:paraId="3155B373"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210F7"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1AF2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0A58F9" w14:textId="77777777" w:rsidR="00000000" w:rsidRDefault="0068293C">
            <w:pPr>
              <w:spacing w:after="100"/>
              <w:rPr>
                <w:rFonts w:eastAsia="Times New Roman"/>
                <w:sz w:val="20"/>
                <w:szCs w:val="20"/>
              </w:rPr>
            </w:pPr>
          </w:p>
        </w:tc>
      </w:tr>
      <w:tr w:rsidR="00000000" w14:paraId="668ACC1A" w14:textId="77777777">
        <w:trPr>
          <w:divId w:val="1683817961"/>
          <w:jc w:val="center"/>
        </w:trPr>
        <w:tc>
          <w:tcPr>
            <w:tcW w:w="0" w:type="auto"/>
            <w:gridSpan w:val="3"/>
            <w:shd w:val="clear" w:color="auto" w:fill="FFFFFF"/>
            <w:tcMar>
              <w:top w:w="30" w:type="dxa"/>
              <w:left w:w="20" w:type="dxa"/>
              <w:bottom w:w="30" w:type="dxa"/>
              <w:right w:w="20" w:type="dxa"/>
            </w:tcMar>
            <w:hideMark/>
          </w:tcPr>
          <w:p w14:paraId="27976080" w14:textId="77777777" w:rsidR="00000000" w:rsidRDefault="0068293C">
            <w:pPr>
              <w:spacing w:after="100"/>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14:paraId="755DD35B"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2B82477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D62F2"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9C443"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57B433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D6439" w14:textId="77777777" w:rsidR="00000000" w:rsidRDefault="0068293C">
            <w:pPr>
              <w:spacing w:after="100"/>
              <w:jc w:val="right"/>
              <w:rPr>
                <w:rFonts w:eastAsia="Times New Roman"/>
                <w:sz w:val="20"/>
                <w:szCs w:val="20"/>
              </w:rPr>
            </w:pPr>
          </w:p>
        </w:tc>
      </w:tr>
      <w:tr w:rsidR="00000000" w14:paraId="7B2DC384" w14:textId="77777777">
        <w:trPr>
          <w:divId w:val="1683817961"/>
          <w:jc w:val="center"/>
        </w:trPr>
        <w:tc>
          <w:tcPr>
            <w:tcW w:w="0" w:type="auto"/>
            <w:gridSpan w:val="3"/>
            <w:shd w:val="clear" w:color="auto" w:fill="CCEEFF"/>
            <w:tcMar>
              <w:top w:w="30" w:type="dxa"/>
              <w:left w:w="20" w:type="dxa"/>
              <w:bottom w:w="30" w:type="dxa"/>
              <w:right w:w="20" w:type="dxa"/>
            </w:tcMar>
            <w:hideMark/>
          </w:tcPr>
          <w:p w14:paraId="75C4E2C6" w14:textId="77777777" w:rsidR="00000000" w:rsidRDefault="0068293C">
            <w:pPr>
              <w:spacing w:after="100"/>
              <w:rPr>
                <w:rFonts w:eastAsia="Times New Roman"/>
              </w:rPr>
            </w:pPr>
            <w:r>
              <w:rPr>
                <w:rFonts w:eastAsia="Times New Roman"/>
                <w:color w:val="000000"/>
                <w:sz w:val="20"/>
                <w:szCs w:val="20"/>
              </w:rPr>
              <w:t>   Actuarial gain</w:t>
            </w:r>
          </w:p>
        </w:tc>
        <w:tc>
          <w:tcPr>
            <w:tcW w:w="0" w:type="auto"/>
            <w:gridSpan w:val="2"/>
            <w:shd w:val="clear" w:color="auto" w:fill="CCEEFF"/>
            <w:tcMar>
              <w:top w:w="30" w:type="dxa"/>
              <w:left w:w="20" w:type="dxa"/>
              <w:bottom w:w="30" w:type="dxa"/>
              <w:right w:w="0" w:type="dxa"/>
            </w:tcMar>
            <w:vAlign w:val="bottom"/>
            <w:hideMark/>
          </w:tcPr>
          <w:p w14:paraId="1D3CC443"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41FB6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6A00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46A8F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CD56A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1808F" w14:textId="77777777" w:rsidR="00000000" w:rsidRDefault="0068293C">
            <w:pPr>
              <w:spacing w:after="100"/>
              <w:jc w:val="right"/>
              <w:rPr>
                <w:rFonts w:eastAsia="Times New Roman"/>
                <w:sz w:val="20"/>
                <w:szCs w:val="20"/>
              </w:rPr>
            </w:pPr>
          </w:p>
        </w:tc>
      </w:tr>
      <w:tr w:rsidR="00000000" w14:paraId="3E395F57" w14:textId="77777777">
        <w:trPr>
          <w:divId w:val="1683817961"/>
          <w:jc w:val="center"/>
        </w:trPr>
        <w:tc>
          <w:tcPr>
            <w:tcW w:w="0" w:type="auto"/>
            <w:gridSpan w:val="3"/>
            <w:shd w:val="clear" w:color="auto" w:fill="FFFFFF"/>
            <w:tcMar>
              <w:top w:w="30" w:type="dxa"/>
              <w:left w:w="20" w:type="dxa"/>
              <w:bottom w:w="30" w:type="dxa"/>
              <w:right w:w="20" w:type="dxa"/>
            </w:tcMar>
            <w:hideMark/>
          </w:tcPr>
          <w:p w14:paraId="25B2896E" w14:textId="77777777" w:rsidR="00000000" w:rsidRDefault="0068293C">
            <w:pPr>
              <w:spacing w:after="100"/>
              <w:rPr>
                <w:rFonts w:eastAsia="Times New Roman"/>
              </w:rPr>
            </w:pPr>
            <w:r>
              <w:rPr>
                <w:rFonts w:eastAsia="Times New Roman"/>
                <w:color w:val="000000"/>
                <w:sz w:val="20"/>
                <w:szCs w:val="20"/>
              </w:rPr>
              <w:t>Net benefit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4EF8C8"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AAF6DB"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CD267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9AD8B"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93B98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41A957" w14:textId="77777777" w:rsidR="00000000" w:rsidRDefault="0068293C">
            <w:pPr>
              <w:spacing w:after="100"/>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0A500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AC6207" w14:textId="77777777" w:rsidR="00000000" w:rsidRDefault="0068293C">
            <w:pPr>
              <w:spacing w:after="100"/>
              <w:jc w:val="right"/>
              <w:rPr>
                <w:rFonts w:eastAsia="Times New Roman"/>
                <w:sz w:val="20"/>
                <w:szCs w:val="20"/>
              </w:rPr>
            </w:pPr>
          </w:p>
        </w:tc>
      </w:tr>
    </w:tbl>
    <w:p w14:paraId="3A0B67F2" w14:textId="77777777" w:rsidR="00000000" w:rsidRDefault="0068293C">
      <w:pPr>
        <w:jc w:val="center"/>
        <w:divId w:val="968896716"/>
        <w:rPr>
          <w:rFonts w:eastAsia="Times New Roman"/>
        </w:rPr>
      </w:pPr>
    </w:p>
    <w:p w14:paraId="629F727F" w14:textId="77777777" w:rsidR="00000000" w:rsidRDefault="0068293C">
      <w:pPr>
        <w:jc w:val="center"/>
        <w:divId w:val="423958471"/>
        <w:rPr>
          <w:rFonts w:eastAsia="Times New Roman"/>
        </w:rPr>
      </w:pPr>
      <w:r>
        <w:rPr>
          <w:rFonts w:eastAsia="Times New Roman"/>
          <w:color w:val="000000"/>
          <w:sz w:val="20"/>
          <w:szCs w:val="20"/>
        </w:rPr>
        <w:t>20</w:t>
      </w:r>
    </w:p>
    <w:p w14:paraId="19F86C33" w14:textId="77777777" w:rsidR="00000000" w:rsidRDefault="0068293C">
      <w:pPr>
        <w:rPr>
          <w:rFonts w:eastAsia="Times New Roman"/>
        </w:rPr>
      </w:pPr>
      <w:r>
        <w:rPr>
          <w:rFonts w:eastAsia="Times New Roman"/>
        </w:rPr>
        <w:pict w14:anchorId="750A5CEA">
          <v:rect id="_x0000_i1045" style="width:0;height:1.5pt" o:hralign="center" o:hrstd="t" o:hr="t" fillcolor="#a0a0a0" stroked="f"/>
        </w:pict>
      </w:r>
    </w:p>
    <w:p w14:paraId="6A5B8FE1" w14:textId="77777777" w:rsidR="00000000" w:rsidRDefault="0068293C">
      <w:pPr>
        <w:ind w:firstLine="720"/>
        <w:divId w:val="1646859469"/>
        <w:rPr>
          <w:rFonts w:eastAsia="Times New Roman"/>
        </w:rPr>
      </w:pPr>
      <w:hyperlink w:anchor="i78484f3d0d8e4e36a7c87ddd6ea9d725_7" w:history="1">
        <w:r>
          <w:rPr>
            <w:rStyle w:val="a3"/>
            <w:rFonts w:eastAsia="Times New Roman"/>
            <w:sz w:val="16"/>
            <w:szCs w:val="16"/>
          </w:rPr>
          <w:t>Table of Content</w:t>
        </w:r>
      </w:hyperlink>
    </w:p>
    <w:p w14:paraId="55ABA326" w14:textId="77777777" w:rsidR="00000000" w:rsidRDefault="0068293C">
      <w:pPr>
        <w:jc w:val="center"/>
        <w:divId w:val="21899767"/>
        <w:rPr>
          <w:rFonts w:eastAsia="Times New Roman"/>
        </w:rPr>
      </w:pPr>
      <w:r>
        <w:rPr>
          <w:rFonts w:eastAsia="Times New Roman"/>
          <w:b/>
          <w:bCs/>
          <w:color w:val="000000"/>
          <w:sz w:val="20"/>
          <w:szCs w:val="20"/>
        </w:rPr>
        <w:t>NCR Corporation</w:t>
      </w:r>
    </w:p>
    <w:p w14:paraId="349EBEAC" w14:textId="77777777" w:rsidR="00000000" w:rsidRDefault="0068293C">
      <w:pPr>
        <w:jc w:val="center"/>
        <w:divId w:val="21899767"/>
        <w:rPr>
          <w:rFonts w:eastAsia="Times New Roman"/>
        </w:rPr>
      </w:pPr>
      <w:r>
        <w:rPr>
          <w:rFonts w:eastAsia="Times New Roman"/>
          <w:b/>
          <w:bCs/>
          <w:color w:val="000000"/>
          <w:sz w:val="20"/>
          <w:szCs w:val="20"/>
        </w:rPr>
        <w:t>Notes to Condensed Consolidated Financial Statements (Unaudited)—(Continued)</w:t>
      </w:r>
    </w:p>
    <w:p w14:paraId="4905AC78" w14:textId="77777777" w:rsidR="00000000" w:rsidRDefault="0068293C">
      <w:pPr>
        <w:jc w:val="center"/>
        <w:divId w:val="1971594576"/>
        <w:rPr>
          <w:rFonts w:eastAsia="Times New Roman"/>
        </w:rPr>
      </w:pPr>
    </w:p>
    <w:p w14:paraId="79B64537" w14:textId="77777777" w:rsidR="00000000" w:rsidRDefault="0068293C">
      <w:pPr>
        <w:jc w:val="both"/>
        <w:rPr>
          <w:rFonts w:eastAsia="Times New Roman"/>
        </w:rPr>
      </w:pPr>
      <w:r>
        <w:rPr>
          <w:rFonts w:eastAsia="Times New Roman"/>
          <w:b/>
          <w:bCs/>
          <w:i/>
          <w:iCs/>
          <w:color w:val="000000"/>
          <w:sz w:val="20"/>
          <w:szCs w:val="20"/>
        </w:rPr>
        <w:t>Employer Contributions</w:t>
      </w:r>
    </w:p>
    <w:p w14:paraId="608A5613" w14:textId="77777777" w:rsidR="00000000" w:rsidRDefault="0068293C">
      <w:pPr>
        <w:jc w:val="both"/>
        <w:rPr>
          <w:rFonts w:eastAsia="Times New Roman"/>
        </w:rPr>
      </w:pPr>
    </w:p>
    <w:p w14:paraId="361503ED" w14:textId="77777777" w:rsidR="00000000" w:rsidRDefault="0068293C">
      <w:pPr>
        <w:jc w:val="both"/>
        <w:rPr>
          <w:rFonts w:eastAsia="Times New Roman"/>
        </w:rPr>
      </w:pPr>
      <w:r>
        <w:rPr>
          <w:rFonts w:eastAsia="Times New Roman"/>
          <w:i/>
          <w:iCs/>
          <w:color w:val="000000"/>
          <w:sz w:val="20"/>
          <w:szCs w:val="20"/>
        </w:rPr>
        <w:t>Pension</w:t>
      </w:r>
      <w:r>
        <w:rPr>
          <w:rFonts w:eastAsia="Times New Roman"/>
          <w:color w:val="000000"/>
          <w:sz w:val="20"/>
          <w:szCs w:val="20"/>
        </w:rPr>
        <w:t xml:space="preserve"> For the three months ended March 31, 2022, NCR contributed $4 million to its international pension plans. NCR anticipates contributing an additi</w:t>
      </w:r>
      <w:r>
        <w:rPr>
          <w:rFonts w:eastAsia="Times New Roman"/>
          <w:color w:val="000000"/>
          <w:sz w:val="20"/>
          <w:szCs w:val="20"/>
        </w:rPr>
        <w:t xml:space="preserve">onal $13 million to its international pension plans for a total of $17 million in 2022. </w:t>
      </w:r>
    </w:p>
    <w:p w14:paraId="5F445996" w14:textId="77777777" w:rsidR="00000000" w:rsidRDefault="0068293C">
      <w:pPr>
        <w:jc w:val="both"/>
        <w:rPr>
          <w:rFonts w:eastAsia="Times New Roman"/>
        </w:rPr>
      </w:pPr>
    </w:p>
    <w:p w14:paraId="5C2DBC10" w14:textId="77777777" w:rsidR="00000000" w:rsidRDefault="0068293C">
      <w:pPr>
        <w:jc w:val="both"/>
        <w:rPr>
          <w:rFonts w:eastAsia="Times New Roman"/>
        </w:rPr>
      </w:pPr>
      <w:r>
        <w:rPr>
          <w:rFonts w:eastAsia="Times New Roman"/>
          <w:i/>
          <w:iCs/>
          <w:color w:val="000000"/>
          <w:sz w:val="20"/>
          <w:szCs w:val="20"/>
        </w:rPr>
        <w:t>Postretirement</w:t>
      </w:r>
      <w:r>
        <w:rPr>
          <w:rFonts w:eastAsia="Times New Roman"/>
          <w:color w:val="000000"/>
          <w:sz w:val="20"/>
          <w:szCs w:val="20"/>
        </w:rPr>
        <w:t xml:space="preserve"> For the three months ended March 31, 2022, NCR made no contributions to its U.S. postretirement plan. NCR anticipates contributing an additional $1 mi</w:t>
      </w:r>
      <w:r>
        <w:rPr>
          <w:rFonts w:eastAsia="Times New Roman"/>
          <w:color w:val="000000"/>
          <w:sz w:val="20"/>
          <w:szCs w:val="20"/>
        </w:rPr>
        <w:t xml:space="preserve">llion to its U.S. postretirement plan for a total of $1 million in 2022. </w:t>
      </w:r>
    </w:p>
    <w:p w14:paraId="61949338" w14:textId="77777777" w:rsidR="00000000" w:rsidRDefault="0068293C">
      <w:pPr>
        <w:jc w:val="both"/>
        <w:rPr>
          <w:rFonts w:eastAsia="Times New Roman"/>
        </w:rPr>
      </w:pPr>
      <w:r>
        <w:rPr>
          <w:rFonts w:eastAsia="Times New Roman"/>
          <w:i/>
          <w:iCs/>
          <w:color w:val="000000"/>
          <w:sz w:val="20"/>
          <w:szCs w:val="20"/>
        </w:rPr>
        <w:t>Postemployment</w:t>
      </w:r>
      <w:r>
        <w:rPr>
          <w:rFonts w:eastAsia="Times New Roman"/>
          <w:color w:val="000000"/>
          <w:sz w:val="20"/>
          <w:szCs w:val="20"/>
        </w:rPr>
        <w:t xml:space="preserve"> For the three months ended March 31, 2022, NCR contributed $7 million to its postemployment plan. NCR anticipates contributing an additional $23 million to its postemp</w:t>
      </w:r>
      <w:r>
        <w:rPr>
          <w:rFonts w:eastAsia="Times New Roman"/>
          <w:color w:val="000000"/>
          <w:sz w:val="20"/>
          <w:szCs w:val="20"/>
        </w:rPr>
        <w:t>loyment plan for a total of $30 million in 2022.</w:t>
      </w:r>
    </w:p>
    <w:p w14:paraId="1BE0AA48" w14:textId="77777777" w:rsidR="00000000" w:rsidRDefault="0068293C">
      <w:pPr>
        <w:jc w:val="both"/>
        <w:rPr>
          <w:rFonts w:eastAsia="Times New Roman"/>
        </w:rPr>
      </w:pPr>
    </w:p>
    <w:p w14:paraId="14F144F4" w14:textId="77777777" w:rsidR="00000000" w:rsidRDefault="0068293C">
      <w:pPr>
        <w:ind w:firstLine="720"/>
        <w:divId w:val="1933125146"/>
        <w:rPr>
          <w:rFonts w:eastAsia="Times New Roman"/>
        </w:rPr>
      </w:pPr>
    </w:p>
    <w:p w14:paraId="06EF1258" w14:textId="77777777" w:rsidR="00000000" w:rsidRDefault="0068293C">
      <w:pPr>
        <w:jc w:val="both"/>
        <w:rPr>
          <w:rFonts w:eastAsia="Times New Roman"/>
        </w:rPr>
      </w:pPr>
      <w:r>
        <w:rPr>
          <w:rFonts w:eastAsia="Times New Roman"/>
          <w:b/>
          <w:bCs/>
          <w:color w:val="54B948"/>
          <w:sz w:val="20"/>
          <w:szCs w:val="20"/>
        </w:rPr>
        <w:t>10. COMMITMENTS AND CONTINGENCIES</w:t>
      </w:r>
    </w:p>
    <w:p w14:paraId="1C9F7B4F" w14:textId="77777777" w:rsidR="00000000" w:rsidRDefault="0068293C">
      <w:pPr>
        <w:jc w:val="both"/>
        <w:rPr>
          <w:rFonts w:eastAsia="Times New Roman"/>
        </w:rPr>
      </w:pPr>
    </w:p>
    <w:p w14:paraId="2D4A4829" w14:textId="77777777" w:rsidR="00000000" w:rsidRDefault="0068293C">
      <w:pPr>
        <w:jc w:val="both"/>
        <w:rPr>
          <w:rFonts w:eastAsia="Times New Roman"/>
        </w:rPr>
      </w:pPr>
      <w:r>
        <w:rPr>
          <w:rFonts w:eastAsia="Times New Roman"/>
          <w:color w:val="000000"/>
          <w:sz w:val="20"/>
          <w:szCs w:val="20"/>
        </w:rPr>
        <w:t>In the normal course of business, NCR is subject to various proceedings, lawsuits, claims and other matters, including, for example, those that relate to the environme</w:t>
      </w:r>
      <w:r>
        <w:rPr>
          <w:rFonts w:eastAsia="Times New Roman"/>
          <w:color w:val="000000"/>
          <w:sz w:val="20"/>
          <w:szCs w:val="20"/>
        </w:rPr>
        <w:t>nt and health and safety, labor and employment, employee benefits, import/export compliance, intellectual property, data privacy and security, product liability, commercial disputes and regulatory compliance, among others. Additionally, NCR is subject to d</w:t>
      </w:r>
      <w:r>
        <w:rPr>
          <w:rFonts w:eastAsia="Times New Roman"/>
          <w:color w:val="000000"/>
          <w:sz w:val="20"/>
          <w:szCs w:val="20"/>
        </w:rPr>
        <w:t>iverse and complex laws and regulations, including those relating to corporate governance, public disclosure and reporting, environmental safety and the discharge of materials into the environment, product safety, import and export compliance, data privacy</w:t>
      </w:r>
      <w:r>
        <w:rPr>
          <w:rFonts w:eastAsia="Times New Roman"/>
          <w:color w:val="000000"/>
          <w:sz w:val="20"/>
          <w:szCs w:val="20"/>
        </w:rPr>
        <w:t xml:space="preserve"> and security, antitrust and competition, government contracting, anti-corruption, and labor and human resources, which are rapidly changing and subject to many possible changes in the future. Compliance with these laws and regulations, including changes i</w:t>
      </w:r>
      <w:r>
        <w:rPr>
          <w:rFonts w:eastAsia="Times New Roman"/>
          <w:color w:val="000000"/>
          <w:sz w:val="20"/>
          <w:szCs w:val="20"/>
        </w:rPr>
        <w:t>n accounting standards, taxation requirements, and federal securities laws among others, may create a substantial burden on, and substantially increase costs to NCR or could have an impact on NCR's future operating results. The Company has reflected all li</w:t>
      </w:r>
      <w:r>
        <w:rPr>
          <w:rFonts w:eastAsia="Times New Roman"/>
          <w:color w:val="000000"/>
          <w:sz w:val="20"/>
          <w:szCs w:val="20"/>
        </w:rPr>
        <w:t>abilities when a loss is considered probable and reasonably estimable in the Condensed Consolidated Financial Statements. We do not believe there is a reasonable possibility that losses exceeding amounts already recognized have been incurred, but there can</w:t>
      </w:r>
      <w:r>
        <w:rPr>
          <w:rFonts w:eastAsia="Times New Roman"/>
          <w:color w:val="000000"/>
          <w:sz w:val="20"/>
          <w:szCs w:val="20"/>
        </w:rPr>
        <w:t xml:space="preserve"> be no assurances that the amounts required to satisfy alleged liabilities from such matters will not impact future operating results.</w:t>
      </w:r>
      <w:r>
        <w:rPr>
          <w:rFonts w:eastAsia="Times New Roman"/>
          <w:color w:val="000000"/>
        </w:rPr>
        <w:t xml:space="preserve"> </w:t>
      </w:r>
      <w:r>
        <w:rPr>
          <w:rFonts w:eastAsia="Times New Roman"/>
          <w:color w:val="000000"/>
          <w:sz w:val="20"/>
          <w:szCs w:val="20"/>
        </w:rPr>
        <w:t xml:space="preserve">Other than as stated below, the Company does not currently expect to incur material capital expenditures related to such </w:t>
      </w:r>
      <w:r>
        <w:rPr>
          <w:rFonts w:eastAsia="Times New Roman"/>
          <w:color w:val="000000"/>
          <w:sz w:val="20"/>
          <w:szCs w:val="20"/>
        </w:rPr>
        <w:t>matters.</w:t>
      </w:r>
      <w:r>
        <w:rPr>
          <w:rFonts w:eastAsia="Times New Roman"/>
          <w:color w:val="000000"/>
        </w:rPr>
        <w:t xml:space="preserve"> </w:t>
      </w:r>
      <w:r>
        <w:rPr>
          <w:rFonts w:eastAsia="Times New Roman"/>
          <w:color w:val="000000"/>
          <w:sz w:val="20"/>
          <w:szCs w:val="20"/>
        </w:rPr>
        <w:t>However, there can be no assurances that the actual amounts required to satisfy alleged liabilities from various lawsuits, claims, legal proceedings and other matters, including, but not limited to the Fox River and Kalamazoo River environmental m</w:t>
      </w:r>
      <w:r>
        <w:rPr>
          <w:rFonts w:eastAsia="Times New Roman"/>
          <w:color w:val="000000"/>
          <w:sz w:val="20"/>
          <w:szCs w:val="20"/>
        </w:rPr>
        <w:t xml:space="preserve">atters and other matters discussed below, and to comply with applicable laws and regulations, will not exceed the amounts reflected in NCR’s Condensed Consolidated Financial Statements or will not have a material adverse effect on its consolidated results </w:t>
      </w:r>
      <w:r>
        <w:rPr>
          <w:rFonts w:eastAsia="Times New Roman"/>
          <w:color w:val="000000"/>
          <w:sz w:val="20"/>
          <w:szCs w:val="20"/>
        </w:rPr>
        <w:t>of operations, capital expenditures, competitive position, financial condition or cash flows.</w:t>
      </w:r>
    </w:p>
    <w:p w14:paraId="15BF2B28" w14:textId="77777777" w:rsidR="00000000" w:rsidRDefault="0068293C">
      <w:pPr>
        <w:jc w:val="both"/>
        <w:rPr>
          <w:rFonts w:eastAsia="Times New Roman"/>
        </w:rPr>
      </w:pPr>
    </w:p>
    <w:p w14:paraId="61E76456" w14:textId="77777777" w:rsidR="00000000" w:rsidRDefault="0068293C">
      <w:pPr>
        <w:jc w:val="both"/>
        <w:rPr>
          <w:rFonts w:eastAsia="Times New Roman"/>
        </w:rPr>
      </w:pPr>
      <w:r>
        <w:rPr>
          <w:rFonts w:eastAsia="Times New Roman"/>
          <w:b/>
          <w:bCs/>
          <w:color w:val="000000"/>
          <w:sz w:val="20"/>
          <w:szCs w:val="20"/>
        </w:rPr>
        <w:t>Environmental Matters</w:t>
      </w:r>
      <w:r>
        <w:rPr>
          <w:rFonts w:eastAsia="Times New Roman"/>
          <w:color w:val="000000"/>
          <w:sz w:val="20"/>
          <w:szCs w:val="20"/>
        </w:rPr>
        <w:t xml:space="preserve"> NCR's facilities and operations are subject to a wide range of environmental protection laws, and NCR has investigatory and remedial activ</w:t>
      </w:r>
      <w:r>
        <w:rPr>
          <w:rFonts w:eastAsia="Times New Roman"/>
          <w:color w:val="000000"/>
          <w:sz w:val="20"/>
          <w:szCs w:val="20"/>
        </w:rPr>
        <w:t>ities underway at a number of facilities that it currently owns or operates, or formerly owned or operated, to comply, or to determine compliance, with such laws. Also, NCR has been identified, either by a government agency or by a private party seeking co</w:t>
      </w:r>
      <w:r>
        <w:rPr>
          <w:rFonts w:eastAsia="Times New Roman"/>
          <w:color w:val="000000"/>
          <w:sz w:val="20"/>
          <w:szCs w:val="20"/>
        </w:rPr>
        <w:t>ntribution to site clean-up costs, as a potentially responsible party (“PRP”) at a number of sites pursuant to various state and federal laws, including the Federal Water Pollution Control Act, the Comprehensive Environmental Response, Compensation and Lia</w:t>
      </w:r>
      <w:r>
        <w:rPr>
          <w:rFonts w:eastAsia="Times New Roman"/>
          <w:color w:val="000000"/>
          <w:sz w:val="20"/>
          <w:szCs w:val="20"/>
        </w:rPr>
        <w:t>bility Act (“CERCLA”) and comparable state statutes. Other than the Fox River matter, the Kalamazoo River matter and the Ebina matter discussed below, we currently do not anticipate material expenses and liabilities from these environmental matters.</w:t>
      </w:r>
    </w:p>
    <w:p w14:paraId="05012A09" w14:textId="77777777" w:rsidR="00000000" w:rsidRDefault="0068293C">
      <w:pPr>
        <w:jc w:val="both"/>
        <w:rPr>
          <w:rFonts w:eastAsia="Times New Roman"/>
        </w:rPr>
      </w:pPr>
    </w:p>
    <w:p w14:paraId="18B6593D" w14:textId="77777777" w:rsidR="00000000" w:rsidRDefault="0068293C">
      <w:pPr>
        <w:jc w:val="both"/>
        <w:rPr>
          <w:rFonts w:eastAsia="Times New Roman"/>
        </w:rPr>
      </w:pPr>
      <w:r>
        <w:rPr>
          <w:rFonts w:eastAsia="Times New Roman"/>
          <w:i/>
          <w:iCs/>
          <w:color w:val="000000"/>
          <w:sz w:val="20"/>
          <w:szCs w:val="20"/>
        </w:rPr>
        <w:t xml:space="preserve">Fox </w:t>
      </w:r>
      <w:r>
        <w:rPr>
          <w:rFonts w:eastAsia="Times New Roman"/>
          <w:i/>
          <w:iCs/>
          <w:color w:val="000000"/>
          <w:sz w:val="20"/>
          <w:szCs w:val="20"/>
        </w:rPr>
        <w:t>River</w:t>
      </w:r>
      <w:r>
        <w:rPr>
          <w:rFonts w:eastAsia="Times New Roman"/>
          <w:color w:val="000000"/>
          <w:sz w:val="20"/>
          <w:szCs w:val="20"/>
        </w:rPr>
        <w:t xml:space="preserve"> NCR is one of eight entities that were formally notified by governmental and other entities, such as local Native American tribes, that they are PRPs for environmental claims (under CERCLA and other statutes) arising out of the presence of polychlori</w:t>
      </w:r>
      <w:r>
        <w:rPr>
          <w:rFonts w:eastAsia="Times New Roman"/>
          <w:color w:val="000000"/>
          <w:sz w:val="20"/>
          <w:szCs w:val="20"/>
        </w:rPr>
        <w:t>nated biphenyls (“PCBs”) in sediments in the lower Fox River and in the Bay of Green Bay in Wisconsin. Such notice was provided on September 30, 2003. The other Fox River PRPs that received notices include Appleton Papers Inc. (“API”; now known as Appvion,</w:t>
      </w:r>
      <w:r>
        <w:rPr>
          <w:rFonts w:eastAsia="Times New Roman"/>
          <w:color w:val="000000"/>
          <w:sz w:val="20"/>
          <w:szCs w:val="20"/>
        </w:rPr>
        <w:t xml:space="preserve"> Inc.), P.H. Glatfelter Company (“Glatfelter”), Georgia-Pacific Consumer Products LP (“GP”, successor to Fort James Operating Company), and others. NCR was identified as a PRP because of alleged PCB discharges from two carbonless copy paper manufacturing f</w:t>
      </w:r>
      <w:r>
        <w:rPr>
          <w:rFonts w:eastAsia="Times New Roman"/>
          <w:color w:val="000000"/>
          <w:sz w:val="20"/>
          <w:szCs w:val="20"/>
        </w:rPr>
        <w:t xml:space="preserve">acilities it previously owned, which were located along the Fox River. NCR sold its facilities in 1978 to API. The parties have also contended that NCR is responsible for PCB discharges from paper mills owned by other companies because NCR carbonless copy </w:t>
      </w:r>
      <w:r>
        <w:rPr>
          <w:rFonts w:eastAsia="Times New Roman"/>
          <w:color w:val="000000"/>
          <w:sz w:val="20"/>
          <w:szCs w:val="20"/>
        </w:rPr>
        <w:t xml:space="preserve">paper “broke” was allegedly purchased by those other mills as a raw material. </w:t>
      </w:r>
    </w:p>
    <w:p w14:paraId="268A34F4" w14:textId="77777777" w:rsidR="00000000" w:rsidRDefault="0068293C">
      <w:pPr>
        <w:jc w:val="both"/>
        <w:rPr>
          <w:rFonts w:eastAsia="Times New Roman"/>
        </w:rPr>
      </w:pPr>
    </w:p>
    <w:p w14:paraId="1F1E4C89" w14:textId="77777777" w:rsidR="00000000" w:rsidRDefault="0068293C">
      <w:pPr>
        <w:jc w:val="both"/>
        <w:rPr>
          <w:rFonts w:eastAsia="Times New Roman"/>
        </w:rPr>
      </w:pPr>
      <w:r>
        <w:rPr>
          <w:rFonts w:eastAsia="Times New Roman"/>
          <w:color w:val="000000"/>
          <w:sz w:val="20"/>
          <w:szCs w:val="20"/>
        </w:rPr>
        <w:t xml:space="preserve">The United States Environmental Protection Agency (“USEPA”) and Wisconsin Department of Natural Resources (together, “the Governments”) developed clean-up plans for the upper </w:t>
      </w:r>
      <w:r>
        <w:rPr>
          <w:rFonts w:eastAsia="Times New Roman"/>
          <w:color w:val="000000"/>
          <w:sz w:val="20"/>
          <w:szCs w:val="20"/>
        </w:rPr>
        <w:t xml:space="preserve">and lower parts of the Fox River and for portions of the Bay of </w:t>
      </w:r>
    </w:p>
    <w:p w14:paraId="686AD9B7" w14:textId="77777777" w:rsidR="00000000" w:rsidRDefault="0068293C">
      <w:pPr>
        <w:jc w:val="center"/>
        <w:divId w:val="1323776385"/>
        <w:rPr>
          <w:rFonts w:eastAsia="Times New Roman"/>
        </w:rPr>
      </w:pPr>
      <w:r>
        <w:rPr>
          <w:rFonts w:eastAsia="Times New Roman"/>
          <w:color w:val="000000"/>
          <w:sz w:val="20"/>
          <w:szCs w:val="20"/>
        </w:rPr>
        <w:t>21</w:t>
      </w:r>
    </w:p>
    <w:p w14:paraId="662F394A" w14:textId="77777777" w:rsidR="00000000" w:rsidRDefault="0068293C">
      <w:pPr>
        <w:rPr>
          <w:rFonts w:eastAsia="Times New Roman"/>
        </w:rPr>
      </w:pPr>
      <w:r>
        <w:rPr>
          <w:rFonts w:eastAsia="Times New Roman"/>
        </w:rPr>
        <w:pict w14:anchorId="299B6383">
          <v:rect id="_x0000_i1046" style="width:0;height:1.5pt" o:hralign="center" o:hrstd="t" o:hr="t" fillcolor="#a0a0a0" stroked="f"/>
        </w:pict>
      </w:r>
    </w:p>
    <w:p w14:paraId="3CB5B6BB" w14:textId="77777777" w:rsidR="00000000" w:rsidRDefault="0068293C">
      <w:pPr>
        <w:ind w:firstLine="720"/>
        <w:divId w:val="1488666300"/>
        <w:rPr>
          <w:rFonts w:eastAsia="Times New Roman"/>
        </w:rPr>
      </w:pPr>
      <w:hyperlink w:anchor="i78484f3d0d8e4e36a7c87ddd6ea9d725_7" w:history="1">
        <w:r>
          <w:rPr>
            <w:rStyle w:val="a3"/>
            <w:rFonts w:eastAsia="Times New Roman"/>
            <w:sz w:val="16"/>
            <w:szCs w:val="16"/>
          </w:rPr>
          <w:t>Table of Content</w:t>
        </w:r>
      </w:hyperlink>
    </w:p>
    <w:p w14:paraId="222FFE86" w14:textId="77777777" w:rsidR="00000000" w:rsidRDefault="0068293C">
      <w:pPr>
        <w:jc w:val="center"/>
        <w:divId w:val="1576429232"/>
        <w:rPr>
          <w:rFonts w:eastAsia="Times New Roman"/>
        </w:rPr>
      </w:pPr>
      <w:r>
        <w:rPr>
          <w:rFonts w:eastAsia="Times New Roman"/>
          <w:b/>
          <w:bCs/>
          <w:color w:val="000000"/>
          <w:sz w:val="20"/>
          <w:szCs w:val="20"/>
        </w:rPr>
        <w:t>NCR Corporation</w:t>
      </w:r>
    </w:p>
    <w:p w14:paraId="2644254F" w14:textId="77777777" w:rsidR="00000000" w:rsidRDefault="0068293C">
      <w:pPr>
        <w:jc w:val="center"/>
        <w:divId w:val="1576429232"/>
        <w:rPr>
          <w:rFonts w:eastAsia="Times New Roman"/>
        </w:rPr>
      </w:pPr>
      <w:r>
        <w:rPr>
          <w:rFonts w:eastAsia="Times New Roman"/>
          <w:b/>
          <w:bCs/>
          <w:color w:val="000000"/>
          <w:sz w:val="20"/>
          <w:szCs w:val="20"/>
        </w:rPr>
        <w:t>Notes to Condensed Consolidated Financial Statements (Unaudited)—(Continued)</w:t>
      </w:r>
    </w:p>
    <w:p w14:paraId="1F581E3E" w14:textId="77777777" w:rsidR="00000000" w:rsidRDefault="0068293C">
      <w:pPr>
        <w:jc w:val="both"/>
        <w:rPr>
          <w:rFonts w:eastAsia="Times New Roman"/>
        </w:rPr>
      </w:pPr>
      <w:r>
        <w:rPr>
          <w:rFonts w:eastAsia="Times New Roman"/>
          <w:color w:val="000000"/>
          <w:sz w:val="20"/>
          <w:szCs w:val="20"/>
        </w:rPr>
        <w:t>Green Bay. On November 13, 2007, the Governments issued a unilateral administrative order (the “2007 Order”) under CERCLA to the eight original PRPs, requiring them to perform rem</w:t>
      </w:r>
      <w:r>
        <w:rPr>
          <w:rFonts w:eastAsia="Times New Roman"/>
          <w:color w:val="000000"/>
          <w:sz w:val="20"/>
          <w:szCs w:val="20"/>
        </w:rPr>
        <w:t>edial work under the Governments’ clean-up plan for the lower parts of the river (operable units 2 through 5). In April 2009, NCR and API formed a limited liability company (the “LLC”), which entered into an agreement with an environmental remediation cont</w:t>
      </w:r>
      <w:r>
        <w:rPr>
          <w:rFonts w:eastAsia="Times New Roman"/>
          <w:color w:val="000000"/>
          <w:sz w:val="20"/>
          <w:szCs w:val="20"/>
        </w:rPr>
        <w:t>ractor to perform the work at the Fox River site. In-water dredging and remediation under the clean-up plan commenced shortly thereafter.</w:t>
      </w:r>
    </w:p>
    <w:p w14:paraId="128D0280" w14:textId="77777777" w:rsidR="00000000" w:rsidRDefault="0068293C">
      <w:pPr>
        <w:jc w:val="both"/>
        <w:rPr>
          <w:rFonts w:eastAsia="Times New Roman"/>
        </w:rPr>
      </w:pPr>
    </w:p>
    <w:p w14:paraId="46A59109" w14:textId="77777777" w:rsidR="00000000" w:rsidRDefault="0068293C">
      <w:pPr>
        <w:jc w:val="both"/>
        <w:rPr>
          <w:rFonts w:eastAsia="Times New Roman"/>
        </w:rPr>
      </w:pPr>
      <w:r>
        <w:rPr>
          <w:rFonts w:eastAsia="Times New Roman"/>
          <w:color w:val="000000"/>
          <w:sz w:val="20"/>
          <w:szCs w:val="20"/>
        </w:rPr>
        <w:t>NCR and API, along with B.A.T Industries p.l.c. (“BAT”</w:t>
      </w:r>
      <w:r>
        <w:rPr>
          <w:rFonts w:eastAsia="Times New Roman"/>
          <w:color w:val="000000"/>
          <w:sz w:val="20"/>
          <w:szCs w:val="20"/>
        </w:rPr>
        <w:t xml:space="preserve">), share among themselves a portion of the cost of the Fox River clean-up and natural resource damages (“NRD”) based upon a 1998 agreement (the “Cost Sharing Agreement”), a 2005 arbitration award (subsequently confirmed as a judgment), and a September 30, </w:t>
      </w:r>
      <w:r>
        <w:rPr>
          <w:rFonts w:eastAsia="Times New Roman"/>
          <w:color w:val="000000"/>
          <w:sz w:val="20"/>
          <w:szCs w:val="20"/>
        </w:rPr>
        <w:t xml:space="preserve">2014 Funding Agreement (the “Funding Agreement”). The Cost Sharing Agreement and the arbitration resolved disputes that arose out of the Company's 1978 sale of its Fox River facilities to API. The Cost Sharing Agreement and arbitration award resulted in a </w:t>
      </w:r>
      <w:r>
        <w:rPr>
          <w:rFonts w:eastAsia="Times New Roman"/>
          <w:color w:val="000000"/>
          <w:sz w:val="20"/>
          <w:szCs w:val="20"/>
        </w:rPr>
        <w:t>45% share for NCR of the first $75 million of such costs (a threshold that was reached in 2008), and a 40% share for amounts in excess of $75 million. The Funding Agreement arose out of a 2012 to 2014 arbitration dispute between NCR and API, and provides f</w:t>
      </w:r>
      <w:r>
        <w:rPr>
          <w:rFonts w:eastAsia="Times New Roman"/>
          <w:color w:val="000000"/>
          <w:sz w:val="20"/>
          <w:szCs w:val="20"/>
        </w:rPr>
        <w:t xml:space="preserve">or regular, ongoing funding of NCR incurred Fox River remediation costs via contributions, made to a new limited liability corporation created by the Funding Agreement, by BAT, API and, for 2014, API's indemnitor, Windward Prospects. The Funding Agreement </w:t>
      </w:r>
      <w:r>
        <w:rPr>
          <w:rFonts w:eastAsia="Times New Roman"/>
          <w:color w:val="000000"/>
          <w:sz w:val="20"/>
          <w:szCs w:val="20"/>
        </w:rPr>
        <w:t>creates an obligation on BAT and API to fund 50% of NCR’s Fox River remediation costs from October 1, 2014 forward (API’s Fox River-related obligations under the Funding Agreement were fully satisfied in 2016); the Funding Agreement also provides NCR contr</w:t>
      </w:r>
      <w:r>
        <w:rPr>
          <w:rFonts w:eastAsia="Times New Roman"/>
          <w:color w:val="000000"/>
          <w:sz w:val="20"/>
          <w:szCs w:val="20"/>
        </w:rPr>
        <w:t xml:space="preserve">actual avenues for payment of, via direct and third-party sources, (1) the difference between BAT’s and API’s 60% obligation under the Cost Sharing Agreement and arbitration award on the one hand and their ongoing (since September 2014) 50% payments under </w:t>
      </w:r>
      <w:r>
        <w:rPr>
          <w:rFonts w:eastAsia="Times New Roman"/>
          <w:color w:val="000000"/>
          <w:sz w:val="20"/>
          <w:szCs w:val="20"/>
        </w:rPr>
        <w:t xml:space="preserve">the Funding Agreement on the other, as well as (2) the difference between the amount NCR received under the Funding Agreement and the amount owed to it under the Cost Sharing Agreement and arbitration award for the period from April 2012 through September </w:t>
      </w:r>
      <w:r>
        <w:rPr>
          <w:rFonts w:eastAsia="Times New Roman"/>
          <w:color w:val="000000"/>
          <w:sz w:val="20"/>
          <w:szCs w:val="20"/>
        </w:rPr>
        <w:t>2014. As of March 31, 2022 and December 31, 2021, the receivable under the Funding Agreement was approximately $54 million and was included in Other assets in the Condensed Consolidated Balance Sheets. The timing of collection of sums related to the receiv</w:t>
      </w:r>
      <w:r>
        <w:rPr>
          <w:rFonts w:eastAsia="Times New Roman"/>
          <w:color w:val="000000"/>
          <w:sz w:val="20"/>
          <w:szCs w:val="20"/>
        </w:rPr>
        <w:t xml:space="preserve">able is uncertain, subject and pursuant to the terms of the Funding Agreement and related agreements. This receivable is not taken into account in calculating the Company’s Fox River net reserve. </w:t>
      </w:r>
    </w:p>
    <w:p w14:paraId="58B9EA5F" w14:textId="77777777" w:rsidR="00000000" w:rsidRDefault="0068293C">
      <w:pPr>
        <w:divId w:val="490563846"/>
        <w:rPr>
          <w:rFonts w:eastAsia="Times New Roman"/>
        </w:rPr>
      </w:pPr>
    </w:p>
    <w:p w14:paraId="6F613220" w14:textId="77777777" w:rsidR="00000000" w:rsidRDefault="0068293C">
      <w:pPr>
        <w:jc w:val="both"/>
        <w:rPr>
          <w:rFonts w:eastAsia="Times New Roman"/>
        </w:rPr>
      </w:pPr>
      <w:r>
        <w:rPr>
          <w:rFonts w:eastAsia="Times New Roman"/>
          <w:color w:val="000000"/>
          <w:sz w:val="20"/>
          <w:szCs w:val="20"/>
        </w:rPr>
        <w:t>The Company's litigations relating to contribution and en</w:t>
      </w:r>
      <w:r>
        <w:rPr>
          <w:rFonts w:eastAsia="Times New Roman"/>
          <w:color w:val="000000"/>
          <w:sz w:val="20"/>
          <w:szCs w:val="20"/>
        </w:rPr>
        <w:t>forcement claims concerning the Fox River have been concluded. A proposed consent decree settlement (the “CD settlement”) with respect to the contribution action (a case originally filed by NCR and API) and the government enforcement action (a case origina</w:t>
      </w:r>
      <w:r>
        <w:rPr>
          <w:rFonts w:eastAsia="Times New Roman"/>
          <w:color w:val="000000"/>
          <w:sz w:val="20"/>
          <w:szCs w:val="20"/>
        </w:rPr>
        <w:t>lly filed by the federal and state governments against several PRPs, including the Company) was successfully negotiated by NCR and the federal and state governments and was approved on August 22, 2017 by the federal district court in Wisconsin that had bee</w:t>
      </w:r>
      <w:r>
        <w:rPr>
          <w:rFonts w:eastAsia="Times New Roman"/>
          <w:color w:val="000000"/>
          <w:sz w:val="20"/>
          <w:szCs w:val="20"/>
        </w:rPr>
        <w:t>n presiding over those cases. A final order of dismissal as to the Company in the contribution and government enforcement actions was subsequently entered; one party, Glatfelter, had appealed the approval of the CD settlement. On January 3, 2019, the Unite</w:t>
      </w:r>
      <w:r>
        <w:rPr>
          <w:rFonts w:eastAsia="Times New Roman"/>
          <w:color w:val="000000"/>
          <w:sz w:val="20"/>
          <w:szCs w:val="20"/>
        </w:rPr>
        <w:t>d States lodged a proposed consent decree with the Wisconsin court, reflecting a settlement reached by the United States, Wisconsin and Glatfelter with respect to Glatfelter’s Fox River liability under the government enforcement action; a component of that</w:t>
      </w:r>
      <w:r>
        <w:rPr>
          <w:rFonts w:eastAsia="Times New Roman"/>
          <w:color w:val="000000"/>
          <w:sz w:val="20"/>
          <w:szCs w:val="20"/>
        </w:rPr>
        <w:t xml:space="preserve"> settlement was withdrawal of Glatfelter’s appeal opposing the Company’s CD settlement. On March 14, 2019, the Wisconsin court approved the Glatfelter consent decree, and on April 3, 2019, Glatfelter's appeal was dismissed. </w:t>
      </w:r>
    </w:p>
    <w:p w14:paraId="7ECCD9E0" w14:textId="77777777" w:rsidR="00000000" w:rsidRDefault="0068293C">
      <w:pPr>
        <w:jc w:val="both"/>
        <w:rPr>
          <w:rFonts w:eastAsia="Times New Roman"/>
        </w:rPr>
      </w:pPr>
    </w:p>
    <w:p w14:paraId="13CF6814" w14:textId="77777777" w:rsidR="00000000" w:rsidRDefault="0068293C">
      <w:pPr>
        <w:jc w:val="both"/>
        <w:rPr>
          <w:rFonts w:eastAsia="Times New Roman"/>
        </w:rPr>
      </w:pPr>
      <w:r>
        <w:rPr>
          <w:rFonts w:eastAsia="Times New Roman"/>
          <w:color w:val="000000"/>
          <w:sz w:val="20"/>
          <w:szCs w:val="20"/>
        </w:rPr>
        <w:t>The CD settlement has now res</w:t>
      </w:r>
      <w:r>
        <w:rPr>
          <w:rFonts w:eastAsia="Times New Roman"/>
          <w:color w:val="000000"/>
          <w:sz w:val="20"/>
          <w:szCs w:val="20"/>
        </w:rPr>
        <w:t>olved the remaining Fox River-related contribution and enforcement claims against the Company. The key components of the approved CD settlement include (1) the Company’s commitment to complete the remediation of the Fox River, which has now been completed;</w:t>
      </w:r>
      <w:r>
        <w:rPr>
          <w:rFonts w:eastAsia="Times New Roman"/>
          <w:color w:val="000000"/>
          <w:sz w:val="20"/>
          <w:szCs w:val="20"/>
        </w:rPr>
        <w:t xml:space="preserve"> (2) the Company’s conditional agreement to waive its contribution claims against the two remaining defendants in the case, GP and Glatfelter; (3) the Company’s agreement not to appeal the trial court’s decision on divisibility of harm; (4) the Governments</w:t>
      </w:r>
      <w:r>
        <w:rPr>
          <w:rFonts w:eastAsia="Times New Roman"/>
          <w:color w:val="000000"/>
          <w:sz w:val="20"/>
          <w:szCs w:val="20"/>
        </w:rPr>
        <w:t xml:space="preserve">’ agreement to include in the settlement so-called “contribution protection” in the Company’s favor as to GP’s and Glatfelter’s contribution claims against the Company, the effect of which will be to extinguish those claims; (5) the Governments’ agreement </w:t>
      </w:r>
      <w:r>
        <w:rPr>
          <w:rFonts w:eastAsia="Times New Roman"/>
          <w:color w:val="000000"/>
          <w:sz w:val="20"/>
          <w:szCs w:val="20"/>
        </w:rPr>
        <w:t>not to pursue the Company for the Governments’ past oversight costs; and (6) the Governments’ agreement to exercise prosecutorial discretion in pursuing other parties for future oversight costs and long-term monitoring and maintenance, with the Company ret</w:t>
      </w:r>
      <w:r>
        <w:rPr>
          <w:rFonts w:eastAsia="Times New Roman"/>
          <w:color w:val="000000"/>
          <w:sz w:val="20"/>
          <w:szCs w:val="20"/>
        </w:rPr>
        <w:t>aining so-called “backstop” liability in the event that the other parties fail to pay future oversight costs or to perform long-term monitoring and maintenance. Additionally, although certain state law claims by GP and Glatfelter against the Company may no</w:t>
      </w:r>
      <w:r>
        <w:rPr>
          <w:rFonts w:eastAsia="Times New Roman"/>
          <w:color w:val="000000"/>
          <w:sz w:val="20"/>
          <w:szCs w:val="20"/>
        </w:rPr>
        <w:t xml:space="preserve">t be affected directly by the CD settlement, the CD settlement provides that the Company’s contribution claims against those two parties will revive if those parties attempt to assert any claims against the Company relating to the Fox River, including any </w:t>
      </w:r>
      <w:r>
        <w:rPr>
          <w:rFonts w:eastAsia="Times New Roman"/>
          <w:color w:val="000000"/>
          <w:sz w:val="20"/>
          <w:szCs w:val="20"/>
        </w:rPr>
        <w:t>state law claims.</w:t>
      </w:r>
    </w:p>
    <w:p w14:paraId="16D88AEE" w14:textId="77777777" w:rsidR="00000000" w:rsidRDefault="0068293C">
      <w:pPr>
        <w:jc w:val="both"/>
        <w:rPr>
          <w:rFonts w:eastAsia="Times New Roman"/>
        </w:rPr>
      </w:pPr>
    </w:p>
    <w:p w14:paraId="0C5680C4" w14:textId="77777777" w:rsidR="00000000" w:rsidRDefault="0068293C">
      <w:pPr>
        <w:jc w:val="both"/>
        <w:rPr>
          <w:rFonts w:eastAsia="Times New Roman"/>
        </w:rPr>
      </w:pPr>
      <w:r>
        <w:rPr>
          <w:rFonts w:eastAsia="Times New Roman"/>
          <w:color w:val="000000"/>
          <w:sz w:val="20"/>
          <w:szCs w:val="20"/>
        </w:rPr>
        <w:t>In the quarter ending September 30, 2017, the remediation general contractor commenced an arbitration against the LLC, in a dispute over contract interpretation. The hearing on this matter was completed in June 2019, and the parties sub</w:t>
      </w:r>
      <w:r>
        <w:rPr>
          <w:rFonts w:eastAsia="Times New Roman"/>
          <w:color w:val="000000"/>
          <w:sz w:val="20"/>
          <w:szCs w:val="20"/>
        </w:rPr>
        <w:t>mitted post-trial briefs in August 2019. The amounts claimed by the contractor range from approximately $46 million to approximately $53 million; the Company disputed the claims and contested them vigorously during the hearing. In November 2019, having rej</w:t>
      </w:r>
      <w:r>
        <w:rPr>
          <w:rFonts w:eastAsia="Times New Roman"/>
          <w:color w:val="000000"/>
          <w:sz w:val="20"/>
          <w:szCs w:val="20"/>
        </w:rPr>
        <w:t xml:space="preserve">ected substantial portions of the claims, the arbitration panel awarded the contractor approximately $10 million. The </w:t>
      </w:r>
    </w:p>
    <w:p w14:paraId="6D968A6F" w14:textId="77777777" w:rsidR="00000000" w:rsidRDefault="0068293C">
      <w:pPr>
        <w:jc w:val="center"/>
        <w:divId w:val="1012607983"/>
        <w:rPr>
          <w:rFonts w:eastAsia="Times New Roman"/>
        </w:rPr>
      </w:pPr>
      <w:r>
        <w:rPr>
          <w:rFonts w:eastAsia="Times New Roman"/>
          <w:color w:val="000000"/>
          <w:sz w:val="20"/>
          <w:szCs w:val="20"/>
        </w:rPr>
        <w:t>22</w:t>
      </w:r>
    </w:p>
    <w:p w14:paraId="4349BD1C" w14:textId="77777777" w:rsidR="00000000" w:rsidRDefault="0068293C">
      <w:pPr>
        <w:rPr>
          <w:rFonts w:eastAsia="Times New Roman"/>
        </w:rPr>
      </w:pPr>
      <w:r>
        <w:rPr>
          <w:rFonts w:eastAsia="Times New Roman"/>
        </w:rPr>
        <w:pict w14:anchorId="49455EA6">
          <v:rect id="_x0000_i1047" style="width:0;height:1.5pt" o:hralign="center" o:hrstd="t" o:hr="t" fillcolor="#a0a0a0" stroked="f"/>
        </w:pict>
      </w:r>
    </w:p>
    <w:p w14:paraId="7EE8AD84" w14:textId="77777777" w:rsidR="00000000" w:rsidRDefault="0068293C">
      <w:pPr>
        <w:ind w:firstLine="720"/>
        <w:divId w:val="1256286418"/>
        <w:rPr>
          <w:rFonts w:eastAsia="Times New Roman"/>
        </w:rPr>
      </w:pPr>
      <w:hyperlink w:anchor="i78484f3d0d8e4e36a7c87ddd6ea9d725_7" w:history="1">
        <w:r>
          <w:rPr>
            <w:rStyle w:val="a3"/>
            <w:rFonts w:eastAsia="Times New Roman"/>
            <w:sz w:val="16"/>
            <w:szCs w:val="16"/>
          </w:rPr>
          <w:t>Table of Content</w:t>
        </w:r>
      </w:hyperlink>
    </w:p>
    <w:p w14:paraId="3F5592B2" w14:textId="77777777" w:rsidR="00000000" w:rsidRDefault="0068293C">
      <w:pPr>
        <w:jc w:val="center"/>
        <w:divId w:val="1848670082"/>
        <w:rPr>
          <w:rFonts w:eastAsia="Times New Roman"/>
        </w:rPr>
      </w:pPr>
      <w:r>
        <w:rPr>
          <w:rFonts w:eastAsia="Times New Roman"/>
          <w:b/>
          <w:bCs/>
          <w:color w:val="000000"/>
          <w:sz w:val="20"/>
          <w:szCs w:val="20"/>
        </w:rPr>
        <w:t>NCR Corporation</w:t>
      </w:r>
    </w:p>
    <w:p w14:paraId="50E98650" w14:textId="77777777" w:rsidR="00000000" w:rsidRDefault="0068293C">
      <w:pPr>
        <w:jc w:val="center"/>
        <w:divId w:val="1848670082"/>
        <w:rPr>
          <w:rFonts w:eastAsia="Times New Roman"/>
        </w:rPr>
      </w:pPr>
      <w:r>
        <w:rPr>
          <w:rFonts w:eastAsia="Times New Roman"/>
          <w:b/>
          <w:bCs/>
          <w:color w:val="000000"/>
          <w:sz w:val="20"/>
          <w:szCs w:val="20"/>
        </w:rPr>
        <w:t>Notes t</w:t>
      </w:r>
      <w:r>
        <w:rPr>
          <w:rFonts w:eastAsia="Times New Roman"/>
          <w:b/>
          <w:bCs/>
          <w:color w:val="000000"/>
          <w:sz w:val="20"/>
          <w:szCs w:val="20"/>
        </w:rPr>
        <w:t>o Condensed Consolidated Financial Statements (Unaudited)—(Continued)</w:t>
      </w:r>
    </w:p>
    <w:p w14:paraId="29D28820" w14:textId="77777777" w:rsidR="00000000" w:rsidRDefault="0068293C">
      <w:pPr>
        <w:jc w:val="both"/>
        <w:rPr>
          <w:rFonts w:eastAsia="Times New Roman"/>
        </w:rPr>
      </w:pPr>
      <w:r>
        <w:rPr>
          <w:rFonts w:eastAsia="Times New Roman"/>
          <w:color w:val="000000"/>
          <w:sz w:val="20"/>
          <w:szCs w:val="20"/>
        </w:rPr>
        <w:t>Company’s indemnitors and co-obligors, described below, were responsible for the majority of the award, with the Company’s share being approximately 25% of the award.</w:t>
      </w:r>
    </w:p>
    <w:p w14:paraId="0CBCFE08" w14:textId="77777777" w:rsidR="00000000" w:rsidRDefault="0068293C">
      <w:pPr>
        <w:jc w:val="both"/>
        <w:rPr>
          <w:rFonts w:eastAsia="Times New Roman"/>
        </w:rPr>
      </w:pPr>
    </w:p>
    <w:p w14:paraId="496A3A8B" w14:textId="77777777" w:rsidR="00000000" w:rsidRDefault="0068293C">
      <w:pPr>
        <w:jc w:val="both"/>
        <w:rPr>
          <w:rFonts w:eastAsia="Times New Roman"/>
        </w:rPr>
      </w:pPr>
      <w:r>
        <w:rPr>
          <w:rFonts w:eastAsia="Times New Roman"/>
          <w:color w:val="000000"/>
          <w:sz w:val="20"/>
          <w:szCs w:val="20"/>
        </w:rPr>
        <w:t>With respect to t</w:t>
      </w:r>
      <w:r>
        <w:rPr>
          <w:rFonts w:eastAsia="Times New Roman"/>
          <w:color w:val="000000"/>
          <w:sz w:val="20"/>
          <w:szCs w:val="20"/>
        </w:rPr>
        <w:t>he Company’s prior dispute with API, which was generally superseded by the Funding Agreement, the Company received timely payments as they came due under the Funding Agreement. Although API filed for bankruptcy protection in October 2017, it had made all o</w:t>
      </w:r>
      <w:r>
        <w:rPr>
          <w:rFonts w:eastAsia="Times New Roman"/>
          <w:color w:val="000000"/>
          <w:sz w:val="20"/>
          <w:szCs w:val="20"/>
        </w:rPr>
        <w:t>f the payments to the Company in connection with the Fox River that are required of it by the Funding Agreement.</w:t>
      </w:r>
    </w:p>
    <w:p w14:paraId="0B54C4D6" w14:textId="77777777" w:rsidR="00000000" w:rsidRDefault="0068293C">
      <w:pPr>
        <w:jc w:val="both"/>
        <w:rPr>
          <w:rFonts w:eastAsia="Times New Roman"/>
        </w:rPr>
      </w:pPr>
    </w:p>
    <w:p w14:paraId="4E0FED27" w14:textId="77777777" w:rsidR="00000000" w:rsidRDefault="0068293C">
      <w:pPr>
        <w:jc w:val="both"/>
        <w:divId w:val="1556694075"/>
        <w:rPr>
          <w:rFonts w:eastAsia="Times New Roman"/>
        </w:rPr>
      </w:pPr>
      <w:r>
        <w:rPr>
          <w:rFonts w:eastAsia="Times New Roman"/>
          <w:color w:val="000000"/>
          <w:sz w:val="20"/>
          <w:szCs w:val="20"/>
        </w:rPr>
        <w:t>NCR's eventual remediation liability, followed by long-term monitoring expected to be performed by others, will depend on a number of factors</w:t>
      </w:r>
      <w:r>
        <w:rPr>
          <w:rFonts w:eastAsia="Times New Roman"/>
          <w:color w:val="000000"/>
          <w:sz w:val="20"/>
          <w:szCs w:val="20"/>
        </w:rPr>
        <w:t xml:space="preserve">. In establishing the reserve, NCR attempts to estimate a range of reasonably possible outcomes for each of these factors, although each range is itself uncertain. NCR uses its best estimate within the range, if that is possible. Where there is a range of </w:t>
      </w:r>
      <w:r>
        <w:rPr>
          <w:rFonts w:eastAsia="Times New Roman"/>
          <w:color w:val="000000"/>
          <w:sz w:val="20"/>
          <w:szCs w:val="20"/>
        </w:rPr>
        <w:t>equally possible outcomes, and there is no amount within that range that is considered to be a better estimate than any other amount, NCR uses the low end of the range. The significant factors include: (1) the total remaining site costs, including the cost</w:t>
      </w:r>
      <w:r>
        <w:rPr>
          <w:rFonts w:eastAsia="Times New Roman"/>
          <w:color w:val="000000"/>
          <w:sz w:val="20"/>
          <w:szCs w:val="20"/>
        </w:rPr>
        <w:t>s associated with decommissioning the site, the expected cost impact of which is expected to be neutral or non-material to the Company, including long-term monitoring following completion of the clean-up, and what parties are assigned to discharge the post</w:t>
      </w:r>
      <w:r>
        <w:rPr>
          <w:rFonts w:eastAsia="Times New Roman"/>
          <w:color w:val="000000"/>
          <w:sz w:val="20"/>
          <w:szCs w:val="20"/>
        </w:rPr>
        <w:t>-clean-up tasks (as noted, the Company no longer expects to bear long-term monitoring costs); (2) total NRD for the site and the share that NCR will bear (which is now resolved as to the Company); (3) the share of clean-up costs that NCR will bear (which i</w:t>
      </w:r>
      <w:r>
        <w:rPr>
          <w:rFonts w:eastAsia="Times New Roman"/>
          <w:color w:val="000000"/>
          <w:sz w:val="20"/>
          <w:szCs w:val="20"/>
        </w:rPr>
        <w:t>s resolved under the CD settlement); (4) NCR's transaction and litigation costs to defend itself to the extent additional litigation is required with respect to claims brought by the general contractor; and (5) the share of NCR's payments that BAT will bea</w:t>
      </w:r>
      <w:r>
        <w:rPr>
          <w:rFonts w:eastAsia="Times New Roman"/>
          <w:color w:val="000000"/>
          <w:sz w:val="20"/>
          <w:szCs w:val="20"/>
        </w:rPr>
        <w:t xml:space="preserve">r (which is governed by the Cost Sharing Agreement and the Funding Agreement, BAT has made all of the payments requested of it, and as discussed above; API is in bankruptcy and is not presumed likely to bear further shares of NCR’s payments). With respect </w:t>
      </w:r>
      <w:r>
        <w:rPr>
          <w:rFonts w:eastAsia="Times New Roman"/>
          <w:color w:val="000000"/>
          <w:sz w:val="20"/>
          <w:szCs w:val="20"/>
        </w:rPr>
        <w:t>to NRD, in connection with a certain settlement entered into by other PRPs in 2015, the Government withdrew the NRD claims it had prosecuted on behalf of NRD trustees, including those NRD claims asserted against the Company.</w:t>
      </w:r>
    </w:p>
    <w:p w14:paraId="5409DFD6" w14:textId="77777777" w:rsidR="00000000" w:rsidRDefault="0068293C">
      <w:pPr>
        <w:jc w:val="both"/>
        <w:rPr>
          <w:rFonts w:eastAsia="Times New Roman"/>
        </w:rPr>
      </w:pPr>
      <w:r>
        <w:rPr>
          <w:rFonts w:eastAsia="Times New Roman"/>
          <w:color w:val="000000"/>
          <w:sz w:val="20"/>
          <w:szCs w:val="20"/>
        </w:rPr>
        <w:t>While it is possible there coul</w:t>
      </w:r>
      <w:r>
        <w:rPr>
          <w:rFonts w:eastAsia="Times New Roman"/>
          <w:color w:val="000000"/>
          <w:sz w:val="20"/>
          <w:szCs w:val="20"/>
        </w:rPr>
        <w:t>d be additional changes to some elements of the reserve over upcoming periods, all in river-remediation, site demolition and site decommissioning have been completed. Final reporting and site completion certification is expected this year. Nonetheless, the</w:t>
      </w:r>
      <w:r>
        <w:rPr>
          <w:rFonts w:eastAsia="Times New Roman"/>
          <w:color w:val="000000"/>
          <w:sz w:val="20"/>
          <w:szCs w:val="20"/>
        </w:rPr>
        <w:t>re can be no assurance that unexpected expenditures and liabilities will not have a material effect on NCR's capital expenditures, earnings, financial condition, cash flows, or competitive position. As of March 31, 2022 and December 31, 2021, the gross res</w:t>
      </w:r>
      <w:r>
        <w:rPr>
          <w:rFonts w:eastAsia="Times New Roman"/>
          <w:color w:val="000000"/>
          <w:sz w:val="20"/>
          <w:szCs w:val="20"/>
        </w:rPr>
        <w:t>erve for the Fox River matter was approximately $4 million. As of March 31, 2022 and December 31, 2021, the net reserve for the Fox River matter was approximately $26 million. NCR contributes to the LLC to fund remediation activities and generally, by cont</w:t>
      </w:r>
      <w:r>
        <w:rPr>
          <w:rFonts w:eastAsia="Times New Roman"/>
          <w:color w:val="000000"/>
          <w:sz w:val="20"/>
          <w:szCs w:val="20"/>
        </w:rPr>
        <w:t>ract, has funded certain amounts of remediation expenses in advance. As of March 31, 2022 and December 31, 2021, approximately zero remained from this funding. NCR's reserve for the Fox River matter is reduced as the LLC makes payments to the remediation c</w:t>
      </w:r>
      <w:r>
        <w:rPr>
          <w:rFonts w:eastAsia="Times New Roman"/>
          <w:color w:val="000000"/>
          <w:sz w:val="20"/>
          <w:szCs w:val="20"/>
        </w:rPr>
        <w:t xml:space="preserve">ontractor and other vendors with respect to remediation activities. </w:t>
      </w:r>
    </w:p>
    <w:p w14:paraId="19DCF973" w14:textId="77777777" w:rsidR="00000000" w:rsidRDefault="0068293C">
      <w:pPr>
        <w:jc w:val="both"/>
        <w:rPr>
          <w:rFonts w:eastAsia="Times New Roman"/>
        </w:rPr>
      </w:pPr>
    </w:p>
    <w:p w14:paraId="4D5A690C" w14:textId="77777777" w:rsidR="00000000" w:rsidRDefault="0068293C">
      <w:pPr>
        <w:jc w:val="both"/>
        <w:rPr>
          <w:rFonts w:eastAsia="Times New Roman"/>
        </w:rPr>
      </w:pPr>
      <w:r>
        <w:rPr>
          <w:rFonts w:eastAsia="Times New Roman"/>
          <w:color w:val="000000"/>
          <w:sz w:val="20"/>
          <w:szCs w:val="20"/>
        </w:rPr>
        <w:t>Under a 1996 agreement, AT&amp;T Corp. (“AT&amp;T”) and Nokia (as the successor to Lucent Technologies and Alcatel-Lucent USA) are responsible severally (not jointly) for indemnifying NCR for c</w:t>
      </w:r>
      <w:r>
        <w:rPr>
          <w:rFonts w:eastAsia="Times New Roman"/>
          <w:color w:val="000000"/>
          <w:sz w:val="20"/>
          <w:szCs w:val="20"/>
        </w:rPr>
        <w:t>ertain portions of the amounts paid by NCR for the Fox River matter over a defined threshold and subject to certain offsets. (The agreement governs certain aspects of AT&amp;T's divestiture of NCR and of what was then known as Lucent Technologies.) Those compa</w:t>
      </w:r>
      <w:r>
        <w:rPr>
          <w:rFonts w:eastAsia="Times New Roman"/>
          <w:color w:val="000000"/>
          <w:sz w:val="20"/>
          <w:szCs w:val="20"/>
        </w:rPr>
        <w:t>nies have made the payments requested of them by the Company on an ongoing basis.</w:t>
      </w:r>
    </w:p>
    <w:p w14:paraId="207CDB03" w14:textId="77777777" w:rsidR="00000000" w:rsidRDefault="0068293C">
      <w:pPr>
        <w:jc w:val="both"/>
        <w:rPr>
          <w:rFonts w:eastAsia="Times New Roman"/>
        </w:rPr>
      </w:pPr>
    </w:p>
    <w:p w14:paraId="70EAB9E9" w14:textId="77777777" w:rsidR="00000000" w:rsidRDefault="0068293C">
      <w:pPr>
        <w:jc w:val="both"/>
        <w:rPr>
          <w:rFonts w:eastAsia="Times New Roman"/>
        </w:rPr>
      </w:pPr>
      <w:r>
        <w:rPr>
          <w:rFonts w:eastAsia="Times New Roman"/>
          <w:i/>
          <w:iCs/>
          <w:color w:val="000000"/>
          <w:sz w:val="20"/>
          <w:szCs w:val="20"/>
        </w:rPr>
        <w:t>Kalamazoo River</w:t>
      </w:r>
      <w:r>
        <w:rPr>
          <w:rFonts w:eastAsia="Times New Roman"/>
          <w:color w:val="000000"/>
          <w:sz w:val="20"/>
          <w:szCs w:val="20"/>
        </w:rPr>
        <w:t>  In November 2010, USEPA issued a “general notice letter” to NCR with respect to the Allied Paper, Inc./Portage Creek/Kalamazoo River Superfund Site (“Kalam</w:t>
      </w:r>
      <w:r>
        <w:rPr>
          <w:rFonts w:eastAsia="Times New Roman"/>
          <w:color w:val="000000"/>
          <w:sz w:val="20"/>
          <w:szCs w:val="20"/>
        </w:rPr>
        <w:t>azoo River site”) in Michigan. Three other companies - International Paper, Mead Corporation, and Consumers Energy - also received general notice letters at or about the same time. USEPA asserts that the site is contaminated by various substances, primaril</w:t>
      </w:r>
      <w:r>
        <w:rPr>
          <w:rFonts w:eastAsia="Times New Roman"/>
          <w:color w:val="000000"/>
          <w:sz w:val="20"/>
          <w:szCs w:val="20"/>
        </w:rPr>
        <w:t>y PCBs, as a result of discharges by various paper mills located along the river. USEPA does not claim that the Company made direct discharges into the Kalamazoo River, and NCR never had facilities at or near the Kalamazoo River site, but USEPA indicated t</w:t>
      </w:r>
      <w:r>
        <w:rPr>
          <w:rFonts w:eastAsia="Times New Roman"/>
          <w:color w:val="000000"/>
          <w:sz w:val="20"/>
          <w:szCs w:val="20"/>
        </w:rPr>
        <w:t xml:space="preserve">hat “NCR may be liable under Section 107 of CERCLA ... as an arranger, who by contract or agreement, arranged for the disposal, treatment and/or transportation of hazardous substances at the Site.” USEPA stated that it “may issue special notice letters to </w:t>
      </w:r>
      <w:r>
        <w:rPr>
          <w:rFonts w:eastAsia="Times New Roman"/>
          <w:color w:val="000000"/>
          <w:sz w:val="20"/>
          <w:szCs w:val="20"/>
        </w:rPr>
        <w:t>[NCR] and other PRPs for future RI/FS [remedial investigation / feasibility studies] and RD/RA [remedial design / remedial action] negotiations.”</w:t>
      </w:r>
    </w:p>
    <w:p w14:paraId="77EB05D8" w14:textId="77777777" w:rsidR="00000000" w:rsidRDefault="0068293C">
      <w:pPr>
        <w:jc w:val="both"/>
        <w:rPr>
          <w:rFonts w:eastAsia="Times New Roman"/>
        </w:rPr>
      </w:pPr>
    </w:p>
    <w:p w14:paraId="0E4C2662" w14:textId="77777777" w:rsidR="00000000" w:rsidRDefault="0068293C">
      <w:pPr>
        <w:jc w:val="both"/>
        <w:rPr>
          <w:rFonts w:eastAsia="Times New Roman"/>
        </w:rPr>
      </w:pPr>
      <w:r>
        <w:rPr>
          <w:rFonts w:eastAsia="Times New Roman"/>
          <w:color w:val="000000"/>
          <w:sz w:val="20"/>
          <w:szCs w:val="20"/>
        </w:rPr>
        <w:t xml:space="preserve">In connection with the Kalamazoo River site, in December 2010 the Company, along with two other defendants, </w:t>
      </w:r>
      <w:r>
        <w:rPr>
          <w:rFonts w:eastAsia="Times New Roman"/>
          <w:color w:val="000000"/>
          <w:sz w:val="20"/>
          <w:szCs w:val="20"/>
        </w:rPr>
        <w:t xml:space="preserve">was sued in federal court by three GP affiliate corporations in a private-party contribution and cost recovery action for alleged pollution. The suit, pending in Michigan, asks that the Company and other defendants pay a “fair portion” of these companies’ </w:t>
      </w:r>
      <w:r>
        <w:rPr>
          <w:rFonts w:eastAsia="Times New Roman"/>
          <w:color w:val="000000"/>
          <w:sz w:val="20"/>
          <w:szCs w:val="20"/>
        </w:rPr>
        <w:t>costs. Various removal and remedial actions remain to be decided upon and performed at the Kalamazoo River site, the total costs for which generally remain undetermined; in 2017, Records of Decisions were issued for two parts of the river, and in 2018 such</w:t>
      </w:r>
      <w:r>
        <w:rPr>
          <w:rFonts w:eastAsia="Times New Roman"/>
          <w:color w:val="000000"/>
          <w:sz w:val="20"/>
          <w:szCs w:val="20"/>
        </w:rPr>
        <w:t xml:space="preserve"> a </w:t>
      </w:r>
    </w:p>
    <w:p w14:paraId="1A693B45" w14:textId="77777777" w:rsidR="00000000" w:rsidRDefault="0068293C">
      <w:pPr>
        <w:jc w:val="center"/>
        <w:divId w:val="628904184"/>
        <w:rPr>
          <w:rFonts w:eastAsia="Times New Roman"/>
        </w:rPr>
      </w:pPr>
      <w:r>
        <w:rPr>
          <w:rFonts w:eastAsia="Times New Roman"/>
          <w:color w:val="000000"/>
          <w:sz w:val="20"/>
          <w:szCs w:val="20"/>
        </w:rPr>
        <w:t>23</w:t>
      </w:r>
    </w:p>
    <w:p w14:paraId="52138C59" w14:textId="77777777" w:rsidR="00000000" w:rsidRDefault="0068293C">
      <w:pPr>
        <w:rPr>
          <w:rFonts w:eastAsia="Times New Roman"/>
        </w:rPr>
      </w:pPr>
      <w:r>
        <w:rPr>
          <w:rFonts w:eastAsia="Times New Roman"/>
        </w:rPr>
        <w:pict w14:anchorId="054CD9C7">
          <v:rect id="_x0000_i1048" style="width:0;height:1.5pt" o:hralign="center" o:hrstd="t" o:hr="t" fillcolor="#a0a0a0" stroked="f"/>
        </w:pict>
      </w:r>
    </w:p>
    <w:p w14:paraId="52FC1AB5" w14:textId="77777777" w:rsidR="00000000" w:rsidRDefault="0068293C">
      <w:pPr>
        <w:ind w:firstLine="720"/>
        <w:divId w:val="212818289"/>
        <w:rPr>
          <w:rFonts w:eastAsia="Times New Roman"/>
        </w:rPr>
      </w:pPr>
      <w:hyperlink w:anchor="i78484f3d0d8e4e36a7c87ddd6ea9d725_7" w:history="1">
        <w:r>
          <w:rPr>
            <w:rStyle w:val="a3"/>
            <w:rFonts w:eastAsia="Times New Roman"/>
            <w:sz w:val="16"/>
            <w:szCs w:val="16"/>
          </w:rPr>
          <w:t>Table of Content</w:t>
        </w:r>
      </w:hyperlink>
    </w:p>
    <w:p w14:paraId="2C996C92" w14:textId="77777777" w:rsidR="00000000" w:rsidRDefault="0068293C">
      <w:pPr>
        <w:jc w:val="center"/>
        <w:divId w:val="1794325814"/>
        <w:rPr>
          <w:rFonts w:eastAsia="Times New Roman"/>
        </w:rPr>
      </w:pPr>
      <w:r>
        <w:rPr>
          <w:rFonts w:eastAsia="Times New Roman"/>
          <w:b/>
          <w:bCs/>
          <w:color w:val="000000"/>
          <w:sz w:val="20"/>
          <w:szCs w:val="20"/>
        </w:rPr>
        <w:t>NCR Corporation</w:t>
      </w:r>
    </w:p>
    <w:p w14:paraId="14E6D636" w14:textId="77777777" w:rsidR="00000000" w:rsidRDefault="0068293C">
      <w:pPr>
        <w:jc w:val="center"/>
        <w:divId w:val="1794325814"/>
        <w:rPr>
          <w:rFonts w:eastAsia="Times New Roman"/>
        </w:rPr>
      </w:pPr>
      <w:r>
        <w:rPr>
          <w:rFonts w:eastAsia="Times New Roman"/>
          <w:b/>
          <w:bCs/>
          <w:color w:val="000000"/>
          <w:sz w:val="20"/>
          <w:szCs w:val="20"/>
        </w:rPr>
        <w:t>Notes to Condensed Consolidated Financial Statements (Unaudited)—(Continued)</w:t>
      </w:r>
    </w:p>
    <w:p w14:paraId="76B49FCB" w14:textId="77777777" w:rsidR="00000000" w:rsidRDefault="0068293C">
      <w:pPr>
        <w:jc w:val="both"/>
        <w:rPr>
          <w:rFonts w:eastAsia="Times New Roman"/>
        </w:rPr>
      </w:pPr>
      <w:r>
        <w:rPr>
          <w:rFonts w:eastAsia="Times New Roman"/>
          <w:color w:val="000000"/>
          <w:sz w:val="20"/>
          <w:szCs w:val="20"/>
        </w:rPr>
        <w:t xml:space="preserve">decision was issued for another part of the river, but such decisions for the majority of the work are expected to be made only over the next several years. The suit alleges that </w:t>
      </w:r>
      <w:r>
        <w:rPr>
          <w:rFonts w:eastAsia="Times New Roman"/>
          <w:color w:val="000000"/>
          <w:sz w:val="20"/>
          <w:szCs w:val="20"/>
        </w:rPr>
        <w:t xml:space="preserve">the Company is liable to the GP entities as an “arranger” under CERCLA. The initial phase of the case was tried in a Michigan federal court in February 2013; on September 26, 2013 the court issued a decision that held NCR was liable as an “arranger” as of </w:t>
      </w:r>
      <w:r>
        <w:rPr>
          <w:rFonts w:eastAsia="Times New Roman"/>
          <w:color w:val="000000"/>
          <w:sz w:val="20"/>
          <w:szCs w:val="20"/>
        </w:rPr>
        <w:t>at least March 1969. (PCB-containing carbonless copy paper was produced from approximately 1954 to April 1971, and the majority of contamination at the Kalamazoo River site had occurred prior to 1969). NCR preserved its right to appeal the September 2013 d</w:t>
      </w:r>
      <w:r>
        <w:rPr>
          <w:rFonts w:eastAsia="Times New Roman"/>
          <w:color w:val="000000"/>
          <w:sz w:val="20"/>
          <w:szCs w:val="20"/>
        </w:rPr>
        <w:t xml:space="preserve">ecision. </w:t>
      </w:r>
    </w:p>
    <w:p w14:paraId="0A632835" w14:textId="77777777" w:rsidR="00000000" w:rsidRDefault="0068293C">
      <w:pPr>
        <w:jc w:val="both"/>
        <w:rPr>
          <w:rFonts w:eastAsia="Times New Roman"/>
        </w:rPr>
      </w:pPr>
    </w:p>
    <w:p w14:paraId="190A3DAB" w14:textId="77777777" w:rsidR="00000000" w:rsidRDefault="0068293C">
      <w:pPr>
        <w:jc w:val="both"/>
        <w:divId w:val="1615015114"/>
        <w:rPr>
          <w:rFonts w:eastAsia="Times New Roman"/>
        </w:rPr>
      </w:pPr>
      <w:r>
        <w:rPr>
          <w:rFonts w:eastAsia="Times New Roman"/>
          <w:color w:val="000000"/>
          <w:sz w:val="20"/>
          <w:szCs w:val="20"/>
        </w:rPr>
        <w:t>In the 2013 decision the Court did not determine NCR’s share of the overall liability. Relative shares of liability for the four companies were tried to the court in a subsequent phase of the case in December 2015. In a ruling issued on March 2</w:t>
      </w:r>
      <w:r>
        <w:rPr>
          <w:rFonts w:eastAsia="Times New Roman"/>
          <w:color w:val="000000"/>
          <w:sz w:val="20"/>
          <w:szCs w:val="20"/>
        </w:rPr>
        <w:t>9, 2018, the court addressed responsibility for the costs that GP had incurred in the past, totaling to approximately $50 million (GP had sought approximately $105 million, but $55 million of those claims were removed by the court upon motions filed by the</w:t>
      </w:r>
      <w:r>
        <w:rPr>
          <w:rFonts w:eastAsia="Times New Roman"/>
          <w:color w:val="000000"/>
          <w:sz w:val="20"/>
          <w:szCs w:val="20"/>
        </w:rPr>
        <w:t xml:space="preserve"> Company and other parties); NCR and GP were each assigned a 40% share of those costs, and the other two companies were assigned 15% and 5% as their allocations. The court entered a judgment in the case on June 19, 2018, in which it indicated that it would</w:t>
      </w:r>
      <w:r>
        <w:rPr>
          <w:rFonts w:eastAsia="Times New Roman"/>
          <w:color w:val="000000"/>
          <w:sz w:val="20"/>
          <w:szCs w:val="20"/>
        </w:rPr>
        <w:t xml:space="preserve"> not allocate future costs, but would enter a declaratory judgment that the four companies together had responsibility for future costs, in amounts and shares to be determined. Cross-proceedings have been commenced to obtain recoveries from the other parti</w:t>
      </w:r>
      <w:r>
        <w:rPr>
          <w:rFonts w:eastAsia="Times New Roman"/>
          <w:color w:val="000000"/>
          <w:sz w:val="20"/>
          <w:szCs w:val="20"/>
        </w:rPr>
        <w:t>es pursuant to the judgment; those proceedings were stayed pending the appeal referenced below.</w:t>
      </w:r>
    </w:p>
    <w:p w14:paraId="38EC7661" w14:textId="77777777" w:rsidR="00000000" w:rsidRDefault="0068293C">
      <w:pPr>
        <w:jc w:val="both"/>
        <w:rPr>
          <w:rFonts w:eastAsia="Times New Roman"/>
        </w:rPr>
      </w:pPr>
      <w:r>
        <w:rPr>
          <w:rFonts w:eastAsia="Times New Roman"/>
          <w:color w:val="000000"/>
          <w:sz w:val="20"/>
          <w:szCs w:val="20"/>
        </w:rPr>
        <w:t>In July 2018, the Company appealed to the United States Court of Appeals for the Sixth Circuit both the 2013 court decision, which it believes is in conflict wi</w:t>
      </w:r>
      <w:r>
        <w:rPr>
          <w:rFonts w:eastAsia="Times New Roman"/>
          <w:color w:val="000000"/>
          <w:sz w:val="20"/>
          <w:szCs w:val="20"/>
        </w:rPr>
        <w:t>th a decision from the Fox River trial court as to Operable Unit 1 of that site and an affirmance of that decision from the Court of Appeals for the Seventh Circuit, and the 2018 court decision, on various legal grounds. The Company filed a bond to stay an</w:t>
      </w:r>
      <w:r>
        <w:rPr>
          <w:rFonts w:eastAsia="Times New Roman"/>
          <w:color w:val="000000"/>
          <w:sz w:val="20"/>
          <w:szCs w:val="20"/>
        </w:rPr>
        <w:t>y execution of the judgment pending the appeal, and its application for a stay was approved by the court and remains stayed until the Company filed its dismissal of the appeal on December 31, 2020 pursuant to a Consent Decree, noted below.</w:t>
      </w:r>
    </w:p>
    <w:p w14:paraId="628635FC" w14:textId="77777777" w:rsidR="00000000" w:rsidRDefault="0068293C">
      <w:pPr>
        <w:jc w:val="both"/>
        <w:rPr>
          <w:rFonts w:eastAsia="Times New Roman"/>
        </w:rPr>
      </w:pPr>
    </w:p>
    <w:p w14:paraId="51D20114" w14:textId="77777777" w:rsidR="00000000" w:rsidRDefault="0068293C">
      <w:pPr>
        <w:jc w:val="both"/>
        <w:rPr>
          <w:rFonts w:eastAsia="Times New Roman"/>
        </w:rPr>
      </w:pPr>
      <w:r>
        <w:rPr>
          <w:rFonts w:eastAsia="Times New Roman"/>
          <w:color w:val="000000"/>
          <w:sz w:val="20"/>
          <w:szCs w:val="20"/>
        </w:rPr>
        <w:t>During the pen</w:t>
      </w:r>
      <w:r>
        <w:rPr>
          <w:rFonts w:eastAsia="Times New Roman"/>
          <w:color w:val="000000"/>
          <w:sz w:val="20"/>
          <w:szCs w:val="20"/>
        </w:rPr>
        <w:t xml:space="preserve">dency of the Sixth Circuit stay, the Company negotiated a settlement of the Kalamazoo River matter with the USEPA and other government agencies having oversight over the river. On December 5, 2019, the Company entered into a Consent Decree, filed with the </w:t>
      </w:r>
      <w:r>
        <w:rPr>
          <w:rFonts w:eastAsia="Times New Roman"/>
          <w:color w:val="000000"/>
          <w:sz w:val="20"/>
          <w:szCs w:val="20"/>
        </w:rPr>
        <w:t>District Court on December 11, 2019, and on December 2, 2020, the District Court approved the Consent Decree, which has now resolved all litigation associated with the river clean-up, including the Sixth Circuit appeal. The Consent Decree requires the Comp</w:t>
      </w:r>
      <w:r>
        <w:rPr>
          <w:rFonts w:eastAsia="Times New Roman"/>
          <w:color w:val="000000"/>
          <w:sz w:val="20"/>
          <w:szCs w:val="20"/>
        </w:rPr>
        <w:t>any to pay GP its 40% share of past costs, to pay the USEPA and state agencies their past and future administrative costs, and to dismiss its Sixth Circuit appeal. The Consent Decree further requires the Company to take responsibility for the remediation o</w:t>
      </w:r>
      <w:r>
        <w:rPr>
          <w:rFonts w:eastAsia="Times New Roman"/>
          <w:color w:val="000000"/>
          <w:sz w:val="20"/>
          <w:szCs w:val="20"/>
        </w:rPr>
        <w:t>f a portion, but not all, of the Kalamazoo River. The Consent Decree further provides the Company protection from other PRPs, including GP, seeking contribution for their costs associated with the clean-up anywhere on the river, thereby resolving the alloc</w:t>
      </w:r>
      <w:r>
        <w:rPr>
          <w:rFonts w:eastAsia="Times New Roman"/>
          <w:color w:val="000000"/>
          <w:sz w:val="20"/>
          <w:szCs w:val="20"/>
        </w:rPr>
        <w:t>ation of future costs left unresolved by the June 19, 2019 judgment.</w:t>
      </w:r>
    </w:p>
    <w:p w14:paraId="008031C3" w14:textId="77777777" w:rsidR="00000000" w:rsidRDefault="0068293C">
      <w:pPr>
        <w:jc w:val="both"/>
        <w:rPr>
          <w:rFonts w:eastAsia="Times New Roman"/>
        </w:rPr>
      </w:pPr>
    </w:p>
    <w:p w14:paraId="5101C2FB" w14:textId="77777777" w:rsidR="00000000" w:rsidRDefault="0068293C">
      <w:pPr>
        <w:jc w:val="both"/>
        <w:divId w:val="1273900642"/>
        <w:rPr>
          <w:rFonts w:eastAsia="Times New Roman"/>
        </w:rPr>
      </w:pPr>
      <w:r>
        <w:rPr>
          <w:rFonts w:eastAsia="Times New Roman"/>
          <w:color w:val="000000"/>
          <w:sz w:val="20"/>
          <w:szCs w:val="20"/>
        </w:rPr>
        <w:t>NCR expects to have claims against BAT and API under the Funding Agreement discussed above for the Kalamazoo River remediation expenses. API filed for bankruptcy protection in October 2</w:t>
      </w:r>
      <w:r>
        <w:rPr>
          <w:rFonts w:eastAsia="Times New Roman"/>
          <w:color w:val="000000"/>
          <w:sz w:val="20"/>
          <w:szCs w:val="20"/>
        </w:rPr>
        <w:t>017, and thus payment of its potential share under the Funding Agreement for so-called “future sites,” which would include the Kalamazoo River site, may be at risk, but as liability under the Cost Sharing Agreement and the Funding Agreement is joint and se</w:t>
      </w:r>
      <w:r>
        <w:rPr>
          <w:rFonts w:eastAsia="Times New Roman"/>
          <w:color w:val="000000"/>
          <w:sz w:val="20"/>
          <w:szCs w:val="20"/>
        </w:rPr>
        <w:t>veral, the bankruptcy is not anticipated to affect the Company’s ability to seek that amount from BAT. The Company will also have indemnity or reimbursement claims against AT&amp;T and Nokia under the arrangement discussed above in connection with the Fox Rive</w:t>
      </w:r>
      <w:r>
        <w:rPr>
          <w:rFonts w:eastAsia="Times New Roman"/>
          <w:color w:val="000000"/>
          <w:sz w:val="20"/>
          <w:szCs w:val="20"/>
        </w:rPr>
        <w:t xml:space="preserve">r matter after expenses have met a contractual threshold set out in the 1996 agreement referenced above in the Fox River discussion. </w:t>
      </w:r>
    </w:p>
    <w:p w14:paraId="4BA1F96A" w14:textId="77777777" w:rsidR="00000000" w:rsidRDefault="0068293C">
      <w:pPr>
        <w:jc w:val="both"/>
        <w:rPr>
          <w:rFonts w:eastAsia="Times New Roman"/>
        </w:rPr>
      </w:pPr>
      <w:r>
        <w:rPr>
          <w:rFonts w:eastAsia="Times New Roman"/>
          <w:color w:val="000000"/>
          <w:sz w:val="20"/>
          <w:szCs w:val="20"/>
        </w:rPr>
        <w:t>As of March 31, 2022 and December 31, 2021, the total reserve for Kalamazoo was $96 million and $99 million, respectively.</w:t>
      </w:r>
      <w:r>
        <w:rPr>
          <w:rFonts w:eastAsia="Times New Roman"/>
          <w:color w:val="000000"/>
          <w:sz w:val="20"/>
          <w:szCs w:val="20"/>
        </w:rPr>
        <w:t xml:space="preserve"> The reserve is reported on a basis that is net of expected contributions from the Company's co-obligors and indemnitors, subject to when the applicable threshold is reached. While the Company believes its co-obligors' and indemnitors' obligations are as p</w:t>
      </w:r>
      <w:r>
        <w:rPr>
          <w:rFonts w:eastAsia="Times New Roman"/>
          <w:color w:val="000000"/>
          <w:sz w:val="20"/>
          <w:szCs w:val="20"/>
        </w:rPr>
        <w:t>reviously reported, the reserve reflects changes in positions taken by some of those co-obligors and indemnitors with respect to the Kalamazoo River. The contributions from its co-obligors and indemnitors are expected to range from $70 million to $150 mill</w:t>
      </w:r>
      <w:r>
        <w:rPr>
          <w:rFonts w:eastAsia="Times New Roman"/>
          <w:color w:val="000000"/>
          <w:sz w:val="20"/>
          <w:szCs w:val="20"/>
        </w:rPr>
        <w:t>ion and the Company will continue to pursue such contribution.</w:t>
      </w:r>
    </w:p>
    <w:p w14:paraId="1FEA41D5" w14:textId="77777777" w:rsidR="00000000" w:rsidRDefault="0068293C">
      <w:pPr>
        <w:jc w:val="both"/>
        <w:rPr>
          <w:rFonts w:eastAsia="Times New Roman"/>
        </w:rPr>
      </w:pPr>
    </w:p>
    <w:p w14:paraId="78EC588D" w14:textId="77777777" w:rsidR="00000000" w:rsidRDefault="0068293C">
      <w:pPr>
        <w:jc w:val="both"/>
        <w:rPr>
          <w:rFonts w:eastAsia="Times New Roman"/>
        </w:rPr>
      </w:pPr>
      <w:r>
        <w:rPr>
          <w:rFonts w:eastAsia="Times New Roman"/>
          <w:color w:val="000000"/>
          <w:sz w:val="20"/>
          <w:szCs w:val="20"/>
        </w:rPr>
        <w:t>As many aspects of the costs of remediation will not be determined for several years (and thus the high end of a range of possible costs for many areas of the site cannot be quantified at thi</w:t>
      </w:r>
      <w:r>
        <w:rPr>
          <w:rFonts w:eastAsia="Times New Roman"/>
          <w:color w:val="000000"/>
          <w:sz w:val="20"/>
          <w:szCs w:val="20"/>
        </w:rPr>
        <w:t>s time), the Company has made what it considers to be reasonable estimates of the low end of a range for such costs where remedies are identified, and/or of the costs of investigations and studies for areas of the river where remedies have not yet been det</w:t>
      </w:r>
      <w:r>
        <w:rPr>
          <w:rFonts w:eastAsia="Times New Roman"/>
          <w:color w:val="000000"/>
          <w:sz w:val="20"/>
          <w:szCs w:val="20"/>
        </w:rPr>
        <w:t xml:space="preserve">ermined, and the reserve is informed by those estimates. The extent of NCR’s potential liability remains subject to many uncertainties, notwithstanding the settlement of this matter and related Consent Decree noted above, particularly in as much as remedy </w:t>
      </w:r>
      <w:r>
        <w:rPr>
          <w:rFonts w:eastAsia="Times New Roman"/>
          <w:color w:val="000000"/>
          <w:sz w:val="20"/>
          <w:szCs w:val="20"/>
        </w:rPr>
        <w:t>decisions and cost estimates will not be generated until times in the future and as most of the work to be performed will take place through the 2030s. Under other assumptions or estimates for possible costs of remediation, which the Company does not at th</w:t>
      </w:r>
      <w:r>
        <w:rPr>
          <w:rFonts w:eastAsia="Times New Roman"/>
          <w:color w:val="000000"/>
          <w:sz w:val="20"/>
          <w:szCs w:val="20"/>
        </w:rPr>
        <w:t xml:space="preserve">is point consider to be reasonably estimable or </w:t>
      </w:r>
    </w:p>
    <w:p w14:paraId="1E0E00B3" w14:textId="77777777" w:rsidR="00000000" w:rsidRDefault="0068293C">
      <w:pPr>
        <w:jc w:val="center"/>
        <w:divId w:val="209928039"/>
        <w:rPr>
          <w:rFonts w:eastAsia="Times New Roman"/>
        </w:rPr>
      </w:pPr>
      <w:r>
        <w:rPr>
          <w:rFonts w:eastAsia="Times New Roman"/>
          <w:color w:val="000000"/>
          <w:sz w:val="20"/>
          <w:szCs w:val="20"/>
        </w:rPr>
        <w:t>24</w:t>
      </w:r>
    </w:p>
    <w:p w14:paraId="1A3DA706" w14:textId="77777777" w:rsidR="00000000" w:rsidRDefault="0068293C">
      <w:pPr>
        <w:rPr>
          <w:rFonts w:eastAsia="Times New Roman"/>
        </w:rPr>
      </w:pPr>
      <w:r>
        <w:rPr>
          <w:rFonts w:eastAsia="Times New Roman"/>
        </w:rPr>
        <w:pict w14:anchorId="704B681A">
          <v:rect id="_x0000_i1049" style="width:0;height:1.5pt" o:hralign="center" o:hrstd="t" o:hr="t" fillcolor="#a0a0a0" stroked="f"/>
        </w:pict>
      </w:r>
    </w:p>
    <w:p w14:paraId="4A3D5C68" w14:textId="77777777" w:rsidR="00000000" w:rsidRDefault="0068293C">
      <w:pPr>
        <w:ind w:firstLine="720"/>
        <w:divId w:val="6759168"/>
        <w:rPr>
          <w:rFonts w:eastAsia="Times New Roman"/>
        </w:rPr>
      </w:pPr>
      <w:hyperlink w:anchor="i78484f3d0d8e4e36a7c87ddd6ea9d725_7" w:history="1">
        <w:r>
          <w:rPr>
            <w:rStyle w:val="a3"/>
            <w:rFonts w:eastAsia="Times New Roman"/>
            <w:sz w:val="16"/>
            <w:szCs w:val="16"/>
          </w:rPr>
          <w:t>Table of Content</w:t>
        </w:r>
      </w:hyperlink>
    </w:p>
    <w:p w14:paraId="2F0EE9B5" w14:textId="77777777" w:rsidR="00000000" w:rsidRDefault="0068293C">
      <w:pPr>
        <w:jc w:val="center"/>
        <w:divId w:val="1263413433"/>
        <w:rPr>
          <w:rFonts w:eastAsia="Times New Roman"/>
        </w:rPr>
      </w:pPr>
      <w:r>
        <w:rPr>
          <w:rFonts w:eastAsia="Times New Roman"/>
          <w:b/>
          <w:bCs/>
          <w:color w:val="000000"/>
          <w:sz w:val="20"/>
          <w:szCs w:val="20"/>
        </w:rPr>
        <w:t>NCR Corporation</w:t>
      </w:r>
    </w:p>
    <w:p w14:paraId="6A289C1E" w14:textId="77777777" w:rsidR="00000000" w:rsidRDefault="0068293C">
      <w:pPr>
        <w:jc w:val="center"/>
        <w:divId w:val="1263413433"/>
        <w:rPr>
          <w:rFonts w:eastAsia="Times New Roman"/>
        </w:rPr>
      </w:pPr>
      <w:r>
        <w:rPr>
          <w:rFonts w:eastAsia="Times New Roman"/>
          <w:b/>
          <w:bCs/>
          <w:color w:val="000000"/>
          <w:sz w:val="20"/>
          <w:szCs w:val="20"/>
        </w:rPr>
        <w:t>Notes to Condensed Consolidated Financial Statements (Unaudited)—(Continued)</w:t>
      </w:r>
    </w:p>
    <w:p w14:paraId="32FA2329" w14:textId="77777777" w:rsidR="00000000" w:rsidRDefault="0068293C">
      <w:pPr>
        <w:jc w:val="both"/>
        <w:rPr>
          <w:rFonts w:eastAsia="Times New Roman"/>
        </w:rPr>
      </w:pPr>
      <w:r>
        <w:rPr>
          <w:rFonts w:eastAsia="Times New Roman"/>
          <w:color w:val="000000"/>
          <w:sz w:val="20"/>
          <w:szCs w:val="20"/>
        </w:rPr>
        <w:t xml:space="preserve">verifiable, it is possible that the reserve the Company has taken to discontinued operations reflected in this paragraph could more than approximately double the reflected reserve. </w:t>
      </w:r>
    </w:p>
    <w:p w14:paraId="4123A3D3" w14:textId="77777777" w:rsidR="00000000" w:rsidRDefault="0068293C">
      <w:pPr>
        <w:jc w:val="both"/>
        <w:rPr>
          <w:rFonts w:eastAsia="Times New Roman"/>
        </w:rPr>
      </w:pPr>
    </w:p>
    <w:p w14:paraId="0F50BDE2" w14:textId="77777777" w:rsidR="00000000" w:rsidRDefault="0068293C">
      <w:pPr>
        <w:jc w:val="both"/>
        <w:rPr>
          <w:rFonts w:eastAsia="Times New Roman"/>
        </w:rPr>
      </w:pPr>
      <w:r>
        <w:rPr>
          <w:rFonts w:eastAsia="Times New Roman"/>
          <w:i/>
          <w:iCs/>
          <w:color w:val="000000"/>
          <w:sz w:val="20"/>
          <w:szCs w:val="20"/>
        </w:rPr>
        <w:t>Ebina</w:t>
      </w:r>
      <w:r>
        <w:rPr>
          <w:rFonts w:eastAsia="Times New Roman"/>
          <w:color w:val="000000"/>
          <w:sz w:val="20"/>
          <w:szCs w:val="20"/>
        </w:rPr>
        <w:t xml:space="preserve"> The Company is engaged in cooperative regulatory compliance activi</w:t>
      </w:r>
      <w:r>
        <w:rPr>
          <w:rFonts w:eastAsia="Times New Roman"/>
          <w:color w:val="000000"/>
          <w:sz w:val="20"/>
          <w:szCs w:val="20"/>
        </w:rPr>
        <w:t>ties with the government of Japan in connection with certain environmental contaminants generated in its past operations in that country. The Company has quantities of PCB and other wastes primarily from its former plant at Oiso, Japan, including capsulate</w:t>
      </w:r>
      <w:r>
        <w:rPr>
          <w:rFonts w:eastAsia="Times New Roman"/>
          <w:color w:val="000000"/>
          <w:sz w:val="20"/>
          <w:szCs w:val="20"/>
        </w:rPr>
        <w:t>d undiluted solutions manufactured in the past, capacitors, light ballasts and PCB-affected soil from the Oiso plant that was excavated and placed in steel drums. These wastes are stored in a facility at Ebina, Japan in accordance with Japanese regulations</w:t>
      </w:r>
      <w:r>
        <w:rPr>
          <w:rFonts w:eastAsia="Times New Roman"/>
          <w:color w:val="000000"/>
          <w:sz w:val="20"/>
          <w:szCs w:val="20"/>
        </w:rPr>
        <w:t xml:space="preserve"> governing such materials. Over the past several years Japan has enacted and amended legislation governing such wastes, and has set a current deadline for treating and disposing of (at government-constructed disposal facilities) the highest-concentration w</w:t>
      </w:r>
      <w:r>
        <w:rPr>
          <w:rFonts w:eastAsia="Times New Roman"/>
          <w:color w:val="000000"/>
          <w:sz w:val="20"/>
          <w:szCs w:val="20"/>
        </w:rPr>
        <w:t xml:space="preserve">astes by 2027. Lower-concentration wastes can be and have been disposed of via private contractors, and as of March 31, 2022, NCR had disposed of approximately 68% of its lower-concentration wastes and approximately 47% of its higher-concentration wastes. </w:t>
      </w:r>
    </w:p>
    <w:p w14:paraId="27912D9E" w14:textId="77777777" w:rsidR="00000000" w:rsidRDefault="0068293C">
      <w:pPr>
        <w:jc w:val="both"/>
        <w:rPr>
          <w:rFonts w:eastAsia="Times New Roman"/>
        </w:rPr>
      </w:pPr>
    </w:p>
    <w:p w14:paraId="078FC7D1" w14:textId="77777777" w:rsidR="00000000" w:rsidRDefault="0068293C">
      <w:pPr>
        <w:jc w:val="both"/>
        <w:rPr>
          <w:rFonts w:eastAsia="Times New Roman"/>
        </w:rPr>
      </w:pPr>
      <w:r>
        <w:rPr>
          <w:rFonts w:eastAsia="Times New Roman"/>
          <w:color w:val="000000"/>
          <w:sz w:val="20"/>
          <w:szCs w:val="20"/>
        </w:rPr>
        <w:t>The Company and its consultants have met and communicated regularly with the Japanese agency charged with administration of the law, and are working with that agency on a program to manage disposal of the high-concentration wastes, including tests of te</w:t>
      </w:r>
      <w:r>
        <w:rPr>
          <w:rFonts w:eastAsia="Times New Roman"/>
          <w:color w:val="000000"/>
          <w:sz w:val="20"/>
          <w:szCs w:val="20"/>
        </w:rPr>
        <w:t>chnologies to make the disposal more efficient. The government has given its final approvals, and the Company started to dispose of the high-concentration wastes in 2021, with final deadlines for various of the government-constructed disposal sites current</w:t>
      </w:r>
      <w:r>
        <w:rPr>
          <w:rFonts w:eastAsia="Times New Roman"/>
          <w:color w:val="000000"/>
          <w:sz w:val="20"/>
          <w:szCs w:val="20"/>
        </w:rPr>
        <w:t>ly set for 2022, 2023 and later. Low-concentration wastes are required to be contracted for disposal by 2027, a timetable that the Company expects to meet. In September 2019, the Company’s environmental consultants, following a series of communications and</w:t>
      </w:r>
      <w:r>
        <w:rPr>
          <w:rFonts w:eastAsia="Times New Roman"/>
          <w:color w:val="000000"/>
          <w:sz w:val="20"/>
          <w:szCs w:val="20"/>
        </w:rPr>
        <w:t xml:space="preserve"> meetings with the Japanese agency, at the Company’s request prepared an estimate of remaining disposal costs over the coming several years. While the estimate is subject to a range of assumptions and uncertainties, including prospects of cost reduction in</w:t>
      </w:r>
      <w:r>
        <w:rPr>
          <w:rFonts w:eastAsia="Times New Roman"/>
          <w:color w:val="000000"/>
          <w:sz w:val="20"/>
          <w:szCs w:val="20"/>
        </w:rPr>
        <w:t xml:space="preserve"> coordination with the agency as certain field testing to separate high-concentration and low-concentration waste progresses over the coming years, the Company adjusted its existing reserve for the matter to take into account this cost estimate. The reserv</w:t>
      </w:r>
      <w:r>
        <w:rPr>
          <w:rFonts w:eastAsia="Times New Roman"/>
          <w:color w:val="000000"/>
          <w:sz w:val="20"/>
          <w:szCs w:val="20"/>
        </w:rPr>
        <w:t xml:space="preserve">e as of March 31, 2022 and December 31, 2021 is $15 million and $16 million, respectively. The Japan environmental waste issue is treated as a compliance matter and not as litigation or enforcement, and the Company has received no threats of litigation or </w:t>
      </w:r>
      <w:r>
        <w:rPr>
          <w:rFonts w:eastAsia="Times New Roman"/>
          <w:color w:val="000000"/>
          <w:sz w:val="20"/>
          <w:szCs w:val="20"/>
        </w:rPr>
        <w:t>enforcement.</w:t>
      </w:r>
    </w:p>
    <w:p w14:paraId="31F13FFE" w14:textId="77777777" w:rsidR="00000000" w:rsidRDefault="0068293C">
      <w:pPr>
        <w:divId w:val="1128350750"/>
        <w:rPr>
          <w:rFonts w:eastAsia="Times New Roman"/>
        </w:rPr>
      </w:pPr>
    </w:p>
    <w:p w14:paraId="0F30CD6A" w14:textId="77777777" w:rsidR="00000000" w:rsidRDefault="0068293C">
      <w:pPr>
        <w:jc w:val="both"/>
        <w:rPr>
          <w:rFonts w:eastAsia="Times New Roman"/>
        </w:rPr>
      </w:pPr>
      <w:r>
        <w:rPr>
          <w:rFonts w:eastAsia="Times New Roman"/>
          <w:i/>
          <w:iCs/>
          <w:color w:val="000000"/>
          <w:sz w:val="20"/>
          <w:szCs w:val="20"/>
        </w:rPr>
        <w:t>Environmental-Related Insurance Recoveries</w:t>
      </w:r>
      <w:r>
        <w:rPr>
          <w:rFonts w:eastAsia="Times New Roman"/>
          <w:color w:val="000000"/>
          <w:sz w:val="20"/>
          <w:szCs w:val="20"/>
        </w:rPr>
        <w:t xml:space="preserve"> In connection with the Fox River and other environmental sites, through March 31, 2022, NCR has received a combined gross total of approximately $205 million in settlements reached with various of i</w:t>
      </w:r>
      <w:r>
        <w:rPr>
          <w:rFonts w:eastAsia="Times New Roman"/>
          <w:color w:val="000000"/>
          <w:sz w:val="20"/>
          <w:szCs w:val="20"/>
        </w:rPr>
        <w:t>ts insurance carriers. Portions of many of these settlements agreed in the 2010 through 2013 timeframe are payable to a law firm that litigated the claims on the Company's behalf. Some of the settlements cover not only the Fox River but also other environm</w:t>
      </w:r>
      <w:r>
        <w:rPr>
          <w:rFonts w:eastAsia="Times New Roman"/>
          <w:color w:val="000000"/>
          <w:sz w:val="20"/>
          <w:szCs w:val="20"/>
        </w:rPr>
        <w:t>ental sites; some are limited to either the Fox River or the Kalamazoo River site. Some of the settlements are directed to defense costs and some are directed to indemnity; some settlements cover both defense costs and indemnity. The Company does not antic</w:t>
      </w:r>
      <w:r>
        <w:rPr>
          <w:rFonts w:eastAsia="Times New Roman"/>
          <w:color w:val="000000"/>
          <w:sz w:val="20"/>
          <w:szCs w:val="20"/>
        </w:rPr>
        <w:t>ipate that further material insurance recoveries specific to Kalamazoo River remediation costs will be available to it, but is currently in settlement discussions with certain carriers over amounts potentially owed to the Company. In December 2021, the Com</w:t>
      </w:r>
      <w:r>
        <w:rPr>
          <w:rFonts w:eastAsia="Times New Roman"/>
          <w:color w:val="000000"/>
          <w:sz w:val="20"/>
          <w:szCs w:val="20"/>
        </w:rPr>
        <w:t>pany recovered approximately $3 million as a result of those discussions. Settlement discussions are continuing with the remaining carriers. Claims with respect to Kalamazoo River defense costs have now been settled, with the amounts of those settlements i</w:t>
      </w:r>
      <w:r>
        <w:rPr>
          <w:rFonts w:eastAsia="Times New Roman"/>
          <w:color w:val="000000"/>
          <w:sz w:val="20"/>
          <w:szCs w:val="20"/>
        </w:rPr>
        <w:t xml:space="preserve">ncluded in the sum reported above. </w:t>
      </w:r>
    </w:p>
    <w:p w14:paraId="5E4522B0" w14:textId="77777777" w:rsidR="00000000" w:rsidRDefault="0068293C">
      <w:pPr>
        <w:jc w:val="both"/>
        <w:rPr>
          <w:rFonts w:eastAsia="Times New Roman"/>
        </w:rPr>
      </w:pPr>
    </w:p>
    <w:p w14:paraId="1D50A935" w14:textId="77777777" w:rsidR="00000000" w:rsidRDefault="0068293C">
      <w:pPr>
        <w:jc w:val="both"/>
        <w:rPr>
          <w:rFonts w:eastAsia="Times New Roman"/>
        </w:rPr>
      </w:pPr>
      <w:r>
        <w:rPr>
          <w:rFonts w:eastAsia="Times New Roman"/>
          <w:i/>
          <w:iCs/>
          <w:color w:val="000000"/>
          <w:sz w:val="20"/>
          <w:szCs w:val="20"/>
        </w:rPr>
        <w:t>Environmental Remediation Estimates</w:t>
      </w:r>
      <w:r>
        <w:rPr>
          <w:rFonts w:eastAsia="Times New Roman"/>
          <w:color w:val="000000"/>
          <w:sz w:val="20"/>
          <w:szCs w:val="20"/>
        </w:rPr>
        <w:t> It is difficult to estimate the future financial impact of environmental laws, including potential liabilities. NCR records environmental provisions when it is probable that a liabil</w:t>
      </w:r>
      <w:r>
        <w:rPr>
          <w:rFonts w:eastAsia="Times New Roman"/>
          <w:color w:val="000000"/>
          <w:sz w:val="20"/>
          <w:szCs w:val="20"/>
        </w:rPr>
        <w:t>ity has been incurred and the amount or range of the liability is reasonably estimable; in accordance with accounting guidance, where liabilities are not expected to be quantifiable or estimable for a period of years, the estimated costs of investigating t</w:t>
      </w:r>
      <w:r>
        <w:rPr>
          <w:rFonts w:eastAsia="Times New Roman"/>
          <w:color w:val="000000"/>
          <w:sz w:val="20"/>
          <w:szCs w:val="20"/>
        </w:rPr>
        <w:t>hose liabilities are recorded as a component of the reserve for that particular site. Provisions for estimated losses from environmental restoration and remediation are, depending on the site, based generally on internal and third-party environmental studi</w:t>
      </w:r>
      <w:r>
        <w:rPr>
          <w:rFonts w:eastAsia="Times New Roman"/>
          <w:color w:val="000000"/>
          <w:sz w:val="20"/>
          <w:szCs w:val="20"/>
        </w:rPr>
        <w:t>es, estimates as to the number and participation level of other PRPs, the extent of contamination, estimated amounts for attorney and other fees, and the nature of required clean-up and restoration actions. Reserves are adjusted as further information deve</w:t>
      </w:r>
      <w:r>
        <w:rPr>
          <w:rFonts w:eastAsia="Times New Roman"/>
          <w:color w:val="000000"/>
          <w:sz w:val="20"/>
          <w:szCs w:val="20"/>
        </w:rPr>
        <w:t>lops or circumstances change. Management expects that the amounts reserved from time to time will be paid out over the period of investigation, negotiation, remediation and restoration for the applicable sites. The amounts provided for environmental matter</w:t>
      </w:r>
      <w:r>
        <w:rPr>
          <w:rFonts w:eastAsia="Times New Roman"/>
          <w:color w:val="000000"/>
          <w:sz w:val="20"/>
          <w:szCs w:val="20"/>
        </w:rPr>
        <w:t>s in NCR's Condensed Consolidated Financial Statements are the estimated gross undiscounted amounts of such liabilities, without deductions for indemnity insurance, third-party indemnity claims or recoveries from other PRPs, except as qualified in the foll</w:t>
      </w:r>
      <w:r>
        <w:rPr>
          <w:rFonts w:eastAsia="Times New Roman"/>
          <w:color w:val="000000"/>
          <w:sz w:val="20"/>
          <w:szCs w:val="20"/>
        </w:rPr>
        <w:t>owing sentences. In those cases where insurance carriers or third-party indemnitors have agreed to pay any amounts and management believes that collectability of such amounts is probable, the amounts are recorded in the Condensed Consolidated Financial Sta</w:t>
      </w:r>
      <w:r>
        <w:rPr>
          <w:rFonts w:eastAsia="Times New Roman"/>
          <w:color w:val="000000"/>
          <w:sz w:val="20"/>
          <w:szCs w:val="20"/>
        </w:rPr>
        <w:t xml:space="preserve">tements. For the Fox River and Kalamazoo River sites, as described above, assets relating to the AT&amp;T and Nokia indemnities and to the BAT obligations are recorded as payment is supported by contractual agreements, public filings and/or payment history. </w:t>
      </w:r>
    </w:p>
    <w:p w14:paraId="3A7825FA" w14:textId="77777777" w:rsidR="00000000" w:rsidRDefault="0068293C">
      <w:pPr>
        <w:jc w:val="both"/>
        <w:rPr>
          <w:rFonts w:eastAsia="Times New Roman"/>
        </w:rPr>
      </w:pPr>
    </w:p>
    <w:p w14:paraId="2E55CBDA" w14:textId="77777777" w:rsidR="00000000" w:rsidRDefault="0068293C">
      <w:pPr>
        <w:jc w:val="center"/>
        <w:divId w:val="1171723696"/>
        <w:rPr>
          <w:rFonts w:eastAsia="Times New Roman"/>
        </w:rPr>
      </w:pPr>
      <w:r>
        <w:rPr>
          <w:rFonts w:eastAsia="Times New Roman"/>
          <w:color w:val="000000"/>
          <w:sz w:val="20"/>
          <w:szCs w:val="20"/>
        </w:rPr>
        <w:t>25</w:t>
      </w:r>
    </w:p>
    <w:p w14:paraId="2C7A307B" w14:textId="77777777" w:rsidR="00000000" w:rsidRDefault="0068293C">
      <w:pPr>
        <w:rPr>
          <w:rFonts w:eastAsia="Times New Roman"/>
        </w:rPr>
      </w:pPr>
      <w:r>
        <w:rPr>
          <w:rFonts w:eastAsia="Times New Roman"/>
        </w:rPr>
        <w:pict w14:anchorId="17E5B239">
          <v:rect id="_x0000_i1050" style="width:0;height:1.5pt" o:hralign="center" o:hrstd="t" o:hr="t" fillcolor="#a0a0a0" stroked="f"/>
        </w:pict>
      </w:r>
    </w:p>
    <w:p w14:paraId="66A2A0B2" w14:textId="77777777" w:rsidR="00000000" w:rsidRDefault="0068293C">
      <w:pPr>
        <w:ind w:firstLine="720"/>
        <w:divId w:val="452553790"/>
        <w:rPr>
          <w:rFonts w:eastAsia="Times New Roman"/>
        </w:rPr>
      </w:pPr>
      <w:hyperlink w:anchor="i78484f3d0d8e4e36a7c87ddd6ea9d725_7" w:history="1">
        <w:r>
          <w:rPr>
            <w:rStyle w:val="a3"/>
            <w:rFonts w:eastAsia="Times New Roman"/>
            <w:sz w:val="16"/>
            <w:szCs w:val="16"/>
          </w:rPr>
          <w:t>Table of Content</w:t>
        </w:r>
      </w:hyperlink>
    </w:p>
    <w:p w14:paraId="07FBA77B" w14:textId="77777777" w:rsidR="00000000" w:rsidRDefault="0068293C">
      <w:pPr>
        <w:jc w:val="center"/>
        <w:divId w:val="978457944"/>
        <w:rPr>
          <w:rFonts w:eastAsia="Times New Roman"/>
        </w:rPr>
      </w:pPr>
      <w:r>
        <w:rPr>
          <w:rFonts w:eastAsia="Times New Roman"/>
          <w:b/>
          <w:bCs/>
          <w:color w:val="000000"/>
          <w:sz w:val="20"/>
          <w:szCs w:val="20"/>
        </w:rPr>
        <w:t>NCR Corporation</w:t>
      </w:r>
    </w:p>
    <w:p w14:paraId="5C54D2DA" w14:textId="77777777" w:rsidR="00000000" w:rsidRDefault="0068293C">
      <w:pPr>
        <w:jc w:val="center"/>
        <w:divId w:val="978457944"/>
        <w:rPr>
          <w:rFonts w:eastAsia="Times New Roman"/>
        </w:rPr>
      </w:pPr>
      <w:r>
        <w:rPr>
          <w:rFonts w:eastAsia="Times New Roman"/>
          <w:b/>
          <w:bCs/>
          <w:color w:val="000000"/>
          <w:sz w:val="20"/>
          <w:szCs w:val="20"/>
        </w:rPr>
        <w:t>Notes to Condensed Consolidated Financial Statements (Unaudited)—(Continued)</w:t>
      </w:r>
    </w:p>
    <w:p w14:paraId="3D29E5BD" w14:textId="77777777" w:rsidR="00000000" w:rsidRDefault="0068293C">
      <w:pPr>
        <w:jc w:val="both"/>
        <w:rPr>
          <w:rFonts w:eastAsia="Times New Roman"/>
        </w:rPr>
      </w:pPr>
      <w:r>
        <w:rPr>
          <w:rFonts w:eastAsia="Times New Roman"/>
          <w:b/>
          <w:bCs/>
          <w:color w:val="000000"/>
          <w:sz w:val="20"/>
          <w:szCs w:val="20"/>
        </w:rPr>
        <w:t>Guarantees and Product Warranties</w:t>
      </w:r>
      <w:r>
        <w:rPr>
          <w:rFonts w:eastAsia="Times New Roman"/>
          <w:color w:val="000000"/>
          <w:sz w:val="20"/>
          <w:szCs w:val="20"/>
        </w:rPr>
        <w:t xml:space="preserve"> In the ordin</w:t>
      </w:r>
      <w:r>
        <w:rPr>
          <w:rFonts w:eastAsia="Times New Roman"/>
          <w:color w:val="000000"/>
          <w:sz w:val="20"/>
          <w:szCs w:val="20"/>
        </w:rPr>
        <w:t>ary course of business, NCR may issue performance guarantees on behalf of its subsidiaries to certain of its customers and other parties. Some of those guarantees may be backed by standby letters of credit, surety bonds, or similar instruments. In general,</w:t>
      </w:r>
      <w:r>
        <w:rPr>
          <w:rFonts w:eastAsia="Times New Roman"/>
          <w:color w:val="000000"/>
          <w:sz w:val="20"/>
          <w:szCs w:val="20"/>
        </w:rPr>
        <w:t xml:space="preserve"> under the guarantees, NCR would be obligated to perform, or cause performance, over the term of the underlying contract in the event of an unexcused, uncured breach by its subsidiary, or some other specified triggering event, in each case as defined by th</w:t>
      </w:r>
      <w:r>
        <w:rPr>
          <w:rFonts w:eastAsia="Times New Roman"/>
          <w:color w:val="000000"/>
          <w:sz w:val="20"/>
          <w:szCs w:val="20"/>
        </w:rPr>
        <w:t>e applicable guarantee. NCR believes the likelihood of having to perform under any such guarantee is remote. As of March 31, 2022 and December 31, 2021, NCR had no material obligations related to such guarantees, and therefore its Condensed Consolidated Fi</w:t>
      </w:r>
      <w:r>
        <w:rPr>
          <w:rFonts w:eastAsia="Times New Roman"/>
          <w:color w:val="000000"/>
          <w:sz w:val="20"/>
          <w:szCs w:val="20"/>
        </w:rPr>
        <w:t>nancial Statements do not have any associated liability balance.</w:t>
      </w:r>
    </w:p>
    <w:p w14:paraId="0B5F56C2" w14:textId="77777777" w:rsidR="00000000" w:rsidRDefault="0068293C">
      <w:pPr>
        <w:jc w:val="both"/>
        <w:rPr>
          <w:rFonts w:eastAsia="Times New Roman"/>
        </w:rPr>
      </w:pPr>
    </w:p>
    <w:p w14:paraId="639014CF" w14:textId="77777777" w:rsidR="00000000" w:rsidRDefault="0068293C">
      <w:pPr>
        <w:jc w:val="both"/>
        <w:rPr>
          <w:rFonts w:eastAsia="Times New Roman"/>
        </w:rPr>
      </w:pPr>
      <w:r>
        <w:rPr>
          <w:rFonts w:eastAsia="Times New Roman"/>
          <w:color w:val="000000"/>
          <w:sz w:val="20"/>
          <w:szCs w:val="20"/>
        </w:rPr>
        <w:t>NCR provides its customers a standard manufacturer’</w:t>
      </w:r>
      <w:r>
        <w:rPr>
          <w:rFonts w:eastAsia="Times New Roman"/>
          <w:color w:val="000000"/>
          <w:sz w:val="20"/>
          <w:szCs w:val="20"/>
        </w:rPr>
        <w:t>s warranty and records, at the time of the sale, a corresponding estimated liability for potential warranty costs. Estimated future obligations due to warranty claims are based upon historical factors, such as labor rates, average repair time, travel time,</w:t>
      </w:r>
      <w:r>
        <w:rPr>
          <w:rFonts w:eastAsia="Times New Roman"/>
          <w:color w:val="000000"/>
          <w:sz w:val="20"/>
          <w:szCs w:val="20"/>
        </w:rPr>
        <w:t xml:space="preserve"> number of service calls per machine and cost of replacement parts. When a sale is consummated, the total customer revenue is recognized, provided that all revenue recognition criteria are otherwise satisfied, and the associated warranty liability is recor</w:t>
      </w:r>
      <w:r>
        <w:rPr>
          <w:rFonts w:eastAsia="Times New Roman"/>
          <w:color w:val="000000"/>
          <w:sz w:val="20"/>
          <w:szCs w:val="20"/>
        </w:rPr>
        <w:t xml:space="preserve">ded using pre-established warranty percentages for the respective product classes. </w:t>
      </w:r>
    </w:p>
    <w:p w14:paraId="297B3C37" w14:textId="77777777" w:rsidR="00000000" w:rsidRDefault="0068293C">
      <w:pPr>
        <w:jc w:val="both"/>
        <w:rPr>
          <w:rFonts w:eastAsia="Times New Roman"/>
        </w:rPr>
      </w:pPr>
    </w:p>
    <w:p w14:paraId="77C1DCD9" w14:textId="77777777" w:rsidR="00000000" w:rsidRDefault="0068293C">
      <w:pPr>
        <w:jc w:val="both"/>
        <w:rPr>
          <w:rFonts w:eastAsia="Times New Roman"/>
        </w:rPr>
      </w:pPr>
      <w:r>
        <w:rPr>
          <w:rFonts w:eastAsia="Times New Roman"/>
          <w:color w:val="000000"/>
          <w:sz w:val="20"/>
          <w:szCs w:val="20"/>
        </w:rPr>
        <w:t>From time to time, product design or quality corrections are accomplished through modification programs. When identified, associated costs of labor and parts for such pro</w:t>
      </w:r>
      <w:r>
        <w:rPr>
          <w:rFonts w:eastAsia="Times New Roman"/>
          <w:color w:val="000000"/>
          <w:sz w:val="20"/>
          <w:szCs w:val="20"/>
        </w:rPr>
        <w:t>grams are estimated and accrued as part of the warranty reserve.</w:t>
      </w:r>
    </w:p>
    <w:p w14:paraId="63426CFD" w14:textId="77777777" w:rsidR="00000000" w:rsidRDefault="0068293C">
      <w:pPr>
        <w:divId w:val="1448768527"/>
        <w:rPr>
          <w:rFonts w:eastAsia="Times New Roman"/>
        </w:rPr>
      </w:pPr>
    </w:p>
    <w:p w14:paraId="065BFF01" w14:textId="77777777" w:rsidR="00000000" w:rsidRDefault="0068293C">
      <w:pPr>
        <w:divId w:val="277371146"/>
        <w:rPr>
          <w:rFonts w:eastAsia="Times New Roman"/>
        </w:rPr>
      </w:pPr>
      <w:r>
        <w:rPr>
          <w:rFonts w:eastAsia="Times New Roman"/>
          <w:color w:val="000000"/>
          <w:sz w:val="20"/>
          <w:szCs w:val="20"/>
        </w:rPr>
        <w:t>The Company recorded the activity related to the warranty reserve for the three months ended March 31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57"/>
        <w:gridCol w:w="37"/>
        <w:gridCol w:w="120"/>
        <w:gridCol w:w="1031"/>
        <w:gridCol w:w="36"/>
        <w:gridCol w:w="36"/>
        <w:gridCol w:w="36"/>
        <w:gridCol w:w="36"/>
        <w:gridCol w:w="120"/>
        <w:gridCol w:w="996"/>
        <w:gridCol w:w="36"/>
      </w:tblGrid>
      <w:tr w:rsidR="00000000" w14:paraId="34E2E091" w14:textId="77777777">
        <w:trPr>
          <w:divId w:val="766534905"/>
          <w:jc w:val="center"/>
        </w:trPr>
        <w:tc>
          <w:tcPr>
            <w:tcW w:w="50" w:type="pct"/>
            <w:vAlign w:val="center"/>
            <w:hideMark/>
          </w:tcPr>
          <w:p w14:paraId="12527BB8" w14:textId="77777777" w:rsidR="00000000" w:rsidRDefault="0068293C">
            <w:pPr>
              <w:rPr>
                <w:rFonts w:eastAsia="Times New Roman"/>
              </w:rPr>
            </w:pPr>
          </w:p>
        </w:tc>
        <w:tc>
          <w:tcPr>
            <w:tcW w:w="3500" w:type="pct"/>
            <w:vAlign w:val="center"/>
            <w:hideMark/>
          </w:tcPr>
          <w:p w14:paraId="0160F7B9" w14:textId="77777777" w:rsidR="00000000" w:rsidRDefault="0068293C">
            <w:pPr>
              <w:spacing w:after="100"/>
              <w:rPr>
                <w:rFonts w:eastAsia="Times New Roman"/>
                <w:sz w:val="20"/>
                <w:szCs w:val="20"/>
              </w:rPr>
            </w:pPr>
          </w:p>
        </w:tc>
        <w:tc>
          <w:tcPr>
            <w:tcW w:w="5" w:type="pct"/>
            <w:vAlign w:val="center"/>
            <w:hideMark/>
          </w:tcPr>
          <w:p w14:paraId="000C1854" w14:textId="77777777" w:rsidR="00000000" w:rsidRDefault="0068293C">
            <w:pPr>
              <w:spacing w:after="100"/>
              <w:rPr>
                <w:rFonts w:eastAsia="Times New Roman"/>
                <w:sz w:val="20"/>
                <w:szCs w:val="20"/>
              </w:rPr>
            </w:pPr>
          </w:p>
        </w:tc>
        <w:tc>
          <w:tcPr>
            <w:tcW w:w="50" w:type="pct"/>
            <w:vAlign w:val="center"/>
            <w:hideMark/>
          </w:tcPr>
          <w:p w14:paraId="6B0DF0C2" w14:textId="77777777" w:rsidR="00000000" w:rsidRDefault="0068293C">
            <w:pPr>
              <w:spacing w:after="100"/>
              <w:rPr>
                <w:rFonts w:eastAsia="Times New Roman"/>
                <w:sz w:val="20"/>
                <w:szCs w:val="20"/>
              </w:rPr>
            </w:pPr>
          </w:p>
        </w:tc>
        <w:tc>
          <w:tcPr>
            <w:tcW w:w="648" w:type="pct"/>
            <w:vAlign w:val="center"/>
            <w:hideMark/>
          </w:tcPr>
          <w:p w14:paraId="10DA2831" w14:textId="77777777" w:rsidR="00000000" w:rsidRDefault="0068293C">
            <w:pPr>
              <w:spacing w:after="100"/>
              <w:rPr>
                <w:rFonts w:eastAsia="Times New Roman"/>
                <w:sz w:val="20"/>
                <w:szCs w:val="20"/>
              </w:rPr>
            </w:pPr>
          </w:p>
        </w:tc>
        <w:tc>
          <w:tcPr>
            <w:tcW w:w="5" w:type="pct"/>
            <w:vAlign w:val="center"/>
            <w:hideMark/>
          </w:tcPr>
          <w:p w14:paraId="1C44A7CF" w14:textId="77777777" w:rsidR="00000000" w:rsidRDefault="0068293C">
            <w:pPr>
              <w:spacing w:after="100"/>
              <w:rPr>
                <w:rFonts w:eastAsia="Times New Roman"/>
                <w:sz w:val="20"/>
                <w:szCs w:val="20"/>
              </w:rPr>
            </w:pPr>
          </w:p>
        </w:tc>
        <w:tc>
          <w:tcPr>
            <w:tcW w:w="5" w:type="pct"/>
            <w:vAlign w:val="center"/>
            <w:hideMark/>
          </w:tcPr>
          <w:p w14:paraId="10E67908" w14:textId="77777777" w:rsidR="00000000" w:rsidRDefault="0068293C">
            <w:pPr>
              <w:spacing w:after="100"/>
              <w:rPr>
                <w:rFonts w:eastAsia="Times New Roman"/>
                <w:sz w:val="20"/>
                <w:szCs w:val="20"/>
              </w:rPr>
            </w:pPr>
          </w:p>
        </w:tc>
        <w:tc>
          <w:tcPr>
            <w:tcW w:w="26" w:type="pct"/>
            <w:vAlign w:val="center"/>
            <w:hideMark/>
          </w:tcPr>
          <w:p w14:paraId="74BDF0A9" w14:textId="77777777" w:rsidR="00000000" w:rsidRDefault="0068293C">
            <w:pPr>
              <w:spacing w:after="100"/>
              <w:rPr>
                <w:rFonts w:eastAsia="Times New Roman"/>
                <w:sz w:val="20"/>
                <w:szCs w:val="20"/>
              </w:rPr>
            </w:pPr>
          </w:p>
        </w:tc>
        <w:tc>
          <w:tcPr>
            <w:tcW w:w="5" w:type="pct"/>
            <w:vAlign w:val="center"/>
            <w:hideMark/>
          </w:tcPr>
          <w:p w14:paraId="35C66B8C" w14:textId="77777777" w:rsidR="00000000" w:rsidRDefault="0068293C">
            <w:pPr>
              <w:spacing w:after="100"/>
              <w:rPr>
                <w:rFonts w:eastAsia="Times New Roman"/>
                <w:sz w:val="20"/>
                <w:szCs w:val="20"/>
              </w:rPr>
            </w:pPr>
          </w:p>
        </w:tc>
        <w:tc>
          <w:tcPr>
            <w:tcW w:w="50" w:type="pct"/>
            <w:vAlign w:val="center"/>
            <w:hideMark/>
          </w:tcPr>
          <w:p w14:paraId="18189FEC" w14:textId="77777777" w:rsidR="00000000" w:rsidRDefault="0068293C">
            <w:pPr>
              <w:spacing w:after="100"/>
              <w:rPr>
                <w:rFonts w:eastAsia="Times New Roman"/>
                <w:sz w:val="20"/>
                <w:szCs w:val="20"/>
              </w:rPr>
            </w:pPr>
          </w:p>
        </w:tc>
        <w:tc>
          <w:tcPr>
            <w:tcW w:w="648" w:type="pct"/>
            <w:vAlign w:val="center"/>
            <w:hideMark/>
          </w:tcPr>
          <w:p w14:paraId="03BBCDD8" w14:textId="77777777" w:rsidR="00000000" w:rsidRDefault="0068293C">
            <w:pPr>
              <w:spacing w:after="100"/>
              <w:rPr>
                <w:rFonts w:eastAsia="Times New Roman"/>
                <w:sz w:val="20"/>
                <w:szCs w:val="20"/>
              </w:rPr>
            </w:pPr>
          </w:p>
        </w:tc>
        <w:tc>
          <w:tcPr>
            <w:tcW w:w="5" w:type="pct"/>
            <w:vAlign w:val="center"/>
            <w:hideMark/>
          </w:tcPr>
          <w:p w14:paraId="56D49848" w14:textId="77777777" w:rsidR="00000000" w:rsidRDefault="0068293C">
            <w:pPr>
              <w:spacing w:after="100"/>
              <w:rPr>
                <w:rFonts w:eastAsia="Times New Roman"/>
                <w:sz w:val="20"/>
                <w:szCs w:val="20"/>
              </w:rPr>
            </w:pPr>
          </w:p>
        </w:tc>
      </w:tr>
      <w:tr w:rsidR="00000000" w14:paraId="502DA927" w14:textId="77777777">
        <w:trPr>
          <w:divId w:val="766534905"/>
          <w:jc w:val="center"/>
        </w:trPr>
        <w:tc>
          <w:tcPr>
            <w:tcW w:w="0" w:type="auto"/>
            <w:gridSpan w:val="3"/>
            <w:tcMar>
              <w:top w:w="30" w:type="dxa"/>
              <w:left w:w="20" w:type="dxa"/>
              <w:bottom w:w="30" w:type="dxa"/>
              <w:right w:w="20" w:type="dxa"/>
            </w:tcMar>
            <w:vAlign w:val="bottom"/>
            <w:hideMark/>
          </w:tcPr>
          <w:p w14:paraId="7ECDEF6B"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D66C66B"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2AD6DC1A"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C69422"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3DBB7AD1" w14:textId="77777777">
        <w:trPr>
          <w:divId w:val="766534905"/>
          <w:jc w:val="center"/>
        </w:trPr>
        <w:tc>
          <w:tcPr>
            <w:tcW w:w="0" w:type="auto"/>
            <w:gridSpan w:val="3"/>
            <w:shd w:val="clear" w:color="auto" w:fill="CCEEFF"/>
            <w:tcMar>
              <w:top w:w="30" w:type="dxa"/>
              <w:left w:w="20" w:type="dxa"/>
              <w:bottom w:w="30" w:type="dxa"/>
              <w:right w:w="20" w:type="dxa"/>
            </w:tcMar>
            <w:hideMark/>
          </w:tcPr>
          <w:p w14:paraId="02BF1DFB" w14:textId="77777777" w:rsidR="00000000" w:rsidRDefault="0068293C">
            <w:pPr>
              <w:spacing w:after="100"/>
              <w:rPr>
                <w:rFonts w:eastAsia="Times New Roman"/>
              </w:rPr>
            </w:pPr>
            <w:r>
              <w:rPr>
                <w:rFonts w:eastAsia="Times New Roman"/>
                <w:b/>
                <w:bCs/>
                <w:color w:val="000000"/>
                <w:sz w:val="20"/>
                <w:szCs w:val="20"/>
              </w:rPr>
              <w:t>Warranty reserve liability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EDCD5E"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C8F47"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417892" w14:textId="77777777" w:rsidR="00000000" w:rsidRDefault="0068293C">
            <w:pPr>
              <w:spacing w:after="100"/>
              <w:rPr>
                <w:rFonts w:eastAsia="Times New Roman"/>
                <w:sz w:val="20"/>
                <w:szCs w:val="20"/>
              </w:rPr>
            </w:pPr>
          </w:p>
        </w:tc>
      </w:tr>
      <w:tr w:rsidR="00000000" w14:paraId="4E4320A8" w14:textId="77777777">
        <w:trPr>
          <w:divId w:val="766534905"/>
          <w:jc w:val="center"/>
        </w:trPr>
        <w:tc>
          <w:tcPr>
            <w:tcW w:w="0" w:type="auto"/>
            <w:gridSpan w:val="3"/>
            <w:shd w:val="clear" w:color="auto" w:fill="FFFFFF"/>
            <w:tcMar>
              <w:top w:w="30" w:type="dxa"/>
              <w:left w:w="20" w:type="dxa"/>
              <w:bottom w:w="30" w:type="dxa"/>
              <w:right w:w="20" w:type="dxa"/>
            </w:tcMar>
            <w:hideMark/>
          </w:tcPr>
          <w:p w14:paraId="5C636E7A" w14:textId="77777777" w:rsidR="00000000" w:rsidRDefault="0068293C">
            <w:pPr>
              <w:spacing w:after="100"/>
              <w:rPr>
                <w:rFonts w:eastAsia="Times New Roman"/>
              </w:rPr>
            </w:pPr>
            <w:r>
              <w:rPr>
                <w:rFonts w:eastAsia="Times New Roman"/>
                <w:color w:val="000000"/>
                <w:sz w:val="20"/>
                <w:szCs w:val="20"/>
              </w:rPr>
              <w:t>Beginning balance as of January 1</w:t>
            </w:r>
          </w:p>
        </w:tc>
        <w:tc>
          <w:tcPr>
            <w:tcW w:w="0" w:type="auto"/>
            <w:shd w:val="clear" w:color="auto" w:fill="FFFFFF"/>
            <w:tcMar>
              <w:top w:w="30" w:type="dxa"/>
              <w:left w:w="20" w:type="dxa"/>
              <w:bottom w:w="30" w:type="dxa"/>
              <w:right w:w="0" w:type="dxa"/>
            </w:tcMar>
            <w:vAlign w:val="bottom"/>
            <w:hideMark/>
          </w:tcPr>
          <w:p w14:paraId="6D923441"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CEB9E12" w14:textId="77777777" w:rsidR="00000000" w:rsidRDefault="0068293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1BE72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F184F"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D46C6F"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D50C114" w14:textId="77777777" w:rsidR="00000000" w:rsidRDefault="0068293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0C05B1" w14:textId="77777777" w:rsidR="00000000" w:rsidRDefault="0068293C">
            <w:pPr>
              <w:spacing w:after="100"/>
              <w:jc w:val="right"/>
              <w:rPr>
                <w:rFonts w:eastAsia="Times New Roman"/>
              </w:rPr>
            </w:pPr>
          </w:p>
        </w:tc>
      </w:tr>
      <w:tr w:rsidR="00000000" w14:paraId="4F669D06" w14:textId="77777777">
        <w:trPr>
          <w:divId w:val="766534905"/>
          <w:jc w:val="center"/>
        </w:trPr>
        <w:tc>
          <w:tcPr>
            <w:tcW w:w="0" w:type="auto"/>
            <w:gridSpan w:val="3"/>
            <w:shd w:val="clear" w:color="auto" w:fill="CCEEFF"/>
            <w:tcMar>
              <w:top w:w="30" w:type="dxa"/>
              <w:left w:w="20" w:type="dxa"/>
              <w:bottom w:w="30" w:type="dxa"/>
              <w:right w:w="20" w:type="dxa"/>
            </w:tcMar>
            <w:hideMark/>
          </w:tcPr>
          <w:p w14:paraId="0048A035" w14:textId="77777777" w:rsidR="00000000" w:rsidRDefault="0068293C">
            <w:pPr>
              <w:spacing w:after="100"/>
              <w:rPr>
                <w:rFonts w:eastAsia="Times New Roman"/>
              </w:rPr>
            </w:pPr>
            <w:r>
              <w:rPr>
                <w:rFonts w:eastAsia="Times New Roman"/>
                <w:color w:val="000000"/>
                <w:sz w:val="20"/>
                <w:szCs w:val="20"/>
              </w:rPr>
              <w:t>Accruals for warranties issued</w:t>
            </w:r>
          </w:p>
        </w:tc>
        <w:tc>
          <w:tcPr>
            <w:tcW w:w="0" w:type="auto"/>
            <w:gridSpan w:val="2"/>
            <w:shd w:val="clear" w:color="auto" w:fill="CCEEFF"/>
            <w:tcMar>
              <w:top w:w="30" w:type="dxa"/>
              <w:left w:w="20" w:type="dxa"/>
              <w:bottom w:w="30" w:type="dxa"/>
              <w:right w:w="0" w:type="dxa"/>
            </w:tcMar>
            <w:vAlign w:val="bottom"/>
            <w:hideMark/>
          </w:tcPr>
          <w:p w14:paraId="7D36B631" w14:textId="77777777" w:rsidR="00000000" w:rsidRDefault="0068293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F864B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BE24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654B15" w14:textId="77777777" w:rsidR="00000000" w:rsidRDefault="0068293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FE5DF1" w14:textId="77777777" w:rsidR="00000000" w:rsidRDefault="0068293C">
            <w:pPr>
              <w:spacing w:after="100"/>
              <w:jc w:val="right"/>
              <w:rPr>
                <w:rFonts w:eastAsia="Times New Roman"/>
              </w:rPr>
            </w:pPr>
          </w:p>
        </w:tc>
      </w:tr>
      <w:tr w:rsidR="00000000" w14:paraId="63D5FDE7" w14:textId="77777777">
        <w:trPr>
          <w:divId w:val="766534905"/>
          <w:jc w:val="center"/>
        </w:trPr>
        <w:tc>
          <w:tcPr>
            <w:tcW w:w="0" w:type="auto"/>
            <w:gridSpan w:val="3"/>
            <w:shd w:val="clear" w:color="auto" w:fill="FFFFFF"/>
            <w:tcMar>
              <w:top w:w="30" w:type="dxa"/>
              <w:left w:w="20" w:type="dxa"/>
              <w:bottom w:w="30" w:type="dxa"/>
              <w:right w:w="20" w:type="dxa"/>
            </w:tcMar>
            <w:hideMark/>
          </w:tcPr>
          <w:p w14:paraId="2EA2CB0B" w14:textId="77777777" w:rsidR="00000000" w:rsidRDefault="0068293C">
            <w:pPr>
              <w:spacing w:after="100"/>
              <w:rPr>
                <w:rFonts w:eastAsia="Times New Roman"/>
              </w:rPr>
            </w:pPr>
            <w:r>
              <w:rPr>
                <w:rFonts w:eastAsia="Times New Roman"/>
                <w:color w:val="000000"/>
                <w:sz w:val="20"/>
                <w:szCs w:val="20"/>
              </w:rPr>
              <w:t>Settlements (in cash or in kind)</w:t>
            </w:r>
          </w:p>
        </w:tc>
        <w:tc>
          <w:tcPr>
            <w:tcW w:w="0" w:type="auto"/>
            <w:gridSpan w:val="2"/>
            <w:shd w:val="clear" w:color="auto" w:fill="FFFFFF"/>
            <w:tcMar>
              <w:top w:w="30" w:type="dxa"/>
              <w:left w:w="20" w:type="dxa"/>
              <w:bottom w:w="30" w:type="dxa"/>
              <w:right w:w="0" w:type="dxa"/>
            </w:tcMar>
            <w:vAlign w:val="bottom"/>
            <w:hideMark/>
          </w:tcPr>
          <w:p w14:paraId="365432FF" w14:textId="77777777" w:rsidR="00000000" w:rsidRDefault="0068293C">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14:paraId="57353DD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2862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3225BF" w14:textId="77777777" w:rsidR="00000000" w:rsidRDefault="0068293C">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14:paraId="1EDEC91C" w14:textId="77777777" w:rsidR="00000000" w:rsidRDefault="0068293C">
            <w:pPr>
              <w:spacing w:after="100"/>
              <w:jc w:val="right"/>
              <w:rPr>
                <w:rFonts w:eastAsia="Times New Roman"/>
              </w:rPr>
            </w:pPr>
          </w:p>
        </w:tc>
      </w:tr>
      <w:tr w:rsidR="00000000" w14:paraId="3DDB1718" w14:textId="77777777">
        <w:trPr>
          <w:divId w:val="766534905"/>
          <w:jc w:val="center"/>
        </w:trPr>
        <w:tc>
          <w:tcPr>
            <w:tcW w:w="0" w:type="auto"/>
            <w:gridSpan w:val="3"/>
            <w:shd w:val="clear" w:color="auto" w:fill="CCEEFF"/>
            <w:tcMar>
              <w:top w:w="30" w:type="dxa"/>
              <w:left w:w="20" w:type="dxa"/>
              <w:bottom w:w="30" w:type="dxa"/>
              <w:right w:w="20" w:type="dxa"/>
            </w:tcMar>
            <w:hideMark/>
          </w:tcPr>
          <w:p w14:paraId="237A8121" w14:textId="77777777" w:rsidR="00000000" w:rsidRDefault="0068293C">
            <w:pPr>
              <w:spacing w:after="100"/>
              <w:rPr>
                <w:rFonts w:eastAsia="Times New Roman"/>
              </w:rPr>
            </w:pPr>
            <w:r>
              <w:rPr>
                <w:rFonts w:eastAsia="Times New Roman"/>
                <w:color w:val="000000"/>
                <w:sz w:val="20"/>
                <w:szCs w:val="20"/>
              </w:rPr>
              <w:t xml:space="preserve">Ending balance as of March 31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B88C48"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EA6FF7" w14:textId="77777777" w:rsidR="00000000" w:rsidRDefault="0068293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D606F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6CA7D"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22E83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325DEB" w14:textId="77777777" w:rsidR="00000000" w:rsidRDefault="0068293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49CA1A" w14:textId="77777777" w:rsidR="00000000" w:rsidRDefault="0068293C">
            <w:pPr>
              <w:spacing w:after="100"/>
              <w:jc w:val="right"/>
              <w:rPr>
                <w:rFonts w:eastAsia="Times New Roman"/>
              </w:rPr>
            </w:pPr>
          </w:p>
        </w:tc>
      </w:tr>
    </w:tbl>
    <w:p w14:paraId="1911D0C8" w14:textId="77777777" w:rsidR="00000000" w:rsidRDefault="0068293C">
      <w:pPr>
        <w:divId w:val="1293825135"/>
        <w:rPr>
          <w:rFonts w:eastAsia="Times New Roman"/>
        </w:rPr>
      </w:pPr>
      <w:r>
        <w:rPr>
          <w:rFonts w:eastAsia="Times New Roman"/>
          <w:color w:val="000000"/>
          <w:sz w:val="16"/>
          <w:szCs w:val="16"/>
        </w:rPr>
        <w:t> </w:t>
      </w:r>
    </w:p>
    <w:p w14:paraId="5B83530F" w14:textId="77777777" w:rsidR="00000000" w:rsidRDefault="0068293C">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third-party asserts patent or other infringement on the part of its customers for its use of the Company’s products subject t</w:t>
      </w:r>
      <w:r>
        <w:rPr>
          <w:rFonts w:eastAsia="Times New Roman"/>
          <w:color w:val="000000"/>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eastAsia="Times New Roman"/>
          <w:color w:val="000000"/>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eastAsia="Times New Roman"/>
          <w:color w:val="000000"/>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eastAsia="Times New Roman"/>
          <w:color w:val="000000"/>
          <w:sz w:val="20"/>
          <w:szCs w:val="20"/>
        </w:rPr>
        <w:t>torically, payments made by the Company under these types of agreements have not had a material effect on the Company’s condensed consolidated financial condition, results of operations or cash flows.</w:t>
      </w:r>
    </w:p>
    <w:p w14:paraId="58164E73" w14:textId="77777777" w:rsidR="00000000" w:rsidRDefault="0068293C">
      <w:pPr>
        <w:jc w:val="both"/>
        <w:rPr>
          <w:rFonts w:eastAsia="Times New Roman"/>
        </w:rPr>
      </w:pPr>
    </w:p>
    <w:p w14:paraId="6ACC701C" w14:textId="77777777" w:rsidR="00000000" w:rsidRDefault="0068293C">
      <w:pPr>
        <w:jc w:val="both"/>
        <w:rPr>
          <w:rFonts w:eastAsia="Times New Roman"/>
        </w:rPr>
      </w:pPr>
      <w:r>
        <w:rPr>
          <w:rFonts w:eastAsia="Times New Roman"/>
          <w:b/>
          <w:bCs/>
          <w:color w:val="000000"/>
          <w:sz w:val="20"/>
          <w:szCs w:val="20"/>
        </w:rPr>
        <w:t>Purchase Commitments</w:t>
      </w:r>
      <w:r>
        <w:rPr>
          <w:rFonts w:eastAsia="Times New Roman"/>
          <w:color w:val="000000"/>
          <w:sz w:val="20"/>
          <w:szCs w:val="20"/>
        </w:rPr>
        <w:t xml:space="preserve"> </w:t>
      </w:r>
      <w:r>
        <w:rPr>
          <w:rFonts w:eastAsia="Times New Roman"/>
          <w:color w:val="000000"/>
          <w:sz w:val="20"/>
          <w:szCs w:val="20"/>
        </w:rPr>
        <w:t>The Company has purchase commitments for materials, supplies, services, and property, plant and equipment as part of the normal course of business. This includes a long-term service agreement with Accenture, under which many of NCR's key transaction proces</w:t>
      </w:r>
      <w:r>
        <w:rPr>
          <w:rFonts w:eastAsia="Times New Roman"/>
          <w:color w:val="000000"/>
          <w:sz w:val="20"/>
          <w:szCs w:val="20"/>
        </w:rPr>
        <w:t xml:space="preserve">sing activities and functions are performed. </w:t>
      </w:r>
    </w:p>
    <w:p w14:paraId="3FF5D650" w14:textId="77777777" w:rsidR="00000000" w:rsidRDefault="0068293C">
      <w:pPr>
        <w:jc w:val="both"/>
        <w:rPr>
          <w:rFonts w:eastAsia="Times New Roman"/>
        </w:rPr>
      </w:pPr>
    </w:p>
    <w:p w14:paraId="552B8384" w14:textId="77777777" w:rsidR="00000000" w:rsidRDefault="0068293C">
      <w:pPr>
        <w:divId w:val="472216505"/>
        <w:rPr>
          <w:rFonts w:eastAsia="Times New Roman"/>
        </w:rPr>
      </w:pPr>
      <w:r>
        <w:rPr>
          <w:rFonts w:eastAsia="Times New Roman"/>
          <w:b/>
          <w:bCs/>
          <w:color w:val="54B948"/>
          <w:sz w:val="20"/>
          <w:szCs w:val="20"/>
        </w:rPr>
        <w:t>11. SERIES A CONVERTIBLE PREFERRED STOCK</w:t>
      </w:r>
    </w:p>
    <w:p w14:paraId="01615199" w14:textId="77777777" w:rsidR="00000000" w:rsidRDefault="0068293C">
      <w:pPr>
        <w:jc w:val="both"/>
        <w:rPr>
          <w:rFonts w:eastAsia="Times New Roman"/>
        </w:rPr>
      </w:pPr>
    </w:p>
    <w:p w14:paraId="0D840A9D" w14:textId="77777777" w:rsidR="00000000" w:rsidRDefault="0068293C">
      <w:pPr>
        <w:jc w:val="both"/>
        <w:rPr>
          <w:rFonts w:eastAsia="Times New Roman"/>
        </w:rPr>
      </w:pPr>
      <w:r>
        <w:rPr>
          <w:rFonts w:eastAsia="Times New Roman"/>
          <w:color w:val="000000"/>
          <w:sz w:val="20"/>
          <w:szCs w:val="20"/>
        </w:rPr>
        <w:t>Holders of Series A Convertible Preferred Stock are entitled to a cumulative dividend at the rate of 5.5% per annum, payable quarterly in arrears. Beginning in the first quarter of 2020, dividends are payable in cash or in-kind at the option of the Company</w:t>
      </w:r>
      <w:r>
        <w:rPr>
          <w:rFonts w:eastAsia="Times New Roman"/>
          <w:color w:val="000000"/>
          <w:sz w:val="20"/>
          <w:szCs w:val="20"/>
        </w:rPr>
        <w:t>. If the Company does not declare and pay a dividend, the dividend rate will increase to 8.0% per annum until all accrued but unpaid dividends have been paid in full.</w:t>
      </w:r>
      <w:r>
        <w:rPr>
          <w:rFonts w:eastAsia="Times New Roman"/>
          <w:color w:val="000000"/>
          <w:sz w:val="20"/>
          <w:szCs w:val="20"/>
          <w:shd w:val="clear" w:color="auto" w:fill="FFFFFF"/>
        </w:rPr>
        <w:t xml:space="preserve"> During the three months ended March 31, 2022 and 2021, the Company paid cash dividends of</w:t>
      </w:r>
      <w:r>
        <w:rPr>
          <w:rFonts w:eastAsia="Times New Roman"/>
          <w:color w:val="000000"/>
          <w:sz w:val="20"/>
          <w:szCs w:val="20"/>
          <w:shd w:val="clear" w:color="auto" w:fill="FFFFFF"/>
        </w:rPr>
        <w:t xml:space="preserve"> $4 million</w:t>
      </w:r>
      <w:r>
        <w:rPr>
          <w:rFonts w:eastAsia="Times New Roman"/>
          <w:color w:val="000000"/>
          <w:sz w:val="20"/>
          <w:szCs w:val="20"/>
        </w:rPr>
        <w:t xml:space="preserve">. </w:t>
      </w:r>
    </w:p>
    <w:p w14:paraId="1D97ED13" w14:textId="77777777" w:rsidR="00000000" w:rsidRDefault="0068293C">
      <w:pPr>
        <w:jc w:val="both"/>
        <w:rPr>
          <w:rFonts w:eastAsia="Times New Roman"/>
        </w:rPr>
      </w:pPr>
    </w:p>
    <w:p w14:paraId="686EAE2E" w14:textId="77777777" w:rsidR="00000000" w:rsidRDefault="0068293C">
      <w:pPr>
        <w:jc w:val="both"/>
        <w:rPr>
          <w:rFonts w:eastAsia="Times New Roman"/>
        </w:rPr>
      </w:pPr>
      <w:r>
        <w:rPr>
          <w:rFonts w:eastAsia="Times New Roman"/>
          <w:color w:val="000000"/>
          <w:sz w:val="20"/>
          <w:szCs w:val="20"/>
        </w:rPr>
        <w:t>The Series A Convertible Preferred Stock is convertible at the option of the holders at any time into shares of common stock at a conversion price of $30.00 per share, or a conversion rate of 33.333 shares of common stock per share of Serie</w:t>
      </w:r>
      <w:r>
        <w:rPr>
          <w:rFonts w:eastAsia="Times New Roman"/>
          <w:color w:val="000000"/>
          <w:sz w:val="20"/>
          <w:szCs w:val="20"/>
        </w:rPr>
        <w:t xml:space="preserve">s A Convertible Preferred Stock. As of March 31, 2022 and December 31, 2021, the maximum number of common shares that could be required to be issued upon conversion of the outstanding shares of Series A Convertible Preferred Stock was 9.2 million shares. </w:t>
      </w:r>
    </w:p>
    <w:p w14:paraId="791D0CB6" w14:textId="77777777" w:rsidR="00000000" w:rsidRDefault="0068293C">
      <w:pPr>
        <w:jc w:val="both"/>
        <w:rPr>
          <w:rFonts w:eastAsia="Times New Roman"/>
        </w:rPr>
      </w:pPr>
    </w:p>
    <w:p w14:paraId="6A7D9D26" w14:textId="77777777" w:rsidR="00000000" w:rsidRDefault="0068293C">
      <w:pPr>
        <w:jc w:val="both"/>
        <w:rPr>
          <w:rFonts w:eastAsia="Times New Roman"/>
        </w:rPr>
      </w:pPr>
    </w:p>
    <w:p w14:paraId="70029E88" w14:textId="77777777" w:rsidR="00000000" w:rsidRDefault="0068293C">
      <w:pPr>
        <w:jc w:val="center"/>
        <w:divId w:val="522012115"/>
        <w:rPr>
          <w:rFonts w:eastAsia="Times New Roman"/>
        </w:rPr>
      </w:pPr>
      <w:r>
        <w:rPr>
          <w:rFonts w:eastAsia="Times New Roman"/>
          <w:color w:val="000000"/>
          <w:sz w:val="20"/>
          <w:szCs w:val="20"/>
        </w:rPr>
        <w:t>26</w:t>
      </w:r>
    </w:p>
    <w:p w14:paraId="2F88BE8B" w14:textId="77777777" w:rsidR="00000000" w:rsidRDefault="0068293C">
      <w:pPr>
        <w:rPr>
          <w:rFonts w:eastAsia="Times New Roman"/>
        </w:rPr>
      </w:pPr>
      <w:r>
        <w:rPr>
          <w:rFonts w:eastAsia="Times New Roman"/>
        </w:rPr>
        <w:pict w14:anchorId="61F2E316">
          <v:rect id="_x0000_i1051" style="width:0;height:1.5pt" o:hralign="center" o:hrstd="t" o:hr="t" fillcolor="#a0a0a0" stroked="f"/>
        </w:pict>
      </w:r>
    </w:p>
    <w:p w14:paraId="2C02AD25" w14:textId="77777777" w:rsidR="00000000" w:rsidRDefault="0068293C">
      <w:pPr>
        <w:ind w:firstLine="720"/>
        <w:divId w:val="1151292093"/>
        <w:rPr>
          <w:rFonts w:eastAsia="Times New Roman"/>
        </w:rPr>
      </w:pPr>
      <w:hyperlink w:anchor="i78484f3d0d8e4e36a7c87ddd6ea9d725_7" w:history="1">
        <w:r>
          <w:rPr>
            <w:rStyle w:val="a3"/>
            <w:rFonts w:eastAsia="Times New Roman"/>
            <w:sz w:val="16"/>
            <w:szCs w:val="16"/>
          </w:rPr>
          <w:t>Table of Content</w:t>
        </w:r>
      </w:hyperlink>
    </w:p>
    <w:p w14:paraId="7DB92553" w14:textId="77777777" w:rsidR="00000000" w:rsidRDefault="0068293C">
      <w:pPr>
        <w:jc w:val="center"/>
        <w:divId w:val="1264075594"/>
        <w:rPr>
          <w:rFonts w:eastAsia="Times New Roman"/>
        </w:rPr>
      </w:pPr>
      <w:r>
        <w:rPr>
          <w:rFonts w:eastAsia="Times New Roman"/>
          <w:b/>
          <w:bCs/>
          <w:color w:val="000000"/>
          <w:sz w:val="20"/>
          <w:szCs w:val="20"/>
        </w:rPr>
        <w:t>NCR Corporation</w:t>
      </w:r>
    </w:p>
    <w:p w14:paraId="42D9ECE5" w14:textId="77777777" w:rsidR="00000000" w:rsidRDefault="0068293C">
      <w:pPr>
        <w:jc w:val="center"/>
        <w:divId w:val="1264075594"/>
        <w:rPr>
          <w:rFonts w:eastAsia="Times New Roman"/>
        </w:rPr>
      </w:pPr>
      <w:r>
        <w:rPr>
          <w:rFonts w:eastAsia="Times New Roman"/>
          <w:b/>
          <w:bCs/>
          <w:color w:val="000000"/>
          <w:sz w:val="20"/>
          <w:szCs w:val="20"/>
        </w:rPr>
        <w:t>Notes to Condensed Consolidated Financial Statements (Unaudited)—(Continued)</w:t>
      </w:r>
    </w:p>
    <w:p w14:paraId="3D61DDE4" w14:textId="77777777" w:rsidR="00000000" w:rsidRDefault="0068293C">
      <w:pPr>
        <w:divId w:val="26806072"/>
        <w:rPr>
          <w:rFonts w:eastAsia="Times New Roman"/>
        </w:rPr>
      </w:pPr>
      <w:r>
        <w:rPr>
          <w:rFonts w:eastAsia="Times New Roman"/>
          <w:b/>
          <w:bCs/>
          <w:color w:val="54B948"/>
          <w:sz w:val="20"/>
          <w:szCs w:val="20"/>
        </w:rPr>
        <w:t xml:space="preserve">12. EARNINGS PER SHARE </w:t>
      </w:r>
    </w:p>
    <w:p w14:paraId="6E8A3F5A" w14:textId="77777777" w:rsidR="00000000" w:rsidRDefault="0068293C">
      <w:pPr>
        <w:jc w:val="both"/>
        <w:rPr>
          <w:rFonts w:eastAsia="Times New Roman"/>
        </w:rPr>
      </w:pPr>
    </w:p>
    <w:p w14:paraId="48AD637E" w14:textId="77777777" w:rsidR="00000000" w:rsidRDefault="0068293C">
      <w:pPr>
        <w:jc w:val="both"/>
        <w:rPr>
          <w:rFonts w:eastAsia="Times New Roman"/>
        </w:rPr>
      </w:pPr>
      <w:r>
        <w:rPr>
          <w:rFonts w:eastAsia="Times New Roman"/>
          <w:color w:val="000000"/>
          <w:sz w:val="20"/>
          <w:szCs w:val="20"/>
        </w:rPr>
        <w:t>Basic earnings per</w:t>
      </w:r>
      <w:r>
        <w:rPr>
          <w:rFonts w:eastAsia="Times New Roman"/>
          <w:color w:val="000000"/>
          <w:sz w:val="20"/>
          <w:szCs w:val="20"/>
        </w:rPr>
        <w:t xml:space="preserve"> share (“EPS”) is calculated by dividing net income or loss attributable to NCR, less any dividends (declared or cumulative undeclared), deemed dividends, accretion or decretion, redemption or induced conversion on our Series A Convertible Preferred Stock,</w:t>
      </w:r>
      <w:r>
        <w:rPr>
          <w:rFonts w:eastAsia="Times New Roman"/>
          <w:color w:val="000000"/>
          <w:sz w:val="20"/>
          <w:szCs w:val="20"/>
        </w:rPr>
        <w:t xml:space="preserve"> by the weighted average number of shares outstanding during the period. </w:t>
      </w:r>
    </w:p>
    <w:p w14:paraId="3ECEC618" w14:textId="77777777" w:rsidR="00000000" w:rsidRDefault="0068293C">
      <w:pPr>
        <w:jc w:val="both"/>
        <w:rPr>
          <w:rFonts w:eastAsia="Times New Roman"/>
        </w:rPr>
      </w:pPr>
    </w:p>
    <w:p w14:paraId="1D926116" w14:textId="77777777" w:rsidR="00000000" w:rsidRDefault="0068293C">
      <w:pPr>
        <w:jc w:val="both"/>
        <w:rPr>
          <w:rFonts w:eastAsia="Times New Roman"/>
        </w:rPr>
      </w:pPr>
      <w:r>
        <w:rPr>
          <w:rFonts w:eastAsia="Times New Roman"/>
          <w:color w:val="000000"/>
          <w:sz w:val="20"/>
          <w:szCs w:val="20"/>
        </w:rPr>
        <w:t>In computing diluted EPS, we evaluate and reflect the maximum potential dilution, for each issue or series of issues of potential common shares in sequence from the most dilutive t</w:t>
      </w:r>
      <w:r>
        <w:rPr>
          <w:rFonts w:eastAsia="Times New Roman"/>
          <w:color w:val="000000"/>
          <w:sz w:val="20"/>
          <w:szCs w:val="20"/>
        </w:rPr>
        <w:t>o the least dilutive. We adjust the numerator used in the basic EPS computation, subject to anti-dilution requirements, to add back the dividends (declared or cumulative undeclared) applicable to the Series A Convertible Preferred Stock. Such add-back woul</w:t>
      </w:r>
      <w:r>
        <w:rPr>
          <w:rFonts w:eastAsia="Times New Roman"/>
          <w:color w:val="000000"/>
          <w:sz w:val="20"/>
          <w:szCs w:val="20"/>
        </w:rPr>
        <w:t>d also include any adjustments to equity in the period to accrete the Series A Convertible Preferred Stock to its redemption price, or recorded upon a redemption or induced conversion. We adjust the denominator used in the basic EPS computation, subject to</w:t>
      </w:r>
      <w:r>
        <w:rPr>
          <w:rFonts w:eastAsia="Times New Roman"/>
          <w:color w:val="000000"/>
          <w:sz w:val="20"/>
          <w:szCs w:val="20"/>
        </w:rPr>
        <w:t xml:space="preserve"> anti-dilution requirements, to include the dilution from potential shares resulting from the issuance of the Series A Convertible Preferred Stock, restricted stock units, and stock options. </w:t>
      </w:r>
    </w:p>
    <w:p w14:paraId="13A33EB8" w14:textId="77777777" w:rsidR="00000000" w:rsidRDefault="0068293C">
      <w:pPr>
        <w:jc w:val="both"/>
        <w:rPr>
          <w:rFonts w:eastAsia="Times New Roman"/>
        </w:rPr>
      </w:pPr>
    </w:p>
    <w:p w14:paraId="78A9D562" w14:textId="77777777" w:rsidR="00000000" w:rsidRDefault="0068293C">
      <w:pPr>
        <w:jc w:val="both"/>
        <w:rPr>
          <w:rFonts w:eastAsia="Times New Roman"/>
        </w:rPr>
      </w:pPr>
      <w:r>
        <w:rPr>
          <w:rFonts w:eastAsia="Times New Roman"/>
          <w:color w:val="000000"/>
          <w:sz w:val="20"/>
          <w:szCs w:val="20"/>
        </w:rPr>
        <w:t xml:space="preserve">The holders of Series A Convertible Preferred Stock, unvested </w:t>
      </w:r>
      <w:r>
        <w:rPr>
          <w:rFonts w:eastAsia="Times New Roman"/>
          <w:color w:val="000000"/>
          <w:sz w:val="20"/>
          <w:szCs w:val="20"/>
        </w:rPr>
        <w:t>restricted stock units and stock options do not have nonforfeitable rights to common stock dividends or common stock dividend equivalents. Accordingly, the Series A Convertible Preferred Stock, unvested restricted stock units and stock options do not quali</w:t>
      </w:r>
      <w:r>
        <w:rPr>
          <w:rFonts w:eastAsia="Times New Roman"/>
          <w:color w:val="000000"/>
          <w:sz w:val="20"/>
          <w:szCs w:val="20"/>
        </w:rPr>
        <w:t>fy as participating securities. See Note 8, “Stock Compensation Plans”, for share information on NCR’s stock compensation plans.</w:t>
      </w:r>
    </w:p>
    <w:p w14:paraId="266C07D0" w14:textId="77777777" w:rsidR="00000000" w:rsidRDefault="0068293C">
      <w:pPr>
        <w:jc w:val="both"/>
        <w:rPr>
          <w:rFonts w:eastAsia="Times New Roman"/>
        </w:rPr>
      </w:pPr>
    </w:p>
    <w:p w14:paraId="1974901B" w14:textId="77777777" w:rsidR="00000000" w:rsidRDefault="0068293C">
      <w:pPr>
        <w:jc w:val="both"/>
        <w:rPr>
          <w:rFonts w:eastAsia="Times New Roman"/>
        </w:rPr>
      </w:pPr>
      <w:r>
        <w:rPr>
          <w:rFonts w:eastAsia="Times New Roman"/>
          <w:color w:val="000000"/>
          <w:sz w:val="20"/>
          <w:szCs w:val="20"/>
        </w:rPr>
        <w:t>The components of basic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5494"/>
        <w:gridCol w:w="41"/>
        <w:gridCol w:w="36"/>
        <w:gridCol w:w="36"/>
        <w:gridCol w:w="36"/>
        <w:gridCol w:w="120"/>
        <w:gridCol w:w="1113"/>
        <w:gridCol w:w="36"/>
        <w:gridCol w:w="36"/>
        <w:gridCol w:w="36"/>
        <w:gridCol w:w="36"/>
        <w:gridCol w:w="120"/>
        <w:gridCol w:w="1088"/>
        <w:gridCol w:w="36"/>
      </w:tblGrid>
      <w:tr w:rsidR="00000000" w14:paraId="5B8C4B14" w14:textId="77777777">
        <w:trPr>
          <w:divId w:val="625476061"/>
        </w:trPr>
        <w:tc>
          <w:tcPr>
            <w:tcW w:w="50" w:type="pct"/>
            <w:vAlign w:val="center"/>
            <w:hideMark/>
          </w:tcPr>
          <w:p w14:paraId="27C9119C" w14:textId="77777777" w:rsidR="00000000" w:rsidRDefault="0068293C">
            <w:pPr>
              <w:jc w:val="both"/>
              <w:rPr>
                <w:rFonts w:eastAsia="Times New Roman"/>
              </w:rPr>
            </w:pPr>
          </w:p>
        </w:tc>
        <w:tc>
          <w:tcPr>
            <w:tcW w:w="3336" w:type="pct"/>
            <w:vAlign w:val="center"/>
            <w:hideMark/>
          </w:tcPr>
          <w:p w14:paraId="67B5512E" w14:textId="77777777" w:rsidR="00000000" w:rsidRDefault="0068293C">
            <w:pPr>
              <w:spacing w:after="100"/>
              <w:rPr>
                <w:rFonts w:eastAsia="Times New Roman"/>
                <w:sz w:val="20"/>
                <w:szCs w:val="20"/>
              </w:rPr>
            </w:pPr>
          </w:p>
        </w:tc>
        <w:tc>
          <w:tcPr>
            <w:tcW w:w="5" w:type="pct"/>
            <w:vAlign w:val="center"/>
            <w:hideMark/>
          </w:tcPr>
          <w:p w14:paraId="31F844CD" w14:textId="77777777" w:rsidR="00000000" w:rsidRDefault="0068293C">
            <w:pPr>
              <w:spacing w:after="100"/>
              <w:rPr>
                <w:rFonts w:eastAsia="Times New Roman"/>
                <w:sz w:val="20"/>
                <w:szCs w:val="20"/>
              </w:rPr>
            </w:pPr>
          </w:p>
        </w:tc>
        <w:tc>
          <w:tcPr>
            <w:tcW w:w="5" w:type="pct"/>
            <w:vAlign w:val="center"/>
            <w:hideMark/>
          </w:tcPr>
          <w:p w14:paraId="1C744650" w14:textId="77777777" w:rsidR="00000000" w:rsidRDefault="0068293C">
            <w:pPr>
              <w:spacing w:after="100"/>
              <w:rPr>
                <w:rFonts w:eastAsia="Times New Roman"/>
                <w:sz w:val="20"/>
                <w:szCs w:val="20"/>
              </w:rPr>
            </w:pPr>
          </w:p>
        </w:tc>
        <w:tc>
          <w:tcPr>
            <w:tcW w:w="41" w:type="pct"/>
            <w:vAlign w:val="center"/>
            <w:hideMark/>
          </w:tcPr>
          <w:p w14:paraId="33BA3CBC" w14:textId="77777777" w:rsidR="00000000" w:rsidRDefault="0068293C">
            <w:pPr>
              <w:spacing w:after="100"/>
              <w:rPr>
                <w:rFonts w:eastAsia="Times New Roman"/>
                <w:sz w:val="20"/>
                <w:szCs w:val="20"/>
              </w:rPr>
            </w:pPr>
          </w:p>
        </w:tc>
        <w:tc>
          <w:tcPr>
            <w:tcW w:w="5" w:type="pct"/>
            <w:vAlign w:val="center"/>
            <w:hideMark/>
          </w:tcPr>
          <w:p w14:paraId="0AB8D1B1" w14:textId="77777777" w:rsidR="00000000" w:rsidRDefault="0068293C">
            <w:pPr>
              <w:spacing w:after="100"/>
              <w:rPr>
                <w:rFonts w:eastAsia="Times New Roman"/>
                <w:sz w:val="20"/>
                <w:szCs w:val="20"/>
              </w:rPr>
            </w:pPr>
          </w:p>
        </w:tc>
        <w:tc>
          <w:tcPr>
            <w:tcW w:w="50" w:type="pct"/>
            <w:vAlign w:val="center"/>
            <w:hideMark/>
          </w:tcPr>
          <w:p w14:paraId="6F511B29" w14:textId="77777777" w:rsidR="00000000" w:rsidRDefault="0068293C">
            <w:pPr>
              <w:spacing w:after="100"/>
              <w:rPr>
                <w:rFonts w:eastAsia="Times New Roman"/>
                <w:sz w:val="20"/>
                <w:szCs w:val="20"/>
              </w:rPr>
            </w:pPr>
          </w:p>
        </w:tc>
        <w:tc>
          <w:tcPr>
            <w:tcW w:w="705" w:type="pct"/>
            <w:vAlign w:val="center"/>
            <w:hideMark/>
          </w:tcPr>
          <w:p w14:paraId="158BE603" w14:textId="77777777" w:rsidR="00000000" w:rsidRDefault="0068293C">
            <w:pPr>
              <w:spacing w:after="100"/>
              <w:rPr>
                <w:rFonts w:eastAsia="Times New Roman"/>
                <w:sz w:val="20"/>
                <w:szCs w:val="20"/>
              </w:rPr>
            </w:pPr>
          </w:p>
        </w:tc>
        <w:tc>
          <w:tcPr>
            <w:tcW w:w="5" w:type="pct"/>
            <w:vAlign w:val="center"/>
            <w:hideMark/>
          </w:tcPr>
          <w:p w14:paraId="3303CD25" w14:textId="77777777" w:rsidR="00000000" w:rsidRDefault="0068293C">
            <w:pPr>
              <w:spacing w:after="100"/>
              <w:rPr>
                <w:rFonts w:eastAsia="Times New Roman"/>
                <w:sz w:val="20"/>
                <w:szCs w:val="20"/>
              </w:rPr>
            </w:pPr>
          </w:p>
        </w:tc>
        <w:tc>
          <w:tcPr>
            <w:tcW w:w="5" w:type="pct"/>
            <w:vAlign w:val="center"/>
            <w:hideMark/>
          </w:tcPr>
          <w:p w14:paraId="33E1C5EE" w14:textId="77777777" w:rsidR="00000000" w:rsidRDefault="0068293C">
            <w:pPr>
              <w:spacing w:after="100"/>
              <w:rPr>
                <w:rFonts w:eastAsia="Times New Roman"/>
                <w:sz w:val="20"/>
                <w:szCs w:val="20"/>
              </w:rPr>
            </w:pPr>
          </w:p>
        </w:tc>
        <w:tc>
          <w:tcPr>
            <w:tcW w:w="26" w:type="pct"/>
            <w:vAlign w:val="center"/>
            <w:hideMark/>
          </w:tcPr>
          <w:p w14:paraId="77730BDB" w14:textId="77777777" w:rsidR="00000000" w:rsidRDefault="0068293C">
            <w:pPr>
              <w:spacing w:after="100"/>
              <w:rPr>
                <w:rFonts w:eastAsia="Times New Roman"/>
                <w:sz w:val="20"/>
                <w:szCs w:val="20"/>
              </w:rPr>
            </w:pPr>
          </w:p>
        </w:tc>
        <w:tc>
          <w:tcPr>
            <w:tcW w:w="5" w:type="pct"/>
            <w:vAlign w:val="center"/>
            <w:hideMark/>
          </w:tcPr>
          <w:p w14:paraId="139ACCF1" w14:textId="77777777" w:rsidR="00000000" w:rsidRDefault="0068293C">
            <w:pPr>
              <w:spacing w:after="100"/>
              <w:rPr>
                <w:rFonts w:eastAsia="Times New Roman"/>
                <w:sz w:val="20"/>
                <w:szCs w:val="20"/>
              </w:rPr>
            </w:pPr>
          </w:p>
        </w:tc>
        <w:tc>
          <w:tcPr>
            <w:tcW w:w="50" w:type="pct"/>
            <w:vAlign w:val="center"/>
            <w:hideMark/>
          </w:tcPr>
          <w:p w14:paraId="34B5011C" w14:textId="77777777" w:rsidR="00000000" w:rsidRDefault="0068293C">
            <w:pPr>
              <w:spacing w:after="100"/>
              <w:rPr>
                <w:rFonts w:eastAsia="Times New Roman"/>
                <w:sz w:val="20"/>
                <w:szCs w:val="20"/>
              </w:rPr>
            </w:pPr>
          </w:p>
        </w:tc>
        <w:tc>
          <w:tcPr>
            <w:tcW w:w="705" w:type="pct"/>
            <w:vAlign w:val="center"/>
            <w:hideMark/>
          </w:tcPr>
          <w:p w14:paraId="1EF8548F" w14:textId="77777777" w:rsidR="00000000" w:rsidRDefault="0068293C">
            <w:pPr>
              <w:spacing w:after="100"/>
              <w:rPr>
                <w:rFonts w:eastAsia="Times New Roman"/>
                <w:sz w:val="20"/>
                <w:szCs w:val="20"/>
              </w:rPr>
            </w:pPr>
          </w:p>
        </w:tc>
        <w:tc>
          <w:tcPr>
            <w:tcW w:w="5" w:type="pct"/>
            <w:vAlign w:val="center"/>
            <w:hideMark/>
          </w:tcPr>
          <w:p w14:paraId="37D0AD12" w14:textId="77777777" w:rsidR="00000000" w:rsidRDefault="0068293C">
            <w:pPr>
              <w:spacing w:after="100"/>
              <w:rPr>
                <w:rFonts w:eastAsia="Times New Roman"/>
                <w:sz w:val="20"/>
                <w:szCs w:val="20"/>
              </w:rPr>
            </w:pPr>
          </w:p>
        </w:tc>
      </w:tr>
      <w:tr w:rsidR="00000000" w14:paraId="38D5CF5F" w14:textId="77777777">
        <w:trPr>
          <w:divId w:val="625476061"/>
          <w:trHeight w:val="340"/>
        </w:trPr>
        <w:tc>
          <w:tcPr>
            <w:tcW w:w="0" w:type="auto"/>
            <w:gridSpan w:val="3"/>
            <w:vMerge w:val="restart"/>
            <w:tcMar>
              <w:top w:w="30" w:type="dxa"/>
              <w:left w:w="20" w:type="dxa"/>
              <w:bottom w:w="30" w:type="dxa"/>
              <w:right w:w="20" w:type="dxa"/>
            </w:tcMar>
            <w:vAlign w:val="bottom"/>
            <w:hideMark/>
          </w:tcPr>
          <w:p w14:paraId="3029194E" w14:textId="77777777" w:rsidR="00000000" w:rsidRDefault="0068293C">
            <w:pPr>
              <w:spacing w:after="100"/>
              <w:rPr>
                <w:rFonts w:eastAsia="Times New Roman"/>
              </w:rPr>
            </w:pPr>
            <w:r>
              <w:rPr>
                <w:rFonts w:eastAsia="Times New Roman"/>
                <w:b/>
                <w:bCs/>
                <w:color w:val="000000"/>
                <w:sz w:val="16"/>
                <w:szCs w:val="16"/>
              </w:rPr>
              <w:t>In millions, except per share amounts</w:t>
            </w:r>
          </w:p>
        </w:tc>
        <w:tc>
          <w:tcPr>
            <w:tcW w:w="0" w:type="auto"/>
            <w:gridSpan w:val="3"/>
            <w:tcMar>
              <w:top w:w="0" w:type="dxa"/>
              <w:left w:w="20" w:type="dxa"/>
              <w:bottom w:w="0" w:type="dxa"/>
              <w:right w:w="20" w:type="dxa"/>
            </w:tcMar>
            <w:vAlign w:val="center"/>
            <w:hideMark/>
          </w:tcPr>
          <w:p w14:paraId="33BC936A" w14:textId="77777777" w:rsidR="00000000" w:rsidRDefault="0068293C">
            <w:pPr>
              <w:spacing w:after="100"/>
              <w:rPr>
                <w:rFonts w:eastAsia="Times New Roman"/>
              </w:rPr>
            </w:pPr>
          </w:p>
        </w:tc>
        <w:tc>
          <w:tcPr>
            <w:tcW w:w="0" w:type="auto"/>
            <w:gridSpan w:val="9"/>
            <w:tcMar>
              <w:top w:w="30" w:type="dxa"/>
              <w:left w:w="20" w:type="dxa"/>
              <w:bottom w:w="30" w:type="dxa"/>
              <w:right w:w="20" w:type="dxa"/>
            </w:tcMar>
            <w:vAlign w:val="bottom"/>
            <w:hideMark/>
          </w:tcPr>
          <w:p w14:paraId="64700752"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7D43499C" w14:textId="77777777">
        <w:trPr>
          <w:divId w:val="625476061"/>
          <w:trHeight w:val="340"/>
        </w:trPr>
        <w:tc>
          <w:tcPr>
            <w:tcW w:w="0" w:type="auto"/>
            <w:gridSpan w:val="3"/>
            <w:vMerge/>
            <w:vAlign w:val="center"/>
            <w:hideMark/>
          </w:tcPr>
          <w:p w14:paraId="7D814FA4"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64D94880"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BF558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400B23"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F7E619"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719279FC" w14:textId="77777777">
        <w:trPr>
          <w:divId w:val="625476061"/>
        </w:trPr>
        <w:tc>
          <w:tcPr>
            <w:tcW w:w="0" w:type="auto"/>
            <w:gridSpan w:val="3"/>
            <w:shd w:val="clear" w:color="auto" w:fill="CCEEFF"/>
            <w:tcMar>
              <w:top w:w="30" w:type="dxa"/>
              <w:left w:w="20" w:type="dxa"/>
              <w:bottom w:w="30" w:type="dxa"/>
              <w:right w:w="20" w:type="dxa"/>
            </w:tcMar>
            <w:hideMark/>
          </w:tcPr>
          <w:p w14:paraId="196BE1AE" w14:textId="77777777" w:rsidR="00000000" w:rsidRDefault="0068293C">
            <w:pPr>
              <w:spacing w:after="100"/>
              <w:rPr>
                <w:rFonts w:eastAsia="Times New Roman"/>
              </w:rPr>
            </w:pPr>
            <w:r>
              <w:rPr>
                <w:rFonts w:eastAsia="Times New Roman"/>
                <w:b/>
                <w:bCs/>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14:paraId="5ABD9B5D" w14:textId="77777777" w:rsidR="00000000" w:rsidRDefault="0068293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FE1FBE"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49783"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054E1E" w14:textId="77777777" w:rsidR="00000000" w:rsidRDefault="0068293C">
            <w:pPr>
              <w:spacing w:after="100"/>
              <w:rPr>
                <w:rFonts w:eastAsia="Times New Roman"/>
                <w:sz w:val="20"/>
                <w:szCs w:val="20"/>
              </w:rPr>
            </w:pPr>
          </w:p>
        </w:tc>
      </w:tr>
      <w:tr w:rsidR="00000000" w14:paraId="3B6E7EE7" w14:textId="77777777">
        <w:trPr>
          <w:divId w:val="625476061"/>
        </w:trPr>
        <w:tc>
          <w:tcPr>
            <w:tcW w:w="0" w:type="auto"/>
            <w:gridSpan w:val="3"/>
            <w:shd w:val="clear" w:color="auto" w:fill="FFFFFF"/>
            <w:tcMar>
              <w:top w:w="30" w:type="dxa"/>
              <w:left w:w="245" w:type="dxa"/>
              <w:bottom w:w="30" w:type="dxa"/>
              <w:right w:w="20" w:type="dxa"/>
            </w:tcMar>
            <w:vAlign w:val="center"/>
            <w:hideMark/>
          </w:tcPr>
          <w:p w14:paraId="1B5EB561" w14:textId="77777777" w:rsidR="00000000" w:rsidRDefault="0068293C">
            <w:pPr>
              <w:spacing w:after="100"/>
              <w:rPr>
                <w:rFonts w:eastAsia="Times New Roman"/>
              </w:rPr>
            </w:pPr>
            <w:r>
              <w:rPr>
                <w:rFonts w:eastAsia="Times New Roman"/>
                <w:color w:val="000000"/>
                <w:sz w:val="20"/>
                <w:szCs w:val="20"/>
              </w:rPr>
              <w:t>Income (loss) from continuing operations</w:t>
            </w:r>
          </w:p>
        </w:tc>
        <w:tc>
          <w:tcPr>
            <w:tcW w:w="0" w:type="auto"/>
            <w:gridSpan w:val="3"/>
            <w:shd w:val="clear" w:color="auto" w:fill="FFFFFF"/>
            <w:tcMar>
              <w:top w:w="0" w:type="dxa"/>
              <w:left w:w="20" w:type="dxa"/>
              <w:bottom w:w="0" w:type="dxa"/>
              <w:right w:w="20" w:type="dxa"/>
            </w:tcMar>
            <w:vAlign w:val="center"/>
            <w:hideMark/>
          </w:tcPr>
          <w:p w14:paraId="1B611565"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67E7E48"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DBF9201" w14:textId="77777777" w:rsidR="00000000" w:rsidRDefault="0068293C">
            <w:pPr>
              <w:spacing w:after="100"/>
              <w:jc w:val="right"/>
              <w:rPr>
                <w:rFonts w:eastAsia="Times New Roman"/>
              </w:rPr>
            </w:pPr>
            <w:r>
              <w:rPr>
                <w:rFonts w:eastAsia="Times New Roman"/>
                <w:b/>
                <w:bCs/>
                <w:color w:val="000000"/>
                <w:sz w:val="20"/>
                <w:szCs w:val="20"/>
              </w:rPr>
              <w:t>(33)</w:t>
            </w:r>
          </w:p>
        </w:tc>
        <w:tc>
          <w:tcPr>
            <w:tcW w:w="0" w:type="auto"/>
            <w:shd w:val="clear" w:color="auto" w:fill="FFFFFF"/>
            <w:tcMar>
              <w:top w:w="30" w:type="dxa"/>
              <w:left w:w="0" w:type="dxa"/>
              <w:bottom w:w="30" w:type="dxa"/>
              <w:right w:w="20" w:type="dxa"/>
            </w:tcMar>
            <w:vAlign w:val="bottom"/>
            <w:hideMark/>
          </w:tcPr>
          <w:p w14:paraId="6951285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4CAA5"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5F1B9F"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B36A05" w14:textId="77777777" w:rsidR="00000000" w:rsidRDefault="0068293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62F711B0" w14:textId="77777777" w:rsidR="00000000" w:rsidRDefault="0068293C">
            <w:pPr>
              <w:spacing w:after="100"/>
              <w:jc w:val="right"/>
              <w:rPr>
                <w:rFonts w:eastAsia="Times New Roman"/>
              </w:rPr>
            </w:pPr>
          </w:p>
        </w:tc>
      </w:tr>
      <w:tr w:rsidR="00000000" w14:paraId="7185AAC1" w14:textId="77777777">
        <w:trPr>
          <w:divId w:val="625476061"/>
        </w:trPr>
        <w:tc>
          <w:tcPr>
            <w:tcW w:w="0" w:type="auto"/>
            <w:gridSpan w:val="3"/>
            <w:shd w:val="clear" w:color="auto" w:fill="CCEEFF"/>
            <w:tcMar>
              <w:top w:w="30" w:type="dxa"/>
              <w:left w:w="245" w:type="dxa"/>
              <w:bottom w:w="30" w:type="dxa"/>
              <w:right w:w="20" w:type="dxa"/>
            </w:tcMar>
            <w:vAlign w:val="center"/>
            <w:hideMark/>
          </w:tcPr>
          <w:p w14:paraId="19074853" w14:textId="77777777" w:rsidR="00000000" w:rsidRDefault="0068293C">
            <w:pPr>
              <w:spacing w:after="100"/>
              <w:rPr>
                <w:rFonts w:eastAsia="Times New Roman"/>
              </w:rPr>
            </w:pPr>
            <w:r>
              <w:rPr>
                <w:rFonts w:eastAsia="Times New Roman"/>
                <w:color w:val="000000"/>
                <w:sz w:val="20"/>
                <w:szCs w:val="20"/>
              </w:rPr>
              <w:t>Dividends on Series A Convertible Preferred Stock</w:t>
            </w:r>
          </w:p>
        </w:tc>
        <w:tc>
          <w:tcPr>
            <w:tcW w:w="0" w:type="auto"/>
            <w:gridSpan w:val="3"/>
            <w:shd w:val="clear" w:color="auto" w:fill="CCEEFF"/>
            <w:tcMar>
              <w:top w:w="0" w:type="dxa"/>
              <w:left w:w="20" w:type="dxa"/>
              <w:bottom w:w="0" w:type="dxa"/>
              <w:right w:w="20" w:type="dxa"/>
            </w:tcMar>
            <w:vAlign w:val="center"/>
            <w:hideMark/>
          </w:tcPr>
          <w:p w14:paraId="476E5AEA"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A296C6" w14:textId="77777777" w:rsidR="00000000" w:rsidRDefault="0068293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4B7F2CF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D672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9C5348" w14:textId="77777777" w:rsidR="00000000" w:rsidRDefault="0068293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6633EFDC" w14:textId="77777777" w:rsidR="00000000" w:rsidRDefault="0068293C">
            <w:pPr>
              <w:spacing w:after="100"/>
              <w:jc w:val="right"/>
              <w:rPr>
                <w:rFonts w:eastAsia="Times New Roman"/>
              </w:rPr>
            </w:pPr>
          </w:p>
        </w:tc>
      </w:tr>
      <w:tr w:rsidR="00000000" w14:paraId="58CE2A41" w14:textId="77777777">
        <w:trPr>
          <w:divId w:val="625476061"/>
        </w:trPr>
        <w:tc>
          <w:tcPr>
            <w:tcW w:w="0" w:type="auto"/>
            <w:gridSpan w:val="3"/>
            <w:vAlign w:val="center"/>
            <w:hideMark/>
          </w:tcPr>
          <w:p w14:paraId="2FF4942B" w14:textId="77777777" w:rsidR="00000000" w:rsidRDefault="0068293C">
            <w:pPr>
              <w:spacing w:after="100"/>
              <w:jc w:val="right"/>
              <w:rPr>
                <w:rFonts w:eastAsia="Times New Roman"/>
                <w:sz w:val="20"/>
                <w:szCs w:val="20"/>
              </w:rPr>
            </w:pPr>
          </w:p>
        </w:tc>
        <w:tc>
          <w:tcPr>
            <w:tcW w:w="0" w:type="auto"/>
            <w:gridSpan w:val="3"/>
            <w:vAlign w:val="center"/>
            <w:hideMark/>
          </w:tcPr>
          <w:p w14:paraId="54E4F862" w14:textId="77777777" w:rsidR="00000000" w:rsidRDefault="0068293C">
            <w:pPr>
              <w:spacing w:after="100"/>
              <w:rPr>
                <w:rFonts w:eastAsia="Times New Roman"/>
                <w:sz w:val="20"/>
                <w:szCs w:val="20"/>
              </w:rPr>
            </w:pPr>
          </w:p>
        </w:tc>
        <w:tc>
          <w:tcPr>
            <w:tcW w:w="0" w:type="auto"/>
            <w:gridSpan w:val="3"/>
            <w:vAlign w:val="center"/>
            <w:hideMark/>
          </w:tcPr>
          <w:p w14:paraId="6F199B5E" w14:textId="77777777" w:rsidR="00000000" w:rsidRDefault="0068293C">
            <w:pPr>
              <w:spacing w:after="100"/>
              <w:rPr>
                <w:rFonts w:eastAsia="Times New Roman"/>
                <w:sz w:val="20"/>
                <w:szCs w:val="20"/>
              </w:rPr>
            </w:pPr>
          </w:p>
        </w:tc>
        <w:tc>
          <w:tcPr>
            <w:tcW w:w="0" w:type="auto"/>
            <w:gridSpan w:val="3"/>
            <w:vAlign w:val="center"/>
            <w:hideMark/>
          </w:tcPr>
          <w:p w14:paraId="446A6833" w14:textId="77777777" w:rsidR="00000000" w:rsidRDefault="0068293C">
            <w:pPr>
              <w:spacing w:after="100"/>
              <w:rPr>
                <w:rFonts w:eastAsia="Times New Roman"/>
                <w:sz w:val="20"/>
                <w:szCs w:val="20"/>
              </w:rPr>
            </w:pPr>
          </w:p>
        </w:tc>
        <w:tc>
          <w:tcPr>
            <w:tcW w:w="0" w:type="auto"/>
            <w:gridSpan w:val="3"/>
            <w:vAlign w:val="center"/>
            <w:hideMark/>
          </w:tcPr>
          <w:p w14:paraId="412C3A87" w14:textId="77777777" w:rsidR="00000000" w:rsidRDefault="0068293C">
            <w:pPr>
              <w:spacing w:after="100"/>
              <w:rPr>
                <w:rFonts w:eastAsia="Times New Roman"/>
                <w:sz w:val="20"/>
                <w:szCs w:val="20"/>
              </w:rPr>
            </w:pPr>
          </w:p>
        </w:tc>
      </w:tr>
      <w:tr w:rsidR="00000000" w14:paraId="7432D345" w14:textId="77777777">
        <w:trPr>
          <w:divId w:val="625476061"/>
        </w:trPr>
        <w:tc>
          <w:tcPr>
            <w:tcW w:w="0" w:type="auto"/>
            <w:gridSpan w:val="3"/>
            <w:shd w:val="clear" w:color="auto" w:fill="FFFFFF"/>
            <w:tcMar>
              <w:top w:w="30" w:type="dxa"/>
              <w:left w:w="20" w:type="dxa"/>
              <w:bottom w:w="30" w:type="dxa"/>
              <w:right w:w="20" w:type="dxa"/>
            </w:tcMar>
            <w:vAlign w:val="center"/>
            <w:hideMark/>
          </w:tcPr>
          <w:p w14:paraId="7837D7F3" w14:textId="77777777" w:rsidR="00000000" w:rsidRDefault="0068293C">
            <w:pPr>
              <w:spacing w:after="100"/>
              <w:rPr>
                <w:rFonts w:eastAsia="Times New Roman"/>
              </w:rPr>
            </w:pPr>
            <w:r>
              <w:rPr>
                <w:rFonts w:eastAsia="Times New Roman"/>
                <w:b/>
                <w:bCs/>
                <w:color w:val="000000"/>
                <w:sz w:val="20"/>
                <w:szCs w:val="20"/>
              </w:rPr>
              <w:t>Income (loss) from continuing operations attributable to NCR common stockholders</w:t>
            </w:r>
          </w:p>
        </w:tc>
        <w:tc>
          <w:tcPr>
            <w:tcW w:w="0" w:type="auto"/>
            <w:gridSpan w:val="3"/>
            <w:shd w:val="clear" w:color="auto" w:fill="FFFFFF"/>
            <w:tcMar>
              <w:top w:w="0" w:type="dxa"/>
              <w:left w:w="20" w:type="dxa"/>
              <w:bottom w:w="0" w:type="dxa"/>
              <w:right w:w="20" w:type="dxa"/>
            </w:tcMar>
            <w:vAlign w:val="center"/>
            <w:hideMark/>
          </w:tcPr>
          <w:p w14:paraId="11648B67" w14:textId="77777777" w:rsidR="00000000" w:rsidRDefault="0068293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44A74A" w14:textId="77777777" w:rsidR="00000000" w:rsidRDefault="0068293C">
            <w:pPr>
              <w:spacing w:after="100"/>
              <w:jc w:val="right"/>
              <w:rPr>
                <w:rFonts w:eastAsia="Times New Roman"/>
              </w:rPr>
            </w:pPr>
            <w:r>
              <w:rPr>
                <w:rFonts w:eastAsia="Times New Roman"/>
                <w:b/>
                <w:bCs/>
                <w:color w:val="000000"/>
                <w:sz w:val="20"/>
                <w:szCs w:val="20"/>
              </w:rPr>
              <w:t>(37)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D2968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682CD"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34DBAC" w14:textId="77777777" w:rsidR="00000000" w:rsidRDefault="0068293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DC303A" w14:textId="77777777" w:rsidR="00000000" w:rsidRDefault="0068293C">
            <w:pPr>
              <w:spacing w:after="100"/>
              <w:jc w:val="right"/>
              <w:rPr>
                <w:rFonts w:eastAsia="Times New Roman"/>
              </w:rPr>
            </w:pPr>
          </w:p>
        </w:tc>
      </w:tr>
      <w:tr w:rsidR="00000000" w14:paraId="1AF0EDF0" w14:textId="77777777">
        <w:trPr>
          <w:divId w:val="625476061"/>
        </w:trPr>
        <w:tc>
          <w:tcPr>
            <w:tcW w:w="0" w:type="auto"/>
            <w:gridSpan w:val="3"/>
            <w:shd w:val="clear" w:color="auto" w:fill="CCEEFF"/>
            <w:tcMar>
              <w:top w:w="30" w:type="dxa"/>
              <w:left w:w="245" w:type="dxa"/>
              <w:bottom w:w="30" w:type="dxa"/>
              <w:right w:w="20" w:type="dxa"/>
            </w:tcMar>
            <w:vAlign w:val="center"/>
            <w:hideMark/>
          </w:tcPr>
          <w:p w14:paraId="5CDFF2BA" w14:textId="77777777" w:rsidR="00000000" w:rsidRDefault="0068293C">
            <w:pPr>
              <w:spacing w:after="100"/>
              <w:rPr>
                <w:rFonts w:eastAsia="Times New Roman"/>
              </w:rPr>
            </w:pPr>
            <w:r>
              <w:rPr>
                <w:rFonts w:eastAsia="Times New Roman"/>
                <w:color w:val="000000"/>
                <w:sz w:val="20"/>
                <w:szCs w:val="20"/>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166FC2BB"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8E4EC2"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6670459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B696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779EA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0E982F" w14:textId="77777777" w:rsidR="00000000" w:rsidRDefault="0068293C">
            <w:pPr>
              <w:spacing w:after="100"/>
              <w:jc w:val="right"/>
              <w:rPr>
                <w:rFonts w:eastAsia="Times New Roman"/>
              </w:rPr>
            </w:pPr>
          </w:p>
        </w:tc>
      </w:tr>
      <w:tr w:rsidR="00000000" w14:paraId="362745F7" w14:textId="77777777">
        <w:trPr>
          <w:divId w:val="625476061"/>
        </w:trPr>
        <w:tc>
          <w:tcPr>
            <w:tcW w:w="0" w:type="auto"/>
            <w:gridSpan w:val="3"/>
            <w:shd w:val="clear" w:color="auto" w:fill="FFFFFF"/>
            <w:tcMar>
              <w:top w:w="30" w:type="dxa"/>
              <w:left w:w="20" w:type="dxa"/>
              <w:bottom w:w="30" w:type="dxa"/>
              <w:right w:w="20" w:type="dxa"/>
            </w:tcMar>
            <w:vAlign w:val="center"/>
            <w:hideMark/>
          </w:tcPr>
          <w:p w14:paraId="27E4BFC5" w14:textId="77777777" w:rsidR="00000000" w:rsidRDefault="0068293C">
            <w:pPr>
              <w:spacing w:after="100"/>
              <w:rPr>
                <w:rFonts w:eastAsia="Times New Roman"/>
              </w:rPr>
            </w:pPr>
            <w:r>
              <w:rPr>
                <w:rFonts w:eastAsia="Times New Roman"/>
                <w:b/>
                <w:bCs/>
                <w:color w:val="000000"/>
                <w:sz w:val="20"/>
                <w:szCs w:val="20"/>
              </w:rPr>
              <w:t>Net income (loss) attributable to NCR common stockholders</w:t>
            </w:r>
          </w:p>
        </w:tc>
        <w:tc>
          <w:tcPr>
            <w:tcW w:w="0" w:type="auto"/>
            <w:gridSpan w:val="3"/>
            <w:shd w:val="clear" w:color="auto" w:fill="FFFFFF"/>
            <w:tcMar>
              <w:top w:w="0" w:type="dxa"/>
              <w:left w:w="20" w:type="dxa"/>
              <w:bottom w:w="0" w:type="dxa"/>
              <w:right w:w="20" w:type="dxa"/>
            </w:tcMar>
            <w:vAlign w:val="center"/>
            <w:hideMark/>
          </w:tcPr>
          <w:p w14:paraId="0D9DA928" w14:textId="77777777" w:rsidR="00000000" w:rsidRDefault="0068293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6F2D08"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1F9360" w14:textId="77777777" w:rsidR="00000000" w:rsidRDefault="0068293C">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65B34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C5A4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3F3BD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E6905B" w14:textId="77777777" w:rsidR="00000000" w:rsidRDefault="0068293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3C94DA" w14:textId="77777777" w:rsidR="00000000" w:rsidRDefault="0068293C">
            <w:pPr>
              <w:spacing w:after="100"/>
              <w:jc w:val="right"/>
              <w:rPr>
                <w:rFonts w:eastAsia="Times New Roman"/>
              </w:rPr>
            </w:pPr>
          </w:p>
        </w:tc>
      </w:tr>
      <w:tr w:rsidR="00000000" w14:paraId="485AB3CB" w14:textId="77777777">
        <w:trPr>
          <w:divId w:val="625476061"/>
          <w:trHeight w:val="300"/>
        </w:trPr>
        <w:tc>
          <w:tcPr>
            <w:tcW w:w="0" w:type="auto"/>
            <w:gridSpan w:val="3"/>
            <w:shd w:val="clear" w:color="auto" w:fill="CCEEFF"/>
            <w:tcMar>
              <w:top w:w="0" w:type="dxa"/>
              <w:left w:w="20" w:type="dxa"/>
              <w:bottom w:w="0" w:type="dxa"/>
              <w:right w:w="20" w:type="dxa"/>
            </w:tcMar>
            <w:vAlign w:val="center"/>
            <w:hideMark/>
          </w:tcPr>
          <w:p w14:paraId="1BB3D53F"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08946C"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32D877"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A70FEB"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1A772D" w14:textId="77777777" w:rsidR="00000000" w:rsidRDefault="0068293C">
            <w:pPr>
              <w:spacing w:after="100"/>
              <w:rPr>
                <w:rFonts w:eastAsia="Times New Roman"/>
                <w:sz w:val="20"/>
                <w:szCs w:val="20"/>
              </w:rPr>
            </w:pPr>
          </w:p>
        </w:tc>
      </w:tr>
      <w:tr w:rsidR="00000000" w14:paraId="0D422738" w14:textId="77777777">
        <w:trPr>
          <w:divId w:val="625476061"/>
        </w:trPr>
        <w:tc>
          <w:tcPr>
            <w:tcW w:w="0" w:type="auto"/>
            <w:gridSpan w:val="3"/>
            <w:shd w:val="clear" w:color="auto" w:fill="FFFFFF"/>
            <w:tcMar>
              <w:top w:w="30" w:type="dxa"/>
              <w:left w:w="20" w:type="dxa"/>
              <w:bottom w:w="30" w:type="dxa"/>
              <w:right w:w="20" w:type="dxa"/>
            </w:tcMar>
            <w:vAlign w:val="center"/>
            <w:hideMark/>
          </w:tcPr>
          <w:p w14:paraId="5AB0404C" w14:textId="77777777" w:rsidR="00000000" w:rsidRDefault="0068293C">
            <w:pPr>
              <w:spacing w:after="100"/>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14:paraId="369F7D60"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99695"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32894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C936A5" w14:textId="77777777" w:rsidR="00000000" w:rsidRDefault="0068293C">
            <w:pPr>
              <w:spacing w:after="100"/>
              <w:rPr>
                <w:rFonts w:eastAsia="Times New Roman"/>
                <w:sz w:val="20"/>
                <w:szCs w:val="20"/>
              </w:rPr>
            </w:pPr>
          </w:p>
        </w:tc>
      </w:tr>
      <w:tr w:rsidR="00000000" w14:paraId="40ADF8F4" w14:textId="77777777">
        <w:trPr>
          <w:divId w:val="625476061"/>
        </w:trPr>
        <w:tc>
          <w:tcPr>
            <w:tcW w:w="0" w:type="auto"/>
            <w:gridSpan w:val="3"/>
            <w:shd w:val="clear" w:color="auto" w:fill="CCEEFF"/>
            <w:tcMar>
              <w:top w:w="30" w:type="dxa"/>
              <w:left w:w="245" w:type="dxa"/>
              <w:bottom w:w="30" w:type="dxa"/>
              <w:right w:w="20" w:type="dxa"/>
            </w:tcMar>
            <w:vAlign w:val="center"/>
            <w:hideMark/>
          </w:tcPr>
          <w:p w14:paraId="3DE74990" w14:textId="77777777" w:rsidR="00000000" w:rsidRDefault="0068293C">
            <w:pPr>
              <w:spacing w:after="100"/>
              <w:rPr>
                <w:rFonts w:eastAsia="Times New Roman"/>
              </w:rPr>
            </w:pPr>
            <w:r>
              <w:rPr>
                <w:rFonts w:eastAsia="Times New Roman"/>
                <w:color w:val="000000"/>
                <w:sz w:val="20"/>
                <w:szCs w:val="20"/>
              </w:rPr>
              <w:t>Basic weighted average number of shares outstanding</w:t>
            </w:r>
          </w:p>
        </w:tc>
        <w:tc>
          <w:tcPr>
            <w:tcW w:w="0" w:type="auto"/>
            <w:gridSpan w:val="3"/>
            <w:shd w:val="clear" w:color="auto" w:fill="CCEEFF"/>
            <w:tcMar>
              <w:top w:w="0" w:type="dxa"/>
              <w:left w:w="20" w:type="dxa"/>
              <w:bottom w:w="0" w:type="dxa"/>
              <w:right w:w="20" w:type="dxa"/>
            </w:tcMar>
            <w:vAlign w:val="center"/>
            <w:hideMark/>
          </w:tcPr>
          <w:p w14:paraId="6CFDF852"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2C47EA" w14:textId="77777777" w:rsidR="00000000" w:rsidRDefault="0068293C">
            <w:pPr>
              <w:spacing w:after="100"/>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CFCC0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2F13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CF8E4" w14:textId="77777777" w:rsidR="00000000" w:rsidRDefault="0068293C">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14:paraId="75650CEE" w14:textId="77777777" w:rsidR="00000000" w:rsidRDefault="0068293C">
            <w:pPr>
              <w:spacing w:after="100"/>
              <w:jc w:val="right"/>
              <w:rPr>
                <w:rFonts w:eastAsia="Times New Roman"/>
              </w:rPr>
            </w:pPr>
          </w:p>
        </w:tc>
      </w:tr>
      <w:tr w:rsidR="00000000" w14:paraId="5B5112FC" w14:textId="77777777">
        <w:trPr>
          <w:divId w:val="625476061"/>
          <w:trHeight w:val="300"/>
        </w:trPr>
        <w:tc>
          <w:tcPr>
            <w:tcW w:w="0" w:type="auto"/>
            <w:gridSpan w:val="3"/>
            <w:shd w:val="clear" w:color="auto" w:fill="FFFFFF"/>
            <w:tcMar>
              <w:top w:w="0" w:type="dxa"/>
              <w:left w:w="20" w:type="dxa"/>
              <w:bottom w:w="0" w:type="dxa"/>
              <w:right w:w="20" w:type="dxa"/>
            </w:tcMar>
            <w:vAlign w:val="center"/>
            <w:hideMark/>
          </w:tcPr>
          <w:p w14:paraId="6D347118"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E3985D"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58D7F7"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1F0B4"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BF84A" w14:textId="77777777" w:rsidR="00000000" w:rsidRDefault="0068293C">
            <w:pPr>
              <w:spacing w:after="100"/>
              <w:rPr>
                <w:rFonts w:eastAsia="Times New Roman"/>
                <w:sz w:val="20"/>
                <w:szCs w:val="20"/>
              </w:rPr>
            </w:pPr>
          </w:p>
        </w:tc>
      </w:tr>
      <w:tr w:rsidR="00000000" w14:paraId="2E51715D" w14:textId="77777777">
        <w:trPr>
          <w:divId w:val="625476061"/>
        </w:trPr>
        <w:tc>
          <w:tcPr>
            <w:tcW w:w="0" w:type="auto"/>
            <w:gridSpan w:val="3"/>
            <w:shd w:val="clear" w:color="auto" w:fill="CCEEFF"/>
            <w:tcMar>
              <w:top w:w="30" w:type="dxa"/>
              <w:left w:w="20" w:type="dxa"/>
              <w:bottom w:w="30" w:type="dxa"/>
              <w:right w:w="20" w:type="dxa"/>
            </w:tcMar>
            <w:vAlign w:val="center"/>
            <w:hideMark/>
          </w:tcPr>
          <w:p w14:paraId="50524129" w14:textId="77777777" w:rsidR="00000000" w:rsidRDefault="0068293C">
            <w:pPr>
              <w:spacing w:after="100"/>
              <w:rPr>
                <w:rFonts w:eastAsia="Times New Roman"/>
              </w:rPr>
            </w:pPr>
            <w:r>
              <w:rPr>
                <w:rFonts w:eastAsia="Times New Roman"/>
                <w:b/>
                <w:bCs/>
                <w:color w:val="000000"/>
                <w:sz w:val="20"/>
                <w:szCs w:val="20"/>
              </w:rPr>
              <w:t>Basic earnings per share:</w:t>
            </w:r>
          </w:p>
        </w:tc>
        <w:tc>
          <w:tcPr>
            <w:tcW w:w="0" w:type="auto"/>
            <w:gridSpan w:val="3"/>
            <w:shd w:val="clear" w:color="auto" w:fill="CCEEFF"/>
            <w:tcMar>
              <w:top w:w="0" w:type="dxa"/>
              <w:left w:w="20" w:type="dxa"/>
              <w:bottom w:w="0" w:type="dxa"/>
              <w:right w:w="20" w:type="dxa"/>
            </w:tcMar>
            <w:vAlign w:val="center"/>
            <w:hideMark/>
          </w:tcPr>
          <w:p w14:paraId="7E9AA625"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4DAFF"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B21E5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439255" w14:textId="77777777" w:rsidR="00000000" w:rsidRDefault="0068293C">
            <w:pPr>
              <w:spacing w:after="100"/>
              <w:rPr>
                <w:rFonts w:eastAsia="Times New Roman"/>
                <w:sz w:val="20"/>
                <w:szCs w:val="20"/>
              </w:rPr>
            </w:pPr>
          </w:p>
        </w:tc>
      </w:tr>
      <w:tr w:rsidR="00000000" w14:paraId="4E8F6568" w14:textId="77777777">
        <w:trPr>
          <w:divId w:val="625476061"/>
        </w:trPr>
        <w:tc>
          <w:tcPr>
            <w:tcW w:w="0" w:type="auto"/>
            <w:gridSpan w:val="3"/>
            <w:shd w:val="clear" w:color="auto" w:fill="FFFFFF"/>
            <w:tcMar>
              <w:top w:w="30" w:type="dxa"/>
              <w:left w:w="380" w:type="dxa"/>
              <w:bottom w:w="30" w:type="dxa"/>
              <w:right w:w="20" w:type="dxa"/>
            </w:tcMar>
            <w:vAlign w:val="center"/>
            <w:hideMark/>
          </w:tcPr>
          <w:p w14:paraId="0576D641" w14:textId="77777777" w:rsidR="00000000" w:rsidRDefault="0068293C">
            <w:pPr>
              <w:spacing w:after="100"/>
              <w:rPr>
                <w:rFonts w:eastAsia="Times New Roman"/>
              </w:rPr>
            </w:pPr>
            <w:r>
              <w:rPr>
                <w:rFonts w:eastAsia="Times New Roman"/>
                <w:color w:val="000000"/>
                <w:sz w:val="20"/>
                <w:szCs w:val="20"/>
              </w:rPr>
              <w:t>From continuing operations</w:t>
            </w:r>
          </w:p>
        </w:tc>
        <w:tc>
          <w:tcPr>
            <w:tcW w:w="0" w:type="auto"/>
            <w:gridSpan w:val="3"/>
            <w:shd w:val="clear" w:color="auto" w:fill="FFFFFF"/>
            <w:tcMar>
              <w:top w:w="0" w:type="dxa"/>
              <w:left w:w="20" w:type="dxa"/>
              <w:bottom w:w="0" w:type="dxa"/>
              <w:right w:w="20" w:type="dxa"/>
            </w:tcMar>
            <w:vAlign w:val="center"/>
            <w:hideMark/>
          </w:tcPr>
          <w:p w14:paraId="3B062A72"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6971F0B"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E8EDBB7" w14:textId="77777777" w:rsidR="00000000" w:rsidRDefault="0068293C">
            <w:pPr>
              <w:spacing w:after="100"/>
              <w:jc w:val="right"/>
              <w:rPr>
                <w:rFonts w:eastAsia="Times New Roman"/>
              </w:rPr>
            </w:pPr>
            <w:r>
              <w:rPr>
                <w:rFonts w:eastAsia="Times New Roman"/>
                <w:b/>
                <w:bCs/>
                <w:color w:val="000000"/>
                <w:sz w:val="20"/>
                <w:szCs w:val="20"/>
              </w:rPr>
              <w:t>(0.27)</w:t>
            </w:r>
          </w:p>
        </w:tc>
        <w:tc>
          <w:tcPr>
            <w:tcW w:w="0" w:type="auto"/>
            <w:shd w:val="clear" w:color="auto" w:fill="FFFFFF"/>
            <w:tcMar>
              <w:top w:w="30" w:type="dxa"/>
              <w:left w:w="0" w:type="dxa"/>
              <w:bottom w:w="30" w:type="dxa"/>
              <w:right w:w="20" w:type="dxa"/>
            </w:tcMar>
            <w:vAlign w:val="bottom"/>
            <w:hideMark/>
          </w:tcPr>
          <w:p w14:paraId="698FB28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1B878"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CEA6FD"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E9181D" w14:textId="77777777" w:rsidR="00000000" w:rsidRDefault="0068293C">
            <w:pPr>
              <w:spacing w:after="100"/>
              <w:jc w:val="right"/>
              <w:rPr>
                <w:rFonts w:eastAsia="Times New Roman"/>
              </w:rPr>
            </w:pPr>
            <w:r>
              <w:rPr>
                <w:rFonts w:eastAsia="Times New Roman"/>
                <w:color w:val="000000"/>
                <w:sz w:val="20"/>
                <w:szCs w:val="20"/>
              </w:rPr>
              <w:t>0.20 </w:t>
            </w:r>
          </w:p>
        </w:tc>
        <w:tc>
          <w:tcPr>
            <w:tcW w:w="0" w:type="auto"/>
            <w:shd w:val="clear" w:color="auto" w:fill="FFFFFF"/>
            <w:tcMar>
              <w:top w:w="30" w:type="dxa"/>
              <w:left w:w="0" w:type="dxa"/>
              <w:bottom w:w="30" w:type="dxa"/>
              <w:right w:w="20" w:type="dxa"/>
            </w:tcMar>
            <w:vAlign w:val="bottom"/>
            <w:hideMark/>
          </w:tcPr>
          <w:p w14:paraId="2D4F196E" w14:textId="77777777" w:rsidR="00000000" w:rsidRDefault="0068293C">
            <w:pPr>
              <w:spacing w:after="100"/>
              <w:jc w:val="right"/>
              <w:rPr>
                <w:rFonts w:eastAsia="Times New Roman"/>
              </w:rPr>
            </w:pPr>
          </w:p>
        </w:tc>
      </w:tr>
      <w:tr w:rsidR="00000000" w14:paraId="3AE488D0" w14:textId="77777777">
        <w:trPr>
          <w:divId w:val="625476061"/>
        </w:trPr>
        <w:tc>
          <w:tcPr>
            <w:tcW w:w="0" w:type="auto"/>
            <w:gridSpan w:val="3"/>
            <w:shd w:val="clear" w:color="auto" w:fill="CCEEFF"/>
            <w:tcMar>
              <w:top w:w="30" w:type="dxa"/>
              <w:left w:w="380" w:type="dxa"/>
              <w:bottom w:w="30" w:type="dxa"/>
              <w:right w:w="20" w:type="dxa"/>
            </w:tcMar>
            <w:vAlign w:val="center"/>
            <w:hideMark/>
          </w:tcPr>
          <w:p w14:paraId="6E321574" w14:textId="77777777" w:rsidR="00000000" w:rsidRDefault="0068293C">
            <w:pPr>
              <w:spacing w:after="100"/>
              <w:rPr>
                <w:rFonts w:eastAsia="Times New Roman"/>
              </w:rPr>
            </w:pPr>
            <w:r>
              <w:rPr>
                <w:rFonts w:eastAsia="Times New Roman"/>
                <w:color w:val="000000"/>
                <w:sz w:val="20"/>
                <w:szCs w:val="20"/>
              </w:rPr>
              <w:t>From discontinued operations</w:t>
            </w:r>
          </w:p>
        </w:tc>
        <w:tc>
          <w:tcPr>
            <w:tcW w:w="0" w:type="auto"/>
            <w:gridSpan w:val="3"/>
            <w:shd w:val="clear" w:color="auto" w:fill="CCEEFF"/>
            <w:tcMar>
              <w:top w:w="0" w:type="dxa"/>
              <w:left w:w="20" w:type="dxa"/>
              <w:bottom w:w="0" w:type="dxa"/>
              <w:right w:w="20" w:type="dxa"/>
            </w:tcMar>
            <w:vAlign w:val="center"/>
            <w:hideMark/>
          </w:tcPr>
          <w:p w14:paraId="126DF8B5"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EAEB15" w14:textId="77777777" w:rsidR="00000000" w:rsidRDefault="0068293C">
            <w:pPr>
              <w:spacing w:after="100"/>
              <w:jc w:val="right"/>
              <w:rPr>
                <w:rFonts w:eastAsia="Times New Roman"/>
              </w:rPr>
            </w:pPr>
            <w:r>
              <w:rPr>
                <w:rFonts w:eastAsia="Times New Roman"/>
                <w:b/>
                <w:bCs/>
                <w:color w:val="000000"/>
                <w:sz w:val="20"/>
                <w:szCs w:val="20"/>
              </w:rPr>
              <w:t>(0.01)</w:t>
            </w:r>
          </w:p>
        </w:tc>
        <w:tc>
          <w:tcPr>
            <w:tcW w:w="0" w:type="auto"/>
            <w:shd w:val="clear" w:color="auto" w:fill="CCEEFF"/>
            <w:tcMar>
              <w:top w:w="30" w:type="dxa"/>
              <w:left w:w="0" w:type="dxa"/>
              <w:bottom w:w="30" w:type="dxa"/>
              <w:right w:w="20" w:type="dxa"/>
            </w:tcMar>
            <w:vAlign w:val="bottom"/>
            <w:hideMark/>
          </w:tcPr>
          <w:p w14:paraId="1249485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9F96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924B59"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616821" w14:textId="77777777" w:rsidR="00000000" w:rsidRDefault="0068293C">
            <w:pPr>
              <w:spacing w:after="100"/>
              <w:jc w:val="right"/>
              <w:rPr>
                <w:rFonts w:eastAsia="Times New Roman"/>
              </w:rPr>
            </w:pPr>
          </w:p>
        </w:tc>
      </w:tr>
      <w:tr w:rsidR="00000000" w14:paraId="25B469CC" w14:textId="77777777">
        <w:trPr>
          <w:divId w:val="625476061"/>
        </w:trPr>
        <w:tc>
          <w:tcPr>
            <w:tcW w:w="0" w:type="auto"/>
            <w:gridSpan w:val="3"/>
            <w:shd w:val="clear" w:color="auto" w:fill="FFFFFF"/>
            <w:tcMar>
              <w:top w:w="30" w:type="dxa"/>
              <w:left w:w="380" w:type="dxa"/>
              <w:bottom w:w="30" w:type="dxa"/>
              <w:right w:w="20" w:type="dxa"/>
            </w:tcMar>
            <w:vAlign w:val="center"/>
            <w:hideMark/>
          </w:tcPr>
          <w:p w14:paraId="6C6170B2" w14:textId="77777777" w:rsidR="00000000" w:rsidRDefault="0068293C">
            <w:pPr>
              <w:spacing w:after="100"/>
              <w:rPr>
                <w:rFonts w:eastAsia="Times New Roman"/>
              </w:rPr>
            </w:pPr>
            <w:r>
              <w:rPr>
                <w:rFonts w:eastAsia="Times New Roman"/>
                <w:color w:val="000000"/>
                <w:sz w:val="20"/>
                <w:szCs w:val="20"/>
              </w:rPr>
              <w:t>Total basic earnings per share</w:t>
            </w:r>
          </w:p>
        </w:tc>
        <w:tc>
          <w:tcPr>
            <w:tcW w:w="0" w:type="auto"/>
            <w:gridSpan w:val="3"/>
            <w:shd w:val="clear" w:color="auto" w:fill="FFFFFF"/>
            <w:tcMar>
              <w:top w:w="0" w:type="dxa"/>
              <w:left w:w="20" w:type="dxa"/>
              <w:bottom w:w="0" w:type="dxa"/>
              <w:right w:w="20" w:type="dxa"/>
            </w:tcMar>
            <w:vAlign w:val="center"/>
            <w:hideMark/>
          </w:tcPr>
          <w:p w14:paraId="712D5466" w14:textId="77777777" w:rsidR="00000000" w:rsidRDefault="0068293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0BB115"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955F5A" w14:textId="77777777" w:rsidR="00000000" w:rsidRDefault="0068293C">
            <w:pPr>
              <w:spacing w:after="100"/>
              <w:jc w:val="right"/>
              <w:rPr>
                <w:rFonts w:eastAsia="Times New Roman"/>
              </w:rPr>
            </w:pPr>
            <w:r>
              <w:rPr>
                <w:rFonts w:eastAsia="Times New Roman"/>
                <w:b/>
                <w:bCs/>
                <w:color w:val="000000"/>
                <w:sz w:val="20"/>
                <w:szCs w:val="20"/>
              </w:rPr>
              <w:t>(0.28)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77C8C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D4B69"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22D6EE"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9C55DC" w14:textId="77777777" w:rsidR="00000000" w:rsidRDefault="0068293C">
            <w:pPr>
              <w:spacing w:after="100"/>
              <w:jc w:val="right"/>
              <w:rPr>
                <w:rFonts w:eastAsia="Times New Roman"/>
              </w:rPr>
            </w:pPr>
            <w:r>
              <w:rPr>
                <w:rFonts w:eastAsia="Times New Roman"/>
                <w:color w:val="000000"/>
                <w:sz w:val="20"/>
                <w:szCs w:val="20"/>
              </w:rPr>
              <w:t>0.20 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9693E4" w14:textId="77777777" w:rsidR="00000000" w:rsidRDefault="0068293C">
            <w:pPr>
              <w:spacing w:after="100"/>
              <w:jc w:val="right"/>
              <w:rPr>
                <w:rFonts w:eastAsia="Times New Roman"/>
              </w:rPr>
            </w:pPr>
          </w:p>
        </w:tc>
      </w:tr>
    </w:tbl>
    <w:p w14:paraId="154B8B08" w14:textId="77777777" w:rsidR="00000000" w:rsidRDefault="0068293C">
      <w:pPr>
        <w:jc w:val="center"/>
        <w:divId w:val="2017880499"/>
        <w:rPr>
          <w:rFonts w:eastAsia="Times New Roman"/>
        </w:rPr>
      </w:pPr>
      <w:r>
        <w:rPr>
          <w:rFonts w:eastAsia="Times New Roman"/>
          <w:color w:val="000000"/>
          <w:sz w:val="20"/>
          <w:szCs w:val="20"/>
        </w:rPr>
        <w:t>27</w:t>
      </w:r>
    </w:p>
    <w:p w14:paraId="0E21762B" w14:textId="77777777" w:rsidR="00000000" w:rsidRDefault="0068293C">
      <w:pPr>
        <w:rPr>
          <w:rFonts w:eastAsia="Times New Roman"/>
        </w:rPr>
      </w:pPr>
      <w:r>
        <w:rPr>
          <w:rFonts w:eastAsia="Times New Roman"/>
        </w:rPr>
        <w:pict w14:anchorId="3DFEAD8A">
          <v:rect id="_x0000_i1052" style="width:0;height:1.5pt" o:hralign="center" o:hrstd="t" o:hr="t" fillcolor="#a0a0a0" stroked="f"/>
        </w:pict>
      </w:r>
    </w:p>
    <w:p w14:paraId="34BF154E" w14:textId="77777777" w:rsidR="00000000" w:rsidRDefault="0068293C">
      <w:pPr>
        <w:ind w:firstLine="720"/>
        <w:divId w:val="171604901"/>
        <w:rPr>
          <w:rFonts w:eastAsia="Times New Roman"/>
        </w:rPr>
      </w:pPr>
      <w:hyperlink w:anchor="i78484f3d0d8e4e36a7c87ddd6ea9d725_7" w:history="1">
        <w:r>
          <w:rPr>
            <w:rStyle w:val="a3"/>
            <w:rFonts w:eastAsia="Times New Roman"/>
            <w:sz w:val="16"/>
            <w:szCs w:val="16"/>
          </w:rPr>
          <w:t>Table of Content</w:t>
        </w:r>
      </w:hyperlink>
    </w:p>
    <w:p w14:paraId="21A12854" w14:textId="77777777" w:rsidR="00000000" w:rsidRDefault="0068293C">
      <w:pPr>
        <w:jc w:val="center"/>
        <w:divId w:val="428507048"/>
        <w:rPr>
          <w:rFonts w:eastAsia="Times New Roman"/>
        </w:rPr>
      </w:pPr>
      <w:r>
        <w:rPr>
          <w:rFonts w:eastAsia="Times New Roman"/>
          <w:b/>
          <w:bCs/>
          <w:color w:val="000000"/>
          <w:sz w:val="20"/>
          <w:szCs w:val="20"/>
        </w:rPr>
        <w:t>NCR Corporation</w:t>
      </w:r>
    </w:p>
    <w:p w14:paraId="3E94F3EF" w14:textId="77777777" w:rsidR="00000000" w:rsidRDefault="0068293C">
      <w:pPr>
        <w:jc w:val="center"/>
        <w:divId w:val="428507048"/>
        <w:rPr>
          <w:rFonts w:eastAsia="Times New Roman"/>
        </w:rPr>
      </w:pPr>
      <w:r>
        <w:rPr>
          <w:rFonts w:eastAsia="Times New Roman"/>
          <w:b/>
          <w:bCs/>
          <w:color w:val="000000"/>
          <w:sz w:val="20"/>
          <w:szCs w:val="20"/>
        </w:rPr>
        <w:t>Notes to Condensed Consolidated Financial Statements (Unaudited)—(Continued)</w:t>
      </w:r>
    </w:p>
    <w:p w14:paraId="735EF45C" w14:textId="77777777" w:rsidR="00000000" w:rsidRDefault="0068293C">
      <w:pPr>
        <w:jc w:val="both"/>
        <w:rPr>
          <w:rFonts w:eastAsia="Times New Roman"/>
        </w:rPr>
      </w:pPr>
    </w:p>
    <w:p w14:paraId="1CD153C7" w14:textId="77777777" w:rsidR="00000000" w:rsidRDefault="0068293C">
      <w:pPr>
        <w:jc w:val="both"/>
        <w:rPr>
          <w:rFonts w:eastAsia="Times New Roman"/>
        </w:rPr>
      </w:pPr>
      <w:r>
        <w:rPr>
          <w:rFonts w:eastAsia="Times New Roman"/>
          <w:color w:val="000000"/>
          <w:sz w:val="20"/>
          <w:szCs w:val="20"/>
        </w:rPr>
        <w:t>The components of diluted earnings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09"/>
        <w:gridCol w:w="40"/>
        <w:gridCol w:w="120"/>
        <w:gridCol w:w="1115"/>
        <w:gridCol w:w="36"/>
        <w:gridCol w:w="36"/>
        <w:gridCol w:w="36"/>
        <w:gridCol w:w="36"/>
        <w:gridCol w:w="120"/>
        <w:gridCol w:w="1081"/>
        <w:gridCol w:w="36"/>
      </w:tblGrid>
      <w:tr w:rsidR="00000000" w14:paraId="68D8EB71" w14:textId="77777777">
        <w:trPr>
          <w:divId w:val="1974015112"/>
          <w:jc w:val="center"/>
        </w:trPr>
        <w:tc>
          <w:tcPr>
            <w:tcW w:w="50" w:type="pct"/>
            <w:vAlign w:val="center"/>
            <w:hideMark/>
          </w:tcPr>
          <w:p w14:paraId="2587B191" w14:textId="77777777" w:rsidR="00000000" w:rsidRDefault="0068293C">
            <w:pPr>
              <w:jc w:val="both"/>
              <w:rPr>
                <w:rFonts w:eastAsia="Times New Roman"/>
              </w:rPr>
            </w:pPr>
          </w:p>
        </w:tc>
        <w:tc>
          <w:tcPr>
            <w:tcW w:w="3402" w:type="pct"/>
            <w:vAlign w:val="center"/>
            <w:hideMark/>
          </w:tcPr>
          <w:p w14:paraId="61B3CAF6" w14:textId="77777777" w:rsidR="00000000" w:rsidRDefault="0068293C">
            <w:pPr>
              <w:spacing w:after="100"/>
              <w:rPr>
                <w:rFonts w:eastAsia="Times New Roman"/>
                <w:sz w:val="20"/>
                <w:szCs w:val="20"/>
              </w:rPr>
            </w:pPr>
          </w:p>
        </w:tc>
        <w:tc>
          <w:tcPr>
            <w:tcW w:w="5" w:type="pct"/>
            <w:vAlign w:val="center"/>
            <w:hideMark/>
          </w:tcPr>
          <w:p w14:paraId="497E1D8D" w14:textId="77777777" w:rsidR="00000000" w:rsidRDefault="0068293C">
            <w:pPr>
              <w:spacing w:after="100"/>
              <w:rPr>
                <w:rFonts w:eastAsia="Times New Roman"/>
                <w:sz w:val="20"/>
                <w:szCs w:val="20"/>
              </w:rPr>
            </w:pPr>
          </w:p>
        </w:tc>
        <w:tc>
          <w:tcPr>
            <w:tcW w:w="50" w:type="pct"/>
            <w:vAlign w:val="center"/>
            <w:hideMark/>
          </w:tcPr>
          <w:p w14:paraId="0640906E" w14:textId="77777777" w:rsidR="00000000" w:rsidRDefault="0068293C">
            <w:pPr>
              <w:spacing w:after="100"/>
              <w:rPr>
                <w:rFonts w:eastAsia="Times New Roman"/>
                <w:sz w:val="20"/>
                <w:szCs w:val="20"/>
              </w:rPr>
            </w:pPr>
          </w:p>
        </w:tc>
        <w:tc>
          <w:tcPr>
            <w:tcW w:w="697" w:type="pct"/>
            <w:vAlign w:val="center"/>
            <w:hideMark/>
          </w:tcPr>
          <w:p w14:paraId="75F17625" w14:textId="77777777" w:rsidR="00000000" w:rsidRDefault="0068293C">
            <w:pPr>
              <w:spacing w:after="100"/>
              <w:rPr>
                <w:rFonts w:eastAsia="Times New Roman"/>
                <w:sz w:val="20"/>
                <w:szCs w:val="20"/>
              </w:rPr>
            </w:pPr>
          </w:p>
        </w:tc>
        <w:tc>
          <w:tcPr>
            <w:tcW w:w="5" w:type="pct"/>
            <w:vAlign w:val="center"/>
            <w:hideMark/>
          </w:tcPr>
          <w:p w14:paraId="4B4E4D65" w14:textId="77777777" w:rsidR="00000000" w:rsidRDefault="0068293C">
            <w:pPr>
              <w:spacing w:after="100"/>
              <w:rPr>
                <w:rFonts w:eastAsia="Times New Roman"/>
                <w:sz w:val="20"/>
                <w:szCs w:val="20"/>
              </w:rPr>
            </w:pPr>
          </w:p>
        </w:tc>
        <w:tc>
          <w:tcPr>
            <w:tcW w:w="5" w:type="pct"/>
            <w:vAlign w:val="center"/>
            <w:hideMark/>
          </w:tcPr>
          <w:p w14:paraId="15FC0186" w14:textId="77777777" w:rsidR="00000000" w:rsidRDefault="0068293C">
            <w:pPr>
              <w:spacing w:after="100"/>
              <w:rPr>
                <w:rFonts w:eastAsia="Times New Roman"/>
                <w:sz w:val="20"/>
                <w:szCs w:val="20"/>
              </w:rPr>
            </w:pPr>
          </w:p>
        </w:tc>
        <w:tc>
          <w:tcPr>
            <w:tcW w:w="26" w:type="pct"/>
            <w:vAlign w:val="center"/>
            <w:hideMark/>
          </w:tcPr>
          <w:p w14:paraId="7FD31F62" w14:textId="77777777" w:rsidR="00000000" w:rsidRDefault="0068293C">
            <w:pPr>
              <w:spacing w:after="100"/>
              <w:rPr>
                <w:rFonts w:eastAsia="Times New Roman"/>
                <w:sz w:val="20"/>
                <w:szCs w:val="20"/>
              </w:rPr>
            </w:pPr>
          </w:p>
        </w:tc>
        <w:tc>
          <w:tcPr>
            <w:tcW w:w="5" w:type="pct"/>
            <w:vAlign w:val="center"/>
            <w:hideMark/>
          </w:tcPr>
          <w:p w14:paraId="6167EB29" w14:textId="77777777" w:rsidR="00000000" w:rsidRDefault="0068293C">
            <w:pPr>
              <w:spacing w:after="100"/>
              <w:rPr>
                <w:rFonts w:eastAsia="Times New Roman"/>
                <w:sz w:val="20"/>
                <w:szCs w:val="20"/>
              </w:rPr>
            </w:pPr>
          </w:p>
        </w:tc>
        <w:tc>
          <w:tcPr>
            <w:tcW w:w="50" w:type="pct"/>
            <w:vAlign w:val="center"/>
            <w:hideMark/>
          </w:tcPr>
          <w:p w14:paraId="6AB567C6" w14:textId="77777777" w:rsidR="00000000" w:rsidRDefault="0068293C">
            <w:pPr>
              <w:spacing w:after="100"/>
              <w:rPr>
                <w:rFonts w:eastAsia="Times New Roman"/>
                <w:sz w:val="20"/>
                <w:szCs w:val="20"/>
              </w:rPr>
            </w:pPr>
          </w:p>
        </w:tc>
        <w:tc>
          <w:tcPr>
            <w:tcW w:w="698" w:type="pct"/>
            <w:vAlign w:val="center"/>
            <w:hideMark/>
          </w:tcPr>
          <w:p w14:paraId="4C5AF5A3" w14:textId="77777777" w:rsidR="00000000" w:rsidRDefault="0068293C">
            <w:pPr>
              <w:spacing w:after="100"/>
              <w:rPr>
                <w:rFonts w:eastAsia="Times New Roman"/>
                <w:sz w:val="20"/>
                <w:szCs w:val="20"/>
              </w:rPr>
            </w:pPr>
          </w:p>
        </w:tc>
        <w:tc>
          <w:tcPr>
            <w:tcW w:w="5" w:type="pct"/>
            <w:vAlign w:val="center"/>
            <w:hideMark/>
          </w:tcPr>
          <w:p w14:paraId="588E5ED5" w14:textId="77777777" w:rsidR="00000000" w:rsidRDefault="0068293C">
            <w:pPr>
              <w:spacing w:after="100"/>
              <w:rPr>
                <w:rFonts w:eastAsia="Times New Roman"/>
                <w:sz w:val="20"/>
                <w:szCs w:val="20"/>
              </w:rPr>
            </w:pPr>
          </w:p>
        </w:tc>
      </w:tr>
      <w:tr w:rsidR="00000000" w14:paraId="633A844D" w14:textId="77777777">
        <w:trPr>
          <w:divId w:val="1974015112"/>
          <w:trHeight w:val="420"/>
          <w:jc w:val="center"/>
        </w:trPr>
        <w:tc>
          <w:tcPr>
            <w:tcW w:w="0" w:type="auto"/>
            <w:gridSpan w:val="3"/>
            <w:vMerge w:val="restart"/>
            <w:tcMar>
              <w:top w:w="30" w:type="dxa"/>
              <w:left w:w="20" w:type="dxa"/>
              <w:bottom w:w="30" w:type="dxa"/>
              <w:right w:w="20" w:type="dxa"/>
            </w:tcMar>
            <w:vAlign w:val="bottom"/>
            <w:hideMark/>
          </w:tcPr>
          <w:p w14:paraId="64CD34A0" w14:textId="77777777" w:rsidR="00000000" w:rsidRDefault="0068293C">
            <w:pPr>
              <w:spacing w:after="100"/>
              <w:rPr>
                <w:rFonts w:eastAsia="Times New Roman"/>
              </w:rPr>
            </w:pPr>
            <w:r>
              <w:rPr>
                <w:rFonts w:eastAsia="Times New Roman"/>
                <w:b/>
                <w:bCs/>
                <w:color w:val="000000"/>
                <w:sz w:val="16"/>
                <w:szCs w:val="16"/>
              </w:rPr>
              <w:t>In millions, except per share amounts</w:t>
            </w:r>
          </w:p>
        </w:tc>
        <w:tc>
          <w:tcPr>
            <w:tcW w:w="0" w:type="auto"/>
            <w:gridSpan w:val="9"/>
            <w:tcMar>
              <w:top w:w="30" w:type="dxa"/>
              <w:left w:w="20" w:type="dxa"/>
              <w:bottom w:w="30" w:type="dxa"/>
              <w:right w:w="20" w:type="dxa"/>
            </w:tcMar>
            <w:vAlign w:val="bottom"/>
            <w:hideMark/>
          </w:tcPr>
          <w:p w14:paraId="2F68D184"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3C7CA41D" w14:textId="77777777">
        <w:trPr>
          <w:divId w:val="1974015112"/>
          <w:trHeight w:val="220"/>
          <w:jc w:val="center"/>
        </w:trPr>
        <w:tc>
          <w:tcPr>
            <w:tcW w:w="0" w:type="auto"/>
            <w:gridSpan w:val="3"/>
            <w:vMerge/>
            <w:vAlign w:val="center"/>
            <w:hideMark/>
          </w:tcPr>
          <w:p w14:paraId="56F26586"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2DA092"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D75C12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80C7C5"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630C2325" w14:textId="77777777">
        <w:trPr>
          <w:divId w:val="1974015112"/>
          <w:jc w:val="center"/>
        </w:trPr>
        <w:tc>
          <w:tcPr>
            <w:tcW w:w="0" w:type="auto"/>
            <w:gridSpan w:val="3"/>
            <w:shd w:val="clear" w:color="auto" w:fill="CCEEFF"/>
            <w:tcMar>
              <w:top w:w="30" w:type="dxa"/>
              <w:left w:w="20" w:type="dxa"/>
              <w:bottom w:w="30" w:type="dxa"/>
              <w:right w:w="20" w:type="dxa"/>
            </w:tcMar>
            <w:hideMark/>
          </w:tcPr>
          <w:p w14:paraId="14B0B452" w14:textId="77777777" w:rsidR="00000000" w:rsidRDefault="0068293C">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0261B7"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B7E9A"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E49A9C" w14:textId="77777777" w:rsidR="00000000" w:rsidRDefault="0068293C">
            <w:pPr>
              <w:spacing w:after="100"/>
              <w:rPr>
                <w:rFonts w:eastAsia="Times New Roman"/>
                <w:sz w:val="20"/>
                <w:szCs w:val="20"/>
              </w:rPr>
            </w:pPr>
          </w:p>
        </w:tc>
      </w:tr>
      <w:tr w:rsidR="00000000" w14:paraId="474DAFF4" w14:textId="77777777">
        <w:trPr>
          <w:divId w:val="1974015112"/>
          <w:jc w:val="center"/>
        </w:trPr>
        <w:tc>
          <w:tcPr>
            <w:tcW w:w="0" w:type="auto"/>
            <w:gridSpan w:val="3"/>
            <w:shd w:val="clear" w:color="auto" w:fill="FFFFFF"/>
            <w:tcMar>
              <w:top w:w="30" w:type="dxa"/>
              <w:left w:w="245" w:type="dxa"/>
              <w:bottom w:w="30" w:type="dxa"/>
              <w:right w:w="20" w:type="dxa"/>
            </w:tcMar>
            <w:hideMark/>
          </w:tcPr>
          <w:p w14:paraId="63AD1F6D" w14:textId="77777777" w:rsidR="00000000" w:rsidRDefault="0068293C">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14:paraId="039B8267"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FE648CF" w14:textId="77777777" w:rsidR="00000000" w:rsidRDefault="0068293C">
            <w:pPr>
              <w:spacing w:after="100"/>
              <w:jc w:val="right"/>
              <w:rPr>
                <w:rFonts w:eastAsia="Times New Roman"/>
              </w:rPr>
            </w:pPr>
            <w:r>
              <w:rPr>
                <w:rFonts w:eastAsia="Times New Roman"/>
                <w:b/>
                <w:bCs/>
                <w:color w:val="000000"/>
                <w:sz w:val="20"/>
                <w:szCs w:val="20"/>
              </w:rPr>
              <w:t>(33)</w:t>
            </w:r>
          </w:p>
        </w:tc>
        <w:tc>
          <w:tcPr>
            <w:tcW w:w="0" w:type="auto"/>
            <w:shd w:val="clear" w:color="auto" w:fill="FFFFFF"/>
            <w:tcMar>
              <w:top w:w="30" w:type="dxa"/>
              <w:left w:w="0" w:type="dxa"/>
              <w:bottom w:w="30" w:type="dxa"/>
              <w:right w:w="20" w:type="dxa"/>
            </w:tcMar>
            <w:vAlign w:val="bottom"/>
            <w:hideMark/>
          </w:tcPr>
          <w:p w14:paraId="4084318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CB321"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20BD79"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11A58C" w14:textId="77777777" w:rsidR="00000000" w:rsidRDefault="0068293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7608B67C" w14:textId="77777777" w:rsidR="00000000" w:rsidRDefault="0068293C">
            <w:pPr>
              <w:spacing w:after="100"/>
              <w:jc w:val="right"/>
              <w:rPr>
                <w:rFonts w:eastAsia="Times New Roman"/>
              </w:rPr>
            </w:pPr>
          </w:p>
        </w:tc>
      </w:tr>
      <w:tr w:rsidR="00000000" w14:paraId="2203B4B3" w14:textId="77777777">
        <w:trPr>
          <w:divId w:val="1974015112"/>
          <w:jc w:val="center"/>
        </w:trPr>
        <w:tc>
          <w:tcPr>
            <w:tcW w:w="0" w:type="auto"/>
            <w:gridSpan w:val="3"/>
            <w:shd w:val="clear" w:color="auto" w:fill="CCEEFF"/>
            <w:tcMar>
              <w:top w:w="30" w:type="dxa"/>
              <w:left w:w="245" w:type="dxa"/>
              <w:bottom w:w="30" w:type="dxa"/>
              <w:right w:w="20" w:type="dxa"/>
            </w:tcMar>
            <w:hideMark/>
          </w:tcPr>
          <w:p w14:paraId="0A63F5B1" w14:textId="77777777" w:rsidR="00000000" w:rsidRDefault="0068293C">
            <w:pPr>
              <w:spacing w:after="100"/>
              <w:rPr>
                <w:rFonts w:eastAsia="Times New Roman"/>
              </w:rPr>
            </w:pPr>
            <w:r>
              <w:rPr>
                <w:rFonts w:eastAsia="Times New Roman"/>
                <w:color w:val="000000"/>
                <w:sz w:val="20"/>
                <w:szCs w:val="20"/>
              </w:rPr>
              <w:t>Dividends on Series A Convertible Preferred Stock</w:t>
            </w:r>
          </w:p>
        </w:tc>
        <w:tc>
          <w:tcPr>
            <w:tcW w:w="0" w:type="auto"/>
            <w:gridSpan w:val="2"/>
            <w:shd w:val="clear" w:color="auto" w:fill="CCEEFF"/>
            <w:tcMar>
              <w:top w:w="30" w:type="dxa"/>
              <w:left w:w="20" w:type="dxa"/>
              <w:bottom w:w="30" w:type="dxa"/>
              <w:right w:w="0" w:type="dxa"/>
            </w:tcMar>
            <w:vAlign w:val="bottom"/>
            <w:hideMark/>
          </w:tcPr>
          <w:p w14:paraId="37D536CE" w14:textId="77777777" w:rsidR="00000000" w:rsidRDefault="0068293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09A45CD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9B1E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7B3EBE" w14:textId="77777777" w:rsidR="00000000" w:rsidRDefault="0068293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0522C59C" w14:textId="77777777" w:rsidR="00000000" w:rsidRDefault="0068293C">
            <w:pPr>
              <w:spacing w:after="100"/>
              <w:jc w:val="right"/>
              <w:rPr>
                <w:rFonts w:eastAsia="Times New Roman"/>
              </w:rPr>
            </w:pPr>
          </w:p>
        </w:tc>
      </w:tr>
      <w:tr w:rsidR="00000000" w14:paraId="202D7492" w14:textId="77777777">
        <w:trPr>
          <w:divId w:val="1974015112"/>
          <w:jc w:val="center"/>
        </w:trPr>
        <w:tc>
          <w:tcPr>
            <w:tcW w:w="0" w:type="auto"/>
            <w:gridSpan w:val="3"/>
            <w:vAlign w:val="center"/>
            <w:hideMark/>
          </w:tcPr>
          <w:p w14:paraId="0337E9A5" w14:textId="77777777" w:rsidR="00000000" w:rsidRDefault="0068293C">
            <w:pPr>
              <w:spacing w:after="100"/>
              <w:jc w:val="right"/>
              <w:rPr>
                <w:rFonts w:eastAsia="Times New Roman"/>
                <w:sz w:val="20"/>
                <w:szCs w:val="20"/>
              </w:rPr>
            </w:pPr>
          </w:p>
        </w:tc>
        <w:tc>
          <w:tcPr>
            <w:tcW w:w="0" w:type="auto"/>
            <w:gridSpan w:val="3"/>
            <w:vAlign w:val="center"/>
            <w:hideMark/>
          </w:tcPr>
          <w:p w14:paraId="130B1A07" w14:textId="77777777" w:rsidR="00000000" w:rsidRDefault="0068293C">
            <w:pPr>
              <w:spacing w:after="100"/>
              <w:rPr>
                <w:rFonts w:eastAsia="Times New Roman"/>
                <w:sz w:val="20"/>
                <w:szCs w:val="20"/>
              </w:rPr>
            </w:pPr>
          </w:p>
        </w:tc>
        <w:tc>
          <w:tcPr>
            <w:tcW w:w="0" w:type="auto"/>
            <w:gridSpan w:val="3"/>
            <w:vAlign w:val="center"/>
            <w:hideMark/>
          </w:tcPr>
          <w:p w14:paraId="2BF2276C" w14:textId="77777777" w:rsidR="00000000" w:rsidRDefault="0068293C">
            <w:pPr>
              <w:spacing w:after="100"/>
              <w:rPr>
                <w:rFonts w:eastAsia="Times New Roman"/>
                <w:sz w:val="20"/>
                <w:szCs w:val="20"/>
              </w:rPr>
            </w:pPr>
          </w:p>
        </w:tc>
        <w:tc>
          <w:tcPr>
            <w:tcW w:w="0" w:type="auto"/>
            <w:gridSpan w:val="3"/>
            <w:vAlign w:val="center"/>
            <w:hideMark/>
          </w:tcPr>
          <w:p w14:paraId="03DF14CB" w14:textId="77777777" w:rsidR="00000000" w:rsidRDefault="0068293C">
            <w:pPr>
              <w:spacing w:after="100"/>
              <w:rPr>
                <w:rFonts w:eastAsia="Times New Roman"/>
                <w:sz w:val="20"/>
                <w:szCs w:val="20"/>
              </w:rPr>
            </w:pPr>
          </w:p>
        </w:tc>
      </w:tr>
      <w:tr w:rsidR="00000000" w14:paraId="1F1B06E3" w14:textId="77777777">
        <w:trPr>
          <w:divId w:val="1974015112"/>
          <w:jc w:val="center"/>
        </w:trPr>
        <w:tc>
          <w:tcPr>
            <w:tcW w:w="0" w:type="auto"/>
            <w:gridSpan w:val="3"/>
            <w:shd w:val="clear" w:color="auto" w:fill="FFFFFF"/>
            <w:tcMar>
              <w:top w:w="30" w:type="dxa"/>
              <w:left w:w="20" w:type="dxa"/>
              <w:bottom w:w="30" w:type="dxa"/>
              <w:right w:w="20" w:type="dxa"/>
            </w:tcMar>
            <w:hideMark/>
          </w:tcPr>
          <w:p w14:paraId="0ADDC572" w14:textId="77777777" w:rsidR="00000000" w:rsidRDefault="0068293C">
            <w:pPr>
              <w:spacing w:after="100"/>
              <w:rPr>
                <w:rFonts w:eastAsia="Times New Roman"/>
              </w:rPr>
            </w:pPr>
            <w:r>
              <w:rPr>
                <w:rFonts w:eastAsia="Times New Roman"/>
                <w:b/>
                <w:bCs/>
                <w:color w:val="000000"/>
                <w:sz w:val="20"/>
                <w:szCs w:val="20"/>
              </w:rPr>
              <w:t>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EC4B50" w14:textId="77777777" w:rsidR="00000000" w:rsidRDefault="0068293C">
            <w:pPr>
              <w:spacing w:after="100"/>
              <w:jc w:val="right"/>
              <w:rPr>
                <w:rFonts w:eastAsia="Times New Roman"/>
              </w:rPr>
            </w:pPr>
            <w:r>
              <w:rPr>
                <w:rFonts w:eastAsia="Times New Roman"/>
                <w:b/>
                <w:bCs/>
                <w:color w:val="000000"/>
                <w:sz w:val="20"/>
                <w:szCs w:val="20"/>
              </w:rPr>
              <w:t>(37)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123AA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10132"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779D8D" w14:textId="77777777" w:rsidR="00000000" w:rsidRDefault="0068293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E40185" w14:textId="77777777" w:rsidR="00000000" w:rsidRDefault="0068293C">
            <w:pPr>
              <w:spacing w:after="100"/>
              <w:jc w:val="right"/>
              <w:rPr>
                <w:rFonts w:eastAsia="Times New Roman"/>
              </w:rPr>
            </w:pPr>
          </w:p>
        </w:tc>
      </w:tr>
      <w:tr w:rsidR="00000000" w14:paraId="558863FE" w14:textId="77777777">
        <w:trPr>
          <w:divId w:val="1974015112"/>
          <w:jc w:val="center"/>
        </w:trPr>
        <w:tc>
          <w:tcPr>
            <w:tcW w:w="0" w:type="auto"/>
            <w:gridSpan w:val="3"/>
            <w:shd w:val="clear" w:color="auto" w:fill="CCEEFF"/>
            <w:tcMar>
              <w:top w:w="30" w:type="dxa"/>
              <w:left w:w="245" w:type="dxa"/>
              <w:bottom w:w="30" w:type="dxa"/>
              <w:right w:w="20" w:type="dxa"/>
            </w:tcMar>
            <w:hideMark/>
          </w:tcPr>
          <w:p w14:paraId="6AE3F573" w14:textId="77777777" w:rsidR="00000000" w:rsidRDefault="0068293C">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14:paraId="464C2574"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7245A38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FBB2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DB8EB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FF3B08" w14:textId="77777777" w:rsidR="00000000" w:rsidRDefault="0068293C">
            <w:pPr>
              <w:spacing w:after="100"/>
              <w:jc w:val="right"/>
              <w:rPr>
                <w:rFonts w:eastAsia="Times New Roman"/>
              </w:rPr>
            </w:pPr>
          </w:p>
        </w:tc>
      </w:tr>
      <w:tr w:rsidR="00000000" w14:paraId="48C6B35B" w14:textId="77777777">
        <w:trPr>
          <w:divId w:val="1974015112"/>
          <w:jc w:val="center"/>
        </w:trPr>
        <w:tc>
          <w:tcPr>
            <w:tcW w:w="0" w:type="auto"/>
            <w:gridSpan w:val="3"/>
            <w:shd w:val="clear" w:color="auto" w:fill="FFFFFF"/>
            <w:tcMar>
              <w:top w:w="30" w:type="dxa"/>
              <w:left w:w="20" w:type="dxa"/>
              <w:bottom w:w="30" w:type="dxa"/>
              <w:right w:w="20" w:type="dxa"/>
            </w:tcMar>
            <w:hideMark/>
          </w:tcPr>
          <w:p w14:paraId="6C70E90D" w14:textId="77777777" w:rsidR="00000000" w:rsidRDefault="0068293C">
            <w:pPr>
              <w:spacing w:after="100"/>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A9998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728E0D" w14:textId="77777777" w:rsidR="00000000" w:rsidRDefault="0068293C">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C07EA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7EFA3"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411CAE"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F5F83B" w14:textId="77777777" w:rsidR="00000000" w:rsidRDefault="0068293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40D20A" w14:textId="77777777" w:rsidR="00000000" w:rsidRDefault="0068293C">
            <w:pPr>
              <w:spacing w:after="100"/>
              <w:jc w:val="right"/>
              <w:rPr>
                <w:rFonts w:eastAsia="Times New Roman"/>
              </w:rPr>
            </w:pPr>
          </w:p>
        </w:tc>
      </w:tr>
      <w:tr w:rsidR="00000000" w14:paraId="673B9030" w14:textId="77777777">
        <w:trPr>
          <w:divId w:val="1974015112"/>
          <w:trHeight w:val="300"/>
          <w:jc w:val="center"/>
        </w:trPr>
        <w:tc>
          <w:tcPr>
            <w:tcW w:w="0" w:type="auto"/>
            <w:gridSpan w:val="3"/>
            <w:shd w:val="clear" w:color="auto" w:fill="CCEEFF"/>
            <w:tcMar>
              <w:top w:w="0" w:type="dxa"/>
              <w:left w:w="20" w:type="dxa"/>
              <w:bottom w:w="0" w:type="dxa"/>
              <w:right w:w="20" w:type="dxa"/>
            </w:tcMar>
            <w:vAlign w:val="center"/>
            <w:hideMark/>
          </w:tcPr>
          <w:p w14:paraId="09DB8F37"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11ECB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25FF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7CDB5" w14:textId="77777777" w:rsidR="00000000" w:rsidRDefault="0068293C">
            <w:pPr>
              <w:spacing w:after="100"/>
              <w:rPr>
                <w:rFonts w:eastAsia="Times New Roman"/>
                <w:sz w:val="20"/>
                <w:szCs w:val="20"/>
              </w:rPr>
            </w:pPr>
          </w:p>
        </w:tc>
      </w:tr>
      <w:tr w:rsidR="00000000" w14:paraId="32746A4A" w14:textId="77777777">
        <w:trPr>
          <w:divId w:val="1974015112"/>
          <w:jc w:val="center"/>
        </w:trPr>
        <w:tc>
          <w:tcPr>
            <w:tcW w:w="0" w:type="auto"/>
            <w:gridSpan w:val="3"/>
            <w:shd w:val="clear" w:color="auto" w:fill="FFFFFF"/>
            <w:tcMar>
              <w:top w:w="30" w:type="dxa"/>
              <w:left w:w="20" w:type="dxa"/>
              <w:bottom w:w="30" w:type="dxa"/>
              <w:right w:w="20" w:type="dxa"/>
            </w:tcMar>
            <w:hideMark/>
          </w:tcPr>
          <w:p w14:paraId="73176FF4" w14:textId="77777777" w:rsidR="00000000" w:rsidRDefault="0068293C">
            <w:pPr>
              <w:spacing w:after="100"/>
              <w:ind w:hanging="270"/>
              <w:divId w:val="1968314768"/>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14:paraId="652EE0C5" w14:textId="77777777" w:rsidR="00000000" w:rsidRDefault="0068293C">
            <w:pPr>
              <w:spacing w:after="100"/>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1CC98"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C2B3B0" w14:textId="77777777" w:rsidR="00000000" w:rsidRDefault="0068293C">
            <w:pPr>
              <w:spacing w:after="100"/>
              <w:rPr>
                <w:rFonts w:eastAsia="Times New Roman"/>
                <w:sz w:val="20"/>
                <w:szCs w:val="20"/>
              </w:rPr>
            </w:pPr>
          </w:p>
        </w:tc>
      </w:tr>
      <w:tr w:rsidR="00000000" w14:paraId="6784B210" w14:textId="77777777">
        <w:trPr>
          <w:divId w:val="1974015112"/>
          <w:jc w:val="center"/>
        </w:trPr>
        <w:tc>
          <w:tcPr>
            <w:tcW w:w="0" w:type="auto"/>
            <w:gridSpan w:val="3"/>
            <w:shd w:val="clear" w:color="auto" w:fill="CCEEFF"/>
            <w:tcMar>
              <w:top w:w="30" w:type="dxa"/>
              <w:left w:w="245" w:type="dxa"/>
              <w:bottom w:w="30" w:type="dxa"/>
              <w:right w:w="20" w:type="dxa"/>
            </w:tcMar>
            <w:hideMark/>
          </w:tcPr>
          <w:p w14:paraId="371E5C65" w14:textId="77777777" w:rsidR="00000000" w:rsidRDefault="0068293C">
            <w:pPr>
              <w:spacing w:after="100"/>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14:paraId="22CB5B6C" w14:textId="77777777" w:rsidR="00000000" w:rsidRDefault="0068293C">
            <w:pPr>
              <w:spacing w:after="100"/>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7EF1B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BA4C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DB2EC" w14:textId="77777777" w:rsidR="00000000" w:rsidRDefault="0068293C">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14:paraId="6C85E3E5" w14:textId="77777777" w:rsidR="00000000" w:rsidRDefault="0068293C">
            <w:pPr>
              <w:spacing w:after="100"/>
              <w:jc w:val="right"/>
              <w:rPr>
                <w:rFonts w:eastAsia="Times New Roman"/>
              </w:rPr>
            </w:pPr>
          </w:p>
        </w:tc>
      </w:tr>
      <w:tr w:rsidR="00000000" w14:paraId="4FB09BC2" w14:textId="77777777">
        <w:trPr>
          <w:divId w:val="1974015112"/>
          <w:jc w:val="center"/>
        </w:trPr>
        <w:tc>
          <w:tcPr>
            <w:tcW w:w="0" w:type="auto"/>
            <w:gridSpan w:val="3"/>
            <w:vAlign w:val="center"/>
            <w:hideMark/>
          </w:tcPr>
          <w:p w14:paraId="68B002FA" w14:textId="77777777" w:rsidR="00000000" w:rsidRDefault="0068293C">
            <w:pPr>
              <w:spacing w:after="100"/>
              <w:jc w:val="right"/>
              <w:rPr>
                <w:rFonts w:eastAsia="Times New Roman"/>
                <w:sz w:val="20"/>
                <w:szCs w:val="20"/>
              </w:rPr>
            </w:pPr>
          </w:p>
        </w:tc>
        <w:tc>
          <w:tcPr>
            <w:tcW w:w="0" w:type="auto"/>
            <w:gridSpan w:val="3"/>
            <w:vAlign w:val="center"/>
            <w:hideMark/>
          </w:tcPr>
          <w:p w14:paraId="436F11A1" w14:textId="77777777" w:rsidR="00000000" w:rsidRDefault="0068293C">
            <w:pPr>
              <w:spacing w:after="100"/>
              <w:rPr>
                <w:rFonts w:eastAsia="Times New Roman"/>
                <w:sz w:val="20"/>
                <w:szCs w:val="20"/>
              </w:rPr>
            </w:pPr>
          </w:p>
        </w:tc>
        <w:tc>
          <w:tcPr>
            <w:tcW w:w="0" w:type="auto"/>
            <w:gridSpan w:val="3"/>
            <w:vAlign w:val="center"/>
            <w:hideMark/>
          </w:tcPr>
          <w:p w14:paraId="17041B0B" w14:textId="77777777" w:rsidR="00000000" w:rsidRDefault="0068293C">
            <w:pPr>
              <w:spacing w:after="100"/>
              <w:rPr>
                <w:rFonts w:eastAsia="Times New Roman"/>
                <w:sz w:val="20"/>
                <w:szCs w:val="20"/>
              </w:rPr>
            </w:pPr>
          </w:p>
        </w:tc>
        <w:tc>
          <w:tcPr>
            <w:tcW w:w="0" w:type="auto"/>
            <w:gridSpan w:val="3"/>
            <w:vAlign w:val="center"/>
            <w:hideMark/>
          </w:tcPr>
          <w:p w14:paraId="138E2866" w14:textId="77777777" w:rsidR="00000000" w:rsidRDefault="0068293C">
            <w:pPr>
              <w:spacing w:after="100"/>
              <w:rPr>
                <w:rFonts w:eastAsia="Times New Roman"/>
                <w:sz w:val="20"/>
                <w:szCs w:val="20"/>
              </w:rPr>
            </w:pPr>
          </w:p>
        </w:tc>
      </w:tr>
      <w:tr w:rsidR="00000000" w14:paraId="0D5F8BE9" w14:textId="77777777">
        <w:trPr>
          <w:divId w:val="1974015112"/>
          <w:jc w:val="center"/>
        </w:trPr>
        <w:tc>
          <w:tcPr>
            <w:tcW w:w="0" w:type="auto"/>
            <w:gridSpan w:val="3"/>
            <w:vAlign w:val="center"/>
            <w:hideMark/>
          </w:tcPr>
          <w:p w14:paraId="45543EFD" w14:textId="77777777" w:rsidR="00000000" w:rsidRDefault="0068293C">
            <w:pPr>
              <w:spacing w:after="100"/>
              <w:rPr>
                <w:rFonts w:eastAsia="Times New Roman"/>
                <w:sz w:val="20"/>
                <w:szCs w:val="20"/>
              </w:rPr>
            </w:pPr>
          </w:p>
        </w:tc>
        <w:tc>
          <w:tcPr>
            <w:tcW w:w="0" w:type="auto"/>
            <w:gridSpan w:val="3"/>
            <w:vAlign w:val="center"/>
            <w:hideMark/>
          </w:tcPr>
          <w:p w14:paraId="4C013DC3" w14:textId="77777777" w:rsidR="00000000" w:rsidRDefault="0068293C">
            <w:pPr>
              <w:spacing w:after="100"/>
              <w:rPr>
                <w:rFonts w:eastAsia="Times New Roman"/>
                <w:sz w:val="20"/>
                <w:szCs w:val="20"/>
              </w:rPr>
            </w:pPr>
          </w:p>
        </w:tc>
        <w:tc>
          <w:tcPr>
            <w:tcW w:w="0" w:type="auto"/>
            <w:gridSpan w:val="3"/>
            <w:vAlign w:val="center"/>
            <w:hideMark/>
          </w:tcPr>
          <w:p w14:paraId="66AB311D" w14:textId="77777777" w:rsidR="00000000" w:rsidRDefault="0068293C">
            <w:pPr>
              <w:spacing w:after="100"/>
              <w:rPr>
                <w:rFonts w:eastAsia="Times New Roman"/>
                <w:sz w:val="20"/>
                <w:szCs w:val="20"/>
              </w:rPr>
            </w:pPr>
          </w:p>
        </w:tc>
        <w:tc>
          <w:tcPr>
            <w:tcW w:w="0" w:type="auto"/>
            <w:gridSpan w:val="3"/>
            <w:vAlign w:val="center"/>
            <w:hideMark/>
          </w:tcPr>
          <w:p w14:paraId="5088061E" w14:textId="77777777" w:rsidR="00000000" w:rsidRDefault="0068293C">
            <w:pPr>
              <w:spacing w:after="100"/>
              <w:rPr>
                <w:rFonts w:eastAsia="Times New Roman"/>
                <w:sz w:val="20"/>
                <w:szCs w:val="20"/>
              </w:rPr>
            </w:pPr>
          </w:p>
        </w:tc>
      </w:tr>
      <w:tr w:rsidR="00000000" w14:paraId="4C1429C1" w14:textId="77777777">
        <w:trPr>
          <w:divId w:val="1974015112"/>
          <w:jc w:val="center"/>
        </w:trPr>
        <w:tc>
          <w:tcPr>
            <w:tcW w:w="0" w:type="auto"/>
            <w:gridSpan w:val="3"/>
            <w:shd w:val="clear" w:color="auto" w:fill="FFFFFF"/>
            <w:tcMar>
              <w:top w:w="30" w:type="dxa"/>
              <w:left w:w="245" w:type="dxa"/>
              <w:bottom w:w="30" w:type="dxa"/>
              <w:right w:w="20" w:type="dxa"/>
            </w:tcMar>
            <w:hideMark/>
          </w:tcPr>
          <w:p w14:paraId="25872969" w14:textId="77777777" w:rsidR="00000000" w:rsidRDefault="0068293C">
            <w:pPr>
              <w:spacing w:after="100"/>
              <w:rPr>
                <w:rFonts w:eastAsia="Times New Roman"/>
              </w:rPr>
            </w:pPr>
            <w:r>
              <w:rPr>
                <w:rFonts w:eastAsia="Times New Roman"/>
                <w:color w:val="000000"/>
                <w:sz w:val="20"/>
                <w:szCs w:val="20"/>
              </w:rPr>
              <w:t>Dilutive effect of restricted stock units and stock options</w:t>
            </w:r>
          </w:p>
        </w:tc>
        <w:tc>
          <w:tcPr>
            <w:tcW w:w="0" w:type="auto"/>
            <w:gridSpan w:val="2"/>
            <w:shd w:val="clear" w:color="auto" w:fill="FFFFFF"/>
            <w:tcMar>
              <w:top w:w="30" w:type="dxa"/>
              <w:left w:w="20" w:type="dxa"/>
              <w:bottom w:w="30" w:type="dxa"/>
              <w:right w:w="0" w:type="dxa"/>
            </w:tcMar>
            <w:vAlign w:val="bottom"/>
            <w:hideMark/>
          </w:tcPr>
          <w:p w14:paraId="4D4C6AB9"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A7234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1667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C48685" w14:textId="77777777" w:rsidR="00000000" w:rsidRDefault="0068293C">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14:paraId="60698B5C" w14:textId="77777777" w:rsidR="00000000" w:rsidRDefault="0068293C">
            <w:pPr>
              <w:spacing w:after="100"/>
              <w:jc w:val="right"/>
              <w:rPr>
                <w:rFonts w:eastAsia="Times New Roman"/>
              </w:rPr>
            </w:pPr>
          </w:p>
        </w:tc>
      </w:tr>
      <w:tr w:rsidR="00000000" w14:paraId="7CC93635" w14:textId="77777777">
        <w:trPr>
          <w:divId w:val="1974015112"/>
          <w:jc w:val="center"/>
        </w:trPr>
        <w:tc>
          <w:tcPr>
            <w:tcW w:w="0" w:type="auto"/>
            <w:gridSpan w:val="3"/>
            <w:shd w:val="clear" w:color="auto" w:fill="CCEEFF"/>
            <w:tcMar>
              <w:top w:w="30" w:type="dxa"/>
              <w:left w:w="20" w:type="dxa"/>
              <w:bottom w:w="30" w:type="dxa"/>
              <w:right w:w="20" w:type="dxa"/>
            </w:tcMar>
            <w:hideMark/>
          </w:tcPr>
          <w:p w14:paraId="3C92A914" w14:textId="77777777" w:rsidR="00000000" w:rsidRDefault="0068293C">
            <w:pPr>
              <w:spacing w:after="100"/>
              <w:rPr>
                <w:rFonts w:eastAsia="Times New Roman"/>
              </w:rPr>
            </w:pPr>
            <w:r>
              <w:rPr>
                <w:rFonts w:eastAsia="Times New Roman"/>
                <w:b/>
                <w:bCs/>
                <w:color w:val="000000"/>
                <w:sz w:val="20"/>
                <w:szCs w:val="20"/>
              </w:rPr>
              <w:t>Weighted average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6D478B" w14:textId="77777777" w:rsidR="00000000" w:rsidRDefault="0068293C">
            <w:pPr>
              <w:spacing w:after="100"/>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5E933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15D4D"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A503AE" w14:textId="77777777" w:rsidR="00000000" w:rsidRDefault="0068293C">
            <w:pPr>
              <w:spacing w:after="100"/>
              <w:jc w:val="right"/>
              <w:rPr>
                <w:rFonts w:eastAsia="Times New Roman"/>
              </w:rPr>
            </w:pPr>
            <w:r>
              <w:rPr>
                <w:rFonts w:eastAsia="Times New Roman"/>
                <w:color w:val="000000"/>
                <w:sz w:val="20"/>
                <w:szCs w:val="20"/>
              </w:rPr>
              <w:t>134.7 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8AE03C" w14:textId="77777777" w:rsidR="00000000" w:rsidRDefault="0068293C">
            <w:pPr>
              <w:spacing w:after="100"/>
              <w:jc w:val="right"/>
              <w:rPr>
                <w:rFonts w:eastAsia="Times New Roman"/>
              </w:rPr>
            </w:pPr>
          </w:p>
        </w:tc>
      </w:tr>
      <w:tr w:rsidR="00000000" w14:paraId="7FFF83E2" w14:textId="77777777">
        <w:trPr>
          <w:divId w:val="1974015112"/>
          <w:trHeight w:val="300"/>
          <w:jc w:val="center"/>
        </w:trPr>
        <w:tc>
          <w:tcPr>
            <w:tcW w:w="0" w:type="auto"/>
            <w:gridSpan w:val="3"/>
            <w:shd w:val="clear" w:color="auto" w:fill="FFFFFF"/>
            <w:tcMar>
              <w:top w:w="0" w:type="dxa"/>
              <w:left w:w="20" w:type="dxa"/>
              <w:bottom w:w="0" w:type="dxa"/>
              <w:right w:w="20" w:type="dxa"/>
            </w:tcMar>
            <w:vAlign w:val="center"/>
            <w:hideMark/>
          </w:tcPr>
          <w:p w14:paraId="4E319C58"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47B70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4495CD"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3BDA6" w14:textId="77777777" w:rsidR="00000000" w:rsidRDefault="0068293C">
            <w:pPr>
              <w:spacing w:after="100"/>
              <w:rPr>
                <w:rFonts w:eastAsia="Times New Roman"/>
                <w:sz w:val="20"/>
                <w:szCs w:val="20"/>
              </w:rPr>
            </w:pPr>
          </w:p>
        </w:tc>
      </w:tr>
      <w:tr w:rsidR="00000000" w14:paraId="4B9C70A7" w14:textId="77777777">
        <w:trPr>
          <w:divId w:val="1974015112"/>
          <w:jc w:val="center"/>
        </w:trPr>
        <w:tc>
          <w:tcPr>
            <w:tcW w:w="0" w:type="auto"/>
            <w:gridSpan w:val="3"/>
            <w:shd w:val="clear" w:color="auto" w:fill="CCEEFF"/>
            <w:tcMar>
              <w:top w:w="30" w:type="dxa"/>
              <w:left w:w="20" w:type="dxa"/>
              <w:bottom w:w="30" w:type="dxa"/>
              <w:right w:w="20" w:type="dxa"/>
            </w:tcMar>
            <w:hideMark/>
          </w:tcPr>
          <w:p w14:paraId="08737B9A" w14:textId="77777777" w:rsidR="00000000" w:rsidRDefault="0068293C">
            <w:pPr>
              <w:spacing w:after="100"/>
              <w:rPr>
                <w:rFonts w:eastAsia="Times New Roman"/>
              </w:rPr>
            </w:pPr>
            <w:r>
              <w:rPr>
                <w:rFonts w:eastAsia="Times New Roman"/>
                <w:b/>
                <w:bCs/>
                <w:color w:val="000000"/>
                <w:sz w:val="20"/>
                <w:szCs w:val="20"/>
              </w:rPr>
              <w:t>Diluted earnings per share:</w:t>
            </w:r>
          </w:p>
        </w:tc>
        <w:tc>
          <w:tcPr>
            <w:tcW w:w="0" w:type="auto"/>
            <w:gridSpan w:val="3"/>
            <w:shd w:val="clear" w:color="auto" w:fill="CCEEFF"/>
            <w:tcMar>
              <w:top w:w="0" w:type="dxa"/>
              <w:left w:w="20" w:type="dxa"/>
              <w:bottom w:w="0" w:type="dxa"/>
              <w:right w:w="20" w:type="dxa"/>
            </w:tcMar>
            <w:vAlign w:val="center"/>
            <w:hideMark/>
          </w:tcPr>
          <w:p w14:paraId="51597838"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5DBC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AE310D" w14:textId="77777777" w:rsidR="00000000" w:rsidRDefault="0068293C">
            <w:pPr>
              <w:spacing w:after="100"/>
              <w:rPr>
                <w:rFonts w:eastAsia="Times New Roman"/>
                <w:sz w:val="20"/>
                <w:szCs w:val="20"/>
              </w:rPr>
            </w:pPr>
          </w:p>
        </w:tc>
      </w:tr>
      <w:tr w:rsidR="00000000" w14:paraId="728B1A9B" w14:textId="77777777">
        <w:trPr>
          <w:divId w:val="1974015112"/>
          <w:jc w:val="center"/>
        </w:trPr>
        <w:tc>
          <w:tcPr>
            <w:tcW w:w="0" w:type="auto"/>
            <w:gridSpan w:val="3"/>
            <w:shd w:val="clear" w:color="auto" w:fill="FFFFFF"/>
            <w:tcMar>
              <w:top w:w="30" w:type="dxa"/>
              <w:left w:w="380" w:type="dxa"/>
              <w:bottom w:w="30" w:type="dxa"/>
              <w:right w:w="20" w:type="dxa"/>
            </w:tcMar>
            <w:hideMark/>
          </w:tcPr>
          <w:p w14:paraId="4B9A8199" w14:textId="77777777" w:rsidR="00000000" w:rsidRDefault="0068293C">
            <w:pPr>
              <w:spacing w:after="100"/>
              <w:rPr>
                <w:rFonts w:eastAsia="Times New Roman"/>
              </w:rPr>
            </w:pPr>
            <w:r>
              <w:rPr>
                <w:rFonts w:eastAsia="Times New Roman"/>
                <w:color w:val="000000"/>
                <w:sz w:val="20"/>
                <w:szCs w:val="20"/>
              </w:rPr>
              <w:t>From continuing operations</w:t>
            </w:r>
          </w:p>
        </w:tc>
        <w:tc>
          <w:tcPr>
            <w:tcW w:w="0" w:type="auto"/>
            <w:shd w:val="clear" w:color="auto" w:fill="FFFFFF"/>
            <w:tcMar>
              <w:top w:w="30" w:type="dxa"/>
              <w:left w:w="20" w:type="dxa"/>
              <w:bottom w:w="30" w:type="dxa"/>
              <w:right w:w="0" w:type="dxa"/>
            </w:tcMar>
            <w:vAlign w:val="bottom"/>
            <w:hideMark/>
          </w:tcPr>
          <w:p w14:paraId="016A96A3"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121ACB3" w14:textId="77777777" w:rsidR="00000000" w:rsidRDefault="0068293C">
            <w:pPr>
              <w:spacing w:after="100"/>
              <w:jc w:val="right"/>
              <w:rPr>
                <w:rFonts w:eastAsia="Times New Roman"/>
              </w:rPr>
            </w:pPr>
            <w:r>
              <w:rPr>
                <w:rFonts w:eastAsia="Times New Roman"/>
                <w:b/>
                <w:bCs/>
                <w:color w:val="000000"/>
                <w:sz w:val="20"/>
                <w:szCs w:val="20"/>
              </w:rPr>
              <w:t>(0.27)</w:t>
            </w:r>
          </w:p>
        </w:tc>
        <w:tc>
          <w:tcPr>
            <w:tcW w:w="0" w:type="auto"/>
            <w:shd w:val="clear" w:color="auto" w:fill="FFFFFF"/>
            <w:tcMar>
              <w:top w:w="30" w:type="dxa"/>
              <w:left w:w="0" w:type="dxa"/>
              <w:bottom w:w="30" w:type="dxa"/>
              <w:right w:w="20" w:type="dxa"/>
            </w:tcMar>
            <w:vAlign w:val="bottom"/>
            <w:hideMark/>
          </w:tcPr>
          <w:p w14:paraId="33EB45C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13803"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2EBEEE"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5F8341" w14:textId="77777777" w:rsidR="00000000" w:rsidRDefault="0068293C">
            <w:pPr>
              <w:spacing w:after="100"/>
              <w:jc w:val="right"/>
              <w:rPr>
                <w:rFonts w:eastAsia="Times New Roman"/>
              </w:rPr>
            </w:pPr>
            <w:r>
              <w:rPr>
                <w:rFonts w:eastAsia="Times New Roman"/>
                <w:color w:val="000000"/>
                <w:sz w:val="20"/>
                <w:szCs w:val="20"/>
              </w:rPr>
              <w:t>0.19 </w:t>
            </w:r>
          </w:p>
        </w:tc>
        <w:tc>
          <w:tcPr>
            <w:tcW w:w="0" w:type="auto"/>
            <w:shd w:val="clear" w:color="auto" w:fill="FFFFFF"/>
            <w:tcMar>
              <w:top w:w="30" w:type="dxa"/>
              <w:left w:w="0" w:type="dxa"/>
              <w:bottom w:w="30" w:type="dxa"/>
              <w:right w:w="20" w:type="dxa"/>
            </w:tcMar>
            <w:vAlign w:val="bottom"/>
            <w:hideMark/>
          </w:tcPr>
          <w:p w14:paraId="793B49CC" w14:textId="77777777" w:rsidR="00000000" w:rsidRDefault="0068293C">
            <w:pPr>
              <w:spacing w:after="100"/>
              <w:jc w:val="right"/>
              <w:rPr>
                <w:rFonts w:eastAsia="Times New Roman"/>
              </w:rPr>
            </w:pPr>
          </w:p>
        </w:tc>
      </w:tr>
      <w:tr w:rsidR="00000000" w14:paraId="4DB782A5" w14:textId="77777777">
        <w:trPr>
          <w:divId w:val="1974015112"/>
          <w:jc w:val="center"/>
        </w:trPr>
        <w:tc>
          <w:tcPr>
            <w:tcW w:w="0" w:type="auto"/>
            <w:gridSpan w:val="3"/>
            <w:shd w:val="clear" w:color="auto" w:fill="CCEEFF"/>
            <w:tcMar>
              <w:top w:w="30" w:type="dxa"/>
              <w:left w:w="380" w:type="dxa"/>
              <w:bottom w:w="30" w:type="dxa"/>
              <w:right w:w="20" w:type="dxa"/>
            </w:tcMar>
            <w:hideMark/>
          </w:tcPr>
          <w:p w14:paraId="5D88A41E" w14:textId="77777777" w:rsidR="00000000" w:rsidRDefault="0068293C">
            <w:pPr>
              <w:spacing w:after="100"/>
              <w:rPr>
                <w:rFonts w:eastAsia="Times New Roman"/>
              </w:rPr>
            </w:pPr>
            <w:r>
              <w:rPr>
                <w:rFonts w:eastAsia="Times New Roman"/>
                <w:color w:val="000000"/>
                <w:sz w:val="20"/>
                <w:szCs w:val="20"/>
              </w:rPr>
              <w:t>From discontinued operations</w:t>
            </w:r>
          </w:p>
        </w:tc>
        <w:tc>
          <w:tcPr>
            <w:tcW w:w="0" w:type="auto"/>
            <w:gridSpan w:val="2"/>
            <w:shd w:val="clear" w:color="auto" w:fill="CCEEFF"/>
            <w:tcMar>
              <w:top w:w="30" w:type="dxa"/>
              <w:left w:w="20" w:type="dxa"/>
              <w:bottom w:w="30" w:type="dxa"/>
              <w:right w:w="0" w:type="dxa"/>
            </w:tcMar>
            <w:vAlign w:val="bottom"/>
            <w:hideMark/>
          </w:tcPr>
          <w:p w14:paraId="5E0CFDD2" w14:textId="77777777" w:rsidR="00000000" w:rsidRDefault="0068293C">
            <w:pPr>
              <w:spacing w:after="100"/>
              <w:jc w:val="right"/>
              <w:rPr>
                <w:rFonts w:eastAsia="Times New Roman"/>
              </w:rPr>
            </w:pPr>
            <w:r>
              <w:rPr>
                <w:rFonts w:eastAsia="Times New Roman"/>
                <w:b/>
                <w:bCs/>
                <w:color w:val="000000"/>
                <w:sz w:val="20"/>
                <w:szCs w:val="20"/>
              </w:rPr>
              <w:t>(0.01)</w:t>
            </w:r>
          </w:p>
        </w:tc>
        <w:tc>
          <w:tcPr>
            <w:tcW w:w="0" w:type="auto"/>
            <w:shd w:val="clear" w:color="auto" w:fill="CCEEFF"/>
            <w:tcMar>
              <w:top w:w="30" w:type="dxa"/>
              <w:left w:w="0" w:type="dxa"/>
              <w:bottom w:w="30" w:type="dxa"/>
              <w:right w:w="20" w:type="dxa"/>
            </w:tcMar>
            <w:vAlign w:val="bottom"/>
            <w:hideMark/>
          </w:tcPr>
          <w:p w14:paraId="337242D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B455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FF186"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817021" w14:textId="77777777" w:rsidR="00000000" w:rsidRDefault="0068293C">
            <w:pPr>
              <w:spacing w:after="100"/>
              <w:jc w:val="right"/>
              <w:rPr>
                <w:rFonts w:eastAsia="Times New Roman"/>
              </w:rPr>
            </w:pPr>
          </w:p>
        </w:tc>
      </w:tr>
      <w:tr w:rsidR="00000000" w14:paraId="36795A74" w14:textId="77777777">
        <w:trPr>
          <w:divId w:val="1974015112"/>
          <w:jc w:val="center"/>
        </w:trPr>
        <w:tc>
          <w:tcPr>
            <w:tcW w:w="0" w:type="auto"/>
            <w:gridSpan w:val="3"/>
            <w:shd w:val="clear" w:color="auto" w:fill="FFFFFF"/>
            <w:tcMar>
              <w:top w:w="30" w:type="dxa"/>
              <w:left w:w="380" w:type="dxa"/>
              <w:bottom w:w="30" w:type="dxa"/>
              <w:right w:w="20" w:type="dxa"/>
            </w:tcMar>
            <w:hideMark/>
          </w:tcPr>
          <w:p w14:paraId="141BD9EC" w14:textId="77777777" w:rsidR="00000000" w:rsidRDefault="0068293C">
            <w:pPr>
              <w:spacing w:after="100"/>
              <w:rPr>
                <w:rFonts w:eastAsia="Times New Roman"/>
              </w:rPr>
            </w:pPr>
            <w:r>
              <w:rPr>
                <w:rFonts w:eastAsia="Times New Roman"/>
                <w:color w:val="000000"/>
                <w:sz w:val="20"/>
                <w:szCs w:val="20"/>
              </w:rPr>
              <w:t>Total diluted earnings per share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83EE61"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5CC931" w14:textId="77777777" w:rsidR="00000000" w:rsidRDefault="0068293C">
            <w:pPr>
              <w:spacing w:after="100"/>
              <w:jc w:val="right"/>
              <w:rPr>
                <w:rFonts w:eastAsia="Times New Roman"/>
              </w:rPr>
            </w:pPr>
            <w:r>
              <w:rPr>
                <w:rFonts w:eastAsia="Times New Roman"/>
                <w:b/>
                <w:bCs/>
                <w:color w:val="000000"/>
                <w:sz w:val="20"/>
                <w:szCs w:val="20"/>
              </w:rPr>
              <w:t>(0.28)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9F415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B10C2"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DEAE0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C639CC" w14:textId="77777777" w:rsidR="00000000" w:rsidRDefault="0068293C">
            <w:pPr>
              <w:spacing w:after="100"/>
              <w:jc w:val="right"/>
              <w:rPr>
                <w:rFonts w:eastAsia="Times New Roman"/>
              </w:rPr>
            </w:pPr>
            <w:r>
              <w:rPr>
                <w:rFonts w:eastAsia="Times New Roman"/>
                <w:color w:val="000000"/>
                <w:sz w:val="20"/>
                <w:szCs w:val="20"/>
              </w:rPr>
              <w:t>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A4345C" w14:textId="77777777" w:rsidR="00000000" w:rsidRDefault="0068293C">
            <w:pPr>
              <w:spacing w:after="100"/>
              <w:jc w:val="right"/>
              <w:rPr>
                <w:rFonts w:eastAsia="Times New Roman"/>
              </w:rPr>
            </w:pPr>
          </w:p>
        </w:tc>
      </w:tr>
    </w:tbl>
    <w:p w14:paraId="688FF459" w14:textId="77777777" w:rsidR="00000000" w:rsidRDefault="0068293C">
      <w:pPr>
        <w:jc w:val="both"/>
        <w:rPr>
          <w:rFonts w:eastAsia="Times New Roman"/>
        </w:rPr>
      </w:pPr>
    </w:p>
    <w:p w14:paraId="759DE853" w14:textId="77777777" w:rsidR="00000000" w:rsidRDefault="0068293C">
      <w:pPr>
        <w:jc w:val="both"/>
        <w:rPr>
          <w:rFonts w:eastAsia="Times New Roman"/>
        </w:rPr>
      </w:pPr>
      <w:r>
        <w:rPr>
          <w:rFonts w:eastAsia="Times New Roman"/>
          <w:color w:val="000000"/>
          <w:sz w:val="20"/>
          <w:szCs w:val="20"/>
        </w:rPr>
        <w:t>For the three months ended March 31, 2022, due to the net loss attributable to NCR common stockholders, potential common shares that would cause dilution, such as Series A Convertible Preferred Stock, restricted stock units and stock options, have been exc</w:t>
      </w:r>
      <w:r>
        <w:rPr>
          <w:rFonts w:eastAsia="Times New Roman"/>
          <w:color w:val="000000"/>
          <w:sz w:val="20"/>
          <w:szCs w:val="20"/>
        </w:rPr>
        <w:t>luded from the diluted share count because their effect would been anti-dilutive. The weighted average outstanding shares of common stock were not adjusted by 9.2 million for the as-if converted Series A Convertible Preferred Stock because the effect would</w:t>
      </w:r>
      <w:r>
        <w:rPr>
          <w:rFonts w:eastAsia="Times New Roman"/>
          <w:color w:val="000000"/>
          <w:sz w:val="20"/>
          <w:szCs w:val="20"/>
        </w:rPr>
        <w:t xml:space="preserve"> be anti-dilutive. Additionally, weighted average restricted stock units and stock options of 11.2 million were excluded from the diluted share count because their effect would have been anti-dilutive.</w:t>
      </w:r>
    </w:p>
    <w:p w14:paraId="45E6AADE" w14:textId="77777777" w:rsidR="00000000" w:rsidRDefault="0068293C">
      <w:pPr>
        <w:jc w:val="both"/>
        <w:rPr>
          <w:rFonts w:eastAsia="Times New Roman"/>
        </w:rPr>
      </w:pPr>
    </w:p>
    <w:p w14:paraId="3D35E416" w14:textId="77777777" w:rsidR="00000000" w:rsidRDefault="0068293C">
      <w:pPr>
        <w:jc w:val="both"/>
        <w:rPr>
          <w:rFonts w:eastAsia="Times New Roman"/>
        </w:rPr>
      </w:pPr>
      <w:r>
        <w:rPr>
          <w:rFonts w:eastAsia="Times New Roman"/>
          <w:color w:val="000000"/>
          <w:sz w:val="20"/>
          <w:szCs w:val="20"/>
        </w:rPr>
        <w:t>For the three months ended March 31, 2021, shares re</w:t>
      </w:r>
      <w:r>
        <w:rPr>
          <w:rFonts w:eastAsia="Times New Roman"/>
          <w:color w:val="000000"/>
          <w:sz w:val="20"/>
          <w:szCs w:val="20"/>
        </w:rPr>
        <w:t>lated to the as-if converted Series A Convertible Preferred Stock of 9.2 million were excluded from the diluted share count because their effect would have been anti-dilutive. For the three months ended March 31, 2021, weighted average restricted stock uni</w:t>
      </w:r>
      <w:r>
        <w:rPr>
          <w:rFonts w:eastAsia="Times New Roman"/>
          <w:color w:val="000000"/>
          <w:sz w:val="20"/>
          <w:szCs w:val="20"/>
        </w:rPr>
        <w:t>ts and stock options of 5.0 million were excluded from the diluted share count because their effect would have been anti-dilutive.</w:t>
      </w:r>
    </w:p>
    <w:p w14:paraId="577BE6E0" w14:textId="77777777" w:rsidR="00000000" w:rsidRDefault="0068293C">
      <w:pPr>
        <w:jc w:val="both"/>
        <w:rPr>
          <w:rFonts w:eastAsia="Times New Roman"/>
        </w:rPr>
      </w:pPr>
    </w:p>
    <w:p w14:paraId="4754F2C5" w14:textId="77777777" w:rsidR="00000000" w:rsidRDefault="0068293C">
      <w:pPr>
        <w:jc w:val="both"/>
        <w:rPr>
          <w:rFonts w:eastAsia="Times New Roman"/>
        </w:rPr>
      </w:pPr>
    </w:p>
    <w:p w14:paraId="20F24FC7" w14:textId="77777777" w:rsidR="00000000" w:rsidRDefault="0068293C">
      <w:pPr>
        <w:divId w:val="709912798"/>
        <w:rPr>
          <w:rFonts w:eastAsia="Times New Roman"/>
        </w:rPr>
      </w:pPr>
      <w:r>
        <w:rPr>
          <w:rFonts w:eastAsia="Times New Roman"/>
          <w:b/>
          <w:bCs/>
          <w:color w:val="54B948"/>
          <w:sz w:val="20"/>
          <w:szCs w:val="20"/>
        </w:rPr>
        <w:t>13. DERIVATIVES AND HEDGING INSTRUMENTS</w:t>
      </w:r>
      <w:r>
        <w:rPr>
          <w:rFonts w:eastAsia="Times New Roman"/>
          <w:b/>
          <w:bCs/>
          <w:color w:val="000000"/>
          <w:sz w:val="20"/>
          <w:szCs w:val="20"/>
        </w:rPr>
        <w:t xml:space="preserve"> </w:t>
      </w:r>
    </w:p>
    <w:p w14:paraId="0AEB4177" w14:textId="77777777" w:rsidR="00000000" w:rsidRDefault="0068293C">
      <w:pPr>
        <w:jc w:val="both"/>
        <w:rPr>
          <w:rFonts w:eastAsia="Times New Roman"/>
        </w:rPr>
      </w:pPr>
    </w:p>
    <w:p w14:paraId="7E3B203C" w14:textId="77777777" w:rsidR="00000000" w:rsidRDefault="0068293C">
      <w:pPr>
        <w:jc w:val="both"/>
        <w:rPr>
          <w:rFonts w:eastAsia="Times New Roman"/>
        </w:rPr>
      </w:pPr>
      <w:r>
        <w:rPr>
          <w:rFonts w:eastAsia="Times New Roman"/>
          <w:color w:val="000000"/>
          <w:sz w:val="20"/>
          <w:szCs w:val="20"/>
        </w:rPr>
        <w:t xml:space="preserve">NCR is exposed to certain risks arising from both our business operations and </w:t>
      </w:r>
      <w:r>
        <w:rPr>
          <w:rFonts w:eastAsia="Times New Roman"/>
          <w:color w:val="000000"/>
          <w:sz w:val="20"/>
          <w:szCs w:val="20"/>
        </w:rPr>
        <w:t>economic conditions. We principally manage exposures to a wide variety of business and operational risk through management of core business activities. We manage interest rate risk associated with our vault cash rental obligations and floating rate-debt by</w:t>
      </w:r>
      <w:r>
        <w:rPr>
          <w:rFonts w:eastAsia="Times New Roman"/>
          <w:color w:val="000000"/>
          <w:sz w:val="20"/>
          <w:szCs w:val="20"/>
        </w:rPr>
        <w:t xml:space="preserve"> managing the amount, sources, and duration of debt funding and the use of derivative financial instruments. The Company uses interest rate cap agreements or interest rate swap contracts (“Interest Rate Derivatives”) to manage differences in the amount, ti</w:t>
      </w:r>
      <w:r>
        <w:rPr>
          <w:rFonts w:eastAsia="Times New Roman"/>
          <w:color w:val="000000"/>
          <w:sz w:val="20"/>
          <w:szCs w:val="20"/>
        </w:rPr>
        <w:t xml:space="preserve">ming and duration of known or expected cash payments related to our existing TLA Facility and vault cash agreements. </w:t>
      </w:r>
    </w:p>
    <w:p w14:paraId="3D508BDE" w14:textId="77777777" w:rsidR="00000000" w:rsidRDefault="0068293C">
      <w:pPr>
        <w:jc w:val="both"/>
        <w:rPr>
          <w:rFonts w:eastAsia="Times New Roman"/>
        </w:rPr>
      </w:pPr>
    </w:p>
    <w:p w14:paraId="5612970B" w14:textId="77777777" w:rsidR="00000000" w:rsidRDefault="0068293C">
      <w:pPr>
        <w:jc w:val="both"/>
        <w:rPr>
          <w:rFonts w:eastAsia="Times New Roman"/>
        </w:rPr>
      </w:pPr>
      <w:r>
        <w:rPr>
          <w:rFonts w:eastAsia="Times New Roman"/>
          <w:color w:val="000000"/>
          <w:sz w:val="20"/>
          <w:szCs w:val="20"/>
        </w:rPr>
        <w:t>Further, a substantial portion of our operations and revenue occur outside the United States and, as such, NCR has exposure to approxima</w:t>
      </w:r>
      <w:r>
        <w:rPr>
          <w:rFonts w:eastAsia="Times New Roman"/>
          <w:color w:val="000000"/>
          <w:sz w:val="20"/>
          <w:szCs w:val="20"/>
        </w:rPr>
        <w:t>tely 50 functional currencies. Our results can be significantly impacted, both positively and negatively, by changes in foreign currency exchange rates. The Company seeks to mitigate such impact by hedging its foreign currency transaction exposure using fo</w:t>
      </w:r>
      <w:r>
        <w:rPr>
          <w:rFonts w:eastAsia="Times New Roman"/>
          <w:color w:val="000000"/>
          <w:sz w:val="20"/>
          <w:szCs w:val="20"/>
        </w:rPr>
        <w:t>reign currency forward and option contracts. We do not enter into hedges for speculative purposes.</w:t>
      </w:r>
    </w:p>
    <w:p w14:paraId="22396135" w14:textId="77777777" w:rsidR="00000000" w:rsidRDefault="0068293C">
      <w:pPr>
        <w:jc w:val="both"/>
        <w:rPr>
          <w:rFonts w:eastAsia="Times New Roman"/>
        </w:rPr>
      </w:pPr>
    </w:p>
    <w:p w14:paraId="0E52EA6D" w14:textId="77777777" w:rsidR="00000000" w:rsidRDefault="0068293C">
      <w:pPr>
        <w:jc w:val="both"/>
        <w:rPr>
          <w:rFonts w:eastAsia="Times New Roman"/>
        </w:rPr>
      </w:pPr>
    </w:p>
    <w:p w14:paraId="1DF8059B" w14:textId="77777777" w:rsidR="00000000" w:rsidRDefault="0068293C">
      <w:pPr>
        <w:jc w:val="both"/>
        <w:rPr>
          <w:rFonts w:eastAsia="Times New Roman"/>
        </w:rPr>
      </w:pPr>
    </w:p>
    <w:p w14:paraId="4EFBD304" w14:textId="77777777" w:rsidR="00000000" w:rsidRDefault="0068293C">
      <w:pPr>
        <w:jc w:val="center"/>
        <w:divId w:val="741022216"/>
        <w:rPr>
          <w:rFonts w:eastAsia="Times New Roman"/>
        </w:rPr>
      </w:pPr>
      <w:r>
        <w:rPr>
          <w:rFonts w:eastAsia="Times New Roman"/>
          <w:color w:val="000000"/>
          <w:sz w:val="20"/>
          <w:szCs w:val="20"/>
        </w:rPr>
        <w:t>28</w:t>
      </w:r>
    </w:p>
    <w:p w14:paraId="2DDB13C6" w14:textId="77777777" w:rsidR="00000000" w:rsidRDefault="0068293C">
      <w:pPr>
        <w:rPr>
          <w:rFonts w:eastAsia="Times New Roman"/>
        </w:rPr>
      </w:pPr>
      <w:r>
        <w:rPr>
          <w:rFonts w:eastAsia="Times New Roman"/>
        </w:rPr>
        <w:pict w14:anchorId="6E546C35">
          <v:rect id="_x0000_i1053" style="width:0;height:1.5pt" o:hralign="center" o:hrstd="t" o:hr="t" fillcolor="#a0a0a0" stroked="f"/>
        </w:pict>
      </w:r>
    </w:p>
    <w:p w14:paraId="48926C2B" w14:textId="77777777" w:rsidR="00000000" w:rsidRDefault="0068293C">
      <w:pPr>
        <w:ind w:firstLine="720"/>
        <w:divId w:val="1049454971"/>
        <w:rPr>
          <w:rFonts w:eastAsia="Times New Roman"/>
        </w:rPr>
      </w:pPr>
      <w:hyperlink w:anchor="i78484f3d0d8e4e36a7c87ddd6ea9d725_7" w:history="1">
        <w:r>
          <w:rPr>
            <w:rStyle w:val="a3"/>
            <w:rFonts w:eastAsia="Times New Roman"/>
            <w:sz w:val="16"/>
            <w:szCs w:val="16"/>
          </w:rPr>
          <w:t>Table of Content</w:t>
        </w:r>
      </w:hyperlink>
    </w:p>
    <w:p w14:paraId="344C9446" w14:textId="77777777" w:rsidR="00000000" w:rsidRDefault="0068293C">
      <w:pPr>
        <w:jc w:val="center"/>
        <w:divId w:val="1231231838"/>
        <w:rPr>
          <w:rFonts w:eastAsia="Times New Roman"/>
        </w:rPr>
      </w:pPr>
      <w:r>
        <w:rPr>
          <w:rFonts w:eastAsia="Times New Roman"/>
          <w:b/>
          <w:bCs/>
          <w:color w:val="000000"/>
          <w:sz w:val="20"/>
          <w:szCs w:val="20"/>
        </w:rPr>
        <w:t>NCR Corporation</w:t>
      </w:r>
    </w:p>
    <w:p w14:paraId="78E1156C" w14:textId="77777777" w:rsidR="00000000" w:rsidRDefault="0068293C">
      <w:pPr>
        <w:jc w:val="center"/>
        <w:divId w:val="1231231838"/>
        <w:rPr>
          <w:rFonts w:eastAsia="Times New Roman"/>
        </w:rPr>
      </w:pPr>
      <w:r>
        <w:rPr>
          <w:rFonts w:eastAsia="Times New Roman"/>
          <w:b/>
          <w:bCs/>
          <w:color w:val="000000"/>
          <w:sz w:val="20"/>
          <w:szCs w:val="20"/>
        </w:rPr>
        <w:t>Notes to Condensed Co</w:t>
      </w:r>
      <w:r>
        <w:rPr>
          <w:rFonts w:eastAsia="Times New Roman"/>
          <w:b/>
          <w:bCs/>
          <w:color w:val="000000"/>
          <w:sz w:val="20"/>
          <w:szCs w:val="20"/>
        </w:rPr>
        <w:t>nsolidated Financial Statements (Unaudited)—(Continued)</w:t>
      </w:r>
    </w:p>
    <w:p w14:paraId="6DFFC1D3" w14:textId="77777777" w:rsidR="00000000" w:rsidRDefault="0068293C">
      <w:pPr>
        <w:jc w:val="both"/>
        <w:rPr>
          <w:rFonts w:eastAsia="Times New Roman"/>
        </w:rPr>
      </w:pPr>
      <w:r>
        <w:rPr>
          <w:rFonts w:eastAsia="Times New Roman"/>
          <w:b/>
          <w:bCs/>
          <w:i/>
          <w:iCs/>
          <w:color w:val="000000"/>
          <w:sz w:val="20"/>
          <w:szCs w:val="20"/>
        </w:rPr>
        <w:t>Foreign Currency Exchange Risk</w:t>
      </w:r>
    </w:p>
    <w:p w14:paraId="07BBA395" w14:textId="77777777" w:rsidR="00000000" w:rsidRDefault="0068293C">
      <w:pPr>
        <w:jc w:val="both"/>
        <w:rPr>
          <w:rFonts w:eastAsia="Times New Roman"/>
        </w:rPr>
      </w:pPr>
    </w:p>
    <w:p w14:paraId="447F3C35" w14:textId="77777777" w:rsidR="00000000" w:rsidRDefault="0068293C">
      <w:pPr>
        <w:jc w:val="both"/>
        <w:rPr>
          <w:rFonts w:eastAsia="Times New Roman"/>
        </w:rPr>
      </w:pPr>
      <w:r>
        <w:rPr>
          <w:rFonts w:eastAsia="Times New Roman"/>
          <w:color w:val="000000"/>
          <w:sz w:val="20"/>
          <w:szCs w:val="20"/>
        </w:rPr>
        <w:t>The accounting guidance for derivatives and hedging requires companies to recognize all derivative instruments as either assets or liabilities at fair value in the Con</w:t>
      </w:r>
      <w:r>
        <w:rPr>
          <w:rFonts w:eastAsia="Times New Roman"/>
          <w:color w:val="000000"/>
          <w:sz w:val="20"/>
          <w:szCs w:val="20"/>
        </w:rPr>
        <w:t>densed Consolidated Balance Sheets. The Company designates foreign exchange contracts as cash flow hedges of forecasted transactions when they are determined to be highly effective at inception.</w:t>
      </w:r>
    </w:p>
    <w:p w14:paraId="6035961E" w14:textId="77777777" w:rsidR="00000000" w:rsidRDefault="0068293C">
      <w:pPr>
        <w:jc w:val="both"/>
        <w:rPr>
          <w:rFonts w:eastAsia="Times New Roman"/>
        </w:rPr>
      </w:pPr>
    </w:p>
    <w:p w14:paraId="02CCE713" w14:textId="77777777" w:rsidR="00000000" w:rsidRDefault="0068293C">
      <w:pPr>
        <w:jc w:val="both"/>
        <w:rPr>
          <w:rFonts w:eastAsia="Times New Roman"/>
        </w:rPr>
      </w:pPr>
      <w:r>
        <w:rPr>
          <w:rFonts w:eastAsia="Times New Roman"/>
          <w:color w:val="000000"/>
          <w:sz w:val="20"/>
          <w:szCs w:val="20"/>
        </w:rPr>
        <w:t>Our risk management strategy includes hedging, on behalf of</w:t>
      </w:r>
      <w:r>
        <w:rPr>
          <w:rFonts w:eastAsia="Times New Roman"/>
          <w:color w:val="000000"/>
          <w:sz w:val="20"/>
          <w:szCs w:val="20"/>
        </w:rPr>
        <w:t xml:space="preserve"> certain subsidiaries, a portion of our forecasted, non-functional currency denominated cash flows for a period of up to 15 months. As a result, some of the impact of currency fluctuations on non-functional currency denominated transactions (and hence on s</w:t>
      </w:r>
      <w:r>
        <w:rPr>
          <w:rFonts w:eastAsia="Times New Roman"/>
          <w:color w:val="000000"/>
          <w:sz w:val="20"/>
          <w:szCs w:val="20"/>
        </w:rPr>
        <w:t xml:space="preserve">ubsidiary operating income, as stated in the functional currency), is mitigated in the near term. In the longer term (greater than 15 months), the subsidiaries are still subject to the effect of translating the functional currency results to United States </w:t>
      </w:r>
      <w:r>
        <w:rPr>
          <w:rFonts w:eastAsia="Times New Roman"/>
          <w:color w:val="000000"/>
          <w:sz w:val="20"/>
          <w:szCs w:val="20"/>
        </w:rPr>
        <w:t>Dollars. To manage our exposures and mitigate the impact of currency fluctuations on the operations of our foreign subsidiaries, we hedge our main transactional exposures through the use of foreign exchange forward and option contracts. This is primarily d</w:t>
      </w:r>
      <w:r>
        <w:rPr>
          <w:rFonts w:eastAsia="Times New Roman"/>
          <w:color w:val="000000"/>
          <w:sz w:val="20"/>
          <w:szCs w:val="20"/>
        </w:rPr>
        <w:t>one through the hedging of foreign currency denominated inter-company inventory purchases by NCR’s marketing units and the foreign currency denominated inputs to our manufacturing units. If the hedge is designated as a highly effective cash flow hedge, the</w:t>
      </w:r>
      <w:r>
        <w:rPr>
          <w:rFonts w:eastAsia="Times New Roman"/>
          <w:color w:val="000000"/>
          <w:sz w:val="20"/>
          <w:szCs w:val="20"/>
        </w:rPr>
        <w:t xml:space="preserve"> gains or losses are deferred into accumulated other comprehensive income (“AOCI”). The gains or losses from derivative contracts that are designated as highly effective cash flow hedges related to inventory purchases are recorded in cost of products when </w:t>
      </w:r>
      <w:r>
        <w:rPr>
          <w:rFonts w:eastAsia="Times New Roman"/>
          <w:color w:val="000000"/>
          <w:sz w:val="20"/>
          <w:szCs w:val="20"/>
        </w:rPr>
        <w:t xml:space="preserve">the inventory is sold to an unrelated third party. Otherwise, they are recorded in earnings when the exchange rates change. As of March 31, 2022 and December 31, 2021, the balance in AOCI related to foreign exchange derivative transactions was zero. </w:t>
      </w:r>
    </w:p>
    <w:p w14:paraId="09C98625" w14:textId="77777777" w:rsidR="00000000" w:rsidRDefault="0068293C">
      <w:pPr>
        <w:jc w:val="both"/>
        <w:rPr>
          <w:rFonts w:eastAsia="Times New Roman"/>
        </w:rPr>
      </w:pPr>
    </w:p>
    <w:p w14:paraId="132BDC70" w14:textId="77777777" w:rsidR="00000000" w:rsidRDefault="0068293C">
      <w:pPr>
        <w:jc w:val="both"/>
        <w:rPr>
          <w:rFonts w:eastAsia="Times New Roman"/>
        </w:rPr>
      </w:pPr>
      <w:r>
        <w:rPr>
          <w:rFonts w:eastAsia="Times New Roman"/>
          <w:color w:val="000000"/>
          <w:sz w:val="20"/>
          <w:szCs w:val="20"/>
        </w:rPr>
        <w:t xml:space="preserve">We </w:t>
      </w:r>
      <w:r>
        <w:rPr>
          <w:rFonts w:eastAsia="Times New Roman"/>
          <w:color w:val="000000"/>
          <w:sz w:val="20"/>
          <w:szCs w:val="20"/>
        </w:rPr>
        <w:t>also utilize foreign exchange contracts to hedge our exposure of assets and liabilities denominated in non-functional currencies. We recognize the gains and losses on these types of hedges in earnings as exchange rates change.</w:t>
      </w:r>
    </w:p>
    <w:p w14:paraId="14B4787E" w14:textId="77777777" w:rsidR="00000000" w:rsidRDefault="0068293C">
      <w:pPr>
        <w:jc w:val="both"/>
        <w:rPr>
          <w:rFonts w:eastAsia="Times New Roman"/>
        </w:rPr>
      </w:pPr>
    </w:p>
    <w:p w14:paraId="6A7F2CC3" w14:textId="77777777" w:rsidR="00000000" w:rsidRDefault="0068293C">
      <w:pPr>
        <w:jc w:val="both"/>
        <w:rPr>
          <w:rFonts w:eastAsia="Times New Roman"/>
        </w:rPr>
      </w:pPr>
      <w:r>
        <w:rPr>
          <w:rFonts w:eastAsia="Times New Roman"/>
          <w:b/>
          <w:bCs/>
          <w:color w:val="000000"/>
          <w:sz w:val="20"/>
          <w:szCs w:val="20"/>
        </w:rPr>
        <w:t xml:space="preserve">Interest Rate Risk </w:t>
      </w:r>
      <w:r>
        <w:rPr>
          <w:rFonts w:eastAsia="Times New Roman"/>
          <w:color w:val="000000"/>
          <w:sz w:val="20"/>
          <w:szCs w:val="20"/>
        </w:rPr>
        <w:t>The Company designates Interest Rate Derivative contracts as cash flow hedges of forecasted transactions when they are determined to be highly effective at inception.</w:t>
      </w:r>
    </w:p>
    <w:p w14:paraId="2BE512C4" w14:textId="77777777" w:rsidR="00000000" w:rsidRDefault="0068293C">
      <w:pPr>
        <w:jc w:val="both"/>
        <w:rPr>
          <w:rFonts w:eastAsia="Times New Roman"/>
        </w:rPr>
      </w:pPr>
    </w:p>
    <w:p w14:paraId="0E0DA3CD" w14:textId="77777777" w:rsidR="00000000" w:rsidRDefault="0068293C">
      <w:pPr>
        <w:jc w:val="both"/>
        <w:rPr>
          <w:rFonts w:eastAsia="Times New Roman"/>
        </w:rPr>
      </w:pPr>
      <w:r>
        <w:rPr>
          <w:rFonts w:eastAsia="Times New Roman"/>
          <w:color w:val="000000"/>
          <w:sz w:val="20"/>
          <w:szCs w:val="20"/>
        </w:rPr>
        <w:t>We utilize interest rate swap contracts or interest rate cap agreements to add stability to interest cost and to manage exposure to interest rate movements as part of our interest rate risk management strategy. Payments and receipts related to Interest Rat</w:t>
      </w:r>
      <w:r>
        <w:rPr>
          <w:rFonts w:eastAsia="Times New Roman"/>
          <w:color w:val="000000"/>
          <w:sz w:val="20"/>
          <w:szCs w:val="20"/>
        </w:rPr>
        <w:t xml:space="preserve">e Derivatives are included in cash flows from operating activities in the Condensed Consolidated Statements of Cash Flows. </w:t>
      </w:r>
    </w:p>
    <w:p w14:paraId="3C51A499" w14:textId="77777777" w:rsidR="00000000" w:rsidRDefault="0068293C">
      <w:pPr>
        <w:jc w:val="both"/>
        <w:rPr>
          <w:rFonts w:eastAsia="Times New Roman"/>
        </w:rPr>
      </w:pPr>
    </w:p>
    <w:p w14:paraId="2324531B" w14:textId="77777777" w:rsidR="00000000" w:rsidRDefault="0068293C">
      <w:pPr>
        <w:jc w:val="both"/>
        <w:rPr>
          <w:rFonts w:eastAsia="Times New Roman"/>
        </w:rPr>
      </w:pPr>
      <w:r>
        <w:rPr>
          <w:rFonts w:eastAsia="Times New Roman"/>
          <w:color w:val="000000"/>
          <w:sz w:val="20"/>
          <w:szCs w:val="20"/>
        </w:rPr>
        <w:t>In January 2022, the Company executed a $250 million notional amount interest rate swap contract terminating on January 1, 2025. T</w:t>
      </w:r>
      <w:r>
        <w:rPr>
          <w:rFonts w:eastAsia="Times New Roman"/>
          <w:color w:val="000000"/>
          <w:sz w:val="20"/>
          <w:szCs w:val="20"/>
        </w:rPr>
        <w:t>he interest rate swap contract has a fixed rate of 1.43% and has been designated as a cash flow hedge of floating interest rate cost associated with the Company's U.S. Dollar vault cash agreements.</w:t>
      </w:r>
    </w:p>
    <w:p w14:paraId="4394FE43" w14:textId="77777777" w:rsidR="00000000" w:rsidRDefault="0068293C">
      <w:pPr>
        <w:jc w:val="both"/>
        <w:rPr>
          <w:rFonts w:eastAsia="Times New Roman"/>
        </w:rPr>
      </w:pPr>
    </w:p>
    <w:p w14:paraId="45EB26CF" w14:textId="77777777" w:rsidR="00000000" w:rsidRDefault="0068293C">
      <w:pPr>
        <w:jc w:val="both"/>
        <w:rPr>
          <w:rFonts w:eastAsia="Times New Roman"/>
        </w:rPr>
      </w:pPr>
      <w:r>
        <w:rPr>
          <w:rFonts w:eastAsia="Times New Roman"/>
          <w:color w:val="000000"/>
          <w:sz w:val="20"/>
          <w:szCs w:val="20"/>
        </w:rPr>
        <w:t>In March 2022, the Company terminated the outstanding $2</w:t>
      </w:r>
      <w:r>
        <w:rPr>
          <w:rFonts w:eastAsia="Times New Roman"/>
          <w:color w:val="000000"/>
          <w:sz w:val="20"/>
          <w:szCs w:val="20"/>
        </w:rPr>
        <w:t> billion notional amount interest rate cap agreements maturing in 2024 for proceeds of $64 million. The gains will be recognized ratably through July 1, 2024, corresponding to the term of the original interest rate cap agreements.</w:t>
      </w:r>
    </w:p>
    <w:p w14:paraId="693C9E33" w14:textId="77777777" w:rsidR="00000000" w:rsidRDefault="0068293C">
      <w:pPr>
        <w:jc w:val="both"/>
        <w:rPr>
          <w:rFonts w:eastAsia="Times New Roman"/>
        </w:rPr>
      </w:pPr>
    </w:p>
    <w:p w14:paraId="558E03E9" w14:textId="77777777" w:rsidR="00000000" w:rsidRDefault="0068293C">
      <w:pPr>
        <w:jc w:val="both"/>
        <w:rPr>
          <w:rFonts w:eastAsia="Times New Roman"/>
        </w:rPr>
      </w:pPr>
      <w:r>
        <w:rPr>
          <w:rFonts w:eastAsia="Times New Roman"/>
          <w:color w:val="000000"/>
          <w:sz w:val="20"/>
          <w:szCs w:val="20"/>
        </w:rPr>
        <w:t>In March 2022, the Comp</w:t>
      </w:r>
      <w:r>
        <w:rPr>
          <w:rFonts w:eastAsia="Times New Roman"/>
          <w:color w:val="000000"/>
          <w:sz w:val="20"/>
          <w:szCs w:val="20"/>
        </w:rPr>
        <w:t xml:space="preserve">any executed $2.2 billion aggregate notional amount interest rate swap contracts that began April 1, 2022 and terminate April 1, 2025. These interest rate swap contracts have fixed rates ranging from 2.078% to 2.443%, and have been designated as cash flow </w:t>
      </w:r>
      <w:r>
        <w:rPr>
          <w:rFonts w:eastAsia="Times New Roman"/>
          <w:color w:val="000000"/>
          <w:sz w:val="20"/>
          <w:szCs w:val="20"/>
        </w:rPr>
        <w:t>hedges of the floating rate interest associated with the Company’s U.S. Dollar and U.K. Pound Sterling vault cash agreements and TLA Facility.</w:t>
      </w:r>
    </w:p>
    <w:p w14:paraId="4438E560" w14:textId="77777777" w:rsidR="00000000" w:rsidRDefault="0068293C">
      <w:pPr>
        <w:jc w:val="both"/>
        <w:rPr>
          <w:rFonts w:eastAsia="Times New Roman"/>
        </w:rPr>
      </w:pPr>
    </w:p>
    <w:p w14:paraId="55C464A6" w14:textId="77777777" w:rsidR="00000000" w:rsidRDefault="0068293C">
      <w:pPr>
        <w:jc w:val="both"/>
        <w:rPr>
          <w:rFonts w:eastAsia="Times New Roman"/>
        </w:rPr>
      </w:pPr>
      <w:r>
        <w:rPr>
          <w:rFonts w:eastAsia="Times New Roman"/>
          <w:color w:val="000000"/>
          <w:sz w:val="20"/>
          <w:szCs w:val="20"/>
        </w:rPr>
        <w:t>At March 31, 2022, each of our outstanding Interest Rate Derivative agreements were determined to be highly eff</w:t>
      </w:r>
      <w:r>
        <w:rPr>
          <w:rFonts w:eastAsia="Times New Roman"/>
          <w:color w:val="000000"/>
          <w:sz w:val="20"/>
          <w:szCs w:val="20"/>
        </w:rPr>
        <w:t>ective. Amounts reported in Accumulated other comprehensive income related to these derivatives will be reclassified to Interest expense and Cost of services as payments are made on the Company’s variable-rate debt and vault cash rental obligations, respec</w:t>
      </w:r>
      <w:r>
        <w:rPr>
          <w:rFonts w:eastAsia="Times New Roman"/>
          <w:color w:val="000000"/>
          <w:sz w:val="20"/>
          <w:szCs w:val="20"/>
        </w:rPr>
        <w:t xml:space="preserve">tively. As of March 31, 2022 and December 31, 2021, the balance in AOCI related to Interest Rate Derivatives was $53 million and $8 million, respectively. </w:t>
      </w:r>
    </w:p>
    <w:p w14:paraId="6A5606CC" w14:textId="77777777" w:rsidR="00000000" w:rsidRDefault="0068293C">
      <w:pPr>
        <w:jc w:val="both"/>
        <w:rPr>
          <w:rFonts w:eastAsia="Times New Roman"/>
        </w:rPr>
      </w:pPr>
    </w:p>
    <w:p w14:paraId="014FBFCB" w14:textId="77777777" w:rsidR="00000000" w:rsidRDefault="0068293C">
      <w:pPr>
        <w:jc w:val="both"/>
        <w:rPr>
          <w:rFonts w:eastAsia="Times New Roman"/>
        </w:rPr>
      </w:pPr>
    </w:p>
    <w:p w14:paraId="6B7D6FA3" w14:textId="77777777" w:rsidR="00000000" w:rsidRDefault="0068293C">
      <w:pPr>
        <w:jc w:val="both"/>
        <w:rPr>
          <w:rFonts w:eastAsia="Times New Roman"/>
        </w:rPr>
      </w:pPr>
    </w:p>
    <w:p w14:paraId="4630B674" w14:textId="77777777" w:rsidR="00000000" w:rsidRDefault="0068293C">
      <w:pPr>
        <w:jc w:val="both"/>
        <w:rPr>
          <w:rFonts w:eastAsia="Times New Roman"/>
        </w:rPr>
      </w:pPr>
    </w:p>
    <w:p w14:paraId="55D45748" w14:textId="77777777" w:rsidR="00000000" w:rsidRDefault="0068293C">
      <w:pPr>
        <w:jc w:val="both"/>
        <w:rPr>
          <w:rFonts w:eastAsia="Times New Roman"/>
        </w:rPr>
      </w:pPr>
    </w:p>
    <w:p w14:paraId="4E254883" w14:textId="77777777" w:rsidR="00000000" w:rsidRDefault="0068293C">
      <w:pPr>
        <w:jc w:val="both"/>
        <w:rPr>
          <w:rFonts w:eastAsia="Times New Roman"/>
        </w:rPr>
      </w:pPr>
    </w:p>
    <w:p w14:paraId="075B9DE3" w14:textId="77777777" w:rsidR="00000000" w:rsidRDefault="0068293C">
      <w:pPr>
        <w:jc w:val="both"/>
        <w:rPr>
          <w:rFonts w:eastAsia="Times New Roman"/>
        </w:rPr>
      </w:pPr>
    </w:p>
    <w:p w14:paraId="60C4CE34" w14:textId="77777777" w:rsidR="00000000" w:rsidRDefault="0068293C">
      <w:pPr>
        <w:jc w:val="both"/>
        <w:rPr>
          <w:rFonts w:eastAsia="Times New Roman"/>
        </w:rPr>
      </w:pPr>
    </w:p>
    <w:p w14:paraId="79277854" w14:textId="77777777" w:rsidR="00000000" w:rsidRDefault="0068293C">
      <w:pPr>
        <w:jc w:val="both"/>
        <w:rPr>
          <w:rFonts w:eastAsia="Times New Roman"/>
        </w:rPr>
      </w:pPr>
    </w:p>
    <w:p w14:paraId="7A402DBE" w14:textId="77777777" w:rsidR="00000000" w:rsidRDefault="0068293C">
      <w:pPr>
        <w:jc w:val="center"/>
        <w:divId w:val="2129085728"/>
        <w:rPr>
          <w:rFonts w:eastAsia="Times New Roman"/>
        </w:rPr>
      </w:pPr>
      <w:r>
        <w:rPr>
          <w:rFonts w:eastAsia="Times New Roman"/>
          <w:color w:val="000000"/>
          <w:sz w:val="20"/>
          <w:szCs w:val="20"/>
        </w:rPr>
        <w:t>29</w:t>
      </w:r>
    </w:p>
    <w:p w14:paraId="0B27BC5A" w14:textId="77777777" w:rsidR="00000000" w:rsidRDefault="0068293C">
      <w:pPr>
        <w:rPr>
          <w:rFonts w:eastAsia="Times New Roman"/>
        </w:rPr>
      </w:pPr>
      <w:r>
        <w:rPr>
          <w:rFonts w:eastAsia="Times New Roman"/>
        </w:rPr>
        <w:pict w14:anchorId="37C82EBB">
          <v:rect id="_x0000_i1054" style="width:0;height:1.5pt" o:hralign="center" o:hrstd="t" o:hr="t" fillcolor="#a0a0a0" stroked="f"/>
        </w:pict>
      </w:r>
    </w:p>
    <w:p w14:paraId="0E717295" w14:textId="77777777" w:rsidR="00000000" w:rsidRDefault="0068293C">
      <w:pPr>
        <w:ind w:firstLine="720"/>
        <w:divId w:val="925503652"/>
        <w:rPr>
          <w:rFonts w:eastAsia="Times New Roman"/>
        </w:rPr>
      </w:pPr>
      <w:hyperlink w:anchor="i78484f3d0d8e4e36a7c87ddd6ea9d725_7" w:history="1">
        <w:r>
          <w:rPr>
            <w:rStyle w:val="a3"/>
            <w:rFonts w:eastAsia="Times New Roman"/>
            <w:sz w:val="16"/>
            <w:szCs w:val="16"/>
          </w:rPr>
          <w:t>Table of Content</w:t>
        </w:r>
      </w:hyperlink>
    </w:p>
    <w:p w14:paraId="31458636" w14:textId="77777777" w:rsidR="00000000" w:rsidRDefault="0068293C">
      <w:pPr>
        <w:jc w:val="center"/>
        <w:divId w:val="1691756455"/>
        <w:rPr>
          <w:rFonts w:eastAsia="Times New Roman"/>
        </w:rPr>
      </w:pPr>
      <w:r>
        <w:rPr>
          <w:rFonts w:eastAsia="Times New Roman"/>
          <w:b/>
          <w:bCs/>
          <w:color w:val="000000"/>
          <w:sz w:val="20"/>
          <w:szCs w:val="20"/>
        </w:rPr>
        <w:t>NCR Corporation</w:t>
      </w:r>
    </w:p>
    <w:p w14:paraId="533A956A" w14:textId="77777777" w:rsidR="00000000" w:rsidRDefault="0068293C">
      <w:pPr>
        <w:jc w:val="center"/>
        <w:divId w:val="1691756455"/>
        <w:rPr>
          <w:rFonts w:eastAsia="Times New Roman"/>
        </w:rPr>
      </w:pPr>
      <w:r>
        <w:rPr>
          <w:rFonts w:eastAsia="Times New Roman"/>
          <w:b/>
          <w:bCs/>
          <w:color w:val="000000"/>
          <w:sz w:val="20"/>
          <w:szCs w:val="20"/>
        </w:rPr>
        <w:t>Notes to Condensed Consolidated Financial Statements (Unaudited)—(Continued)</w:t>
      </w:r>
    </w:p>
    <w:p w14:paraId="0982EE82" w14:textId="77777777" w:rsidR="00000000" w:rsidRDefault="0068293C">
      <w:pPr>
        <w:jc w:val="both"/>
        <w:rPr>
          <w:rFonts w:eastAsia="Times New Roman"/>
        </w:rPr>
      </w:pPr>
      <w:r>
        <w:rPr>
          <w:rFonts w:eastAsia="Times New Roman"/>
          <w:color w:val="000000"/>
          <w:sz w:val="20"/>
          <w:szCs w:val="20"/>
        </w:rPr>
        <w:t>The following tables provide information on the location and amounts of derivative fair values in the Condensed Consolidated Balan</w:t>
      </w:r>
      <w:r>
        <w:rPr>
          <w:rFonts w:eastAsia="Times New Roman"/>
          <w:color w:val="000000"/>
          <w:sz w:val="20"/>
          <w:szCs w:val="20"/>
        </w:rPr>
        <w:t>ce Sheets:</w:t>
      </w:r>
    </w:p>
    <w:tbl>
      <w:tblPr>
        <w:tblW w:w="4985" w:type="pct"/>
        <w:tblCellMar>
          <w:top w:w="15" w:type="dxa"/>
          <w:left w:w="15" w:type="dxa"/>
          <w:bottom w:w="15" w:type="dxa"/>
          <w:right w:w="15" w:type="dxa"/>
        </w:tblCellMar>
        <w:tblLook w:val="04A0" w:firstRow="1" w:lastRow="0" w:firstColumn="1" w:lastColumn="0" w:noHBand="0" w:noVBand="1"/>
      </w:tblPr>
      <w:tblGrid>
        <w:gridCol w:w="38"/>
        <w:gridCol w:w="2955"/>
        <w:gridCol w:w="36"/>
        <w:gridCol w:w="62"/>
        <w:gridCol w:w="1156"/>
        <w:gridCol w:w="36"/>
        <w:gridCol w:w="36"/>
        <w:gridCol w:w="36"/>
        <w:gridCol w:w="36"/>
        <w:gridCol w:w="120"/>
        <w:gridCol w:w="500"/>
        <w:gridCol w:w="36"/>
        <w:gridCol w:w="36"/>
        <w:gridCol w:w="36"/>
        <w:gridCol w:w="36"/>
        <w:gridCol w:w="121"/>
        <w:gridCol w:w="357"/>
        <w:gridCol w:w="36"/>
        <w:gridCol w:w="36"/>
        <w:gridCol w:w="36"/>
        <w:gridCol w:w="36"/>
        <w:gridCol w:w="62"/>
        <w:gridCol w:w="988"/>
        <w:gridCol w:w="36"/>
        <w:gridCol w:w="36"/>
        <w:gridCol w:w="36"/>
        <w:gridCol w:w="36"/>
        <w:gridCol w:w="121"/>
        <w:gridCol w:w="531"/>
        <w:gridCol w:w="36"/>
        <w:gridCol w:w="36"/>
        <w:gridCol w:w="36"/>
        <w:gridCol w:w="36"/>
        <w:gridCol w:w="121"/>
        <w:gridCol w:w="357"/>
        <w:gridCol w:w="36"/>
      </w:tblGrid>
      <w:tr w:rsidR="00000000" w14:paraId="0C10C4A7" w14:textId="77777777">
        <w:trPr>
          <w:divId w:val="1649289234"/>
        </w:trPr>
        <w:tc>
          <w:tcPr>
            <w:tcW w:w="50" w:type="pct"/>
            <w:vAlign w:val="center"/>
            <w:hideMark/>
          </w:tcPr>
          <w:p w14:paraId="7F04B362" w14:textId="77777777" w:rsidR="00000000" w:rsidRDefault="0068293C">
            <w:pPr>
              <w:jc w:val="both"/>
              <w:rPr>
                <w:rFonts w:eastAsia="Times New Roman"/>
              </w:rPr>
            </w:pPr>
          </w:p>
        </w:tc>
        <w:tc>
          <w:tcPr>
            <w:tcW w:w="1829" w:type="pct"/>
            <w:vAlign w:val="center"/>
            <w:hideMark/>
          </w:tcPr>
          <w:p w14:paraId="7262C5B6" w14:textId="77777777" w:rsidR="00000000" w:rsidRDefault="0068293C">
            <w:pPr>
              <w:spacing w:after="100"/>
              <w:rPr>
                <w:rFonts w:eastAsia="Times New Roman"/>
                <w:sz w:val="20"/>
                <w:szCs w:val="20"/>
              </w:rPr>
            </w:pPr>
          </w:p>
        </w:tc>
        <w:tc>
          <w:tcPr>
            <w:tcW w:w="5" w:type="pct"/>
            <w:vAlign w:val="center"/>
            <w:hideMark/>
          </w:tcPr>
          <w:p w14:paraId="5247D4EC" w14:textId="77777777" w:rsidR="00000000" w:rsidRDefault="0068293C">
            <w:pPr>
              <w:spacing w:after="100"/>
              <w:rPr>
                <w:rFonts w:eastAsia="Times New Roman"/>
                <w:sz w:val="20"/>
                <w:szCs w:val="20"/>
              </w:rPr>
            </w:pPr>
          </w:p>
        </w:tc>
        <w:tc>
          <w:tcPr>
            <w:tcW w:w="50" w:type="pct"/>
            <w:vAlign w:val="center"/>
            <w:hideMark/>
          </w:tcPr>
          <w:p w14:paraId="28C03AAD" w14:textId="77777777" w:rsidR="00000000" w:rsidRDefault="0068293C">
            <w:pPr>
              <w:spacing w:after="100"/>
              <w:rPr>
                <w:rFonts w:eastAsia="Times New Roman"/>
                <w:sz w:val="20"/>
                <w:szCs w:val="20"/>
              </w:rPr>
            </w:pPr>
          </w:p>
        </w:tc>
        <w:tc>
          <w:tcPr>
            <w:tcW w:w="758" w:type="pct"/>
            <w:vAlign w:val="center"/>
            <w:hideMark/>
          </w:tcPr>
          <w:p w14:paraId="7197C9A0" w14:textId="77777777" w:rsidR="00000000" w:rsidRDefault="0068293C">
            <w:pPr>
              <w:spacing w:after="100"/>
              <w:rPr>
                <w:rFonts w:eastAsia="Times New Roman"/>
                <w:sz w:val="20"/>
                <w:szCs w:val="20"/>
              </w:rPr>
            </w:pPr>
          </w:p>
        </w:tc>
        <w:tc>
          <w:tcPr>
            <w:tcW w:w="5" w:type="pct"/>
            <w:vAlign w:val="center"/>
            <w:hideMark/>
          </w:tcPr>
          <w:p w14:paraId="671EE39A" w14:textId="77777777" w:rsidR="00000000" w:rsidRDefault="0068293C">
            <w:pPr>
              <w:spacing w:after="100"/>
              <w:rPr>
                <w:rFonts w:eastAsia="Times New Roman"/>
                <w:sz w:val="20"/>
                <w:szCs w:val="20"/>
              </w:rPr>
            </w:pPr>
          </w:p>
        </w:tc>
        <w:tc>
          <w:tcPr>
            <w:tcW w:w="5" w:type="pct"/>
            <w:vAlign w:val="center"/>
            <w:hideMark/>
          </w:tcPr>
          <w:p w14:paraId="270E7B1D" w14:textId="77777777" w:rsidR="00000000" w:rsidRDefault="0068293C">
            <w:pPr>
              <w:spacing w:after="100"/>
              <w:rPr>
                <w:rFonts w:eastAsia="Times New Roman"/>
                <w:sz w:val="20"/>
                <w:szCs w:val="20"/>
              </w:rPr>
            </w:pPr>
          </w:p>
        </w:tc>
        <w:tc>
          <w:tcPr>
            <w:tcW w:w="26" w:type="pct"/>
            <w:vAlign w:val="center"/>
            <w:hideMark/>
          </w:tcPr>
          <w:p w14:paraId="7195DE26" w14:textId="77777777" w:rsidR="00000000" w:rsidRDefault="0068293C">
            <w:pPr>
              <w:spacing w:after="100"/>
              <w:rPr>
                <w:rFonts w:eastAsia="Times New Roman"/>
                <w:sz w:val="20"/>
                <w:szCs w:val="20"/>
              </w:rPr>
            </w:pPr>
          </w:p>
        </w:tc>
        <w:tc>
          <w:tcPr>
            <w:tcW w:w="5" w:type="pct"/>
            <w:vAlign w:val="center"/>
            <w:hideMark/>
          </w:tcPr>
          <w:p w14:paraId="1D78571C" w14:textId="77777777" w:rsidR="00000000" w:rsidRDefault="0068293C">
            <w:pPr>
              <w:spacing w:after="100"/>
              <w:rPr>
                <w:rFonts w:eastAsia="Times New Roman"/>
                <w:sz w:val="20"/>
                <w:szCs w:val="20"/>
              </w:rPr>
            </w:pPr>
          </w:p>
        </w:tc>
        <w:tc>
          <w:tcPr>
            <w:tcW w:w="50" w:type="pct"/>
            <w:vAlign w:val="center"/>
            <w:hideMark/>
          </w:tcPr>
          <w:p w14:paraId="2CB29807" w14:textId="77777777" w:rsidR="00000000" w:rsidRDefault="0068293C">
            <w:pPr>
              <w:spacing w:after="100"/>
              <w:rPr>
                <w:rFonts w:eastAsia="Times New Roman"/>
                <w:sz w:val="20"/>
                <w:szCs w:val="20"/>
              </w:rPr>
            </w:pPr>
          </w:p>
        </w:tc>
        <w:tc>
          <w:tcPr>
            <w:tcW w:w="304" w:type="pct"/>
            <w:vAlign w:val="center"/>
            <w:hideMark/>
          </w:tcPr>
          <w:p w14:paraId="5A7F09A0" w14:textId="77777777" w:rsidR="00000000" w:rsidRDefault="0068293C">
            <w:pPr>
              <w:spacing w:after="100"/>
              <w:rPr>
                <w:rFonts w:eastAsia="Times New Roman"/>
                <w:sz w:val="20"/>
                <w:szCs w:val="20"/>
              </w:rPr>
            </w:pPr>
          </w:p>
        </w:tc>
        <w:tc>
          <w:tcPr>
            <w:tcW w:w="5" w:type="pct"/>
            <w:vAlign w:val="center"/>
            <w:hideMark/>
          </w:tcPr>
          <w:p w14:paraId="56A12B18" w14:textId="77777777" w:rsidR="00000000" w:rsidRDefault="0068293C">
            <w:pPr>
              <w:spacing w:after="100"/>
              <w:rPr>
                <w:rFonts w:eastAsia="Times New Roman"/>
                <w:sz w:val="20"/>
                <w:szCs w:val="20"/>
              </w:rPr>
            </w:pPr>
          </w:p>
        </w:tc>
        <w:tc>
          <w:tcPr>
            <w:tcW w:w="5" w:type="pct"/>
            <w:vAlign w:val="center"/>
            <w:hideMark/>
          </w:tcPr>
          <w:p w14:paraId="7FFF2E1A" w14:textId="77777777" w:rsidR="00000000" w:rsidRDefault="0068293C">
            <w:pPr>
              <w:spacing w:after="100"/>
              <w:rPr>
                <w:rFonts w:eastAsia="Times New Roman"/>
                <w:sz w:val="20"/>
                <w:szCs w:val="20"/>
              </w:rPr>
            </w:pPr>
          </w:p>
        </w:tc>
        <w:tc>
          <w:tcPr>
            <w:tcW w:w="26" w:type="pct"/>
            <w:vAlign w:val="center"/>
            <w:hideMark/>
          </w:tcPr>
          <w:p w14:paraId="7B989B58" w14:textId="77777777" w:rsidR="00000000" w:rsidRDefault="0068293C">
            <w:pPr>
              <w:spacing w:after="100"/>
              <w:rPr>
                <w:rFonts w:eastAsia="Times New Roman"/>
                <w:sz w:val="20"/>
                <w:szCs w:val="20"/>
              </w:rPr>
            </w:pPr>
          </w:p>
        </w:tc>
        <w:tc>
          <w:tcPr>
            <w:tcW w:w="5" w:type="pct"/>
            <w:vAlign w:val="center"/>
            <w:hideMark/>
          </w:tcPr>
          <w:p w14:paraId="288C8192" w14:textId="77777777" w:rsidR="00000000" w:rsidRDefault="0068293C">
            <w:pPr>
              <w:spacing w:after="100"/>
              <w:rPr>
                <w:rFonts w:eastAsia="Times New Roman"/>
                <w:sz w:val="20"/>
                <w:szCs w:val="20"/>
              </w:rPr>
            </w:pPr>
          </w:p>
        </w:tc>
        <w:tc>
          <w:tcPr>
            <w:tcW w:w="50" w:type="pct"/>
            <w:vAlign w:val="center"/>
            <w:hideMark/>
          </w:tcPr>
          <w:p w14:paraId="31538898" w14:textId="77777777" w:rsidR="00000000" w:rsidRDefault="0068293C">
            <w:pPr>
              <w:spacing w:after="100"/>
              <w:rPr>
                <w:rFonts w:eastAsia="Times New Roman"/>
                <w:sz w:val="20"/>
                <w:szCs w:val="20"/>
              </w:rPr>
            </w:pPr>
          </w:p>
        </w:tc>
        <w:tc>
          <w:tcPr>
            <w:tcW w:w="238" w:type="pct"/>
            <w:vAlign w:val="center"/>
            <w:hideMark/>
          </w:tcPr>
          <w:p w14:paraId="6CABFECA" w14:textId="77777777" w:rsidR="00000000" w:rsidRDefault="0068293C">
            <w:pPr>
              <w:spacing w:after="100"/>
              <w:rPr>
                <w:rFonts w:eastAsia="Times New Roman"/>
                <w:sz w:val="20"/>
                <w:szCs w:val="20"/>
              </w:rPr>
            </w:pPr>
          </w:p>
        </w:tc>
        <w:tc>
          <w:tcPr>
            <w:tcW w:w="5" w:type="pct"/>
            <w:vAlign w:val="center"/>
            <w:hideMark/>
          </w:tcPr>
          <w:p w14:paraId="1D5A87D7" w14:textId="77777777" w:rsidR="00000000" w:rsidRDefault="0068293C">
            <w:pPr>
              <w:spacing w:after="100"/>
              <w:rPr>
                <w:rFonts w:eastAsia="Times New Roman"/>
                <w:sz w:val="20"/>
                <w:szCs w:val="20"/>
              </w:rPr>
            </w:pPr>
          </w:p>
        </w:tc>
        <w:tc>
          <w:tcPr>
            <w:tcW w:w="5" w:type="pct"/>
            <w:vAlign w:val="center"/>
            <w:hideMark/>
          </w:tcPr>
          <w:p w14:paraId="351A11B5" w14:textId="77777777" w:rsidR="00000000" w:rsidRDefault="0068293C">
            <w:pPr>
              <w:spacing w:after="100"/>
              <w:rPr>
                <w:rFonts w:eastAsia="Times New Roman"/>
                <w:sz w:val="20"/>
                <w:szCs w:val="20"/>
              </w:rPr>
            </w:pPr>
          </w:p>
        </w:tc>
        <w:tc>
          <w:tcPr>
            <w:tcW w:w="26" w:type="pct"/>
            <w:vAlign w:val="center"/>
            <w:hideMark/>
          </w:tcPr>
          <w:p w14:paraId="442614FC" w14:textId="77777777" w:rsidR="00000000" w:rsidRDefault="0068293C">
            <w:pPr>
              <w:spacing w:after="100"/>
              <w:rPr>
                <w:rFonts w:eastAsia="Times New Roman"/>
                <w:sz w:val="20"/>
                <w:szCs w:val="20"/>
              </w:rPr>
            </w:pPr>
          </w:p>
        </w:tc>
        <w:tc>
          <w:tcPr>
            <w:tcW w:w="5" w:type="pct"/>
            <w:vAlign w:val="center"/>
            <w:hideMark/>
          </w:tcPr>
          <w:p w14:paraId="03FFE549" w14:textId="77777777" w:rsidR="00000000" w:rsidRDefault="0068293C">
            <w:pPr>
              <w:spacing w:after="100"/>
              <w:rPr>
                <w:rFonts w:eastAsia="Times New Roman"/>
                <w:sz w:val="20"/>
                <w:szCs w:val="20"/>
              </w:rPr>
            </w:pPr>
          </w:p>
        </w:tc>
        <w:tc>
          <w:tcPr>
            <w:tcW w:w="50" w:type="pct"/>
            <w:vAlign w:val="center"/>
            <w:hideMark/>
          </w:tcPr>
          <w:p w14:paraId="0B0BDDEA" w14:textId="77777777" w:rsidR="00000000" w:rsidRDefault="0068293C">
            <w:pPr>
              <w:spacing w:after="100"/>
              <w:rPr>
                <w:rFonts w:eastAsia="Times New Roman"/>
                <w:sz w:val="20"/>
                <w:szCs w:val="20"/>
              </w:rPr>
            </w:pPr>
          </w:p>
        </w:tc>
        <w:tc>
          <w:tcPr>
            <w:tcW w:w="758" w:type="pct"/>
            <w:vAlign w:val="center"/>
            <w:hideMark/>
          </w:tcPr>
          <w:p w14:paraId="614D1CEB" w14:textId="77777777" w:rsidR="00000000" w:rsidRDefault="0068293C">
            <w:pPr>
              <w:spacing w:after="100"/>
              <w:rPr>
                <w:rFonts w:eastAsia="Times New Roman"/>
                <w:sz w:val="20"/>
                <w:szCs w:val="20"/>
              </w:rPr>
            </w:pPr>
          </w:p>
        </w:tc>
        <w:tc>
          <w:tcPr>
            <w:tcW w:w="5" w:type="pct"/>
            <w:vAlign w:val="center"/>
            <w:hideMark/>
          </w:tcPr>
          <w:p w14:paraId="665B4513" w14:textId="77777777" w:rsidR="00000000" w:rsidRDefault="0068293C">
            <w:pPr>
              <w:spacing w:after="100"/>
              <w:rPr>
                <w:rFonts w:eastAsia="Times New Roman"/>
                <w:sz w:val="20"/>
                <w:szCs w:val="20"/>
              </w:rPr>
            </w:pPr>
          </w:p>
        </w:tc>
        <w:tc>
          <w:tcPr>
            <w:tcW w:w="5" w:type="pct"/>
            <w:vAlign w:val="center"/>
            <w:hideMark/>
          </w:tcPr>
          <w:p w14:paraId="5675E4B5" w14:textId="77777777" w:rsidR="00000000" w:rsidRDefault="0068293C">
            <w:pPr>
              <w:spacing w:after="100"/>
              <w:rPr>
                <w:rFonts w:eastAsia="Times New Roman"/>
                <w:sz w:val="20"/>
                <w:szCs w:val="20"/>
              </w:rPr>
            </w:pPr>
          </w:p>
        </w:tc>
        <w:tc>
          <w:tcPr>
            <w:tcW w:w="26" w:type="pct"/>
            <w:vAlign w:val="center"/>
            <w:hideMark/>
          </w:tcPr>
          <w:p w14:paraId="03D3E8CC" w14:textId="77777777" w:rsidR="00000000" w:rsidRDefault="0068293C">
            <w:pPr>
              <w:spacing w:after="100"/>
              <w:rPr>
                <w:rFonts w:eastAsia="Times New Roman"/>
                <w:sz w:val="20"/>
                <w:szCs w:val="20"/>
              </w:rPr>
            </w:pPr>
          </w:p>
        </w:tc>
        <w:tc>
          <w:tcPr>
            <w:tcW w:w="5" w:type="pct"/>
            <w:vAlign w:val="center"/>
            <w:hideMark/>
          </w:tcPr>
          <w:p w14:paraId="739682F1" w14:textId="77777777" w:rsidR="00000000" w:rsidRDefault="0068293C">
            <w:pPr>
              <w:spacing w:after="100"/>
              <w:rPr>
                <w:rFonts w:eastAsia="Times New Roman"/>
                <w:sz w:val="20"/>
                <w:szCs w:val="20"/>
              </w:rPr>
            </w:pPr>
          </w:p>
        </w:tc>
        <w:tc>
          <w:tcPr>
            <w:tcW w:w="50" w:type="pct"/>
            <w:vAlign w:val="center"/>
            <w:hideMark/>
          </w:tcPr>
          <w:p w14:paraId="702A5787" w14:textId="77777777" w:rsidR="00000000" w:rsidRDefault="0068293C">
            <w:pPr>
              <w:spacing w:after="100"/>
              <w:rPr>
                <w:rFonts w:eastAsia="Times New Roman"/>
                <w:sz w:val="20"/>
                <w:szCs w:val="20"/>
              </w:rPr>
            </w:pPr>
          </w:p>
        </w:tc>
        <w:tc>
          <w:tcPr>
            <w:tcW w:w="304" w:type="pct"/>
            <w:vAlign w:val="center"/>
            <w:hideMark/>
          </w:tcPr>
          <w:p w14:paraId="236CB92D" w14:textId="77777777" w:rsidR="00000000" w:rsidRDefault="0068293C">
            <w:pPr>
              <w:spacing w:after="100"/>
              <w:rPr>
                <w:rFonts w:eastAsia="Times New Roman"/>
                <w:sz w:val="20"/>
                <w:szCs w:val="20"/>
              </w:rPr>
            </w:pPr>
          </w:p>
        </w:tc>
        <w:tc>
          <w:tcPr>
            <w:tcW w:w="5" w:type="pct"/>
            <w:vAlign w:val="center"/>
            <w:hideMark/>
          </w:tcPr>
          <w:p w14:paraId="1D08B2D0" w14:textId="77777777" w:rsidR="00000000" w:rsidRDefault="0068293C">
            <w:pPr>
              <w:spacing w:after="100"/>
              <w:rPr>
                <w:rFonts w:eastAsia="Times New Roman"/>
                <w:sz w:val="20"/>
                <w:szCs w:val="20"/>
              </w:rPr>
            </w:pPr>
          </w:p>
        </w:tc>
        <w:tc>
          <w:tcPr>
            <w:tcW w:w="5" w:type="pct"/>
            <w:vAlign w:val="center"/>
            <w:hideMark/>
          </w:tcPr>
          <w:p w14:paraId="71C0A9A1" w14:textId="77777777" w:rsidR="00000000" w:rsidRDefault="0068293C">
            <w:pPr>
              <w:spacing w:after="100"/>
              <w:rPr>
                <w:rFonts w:eastAsia="Times New Roman"/>
                <w:sz w:val="20"/>
                <w:szCs w:val="20"/>
              </w:rPr>
            </w:pPr>
          </w:p>
        </w:tc>
        <w:tc>
          <w:tcPr>
            <w:tcW w:w="26" w:type="pct"/>
            <w:vAlign w:val="center"/>
            <w:hideMark/>
          </w:tcPr>
          <w:p w14:paraId="07387E0D" w14:textId="77777777" w:rsidR="00000000" w:rsidRDefault="0068293C">
            <w:pPr>
              <w:spacing w:after="100"/>
              <w:rPr>
                <w:rFonts w:eastAsia="Times New Roman"/>
                <w:sz w:val="20"/>
                <w:szCs w:val="20"/>
              </w:rPr>
            </w:pPr>
          </w:p>
        </w:tc>
        <w:tc>
          <w:tcPr>
            <w:tcW w:w="5" w:type="pct"/>
            <w:vAlign w:val="center"/>
            <w:hideMark/>
          </w:tcPr>
          <w:p w14:paraId="1D48763E" w14:textId="77777777" w:rsidR="00000000" w:rsidRDefault="0068293C">
            <w:pPr>
              <w:spacing w:after="100"/>
              <w:rPr>
                <w:rFonts w:eastAsia="Times New Roman"/>
                <w:sz w:val="20"/>
                <w:szCs w:val="20"/>
              </w:rPr>
            </w:pPr>
          </w:p>
        </w:tc>
        <w:tc>
          <w:tcPr>
            <w:tcW w:w="50" w:type="pct"/>
            <w:vAlign w:val="center"/>
            <w:hideMark/>
          </w:tcPr>
          <w:p w14:paraId="7FECE0DE" w14:textId="77777777" w:rsidR="00000000" w:rsidRDefault="0068293C">
            <w:pPr>
              <w:spacing w:after="100"/>
              <w:rPr>
                <w:rFonts w:eastAsia="Times New Roman"/>
                <w:sz w:val="20"/>
                <w:szCs w:val="20"/>
              </w:rPr>
            </w:pPr>
          </w:p>
        </w:tc>
        <w:tc>
          <w:tcPr>
            <w:tcW w:w="238" w:type="pct"/>
            <w:vAlign w:val="center"/>
            <w:hideMark/>
          </w:tcPr>
          <w:p w14:paraId="3D7B9544" w14:textId="77777777" w:rsidR="00000000" w:rsidRDefault="0068293C">
            <w:pPr>
              <w:spacing w:after="100"/>
              <w:rPr>
                <w:rFonts w:eastAsia="Times New Roman"/>
                <w:sz w:val="20"/>
                <w:szCs w:val="20"/>
              </w:rPr>
            </w:pPr>
          </w:p>
        </w:tc>
        <w:tc>
          <w:tcPr>
            <w:tcW w:w="5" w:type="pct"/>
            <w:vAlign w:val="center"/>
            <w:hideMark/>
          </w:tcPr>
          <w:p w14:paraId="491A2BD7" w14:textId="77777777" w:rsidR="00000000" w:rsidRDefault="0068293C">
            <w:pPr>
              <w:spacing w:after="100"/>
              <w:rPr>
                <w:rFonts w:eastAsia="Times New Roman"/>
                <w:sz w:val="20"/>
                <w:szCs w:val="20"/>
              </w:rPr>
            </w:pPr>
          </w:p>
        </w:tc>
      </w:tr>
      <w:tr w:rsidR="00000000" w14:paraId="2F9A25A8" w14:textId="77777777">
        <w:trPr>
          <w:divId w:val="1649289234"/>
        </w:trPr>
        <w:tc>
          <w:tcPr>
            <w:tcW w:w="0" w:type="auto"/>
            <w:gridSpan w:val="3"/>
            <w:tcMar>
              <w:top w:w="0" w:type="dxa"/>
              <w:left w:w="20" w:type="dxa"/>
              <w:bottom w:w="0" w:type="dxa"/>
              <w:right w:w="20" w:type="dxa"/>
            </w:tcMar>
            <w:vAlign w:val="center"/>
            <w:hideMark/>
          </w:tcPr>
          <w:p w14:paraId="7A550392" w14:textId="77777777" w:rsidR="00000000" w:rsidRDefault="0068293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2A76EE21" w14:textId="77777777" w:rsidR="00000000" w:rsidRDefault="0068293C">
            <w:pPr>
              <w:spacing w:after="100"/>
              <w:jc w:val="center"/>
              <w:rPr>
                <w:rFonts w:eastAsia="Times New Roman"/>
              </w:rPr>
            </w:pPr>
            <w:r>
              <w:rPr>
                <w:rFonts w:eastAsia="Times New Roman"/>
                <w:b/>
                <w:bCs/>
                <w:color w:val="000000"/>
                <w:sz w:val="16"/>
                <w:szCs w:val="16"/>
              </w:rPr>
              <w:t>Fair Values of Derivative Instruments</w:t>
            </w:r>
          </w:p>
        </w:tc>
      </w:tr>
      <w:tr w:rsidR="00000000" w14:paraId="21445881" w14:textId="77777777">
        <w:trPr>
          <w:divId w:val="1649289234"/>
        </w:trPr>
        <w:tc>
          <w:tcPr>
            <w:tcW w:w="0" w:type="auto"/>
            <w:gridSpan w:val="3"/>
            <w:tcMar>
              <w:top w:w="0" w:type="dxa"/>
              <w:left w:w="20" w:type="dxa"/>
              <w:bottom w:w="0" w:type="dxa"/>
              <w:right w:w="20" w:type="dxa"/>
            </w:tcMar>
            <w:vAlign w:val="center"/>
            <w:hideMark/>
          </w:tcPr>
          <w:p w14:paraId="47A36450" w14:textId="77777777" w:rsidR="00000000" w:rsidRDefault="0068293C">
            <w:pPr>
              <w:spacing w:after="100"/>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14:paraId="624C3970" w14:textId="77777777" w:rsidR="00000000" w:rsidRDefault="0068293C">
            <w:pPr>
              <w:spacing w:after="100"/>
              <w:jc w:val="center"/>
              <w:rPr>
                <w:rFonts w:eastAsia="Times New Roman"/>
              </w:rPr>
            </w:pPr>
            <w:r>
              <w:rPr>
                <w:rFonts w:eastAsia="Times New Roman"/>
                <w:b/>
                <w:bCs/>
                <w:color w:val="000000"/>
                <w:sz w:val="16"/>
                <w:szCs w:val="16"/>
              </w:rPr>
              <w:t>March 31, 2022</w:t>
            </w:r>
          </w:p>
        </w:tc>
      </w:tr>
      <w:tr w:rsidR="00000000" w14:paraId="4D2CE990" w14:textId="77777777">
        <w:trPr>
          <w:divId w:val="1649289234"/>
        </w:trPr>
        <w:tc>
          <w:tcPr>
            <w:tcW w:w="0" w:type="auto"/>
            <w:gridSpan w:val="3"/>
            <w:tcMar>
              <w:top w:w="30" w:type="dxa"/>
              <w:left w:w="20" w:type="dxa"/>
              <w:bottom w:w="30" w:type="dxa"/>
              <w:right w:w="20" w:type="dxa"/>
            </w:tcMar>
            <w:vAlign w:val="bottom"/>
            <w:hideMark/>
          </w:tcPr>
          <w:p w14:paraId="56040608"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3685172" w14:textId="77777777" w:rsidR="00000000" w:rsidRDefault="0068293C">
            <w:pPr>
              <w:spacing w:after="100"/>
              <w:jc w:val="center"/>
              <w:divId w:val="1198011992"/>
              <w:rPr>
                <w:rFonts w:eastAsia="Times New Roman"/>
              </w:rPr>
            </w:pPr>
            <w:r>
              <w:rPr>
                <w:rFonts w:eastAsia="Times New Roman"/>
                <w:b/>
                <w:bCs/>
                <w:color w:val="000000"/>
                <w:sz w:val="16"/>
                <w:szCs w:val="16"/>
              </w:rPr>
              <w:t>Balance Sheet</w:t>
            </w:r>
          </w:p>
          <w:p w14:paraId="04097BE0" w14:textId="77777777" w:rsidR="00000000" w:rsidRDefault="0068293C">
            <w:pPr>
              <w:spacing w:after="100"/>
              <w:jc w:val="center"/>
              <w:divId w:val="1976829587"/>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14:paraId="7AE204C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DE66A4" w14:textId="77777777" w:rsidR="00000000" w:rsidRDefault="0068293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2E14705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261CAE" w14:textId="77777777" w:rsidR="00000000" w:rsidRDefault="0068293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0E273B12"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11DEAF" w14:textId="77777777" w:rsidR="00000000" w:rsidRDefault="0068293C">
            <w:pPr>
              <w:spacing w:after="100"/>
              <w:jc w:val="center"/>
              <w:divId w:val="794249653"/>
              <w:rPr>
                <w:rFonts w:eastAsia="Times New Roman"/>
              </w:rPr>
            </w:pPr>
            <w:r>
              <w:rPr>
                <w:rFonts w:eastAsia="Times New Roman"/>
                <w:b/>
                <w:bCs/>
                <w:color w:val="000000"/>
                <w:sz w:val="16"/>
                <w:szCs w:val="16"/>
              </w:rPr>
              <w:t>Balance Sheet</w:t>
            </w:r>
          </w:p>
          <w:p w14:paraId="52989B71" w14:textId="77777777" w:rsidR="00000000" w:rsidRDefault="0068293C">
            <w:pPr>
              <w:spacing w:after="100"/>
              <w:jc w:val="center"/>
              <w:divId w:val="1432774973"/>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14:paraId="43901CE9"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B1EED7" w14:textId="77777777" w:rsidR="00000000" w:rsidRDefault="0068293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67245990"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8CD0A3" w14:textId="77777777" w:rsidR="00000000" w:rsidRDefault="0068293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2100CDBB" w14:textId="77777777">
        <w:trPr>
          <w:divId w:val="1649289234"/>
        </w:trPr>
        <w:tc>
          <w:tcPr>
            <w:tcW w:w="0" w:type="auto"/>
            <w:gridSpan w:val="3"/>
            <w:shd w:val="clear" w:color="auto" w:fill="CCEEFF"/>
            <w:tcMar>
              <w:top w:w="30" w:type="dxa"/>
              <w:left w:w="20" w:type="dxa"/>
              <w:bottom w:w="30" w:type="dxa"/>
              <w:right w:w="20" w:type="dxa"/>
            </w:tcMar>
            <w:hideMark/>
          </w:tcPr>
          <w:p w14:paraId="4F0905F7" w14:textId="77777777" w:rsidR="00000000" w:rsidRDefault="0068293C">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36A79A"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894BD"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FEEFA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D9198"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07549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47BDF"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50E62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99BB88"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BC430B"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64F9E7"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D3E4E5" w14:textId="77777777" w:rsidR="00000000" w:rsidRDefault="0068293C">
            <w:pPr>
              <w:spacing w:after="100"/>
              <w:rPr>
                <w:rFonts w:eastAsia="Times New Roman"/>
                <w:sz w:val="20"/>
                <w:szCs w:val="20"/>
              </w:rPr>
            </w:pPr>
          </w:p>
        </w:tc>
      </w:tr>
      <w:tr w:rsidR="00000000" w14:paraId="31921298" w14:textId="77777777">
        <w:trPr>
          <w:divId w:val="1649289234"/>
        </w:trPr>
        <w:tc>
          <w:tcPr>
            <w:tcW w:w="0" w:type="auto"/>
            <w:gridSpan w:val="3"/>
            <w:vAlign w:val="center"/>
            <w:hideMark/>
          </w:tcPr>
          <w:p w14:paraId="36E13CAD" w14:textId="77777777" w:rsidR="00000000" w:rsidRDefault="0068293C">
            <w:pPr>
              <w:spacing w:after="100"/>
              <w:rPr>
                <w:rFonts w:eastAsia="Times New Roman"/>
                <w:sz w:val="20"/>
                <w:szCs w:val="20"/>
              </w:rPr>
            </w:pPr>
          </w:p>
        </w:tc>
        <w:tc>
          <w:tcPr>
            <w:tcW w:w="0" w:type="auto"/>
            <w:gridSpan w:val="3"/>
            <w:vAlign w:val="center"/>
            <w:hideMark/>
          </w:tcPr>
          <w:p w14:paraId="79E18618" w14:textId="77777777" w:rsidR="00000000" w:rsidRDefault="0068293C">
            <w:pPr>
              <w:spacing w:after="100"/>
              <w:rPr>
                <w:rFonts w:eastAsia="Times New Roman"/>
                <w:sz w:val="20"/>
                <w:szCs w:val="20"/>
              </w:rPr>
            </w:pPr>
          </w:p>
        </w:tc>
        <w:tc>
          <w:tcPr>
            <w:tcW w:w="0" w:type="auto"/>
            <w:gridSpan w:val="3"/>
            <w:vAlign w:val="center"/>
            <w:hideMark/>
          </w:tcPr>
          <w:p w14:paraId="5BE25156" w14:textId="77777777" w:rsidR="00000000" w:rsidRDefault="0068293C">
            <w:pPr>
              <w:spacing w:after="100"/>
              <w:rPr>
                <w:rFonts w:eastAsia="Times New Roman"/>
                <w:sz w:val="20"/>
                <w:szCs w:val="20"/>
              </w:rPr>
            </w:pPr>
          </w:p>
        </w:tc>
        <w:tc>
          <w:tcPr>
            <w:tcW w:w="0" w:type="auto"/>
            <w:gridSpan w:val="3"/>
            <w:vAlign w:val="center"/>
            <w:hideMark/>
          </w:tcPr>
          <w:p w14:paraId="14572B95" w14:textId="77777777" w:rsidR="00000000" w:rsidRDefault="0068293C">
            <w:pPr>
              <w:spacing w:after="100"/>
              <w:rPr>
                <w:rFonts w:eastAsia="Times New Roman"/>
                <w:sz w:val="20"/>
                <w:szCs w:val="20"/>
              </w:rPr>
            </w:pPr>
          </w:p>
        </w:tc>
        <w:tc>
          <w:tcPr>
            <w:tcW w:w="0" w:type="auto"/>
            <w:gridSpan w:val="3"/>
            <w:vAlign w:val="center"/>
            <w:hideMark/>
          </w:tcPr>
          <w:p w14:paraId="6F2FB6B6" w14:textId="77777777" w:rsidR="00000000" w:rsidRDefault="0068293C">
            <w:pPr>
              <w:spacing w:after="100"/>
              <w:rPr>
                <w:rFonts w:eastAsia="Times New Roman"/>
                <w:sz w:val="20"/>
                <w:szCs w:val="20"/>
              </w:rPr>
            </w:pPr>
          </w:p>
        </w:tc>
        <w:tc>
          <w:tcPr>
            <w:tcW w:w="0" w:type="auto"/>
            <w:gridSpan w:val="3"/>
            <w:vAlign w:val="center"/>
            <w:hideMark/>
          </w:tcPr>
          <w:p w14:paraId="14815E2E" w14:textId="77777777" w:rsidR="00000000" w:rsidRDefault="0068293C">
            <w:pPr>
              <w:spacing w:after="100"/>
              <w:rPr>
                <w:rFonts w:eastAsia="Times New Roman"/>
                <w:sz w:val="20"/>
                <w:szCs w:val="20"/>
              </w:rPr>
            </w:pPr>
          </w:p>
        </w:tc>
        <w:tc>
          <w:tcPr>
            <w:tcW w:w="0" w:type="auto"/>
            <w:gridSpan w:val="3"/>
            <w:vAlign w:val="center"/>
            <w:hideMark/>
          </w:tcPr>
          <w:p w14:paraId="4206BA24" w14:textId="77777777" w:rsidR="00000000" w:rsidRDefault="0068293C">
            <w:pPr>
              <w:spacing w:after="100"/>
              <w:rPr>
                <w:rFonts w:eastAsia="Times New Roman"/>
                <w:sz w:val="20"/>
                <w:szCs w:val="20"/>
              </w:rPr>
            </w:pPr>
          </w:p>
        </w:tc>
        <w:tc>
          <w:tcPr>
            <w:tcW w:w="0" w:type="auto"/>
            <w:gridSpan w:val="3"/>
            <w:vAlign w:val="center"/>
            <w:hideMark/>
          </w:tcPr>
          <w:p w14:paraId="171FD019" w14:textId="77777777" w:rsidR="00000000" w:rsidRDefault="0068293C">
            <w:pPr>
              <w:spacing w:after="100"/>
              <w:rPr>
                <w:rFonts w:eastAsia="Times New Roman"/>
                <w:sz w:val="20"/>
                <w:szCs w:val="20"/>
              </w:rPr>
            </w:pPr>
          </w:p>
        </w:tc>
        <w:tc>
          <w:tcPr>
            <w:tcW w:w="0" w:type="auto"/>
            <w:gridSpan w:val="3"/>
            <w:vAlign w:val="center"/>
            <w:hideMark/>
          </w:tcPr>
          <w:p w14:paraId="3A7EFA77" w14:textId="77777777" w:rsidR="00000000" w:rsidRDefault="0068293C">
            <w:pPr>
              <w:spacing w:after="100"/>
              <w:rPr>
                <w:rFonts w:eastAsia="Times New Roman"/>
                <w:sz w:val="20"/>
                <w:szCs w:val="20"/>
              </w:rPr>
            </w:pPr>
          </w:p>
        </w:tc>
        <w:tc>
          <w:tcPr>
            <w:tcW w:w="0" w:type="auto"/>
            <w:gridSpan w:val="3"/>
            <w:vAlign w:val="center"/>
            <w:hideMark/>
          </w:tcPr>
          <w:p w14:paraId="345B8797" w14:textId="77777777" w:rsidR="00000000" w:rsidRDefault="0068293C">
            <w:pPr>
              <w:spacing w:after="100"/>
              <w:rPr>
                <w:rFonts w:eastAsia="Times New Roman"/>
                <w:sz w:val="20"/>
                <w:szCs w:val="20"/>
              </w:rPr>
            </w:pPr>
          </w:p>
        </w:tc>
        <w:tc>
          <w:tcPr>
            <w:tcW w:w="0" w:type="auto"/>
            <w:gridSpan w:val="3"/>
            <w:vAlign w:val="center"/>
            <w:hideMark/>
          </w:tcPr>
          <w:p w14:paraId="366D75F6" w14:textId="77777777" w:rsidR="00000000" w:rsidRDefault="0068293C">
            <w:pPr>
              <w:spacing w:after="100"/>
              <w:rPr>
                <w:rFonts w:eastAsia="Times New Roman"/>
                <w:sz w:val="20"/>
                <w:szCs w:val="20"/>
              </w:rPr>
            </w:pPr>
          </w:p>
        </w:tc>
        <w:tc>
          <w:tcPr>
            <w:tcW w:w="0" w:type="auto"/>
            <w:gridSpan w:val="3"/>
            <w:vAlign w:val="center"/>
            <w:hideMark/>
          </w:tcPr>
          <w:p w14:paraId="20532A7F" w14:textId="77777777" w:rsidR="00000000" w:rsidRDefault="0068293C">
            <w:pPr>
              <w:spacing w:after="100"/>
              <w:rPr>
                <w:rFonts w:eastAsia="Times New Roman"/>
                <w:sz w:val="20"/>
                <w:szCs w:val="20"/>
              </w:rPr>
            </w:pPr>
          </w:p>
        </w:tc>
      </w:tr>
      <w:tr w:rsidR="00000000" w14:paraId="762A9710" w14:textId="77777777">
        <w:trPr>
          <w:divId w:val="1649289234"/>
        </w:trPr>
        <w:tc>
          <w:tcPr>
            <w:tcW w:w="0" w:type="auto"/>
            <w:gridSpan w:val="3"/>
            <w:shd w:val="clear" w:color="auto" w:fill="FFFFFF"/>
            <w:tcMar>
              <w:top w:w="30" w:type="dxa"/>
              <w:left w:w="20" w:type="dxa"/>
              <w:bottom w:w="30" w:type="dxa"/>
              <w:right w:w="20" w:type="dxa"/>
            </w:tcMar>
            <w:hideMark/>
          </w:tcPr>
          <w:p w14:paraId="4BE01D7F" w14:textId="77777777" w:rsidR="00000000" w:rsidRDefault="0068293C">
            <w:pPr>
              <w:spacing w:after="100"/>
              <w:rPr>
                <w:rFonts w:eastAsia="Times New Roman"/>
              </w:rPr>
            </w:pPr>
            <w:r>
              <w:rPr>
                <w:rFonts w:eastAsia="Times New Roman"/>
                <w:color w:val="000000"/>
                <w:sz w:val="20"/>
                <w:szCs w:val="20"/>
              </w:rPr>
              <w:t xml:space="preserve">Interest rate swap contracts </w:t>
            </w:r>
          </w:p>
        </w:tc>
        <w:tc>
          <w:tcPr>
            <w:tcW w:w="0" w:type="auto"/>
            <w:gridSpan w:val="3"/>
            <w:shd w:val="clear" w:color="auto" w:fill="FFFFFF"/>
            <w:tcMar>
              <w:top w:w="30" w:type="dxa"/>
              <w:left w:w="20" w:type="dxa"/>
              <w:bottom w:w="30" w:type="dxa"/>
              <w:right w:w="20" w:type="dxa"/>
            </w:tcMar>
            <w:vAlign w:val="bottom"/>
            <w:hideMark/>
          </w:tcPr>
          <w:p w14:paraId="6FD86787" w14:textId="77777777" w:rsidR="00000000" w:rsidRDefault="0068293C">
            <w:pPr>
              <w:spacing w:after="100"/>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14:paraId="5C089071"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F9A1631"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5523927" w14:textId="77777777" w:rsidR="00000000" w:rsidRDefault="0068293C">
            <w:pPr>
              <w:spacing w:after="100"/>
              <w:jc w:val="right"/>
              <w:rPr>
                <w:rFonts w:eastAsia="Times New Roman"/>
              </w:rPr>
            </w:pPr>
            <w:r>
              <w:rPr>
                <w:rFonts w:eastAsia="Times New Roman"/>
                <w:b/>
                <w:bCs/>
                <w:color w:val="000000"/>
                <w:sz w:val="20"/>
                <w:szCs w:val="20"/>
              </w:rPr>
              <w:t>2,250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6787D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290C2"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08138F"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9E30773" w14:textId="77777777" w:rsidR="00000000" w:rsidRDefault="0068293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A1B0F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E42E0"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9287B18" w14:textId="77777777" w:rsidR="00000000" w:rsidRDefault="0068293C">
            <w:pPr>
              <w:spacing w:after="100"/>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14:paraId="01071AE5"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89F6823"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66AA8E2" w14:textId="77777777" w:rsidR="00000000" w:rsidRDefault="0068293C">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DDC4D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599C9"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79B5DF"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B42FD9C"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081C17" w14:textId="77777777" w:rsidR="00000000" w:rsidRDefault="0068293C">
            <w:pPr>
              <w:spacing w:after="100"/>
              <w:jc w:val="right"/>
              <w:rPr>
                <w:rFonts w:eastAsia="Times New Roman"/>
              </w:rPr>
            </w:pPr>
          </w:p>
        </w:tc>
      </w:tr>
      <w:tr w:rsidR="00000000" w14:paraId="4098A036" w14:textId="77777777">
        <w:trPr>
          <w:divId w:val="1649289234"/>
        </w:trPr>
        <w:tc>
          <w:tcPr>
            <w:tcW w:w="0" w:type="auto"/>
            <w:gridSpan w:val="3"/>
            <w:shd w:val="clear" w:color="auto" w:fill="CCEEFF"/>
            <w:tcMar>
              <w:top w:w="30" w:type="dxa"/>
              <w:left w:w="20" w:type="dxa"/>
              <w:bottom w:w="30" w:type="dxa"/>
              <w:right w:w="20" w:type="dxa"/>
            </w:tcMar>
            <w:hideMark/>
          </w:tcPr>
          <w:p w14:paraId="5AF232A1" w14:textId="77777777" w:rsidR="00000000" w:rsidRDefault="0068293C">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188D2108"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901E0"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9E3A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6EC864"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0A9EE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7F30C7" w14:textId="77777777" w:rsidR="00000000" w:rsidRDefault="0068293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7F1DD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9330D"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18410E"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848CE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1F4DF2"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FDFB55"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9FAB1F"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74836E"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E2CB28" w14:textId="77777777" w:rsidR="00000000" w:rsidRDefault="0068293C">
            <w:pPr>
              <w:spacing w:after="100"/>
              <w:jc w:val="right"/>
              <w:rPr>
                <w:rFonts w:eastAsia="Times New Roman"/>
              </w:rPr>
            </w:pPr>
          </w:p>
        </w:tc>
      </w:tr>
      <w:tr w:rsidR="00000000" w14:paraId="47FE705C" w14:textId="77777777">
        <w:trPr>
          <w:divId w:val="1649289234"/>
        </w:trPr>
        <w:tc>
          <w:tcPr>
            <w:tcW w:w="0" w:type="auto"/>
            <w:gridSpan w:val="3"/>
            <w:shd w:val="clear" w:color="auto" w:fill="FFFFFF"/>
            <w:tcMar>
              <w:top w:w="30" w:type="dxa"/>
              <w:left w:w="20" w:type="dxa"/>
              <w:bottom w:w="30" w:type="dxa"/>
              <w:right w:w="20" w:type="dxa"/>
            </w:tcMar>
            <w:hideMark/>
          </w:tcPr>
          <w:p w14:paraId="3A4719EC" w14:textId="77777777" w:rsidR="00000000" w:rsidRDefault="0068293C">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14:paraId="54BA5890"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E46063"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5261CC"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EB2E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A292C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E49E20"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930B5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25E62A"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FB9488"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DCC8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BDD1E" w14:textId="77777777" w:rsidR="00000000" w:rsidRDefault="0068293C">
            <w:pPr>
              <w:spacing w:after="100"/>
              <w:rPr>
                <w:rFonts w:eastAsia="Times New Roman"/>
                <w:sz w:val="20"/>
                <w:szCs w:val="20"/>
              </w:rPr>
            </w:pPr>
          </w:p>
        </w:tc>
      </w:tr>
      <w:tr w:rsidR="00000000" w14:paraId="125D30DA" w14:textId="77777777">
        <w:trPr>
          <w:divId w:val="1649289234"/>
        </w:trPr>
        <w:tc>
          <w:tcPr>
            <w:tcW w:w="0" w:type="auto"/>
            <w:gridSpan w:val="3"/>
            <w:shd w:val="clear" w:color="auto" w:fill="CCEEFF"/>
            <w:tcMar>
              <w:top w:w="30" w:type="dxa"/>
              <w:left w:w="20" w:type="dxa"/>
              <w:bottom w:w="30" w:type="dxa"/>
              <w:right w:w="20" w:type="dxa"/>
            </w:tcMar>
            <w:hideMark/>
          </w:tcPr>
          <w:p w14:paraId="07295690" w14:textId="77777777" w:rsidR="00000000" w:rsidRDefault="0068293C">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14:paraId="57EA8BB5" w14:textId="77777777" w:rsidR="00000000" w:rsidRDefault="0068293C">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14:paraId="5BFE7DD6" w14:textId="77777777" w:rsidR="00000000" w:rsidRDefault="0068293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D2E67D6"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8526891" w14:textId="77777777" w:rsidR="00000000" w:rsidRDefault="0068293C">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8244C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94CEA0"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C7852D"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84CD9E6"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50427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3B1DD"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79B602C" w14:textId="77777777" w:rsidR="00000000" w:rsidRDefault="0068293C">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14:paraId="1EC55F9D" w14:textId="77777777" w:rsidR="00000000" w:rsidRDefault="0068293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4F1C59B"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A368E4C" w14:textId="77777777" w:rsidR="00000000" w:rsidRDefault="0068293C">
            <w:pPr>
              <w:spacing w:after="100"/>
              <w:jc w:val="right"/>
              <w:rPr>
                <w:rFonts w:eastAsia="Times New Roman"/>
              </w:rPr>
            </w:pPr>
            <w:r>
              <w:rPr>
                <w:rFonts w:eastAsia="Times New Roman"/>
                <w:b/>
                <w:bCs/>
                <w:color w:val="000000"/>
                <w:sz w:val="20"/>
                <w:szCs w:val="20"/>
              </w:rPr>
              <w:t>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FDBBE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F1D0E"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AA9781"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582D52D" w14:textId="77777777" w:rsidR="00000000" w:rsidRDefault="0068293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390AB8" w14:textId="77777777" w:rsidR="00000000" w:rsidRDefault="0068293C">
            <w:pPr>
              <w:spacing w:after="100"/>
              <w:jc w:val="right"/>
              <w:rPr>
                <w:rFonts w:eastAsia="Times New Roman"/>
              </w:rPr>
            </w:pPr>
          </w:p>
        </w:tc>
      </w:tr>
      <w:tr w:rsidR="00000000" w14:paraId="6640E5B7" w14:textId="77777777">
        <w:trPr>
          <w:divId w:val="1649289234"/>
        </w:trPr>
        <w:tc>
          <w:tcPr>
            <w:tcW w:w="0" w:type="auto"/>
            <w:gridSpan w:val="3"/>
            <w:shd w:val="clear" w:color="auto" w:fill="FFFFFF"/>
            <w:tcMar>
              <w:top w:w="30" w:type="dxa"/>
              <w:left w:w="20" w:type="dxa"/>
              <w:bottom w:w="30" w:type="dxa"/>
              <w:right w:w="20" w:type="dxa"/>
            </w:tcMar>
            <w:hideMark/>
          </w:tcPr>
          <w:p w14:paraId="1C27E647" w14:textId="77777777" w:rsidR="00000000" w:rsidRDefault="0068293C">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14:paraId="41B9E56B"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3197C"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1554D4"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643E5B"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B8EDEA"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8C2771"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D1D01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84151"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5EA72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F5E22"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B059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E3018B"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BF239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C60A04" w14:textId="77777777" w:rsidR="00000000" w:rsidRDefault="0068293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7AF61E" w14:textId="77777777" w:rsidR="00000000" w:rsidRDefault="0068293C">
            <w:pPr>
              <w:spacing w:after="100"/>
              <w:jc w:val="right"/>
              <w:rPr>
                <w:rFonts w:eastAsia="Times New Roman"/>
              </w:rPr>
            </w:pPr>
          </w:p>
        </w:tc>
      </w:tr>
      <w:tr w:rsidR="00000000" w14:paraId="1051BFBD" w14:textId="77777777">
        <w:trPr>
          <w:divId w:val="1649289234"/>
        </w:trPr>
        <w:tc>
          <w:tcPr>
            <w:tcW w:w="0" w:type="auto"/>
            <w:gridSpan w:val="3"/>
            <w:shd w:val="clear" w:color="auto" w:fill="CCEEFF"/>
            <w:tcMar>
              <w:top w:w="30" w:type="dxa"/>
              <w:left w:w="20" w:type="dxa"/>
              <w:bottom w:w="30" w:type="dxa"/>
              <w:right w:w="20" w:type="dxa"/>
            </w:tcMar>
            <w:hideMark/>
          </w:tcPr>
          <w:p w14:paraId="62B99165" w14:textId="77777777" w:rsidR="00000000" w:rsidRDefault="0068293C">
            <w:pPr>
              <w:spacing w:after="100"/>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14:paraId="040BA976"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0B835"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57A6C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A57B0E"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6E975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B18502" w14:textId="77777777" w:rsidR="00000000" w:rsidRDefault="0068293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48566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660A5"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63D2A"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75269A"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56AEEF"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81E5E0"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5C727B"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A0A3AF" w14:textId="77777777" w:rsidR="00000000" w:rsidRDefault="0068293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B469F5" w14:textId="77777777" w:rsidR="00000000" w:rsidRDefault="0068293C">
            <w:pPr>
              <w:spacing w:after="100"/>
              <w:jc w:val="right"/>
              <w:rPr>
                <w:rFonts w:eastAsia="Times New Roman"/>
              </w:rPr>
            </w:pPr>
          </w:p>
        </w:tc>
      </w:tr>
      <w:tr w:rsidR="00000000" w14:paraId="5395692B" w14:textId="77777777">
        <w:trPr>
          <w:divId w:val="1649289234"/>
          <w:trHeight w:val="280"/>
        </w:trPr>
        <w:tc>
          <w:tcPr>
            <w:tcW w:w="0" w:type="auto"/>
            <w:gridSpan w:val="3"/>
            <w:tcMar>
              <w:top w:w="0" w:type="dxa"/>
              <w:left w:w="20" w:type="dxa"/>
              <w:bottom w:w="0" w:type="dxa"/>
              <w:right w:w="20" w:type="dxa"/>
            </w:tcMar>
            <w:vAlign w:val="center"/>
            <w:hideMark/>
          </w:tcPr>
          <w:p w14:paraId="2B356012" w14:textId="77777777" w:rsidR="00000000" w:rsidRDefault="0068293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39B36509"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37E396"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22B8C0"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166DA0" w14:textId="77777777" w:rsidR="00000000" w:rsidRDefault="0068293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785EBA"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D6E9FA"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DADE96"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99CDE5"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7CCD3E"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DA9186" w14:textId="77777777" w:rsidR="00000000" w:rsidRDefault="0068293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60D9EE5" w14:textId="77777777" w:rsidR="00000000" w:rsidRDefault="0068293C">
            <w:pPr>
              <w:spacing w:after="100"/>
              <w:rPr>
                <w:rFonts w:eastAsia="Times New Roman"/>
                <w:sz w:val="20"/>
                <w:szCs w:val="20"/>
              </w:rPr>
            </w:pPr>
          </w:p>
        </w:tc>
      </w:tr>
      <w:tr w:rsidR="00000000" w14:paraId="1985939A" w14:textId="77777777">
        <w:trPr>
          <w:divId w:val="1649289234"/>
          <w:trHeight w:val="240"/>
        </w:trPr>
        <w:tc>
          <w:tcPr>
            <w:tcW w:w="0" w:type="auto"/>
            <w:gridSpan w:val="3"/>
            <w:tcMar>
              <w:top w:w="0" w:type="dxa"/>
              <w:left w:w="20" w:type="dxa"/>
              <w:bottom w:w="0" w:type="dxa"/>
              <w:right w:w="20" w:type="dxa"/>
            </w:tcMar>
            <w:vAlign w:val="center"/>
            <w:hideMark/>
          </w:tcPr>
          <w:p w14:paraId="25F07662"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FA465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68A4E2"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8A5DED"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420F2F"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4D5FDB"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632FF9"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342E02"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D5F8AB"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B167FF"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EFA476"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852268" w14:textId="77777777" w:rsidR="00000000" w:rsidRDefault="0068293C">
            <w:pPr>
              <w:spacing w:after="100"/>
              <w:rPr>
                <w:rFonts w:eastAsia="Times New Roman"/>
                <w:sz w:val="20"/>
                <w:szCs w:val="20"/>
              </w:rPr>
            </w:pPr>
          </w:p>
        </w:tc>
      </w:tr>
      <w:tr w:rsidR="00000000" w14:paraId="336D8183" w14:textId="77777777">
        <w:trPr>
          <w:divId w:val="1649289234"/>
        </w:trPr>
        <w:tc>
          <w:tcPr>
            <w:tcW w:w="0" w:type="auto"/>
            <w:gridSpan w:val="3"/>
            <w:tcMar>
              <w:top w:w="30" w:type="dxa"/>
              <w:left w:w="20" w:type="dxa"/>
              <w:bottom w:w="30" w:type="dxa"/>
              <w:right w:w="20" w:type="dxa"/>
            </w:tcMar>
            <w:vAlign w:val="bottom"/>
            <w:hideMark/>
          </w:tcPr>
          <w:p w14:paraId="347C27AE" w14:textId="77777777" w:rsidR="00000000" w:rsidRDefault="0068293C">
            <w:pPr>
              <w:spacing w:after="100"/>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14:paraId="1A0B028C" w14:textId="77777777" w:rsidR="00000000" w:rsidRDefault="0068293C">
            <w:pPr>
              <w:spacing w:after="100"/>
              <w:jc w:val="center"/>
              <w:rPr>
                <w:rFonts w:eastAsia="Times New Roman"/>
              </w:rPr>
            </w:pPr>
            <w:r>
              <w:rPr>
                <w:rFonts w:eastAsia="Times New Roman"/>
                <w:b/>
                <w:bCs/>
                <w:color w:val="000000"/>
                <w:sz w:val="16"/>
                <w:szCs w:val="16"/>
              </w:rPr>
              <w:t>Fair Values of Derivative Instruments</w:t>
            </w:r>
          </w:p>
        </w:tc>
      </w:tr>
      <w:tr w:rsidR="00000000" w14:paraId="2BDEB969" w14:textId="77777777">
        <w:trPr>
          <w:divId w:val="1649289234"/>
        </w:trPr>
        <w:tc>
          <w:tcPr>
            <w:tcW w:w="0" w:type="auto"/>
            <w:gridSpan w:val="3"/>
            <w:tcMar>
              <w:top w:w="30" w:type="dxa"/>
              <w:left w:w="20" w:type="dxa"/>
              <w:bottom w:w="30" w:type="dxa"/>
              <w:right w:w="20" w:type="dxa"/>
            </w:tcMar>
            <w:vAlign w:val="bottom"/>
            <w:hideMark/>
          </w:tcPr>
          <w:p w14:paraId="0B0E5177" w14:textId="77777777" w:rsidR="00000000" w:rsidRDefault="0068293C">
            <w:pPr>
              <w:spacing w:after="100"/>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14:paraId="3F57F1A9"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6A18B2B8" w14:textId="77777777">
        <w:trPr>
          <w:divId w:val="1649289234"/>
        </w:trPr>
        <w:tc>
          <w:tcPr>
            <w:tcW w:w="0" w:type="auto"/>
            <w:gridSpan w:val="3"/>
            <w:tcMar>
              <w:top w:w="30" w:type="dxa"/>
              <w:left w:w="20" w:type="dxa"/>
              <w:bottom w:w="30" w:type="dxa"/>
              <w:right w:w="20" w:type="dxa"/>
            </w:tcMar>
            <w:vAlign w:val="bottom"/>
            <w:hideMark/>
          </w:tcPr>
          <w:p w14:paraId="1A7BC2E5"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8F08530" w14:textId="77777777" w:rsidR="00000000" w:rsidRDefault="0068293C">
            <w:pPr>
              <w:spacing w:after="100"/>
              <w:jc w:val="center"/>
              <w:divId w:val="1639454400"/>
              <w:rPr>
                <w:rFonts w:eastAsia="Times New Roman"/>
              </w:rPr>
            </w:pPr>
            <w:r>
              <w:rPr>
                <w:rFonts w:eastAsia="Times New Roman"/>
                <w:b/>
                <w:bCs/>
                <w:color w:val="000000"/>
                <w:sz w:val="16"/>
                <w:szCs w:val="16"/>
              </w:rPr>
              <w:t>Balance Sheet</w:t>
            </w:r>
          </w:p>
          <w:p w14:paraId="5E324C8A" w14:textId="77777777" w:rsidR="00000000" w:rsidRDefault="0068293C">
            <w:pPr>
              <w:spacing w:after="100"/>
              <w:jc w:val="center"/>
              <w:divId w:val="1477718184"/>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14:paraId="4AAF3C9F"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B58E95" w14:textId="77777777" w:rsidR="00000000" w:rsidRDefault="0068293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332BB66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018A2D" w14:textId="77777777" w:rsidR="00000000" w:rsidRDefault="0068293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691EA461"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951ABE" w14:textId="77777777" w:rsidR="00000000" w:rsidRDefault="0068293C">
            <w:pPr>
              <w:spacing w:after="100"/>
              <w:jc w:val="center"/>
              <w:divId w:val="577792533"/>
              <w:rPr>
                <w:rFonts w:eastAsia="Times New Roman"/>
              </w:rPr>
            </w:pPr>
            <w:r>
              <w:rPr>
                <w:rFonts w:eastAsia="Times New Roman"/>
                <w:b/>
                <w:bCs/>
                <w:color w:val="000000"/>
                <w:sz w:val="16"/>
                <w:szCs w:val="16"/>
              </w:rPr>
              <w:t>Balance Sheet</w:t>
            </w:r>
          </w:p>
          <w:p w14:paraId="0E2FCE62" w14:textId="77777777" w:rsidR="00000000" w:rsidRDefault="0068293C">
            <w:pPr>
              <w:spacing w:after="100"/>
              <w:jc w:val="center"/>
              <w:divId w:val="1027213236"/>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14:paraId="5B0D338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7ECF82" w14:textId="77777777" w:rsidR="00000000" w:rsidRDefault="0068293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2FEB85AB"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73C9FC" w14:textId="77777777" w:rsidR="00000000" w:rsidRDefault="0068293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2478C70B" w14:textId="77777777">
        <w:trPr>
          <w:divId w:val="1649289234"/>
        </w:trPr>
        <w:tc>
          <w:tcPr>
            <w:tcW w:w="0" w:type="auto"/>
            <w:gridSpan w:val="3"/>
            <w:shd w:val="clear" w:color="auto" w:fill="CCEEFF"/>
            <w:tcMar>
              <w:top w:w="30" w:type="dxa"/>
              <w:left w:w="20" w:type="dxa"/>
              <w:bottom w:w="30" w:type="dxa"/>
              <w:right w:w="20" w:type="dxa"/>
            </w:tcMar>
            <w:hideMark/>
          </w:tcPr>
          <w:p w14:paraId="508D2585" w14:textId="77777777" w:rsidR="00000000" w:rsidRDefault="0068293C">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E52FA4"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175A0"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EA6D2B"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ACFA1"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AC387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00DEC"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22C989"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9A6C75"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3F765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AB6CB4"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75F65B" w14:textId="77777777" w:rsidR="00000000" w:rsidRDefault="0068293C">
            <w:pPr>
              <w:spacing w:after="100"/>
              <w:rPr>
                <w:rFonts w:eastAsia="Times New Roman"/>
                <w:sz w:val="20"/>
                <w:szCs w:val="20"/>
              </w:rPr>
            </w:pPr>
          </w:p>
        </w:tc>
      </w:tr>
      <w:tr w:rsidR="00000000" w14:paraId="073249E4" w14:textId="77777777">
        <w:trPr>
          <w:divId w:val="1649289234"/>
        </w:trPr>
        <w:tc>
          <w:tcPr>
            <w:tcW w:w="0" w:type="auto"/>
            <w:gridSpan w:val="3"/>
            <w:shd w:val="clear" w:color="auto" w:fill="FFFFFF"/>
            <w:tcMar>
              <w:top w:w="30" w:type="dxa"/>
              <w:left w:w="20" w:type="dxa"/>
              <w:bottom w:w="30" w:type="dxa"/>
              <w:right w:w="20" w:type="dxa"/>
            </w:tcMar>
            <w:hideMark/>
          </w:tcPr>
          <w:p w14:paraId="4878BD7F" w14:textId="77777777" w:rsidR="00000000" w:rsidRDefault="0068293C">
            <w:pPr>
              <w:spacing w:after="100"/>
              <w:rPr>
                <w:rFonts w:eastAsia="Times New Roman"/>
              </w:rPr>
            </w:pPr>
            <w:r>
              <w:rPr>
                <w:rFonts w:eastAsia="Times New Roman"/>
                <w:color w:val="000000"/>
                <w:sz w:val="20"/>
                <w:szCs w:val="20"/>
              </w:rPr>
              <w:t>Interest rate cap contracts</w:t>
            </w:r>
          </w:p>
        </w:tc>
        <w:tc>
          <w:tcPr>
            <w:tcW w:w="0" w:type="auto"/>
            <w:gridSpan w:val="3"/>
            <w:shd w:val="clear" w:color="auto" w:fill="FFFFFF"/>
            <w:tcMar>
              <w:top w:w="30" w:type="dxa"/>
              <w:left w:w="20" w:type="dxa"/>
              <w:bottom w:w="30" w:type="dxa"/>
              <w:right w:w="20" w:type="dxa"/>
            </w:tcMar>
            <w:vAlign w:val="bottom"/>
            <w:hideMark/>
          </w:tcPr>
          <w:p w14:paraId="5B0A9C6F" w14:textId="77777777" w:rsidR="00000000" w:rsidRDefault="0068293C">
            <w:pPr>
              <w:spacing w:after="100"/>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14:paraId="41202C5C"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A529DB1"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7841BB" w14:textId="77777777" w:rsidR="00000000" w:rsidRDefault="0068293C">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067E5FC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D1BA7"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8A9EA7"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F51CFF" w14:textId="77777777" w:rsidR="00000000" w:rsidRDefault="0068293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5866428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3BB84"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E0D9BCF" w14:textId="77777777" w:rsidR="00000000" w:rsidRDefault="0068293C">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14:paraId="0B1F1A69"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344E930"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B2B55F"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E4DCA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28030"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2C72D9"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3EDEA1"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EF7A44" w14:textId="77777777" w:rsidR="00000000" w:rsidRDefault="0068293C">
            <w:pPr>
              <w:spacing w:after="100"/>
              <w:jc w:val="right"/>
              <w:rPr>
                <w:rFonts w:eastAsia="Times New Roman"/>
              </w:rPr>
            </w:pPr>
          </w:p>
        </w:tc>
      </w:tr>
      <w:tr w:rsidR="00000000" w14:paraId="491BFC04" w14:textId="77777777">
        <w:trPr>
          <w:divId w:val="1649289234"/>
        </w:trPr>
        <w:tc>
          <w:tcPr>
            <w:tcW w:w="0" w:type="auto"/>
            <w:gridSpan w:val="3"/>
            <w:shd w:val="clear" w:color="auto" w:fill="CCEEFF"/>
            <w:tcMar>
              <w:top w:w="30" w:type="dxa"/>
              <w:left w:w="20" w:type="dxa"/>
              <w:bottom w:w="30" w:type="dxa"/>
              <w:right w:w="20" w:type="dxa"/>
            </w:tcMar>
            <w:hideMark/>
          </w:tcPr>
          <w:p w14:paraId="2F496960" w14:textId="77777777" w:rsidR="00000000" w:rsidRDefault="0068293C">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2E5C4E89"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D9C4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A07C8D"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D6E844"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9957A3"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C3E760" w14:textId="77777777" w:rsidR="00000000" w:rsidRDefault="0068293C">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901B9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EBE1A"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4FD445"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8F395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71253"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A6C694"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1D001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997AE0"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0BBB44" w14:textId="77777777" w:rsidR="00000000" w:rsidRDefault="0068293C">
            <w:pPr>
              <w:spacing w:after="100"/>
              <w:jc w:val="right"/>
              <w:rPr>
                <w:rFonts w:eastAsia="Times New Roman"/>
              </w:rPr>
            </w:pPr>
          </w:p>
        </w:tc>
      </w:tr>
      <w:tr w:rsidR="00000000" w14:paraId="26C48E0A" w14:textId="77777777">
        <w:trPr>
          <w:divId w:val="1649289234"/>
        </w:trPr>
        <w:tc>
          <w:tcPr>
            <w:tcW w:w="0" w:type="auto"/>
            <w:gridSpan w:val="3"/>
            <w:shd w:val="clear" w:color="auto" w:fill="FFFFFF"/>
            <w:tcMar>
              <w:top w:w="30" w:type="dxa"/>
              <w:left w:w="20" w:type="dxa"/>
              <w:bottom w:w="30" w:type="dxa"/>
              <w:right w:w="20" w:type="dxa"/>
            </w:tcMar>
            <w:hideMark/>
          </w:tcPr>
          <w:p w14:paraId="519FF6E6" w14:textId="77777777" w:rsidR="00000000" w:rsidRDefault="0068293C">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14:paraId="00CFC068"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50A02"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2DB95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2CBA10"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EAE82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D81E8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88B32"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A0C8B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400BBD"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0F188B"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2D5FE4" w14:textId="77777777" w:rsidR="00000000" w:rsidRDefault="0068293C">
            <w:pPr>
              <w:spacing w:after="100"/>
              <w:rPr>
                <w:rFonts w:eastAsia="Times New Roman"/>
                <w:sz w:val="20"/>
                <w:szCs w:val="20"/>
              </w:rPr>
            </w:pPr>
          </w:p>
        </w:tc>
      </w:tr>
      <w:tr w:rsidR="00000000" w14:paraId="602E33B9" w14:textId="77777777">
        <w:trPr>
          <w:divId w:val="1649289234"/>
        </w:trPr>
        <w:tc>
          <w:tcPr>
            <w:tcW w:w="0" w:type="auto"/>
            <w:gridSpan w:val="3"/>
            <w:shd w:val="clear" w:color="auto" w:fill="CCEEFF"/>
            <w:tcMar>
              <w:top w:w="30" w:type="dxa"/>
              <w:left w:w="20" w:type="dxa"/>
              <w:bottom w:w="30" w:type="dxa"/>
              <w:right w:w="20" w:type="dxa"/>
            </w:tcMar>
            <w:hideMark/>
          </w:tcPr>
          <w:p w14:paraId="5D89D1CC" w14:textId="77777777" w:rsidR="00000000" w:rsidRDefault="0068293C">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14:paraId="0B4279D8" w14:textId="77777777" w:rsidR="00000000" w:rsidRDefault="0068293C">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14:paraId="10491B2E" w14:textId="77777777" w:rsidR="00000000" w:rsidRDefault="0068293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FA460AB"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1D595C" w14:textId="77777777" w:rsidR="00000000" w:rsidRDefault="0068293C">
            <w:pPr>
              <w:spacing w:after="100"/>
              <w:jc w:val="right"/>
              <w:rPr>
                <w:rFonts w:eastAsia="Times New Roman"/>
              </w:rPr>
            </w:pPr>
            <w:r>
              <w:rPr>
                <w:rFonts w:eastAsia="Times New Roman"/>
                <w:color w:val="000000"/>
                <w:sz w:val="20"/>
                <w:szCs w:val="20"/>
              </w:rPr>
              <w:t>278 </w:t>
            </w:r>
          </w:p>
        </w:tc>
        <w:tc>
          <w:tcPr>
            <w:tcW w:w="0" w:type="auto"/>
            <w:shd w:val="clear" w:color="auto" w:fill="CCEEFF"/>
            <w:tcMar>
              <w:top w:w="30" w:type="dxa"/>
              <w:left w:w="0" w:type="dxa"/>
              <w:bottom w:w="30" w:type="dxa"/>
              <w:right w:w="20" w:type="dxa"/>
            </w:tcMar>
            <w:vAlign w:val="bottom"/>
            <w:hideMark/>
          </w:tcPr>
          <w:p w14:paraId="40FA051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17DE5"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67ABC9"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35FF95"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E9ACE7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0B009"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39E1134" w14:textId="77777777" w:rsidR="00000000" w:rsidRDefault="0068293C">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14:paraId="5206B9C0" w14:textId="77777777" w:rsidR="00000000" w:rsidRDefault="0068293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710EDFD"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86EAB0" w14:textId="77777777" w:rsidR="00000000" w:rsidRDefault="0068293C">
            <w:pPr>
              <w:spacing w:after="100"/>
              <w:jc w:val="right"/>
              <w:rPr>
                <w:rFonts w:eastAsia="Times New Roman"/>
              </w:rPr>
            </w:pPr>
            <w:r>
              <w:rPr>
                <w:rFonts w:eastAsia="Times New Roman"/>
                <w:color w:val="000000"/>
                <w:sz w:val="20"/>
                <w:szCs w:val="20"/>
              </w:rPr>
              <w:t>396 </w:t>
            </w:r>
          </w:p>
        </w:tc>
        <w:tc>
          <w:tcPr>
            <w:tcW w:w="0" w:type="auto"/>
            <w:shd w:val="clear" w:color="auto" w:fill="CCEEFF"/>
            <w:tcMar>
              <w:top w:w="30" w:type="dxa"/>
              <w:left w:w="0" w:type="dxa"/>
              <w:bottom w:w="30" w:type="dxa"/>
              <w:right w:w="20" w:type="dxa"/>
            </w:tcMar>
            <w:vAlign w:val="bottom"/>
            <w:hideMark/>
          </w:tcPr>
          <w:p w14:paraId="45E62B5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A8F4A"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F7D110"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1C4214"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2C1FEF5B" w14:textId="77777777" w:rsidR="00000000" w:rsidRDefault="0068293C">
            <w:pPr>
              <w:spacing w:after="100"/>
              <w:jc w:val="right"/>
              <w:rPr>
                <w:rFonts w:eastAsia="Times New Roman"/>
              </w:rPr>
            </w:pPr>
          </w:p>
        </w:tc>
      </w:tr>
      <w:tr w:rsidR="00000000" w14:paraId="3F11BEF8" w14:textId="77777777">
        <w:trPr>
          <w:divId w:val="1649289234"/>
        </w:trPr>
        <w:tc>
          <w:tcPr>
            <w:tcW w:w="0" w:type="auto"/>
            <w:gridSpan w:val="3"/>
            <w:shd w:val="clear" w:color="auto" w:fill="FFFFFF"/>
            <w:tcMar>
              <w:top w:w="30" w:type="dxa"/>
              <w:left w:w="20" w:type="dxa"/>
              <w:bottom w:w="30" w:type="dxa"/>
              <w:right w:w="20" w:type="dxa"/>
            </w:tcMar>
            <w:hideMark/>
          </w:tcPr>
          <w:p w14:paraId="67832CDA" w14:textId="77777777" w:rsidR="00000000" w:rsidRDefault="0068293C">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14:paraId="2E5C8F92"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CAEDA"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CCC0B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A901D"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477BA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5EBA30"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19901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9953B" w14:textId="77777777" w:rsidR="00000000" w:rsidRDefault="0068293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9EA7DE"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9AA24D"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5135B8"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86B433" w14:textId="77777777" w:rsidR="00000000" w:rsidRDefault="0068293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BBF92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51DA94"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3B4D50" w14:textId="77777777" w:rsidR="00000000" w:rsidRDefault="0068293C">
            <w:pPr>
              <w:spacing w:after="100"/>
              <w:jc w:val="right"/>
              <w:rPr>
                <w:rFonts w:eastAsia="Times New Roman"/>
              </w:rPr>
            </w:pPr>
          </w:p>
        </w:tc>
      </w:tr>
      <w:tr w:rsidR="00000000" w14:paraId="5ABEEBAE" w14:textId="77777777">
        <w:trPr>
          <w:divId w:val="1649289234"/>
        </w:trPr>
        <w:tc>
          <w:tcPr>
            <w:tcW w:w="0" w:type="auto"/>
            <w:gridSpan w:val="3"/>
            <w:shd w:val="clear" w:color="auto" w:fill="CCEEFF"/>
            <w:tcMar>
              <w:top w:w="30" w:type="dxa"/>
              <w:left w:w="20" w:type="dxa"/>
              <w:bottom w:w="30" w:type="dxa"/>
              <w:right w:w="20" w:type="dxa"/>
            </w:tcMar>
            <w:hideMark/>
          </w:tcPr>
          <w:p w14:paraId="26D7FFD2" w14:textId="77777777" w:rsidR="00000000" w:rsidRDefault="0068293C">
            <w:pPr>
              <w:spacing w:after="100"/>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14:paraId="477DD8F4"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8F549"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E6D9E6"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420101" w14:textId="77777777" w:rsidR="00000000" w:rsidRDefault="0068293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2D62E6"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37DBBC" w14:textId="77777777" w:rsidR="00000000" w:rsidRDefault="0068293C">
            <w:pPr>
              <w:spacing w:after="100"/>
              <w:jc w:val="right"/>
              <w:rPr>
                <w:rFonts w:eastAsia="Times New Roman"/>
              </w:rPr>
            </w:pPr>
            <w:r>
              <w:rPr>
                <w:rFonts w:eastAsia="Times New Roman"/>
                <w:color w:val="000000"/>
                <w:sz w:val="20"/>
                <w:szCs w:val="20"/>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F58E6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47D07"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1D4232"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814B08"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286E10"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334E8" w14:textId="77777777" w:rsidR="00000000" w:rsidRDefault="0068293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E15AA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5ED518"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21AB8C" w14:textId="77777777" w:rsidR="00000000" w:rsidRDefault="0068293C">
            <w:pPr>
              <w:spacing w:after="100"/>
              <w:jc w:val="right"/>
              <w:rPr>
                <w:rFonts w:eastAsia="Times New Roman"/>
              </w:rPr>
            </w:pPr>
          </w:p>
        </w:tc>
      </w:tr>
    </w:tbl>
    <w:p w14:paraId="69645989" w14:textId="77777777" w:rsidR="00000000" w:rsidRDefault="0068293C">
      <w:pPr>
        <w:divId w:val="1649289234"/>
        <w:rPr>
          <w:rFonts w:eastAsia="Times New Roman"/>
        </w:rPr>
      </w:pPr>
      <w:r>
        <w:rPr>
          <w:rFonts w:eastAsia="Times New Roman"/>
          <w:color w:val="000000"/>
          <w:sz w:val="20"/>
          <w:szCs w:val="20"/>
        </w:rPr>
        <w:t>    </w:t>
      </w:r>
    </w:p>
    <w:p w14:paraId="49CBC91E" w14:textId="77777777" w:rsidR="00000000" w:rsidRDefault="0068293C">
      <w:pPr>
        <w:divId w:val="1419058818"/>
        <w:rPr>
          <w:rFonts w:eastAsia="Times New Roman"/>
        </w:rPr>
      </w:pPr>
    </w:p>
    <w:p w14:paraId="29EF5067" w14:textId="77777777" w:rsidR="00000000" w:rsidRDefault="0068293C">
      <w:pPr>
        <w:divId w:val="1663660183"/>
        <w:rPr>
          <w:rFonts w:eastAsia="Times New Roman"/>
        </w:rPr>
      </w:pPr>
    </w:p>
    <w:p w14:paraId="5CEC445A" w14:textId="77777777" w:rsidR="00000000" w:rsidRDefault="0068293C">
      <w:pPr>
        <w:divId w:val="1999654441"/>
        <w:rPr>
          <w:rFonts w:eastAsia="Times New Roman"/>
        </w:rPr>
      </w:pPr>
      <w:r>
        <w:rPr>
          <w:rFonts w:eastAsia="Times New Roman"/>
          <w:color w:val="000000"/>
          <w:sz w:val="20"/>
          <w:szCs w:val="20"/>
        </w:rPr>
        <w:t>The effects of derivative instruments on the Condensed Consolidated Statements of Operations and Condensed Consolidated Statements of Comprehensive Income for the three months ended March 31, 2022 and 2021 were as follows:</w:t>
      </w:r>
    </w:p>
    <w:tbl>
      <w:tblPr>
        <w:tblW w:w="4992" w:type="pct"/>
        <w:tblCellMar>
          <w:top w:w="15" w:type="dxa"/>
          <w:left w:w="15" w:type="dxa"/>
          <w:bottom w:w="15" w:type="dxa"/>
          <w:right w:w="15" w:type="dxa"/>
        </w:tblCellMar>
        <w:tblLook w:val="04A0" w:firstRow="1" w:lastRow="0" w:firstColumn="1" w:lastColumn="0" w:noHBand="0" w:noVBand="1"/>
      </w:tblPr>
      <w:tblGrid>
        <w:gridCol w:w="74"/>
        <w:gridCol w:w="1818"/>
        <w:gridCol w:w="36"/>
        <w:gridCol w:w="121"/>
        <w:gridCol w:w="883"/>
        <w:gridCol w:w="37"/>
        <w:gridCol w:w="37"/>
        <w:gridCol w:w="37"/>
        <w:gridCol w:w="36"/>
        <w:gridCol w:w="120"/>
        <w:gridCol w:w="844"/>
        <w:gridCol w:w="36"/>
        <w:gridCol w:w="36"/>
        <w:gridCol w:w="36"/>
        <w:gridCol w:w="36"/>
        <w:gridCol w:w="37"/>
        <w:gridCol w:w="2076"/>
        <w:gridCol w:w="36"/>
        <w:gridCol w:w="36"/>
        <w:gridCol w:w="36"/>
        <w:gridCol w:w="36"/>
        <w:gridCol w:w="121"/>
        <w:gridCol w:w="713"/>
        <w:gridCol w:w="37"/>
        <w:gridCol w:w="37"/>
        <w:gridCol w:w="36"/>
        <w:gridCol w:w="36"/>
        <w:gridCol w:w="120"/>
        <w:gridCol w:w="713"/>
        <w:gridCol w:w="36"/>
      </w:tblGrid>
      <w:tr w:rsidR="00000000" w14:paraId="67D9CD39" w14:textId="77777777">
        <w:trPr>
          <w:divId w:val="2057393358"/>
        </w:trPr>
        <w:tc>
          <w:tcPr>
            <w:tcW w:w="50" w:type="pct"/>
            <w:vAlign w:val="center"/>
            <w:hideMark/>
          </w:tcPr>
          <w:p w14:paraId="6F070EBA" w14:textId="77777777" w:rsidR="00000000" w:rsidRDefault="0068293C">
            <w:pPr>
              <w:rPr>
                <w:rFonts w:eastAsia="Times New Roman"/>
              </w:rPr>
            </w:pPr>
          </w:p>
        </w:tc>
        <w:tc>
          <w:tcPr>
            <w:tcW w:w="1145" w:type="pct"/>
            <w:vAlign w:val="center"/>
            <w:hideMark/>
          </w:tcPr>
          <w:p w14:paraId="7CCCF432" w14:textId="77777777" w:rsidR="00000000" w:rsidRDefault="0068293C">
            <w:pPr>
              <w:spacing w:after="100"/>
              <w:rPr>
                <w:rFonts w:eastAsia="Times New Roman"/>
                <w:sz w:val="20"/>
                <w:szCs w:val="20"/>
              </w:rPr>
            </w:pPr>
          </w:p>
        </w:tc>
        <w:tc>
          <w:tcPr>
            <w:tcW w:w="5" w:type="pct"/>
            <w:vAlign w:val="center"/>
            <w:hideMark/>
          </w:tcPr>
          <w:p w14:paraId="5DC12177" w14:textId="77777777" w:rsidR="00000000" w:rsidRDefault="0068293C">
            <w:pPr>
              <w:spacing w:after="100"/>
              <w:rPr>
                <w:rFonts w:eastAsia="Times New Roman"/>
                <w:sz w:val="20"/>
                <w:szCs w:val="20"/>
              </w:rPr>
            </w:pPr>
          </w:p>
        </w:tc>
        <w:tc>
          <w:tcPr>
            <w:tcW w:w="50" w:type="pct"/>
            <w:vAlign w:val="center"/>
            <w:hideMark/>
          </w:tcPr>
          <w:p w14:paraId="552DC372" w14:textId="77777777" w:rsidR="00000000" w:rsidRDefault="0068293C">
            <w:pPr>
              <w:spacing w:after="100"/>
              <w:rPr>
                <w:rFonts w:eastAsia="Times New Roman"/>
                <w:sz w:val="20"/>
                <w:szCs w:val="20"/>
              </w:rPr>
            </w:pPr>
          </w:p>
        </w:tc>
        <w:tc>
          <w:tcPr>
            <w:tcW w:w="559" w:type="pct"/>
            <w:vAlign w:val="center"/>
            <w:hideMark/>
          </w:tcPr>
          <w:p w14:paraId="57AFD7DC" w14:textId="77777777" w:rsidR="00000000" w:rsidRDefault="0068293C">
            <w:pPr>
              <w:spacing w:after="100"/>
              <w:rPr>
                <w:rFonts w:eastAsia="Times New Roman"/>
                <w:sz w:val="20"/>
                <w:szCs w:val="20"/>
              </w:rPr>
            </w:pPr>
          </w:p>
        </w:tc>
        <w:tc>
          <w:tcPr>
            <w:tcW w:w="5" w:type="pct"/>
            <w:vAlign w:val="center"/>
            <w:hideMark/>
          </w:tcPr>
          <w:p w14:paraId="0FF8FEE6" w14:textId="77777777" w:rsidR="00000000" w:rsidRDefault="0068293C">
            <w:pPr>
              <w:spacing w:after="100"/>
              <w:rPr>
                <w:rFonts w:eastAsia="Times New Roman"/>
                <w:sz w:val="20"/>
                <w:szCs w:val="20"/>
              </w:rPr>
            </w:pPr>
          </w:p>
        </w:tc>
        <w:tc>
          <w:tcPr>
            <w:tcW w:w="5" w:type="pct"/>
            <w:vAlign w:val="center"/>
            <w:hideMark/>
          </w:tcPr>
          <w:p w14:paraId="5E576737" w14:textId="77777777" w:rsidR="00000000" w:rsidRDefault="0068293C">
            <w:pPr>
              <w:spacing w:after="100"/>
              <w:rPr>
                <w:rFonts w:eastAsia="Times New Roman"/>
                <w:sz w:val="20"/>
                <w:szCs w:val="20"/>
              </w:rPr>
            </w:pPr>
          </w:p>
        </w:tc>
        <w:tc>
          <w:tcPr>
            <w:tcW w:w="26" w:type="pct"/>
            <w:vAlign w:val="center"/>
            <w:hideMark/>
          </w:tcPr>
          <w:p w14:paraId="5A1F8285" w14:textId="77777777" w:rsidR="00000000" w:rsidRDefault="0068293C">
            <w:pPr>
              <w:spacing w:after="100"/>
              <w:rPr>
                <w:rFonts w:eastAsia="Times New Roman"/>
                <w:sz w:val="20"/>
                <w:szCs w:val="20"/>
              </w:rPr>
            </w:pPr>
          </w:p>
        </w:tc>
        <w:tc>
          <w:tcPr>
            <w:tcW w:w="5" w:type="pct"/>
            <w:vAlign w:val="center"/>
            <w:hideMark/>
          </w:tcPr>
          <w:p w14:paraId="05DF047B" w14:textId="77777777" w:rsidR="00000000" w:rsidRDefault="0068293C">
            <w:pPr>
              <w:spacing w:after="100"/>
              <w:rPr>
                <w:rFonts w:eastAsia="Times New Roman"/>
                <w:sz w:val="20"/>
                <w:szCs w:val="20"/>
              </w:rPr>
            </w:pPr>
          </w:p>
        </w:tc>
        <w:tc>
          <w:tcPr>
            <w:tcW w:w="50" w:type="pct"/>
            <w:vAlign w:val="center"/>
            <w:hideMark/>
          </w:tcPr>
          <w:p w14:paraId="57BBA631" w14:textId="77777777" w:rsidR="00000000" w:rsidRDefault="0068293C">
            <w:pPr>
              <w:spacing w:after="100"/>
              <w:rPr>
                <w:rFonts w:eastAsia="Times New Roman"/>
                <w:sz w:val="20"/>
                <w:szCs w:val="20"/>
              </w:rPr>
            </w:pPr>
          </w:p>
        </w:tc>
        <w:tc>
          <w:tcPr>
            <w:tcW w:w="559" w:type="pct"/>
            <w:vAlign w:val="center"/>
            <w:hideMark/>
          </w:tcPr>
          <w:p w14:paraId="54E398E4" w14:textId="77777777" w:rsidR="00000000" w:rsidRDefault="0068293C">
            <w:pPr>
              <w:spacing w:after="100"/>
              <w:rPr>
                <w:rFonts w:eastAsia="Times New Roman"/>
                <w:sz w:val="20"/>
                <w:szCs w:val="20"/>
              </w:rPr>
            </w:pPr>
          </w:p>
        </w:tc>
        <w:tc>
          <w:tcPr>
            <w:tcW w:w="5" w:type="pct"/>
            <w:vAlign w:val="center"/>
            <w:hideMark/>
          </w:tcPr>
          <w:p w14:paraId="3A6D3CAB" w14:textId="77777777" w:rsidR="00000000" w:rsidRDefault="0068293C">
            <w:pPr>
              <w:spacing w:after="100"/>
              <w:rPr>
                <w:rFonts w:eastAsia="Times New Roman"/>
                <w:sz w:val="20"/>
                <w:szCs w:val="20"/>
              </w:rPr>
            </w:pPr>
          </w:p>
        </w:tc>
        <w:tc>
          <w:tcPr>
            <w:tcW w:w="5" w:type="pct"/>
            <w:vAlign w:val="center"/>
            <w:hideMark/>
          </w:tcPr>
          <w:p w14:paraId="0BBD3DCC" w14:textId="77777777" w:rsidR="00000000" w:rsidRDefault="0068293C">
            <w:pPr>
              <w:spacing w:after="100"/>
              <w:rPr>
                <w:rFonts w:eastAsia="Times New Roman"/>
                <w:sz w:val="20"/>
                <w:szCs w:val="20"/>
              </w:rPr>
            </w:pPr>
          </w:p>
        </w:tc>
        <w:tc>
          <w:tcPr>
            <w:tcW w:w="26" w:type="pct"/>
            <w:vAlign w:val="center"/>
            <w:hideMark/>
          </w:tcPr>
          <w:p w14:paraId="75F86E22" w14:textId="77777777" w:rsidR="00000000" w:rsidRDefault="0068293C">
            <w:pPr>
              <w:spacing w:after="100"/>
              <w:rPr>
                <w:rFonts w:eastAsia="Times New Roman"/>
                <w:sz w:val="20"/>
                <w:szCs w:val="20"/>
              </w:rPr>
            </w:pPr>
          </w:p>
        </w:tc>
        <w:tc>
          <w:tcPr>
            <w:tcW w:w="5" w:type="pct"/>
            <w:vAlign w:val="center"/>
            <w:hideMark/>
          </w:tcPr>
          <w:p w14:paraId="56A602F0" w14:textId="77777777" w:rsidR="00000000" w:rsidRDefault="0068293C">
            <w:pPr>
              <w:spacing w:after="100"/>
              <w:rPr>
                <w:rFonts w:eastAsia="Times New Roman"/>
                <w:sz w:val="20"/>
                <w:szCs w:val="20"/>
              </w:rPr>
            </w:pPr>
          </w:p>
        </w:tc>
        <w:tc>
          <w:tcPr>
            <w:tcW w:w="50" w:type="pct"/>
            <w:vAlign w:val="center"/>
            <w:hideMark/>
          </w:tcPr>
          <w:p w14:paraId="39CBA34E" w14:textId="77777777" w:rsidR="00000000" w:rsidRDefault="0068293C">
            <w:pPr>
              <w:spacing w:after="100"/>
              <w:rPr>
                <w:rFonts w:eastAsia="Times New Roman"/>
                <w:sz w:val="20"/>
                <w:szCs w:val="20"/>
              </w:rPr>
            </w:pPr>
          </w:p>
        </w:tc>
        <w:tc>
          <w:tcPr>
            <w:tcW w:w="1299" w:type="pct"/>
            <w:vAlign w:val="center"/>
            <w:hideMark/>
          </w:tcPr>
          <w:p w14:paraId="5444B350" w14:textId="77777777" w:rsidR="00000000" w:rsidRDefault="0068293C">
            <w:pPr>
              <w:spacing w:after="100"/>
              <w:rPr>
                <w:rFonts w:eastAsia="Times New Roman"/>
                <w:sz w:val="20"/>
                <w:szCs w:val="20"/>
              </w:rPr>
            </w:pPr>
          </w:p>
        </w:tc>
        <w:tc>
          <w:tcPr>
            <w:tcW w:w="5" w:type="pct"/>
            <w:vAlign w:val="center"/>
            <w:hideMark/>
          </w:tcPr>
          <w:p w14:paraId="6A9FE4F1" w14:textId="77777777" w:rsidR="00000000" w:rsidRDefault="0068293C">
            <w:pPr>
              <w:spacing w:after="100"/>
              <w:rPr>
                <w:rFonts w:eastAsia="Times New Roman"/>
                <w:sz w:val="20"/>
                <w:szCs w:val="20"/>
              </w:rPr>
            </w:pPr>
          </w:p>
        </w:tc>
        <w:tc>
          <w:tcPr>
            <w:tcW w:w="5" w:type="pct"/>
            <w:vAlign w:val="center"/>
            <w:hideMark/>
          </w:tcPr>
          <w:p w14:paraId="131EEC70" w14:textId="77777777" w:rsidR="00000000" w:rsidRDefault="0068293C">
            <w:pPr>
              <w:spacing w:after="100"/>
              <w:rPr>
                <w:rFonts w:eastAsia="Times New Roman"/>
                <w:sz w:val="20"/>
                <w:szCs w:val="20"/>
              </w:rPr>
            </w:pPr>
          </w:p>
        </w:tc>
        <w:tc>
          <w:tcPr>
            <w:tcW w:w="26" w:type="pct"/>
            <w:vAlign w:val="center"/>
            <w:hideMark/>
          </w:tcPr>
          <w:p w14:paraId="246133F8" w14:textId="77777777" w:rsidR="00000000" w:rsidRDefault="0068293C">
            <w:pPr>
              <w:spacing w:after="100"/>
              <w:rPr>
                <w:rFonts w:eastAsia="Times New Roman"/>
                <w:sz w:val="20"/>
                <w:szCs w:val="20"/>
              </w:rPr>
            </w:pPr>
          </w:p>
        </w:tc>
        <w:tc>
          <w:tcPr>
            <w:tcW w:w="5" w:type="pct"/>
            <w:vAlign w:val="center"/>
            <w:hideMark/>
          </w:tcPr>
          <w:p w14:paraId="40137C2C" w14:textId="77777777" w:rsidR="00000000" w:rsidRDefault="0068293C">
            <w:pPr>
              <w:spacing w:after="100"/>
              <w:rPr>
                <w:rFonts w:eastAsia="Times New Roman"/>
                <w:sz w:val="20"/>
                <w:szCs w:val="20"/>
              </w:rPr>
            </w:pPr>
          </w:p>
        </w:tc>
        <w:tc>
          <w:tcPr>
            <w:tcW w:w="50" w:type="pct"/>
            <w:vAlign w:val="center"/>
            <w:hideMark/>
          </w:tcPr>
          <w:p w14:paraId="468F7DF9" w14:textId="77777777" w:rsidR="00000000" w:rsidRDefault="0068293C">
            <w:pPr>
              <w:spacing w:after="100"/>
              <w:rPr>
                <w:rFonts w:eastAsia="Times New Roman"/>
                <w:sz w:val="20"/>
                <w:szCs w:val="20"/>
              </w:rPr>
            </w:pPr>
          </w:p>
        </w:tc>
        <w:tc>
          <w:tcPr>
            <w:tcW w:w="479" w:type="pct"/>
            <w:vAlign w:val="center"/>
            <w:hideMark/>
          </w:tcPr>
          <w:p w14:paraId="09E09912" w14:textId="77777777" w:rsidR="00000000" w:rsidRDefault="0068293C">
            <w:pPr>
              <w:spacing w:after="100"/>
              <w:rPr>
                <w:rFonts w:eastAsia="Times New Roman"/>
                <w:sz w:val="20"/>
                <w:szCs w:val="20"/>
              </w:rPr>
            </w:pPr>
          </w:p>
        </w:tc>
        <w:tc>
          <w:tcPr>
            <w:tcW w:w="5" w:type="pct"/>
            <w:vAlign w:val="center"/>
            <w:hideMark/>
          </w:tcPr>
          <w:p w14:paraId="085CF254" w14:textId="77777777" w:rsidR="00000000" w:rsidRDefault="0068293C">
            <w:pPr>
              <w:spacing w:after="100"/>
              <w:rPr>
                <w:rFonts w:eastAsia="Times New Roman"/>
                <w:sz w:val="20"/>
                <w:szCs w:val="20"/>
              </w:rPr>
            </w:pPr>
          </w:p>
        </w:tc>
        <w:tc>
          <w:tcPr>
            <w:tcW w:w="5" w:type="pct"/>
            <w:vAlign w:val="center"/>
            <w:hideMark/>
          </w:tcPr>
          <w:p w14:paraId="70C92920" w14:textId="77777777" w:rsidR="00000000" w:rsidRDefault="0068293C">
            <w:pPr>
              <w:spacing w:after="100"/>
              <w:rPr>
                <w:rFonts w:eastAsia="Times New Roman"/>
                <w:sz w:val="20"/>
                <w:szCs w:val="20"/>
              </w:rPr>
            </w:pPr>
          </w:p>
        </w:tc>
        <w:tc>
          <w:tcPr>
            <w:tcW w:w="26" w:type="pct"/>
            <w:vAlign w:val="center"/>
            <w:hideMark/>
          </w:tcPr>
          <w:p w14:paraId="703B9BB2" w14:textId="77777777" w:rsidR="00000000" w:rsidRDefault="0068293C">
            <w:pPr>
              <w:spacing w:after="100"/>
              <w:rPr>
                <w:rFonts w:eastAsia="Times New Roman"/>
                <w:sz w:val="20"/>
                <w:szCs w:val="20"/>
              </w:rPr>
            </w:pPr>
          </w:p>
        </w:tc>
        <w:tc>
          <w:tcPr>
            <w:tcW w:w="5" w:type="pct"/>
            <w:vAlign w:val="center"/>
            <w:hideMark/>
          </w:tcPr>
          <w:p w14:paraId="39D0EB3C" w14:textId="77777777" w:rsidR="00000000" w:rsidRDefault="0068293C">
            <w:pPr>
              <w:spacing w:after="100"/>
              <w:rPr>
                <w:rFonts w:eastAsia="Times New Roman"/>
                <w:sz w:val="20"/>
                <w:szCs w:val="20"/>
              </w:rPr>
            </w:pPr>
          </w:p>
        </w:tc>
        <w:tc>
          <w:tcPr>
            <w:tcW w:w="50" w:type="pct"/>
            <w:vAlign w:val="center"/>
            <w:hideMark/>
          </w:tcPr>
          <w:p w14:paraId="1EDD221C" w14:textId="77777777" w:rsidR="00000000" w:rsidRDefault="0068293C">
            <w:pPr>
              <w:spacing w:after="100"/>
              <w:rPr>
                <w:rFonts w:eastAsia="Times New Roman"/>
                <w:sz w:val="20"/>
                <w:szCs w:val="20"/>
              </w:rPr>
            </w:pPr>
          </w:p>
        </w:tc>
        <w:tc>
          <w:tcPr>
            <w:tcW w:w="479" w:type="pct"/>
            <w:vAlign w:val="center"/>
            <w:hideMark/>
          </w:tcPr>
          <w:p w14:paraId="24724053" w14:textId="77777777" w:rsidR="00000000" w:rsidRDefault="0068293C">
            <w:pPr>
              <w:spacing w:after="100"/>
              <w:rPr>
                <w:rFonts w:eastAsia="Times New Roman"/>
                <w:sz w:val="20"/>
                <w:szCs w:val="20"/>
              </w:rPr>
            </w:pPr>
          </w:p>
        </w:tc>
        <w:tc>
          <w:tcPr>
            <w:tcW w:w="5" w:type="pct"/>
            <w:vAlign w:val="center"/>
            <w:hideMark/>
          </w:tcPr>
          <w:p w14:paraId="4E1A73D0" w14:textId="77777777" w:rsidR="00000000" w:rsidRDefault="0068293C">
            <w:pPr>
              <w:spacing w:after="100"/>
              <w:rPr>
                <w:rFonts w:eastAsia="Times New Roman"/>
                <w:sz w:val="20"/>
                <w:szCs w:val="20"/>
              </w:rPr>
            </w:pPr>
          </w:p>
        </w:tc>
      </w:tr>
      <w:tr w:rsidR="00000000" w14:paraId="72A0E31A" w14:textId="77777777">
        <w:trPr>
          <w:divId w:val="2057393358"/>
        </w:trPr>
        <w:tc>
          <w:tcPr>
            <w:tcW w:w="0" w:type="auto"/>
            <w:gridSpan w:val="3"/>
            <w:tcMar>
              <w:top w:w="30" w:type="dxa"/>
              <w:left w:w="20" w:type="dxa"/>
              <w:bottom w:w="30" w:type="dxa"/>
              <w:right w:w="20" w:type="dxa"/>
            </w:tcMar>
            <w:vAlign w:val="bottom"/>
            <w:hideMark/>
          </w:tcPr>
          <w:p w14:paraId="29A2FBAB"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14:paraId="6C9DA18A" w14:textId="77777777" w:rsidR="00000000" w:rsidRDefault="0068293C">
            <w:pPr>
              <w:spacing w:after="100"/>
              <w:jc w:val="center"/>
              <w:rPr>
                <w:rFonts w:eastAsia="Times New Roman"/>
              </w:rPr>
            </w:pPr>
            <w:r>
              <w:rPr>
                <w:rFonts w:eastAsia="Times New Roman"/>
                <w:b/>
                <w:bCs/>
                <w:color w:val="000000"/>
                <w:sz w:val="16"/>
                <w:szCs w:val="16"/>
              </w:rPr>
              <w:t>Amount of Gain (Loss) Recognized in Other Comprehensive Income (OCI) on Derivative Contracts</w:t>
            </w:r>
          </w:p>
        </w:tc>
        <w:tc>
          <w:tcPr>
            <w:tcW w:w="0" w:type="auto"/>
            <w:gridSpan w:val="3"/>
            <w:tcMar>
              <w:top w:w="0" w:type="dxa"/>
              <w:left w:w="20" w:type="dxa"/>
              <w:bottom w:w="0" w:type="dxa"/>
              <w:right w:w="20" w:type="dxa"/>
            </w:tcMar>
            <w:vAlign w:val="center"/>
            <w:hideMark/>
          </w:tcPr>
          <w:p w14:paraId="764B23D7"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AAE0EC"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5839447" w14:textId="77777777" w:rsidR="00000000" w:rsidRDefault="0068293C">
            <w:pPr>
              <w:spacing w:after="100"/>
              <w:rPr>
                <w:rFonts w:eastAsia="Times New Roman"/>
              </w:rPr>
            </w:pPr>
          </w:p>
        </w:tc>
        <w:tc>
          <w:tcPr>
            <w:tcW w:w="0" w:type="auto"/>
            <w:gridSpan w:val="9"/>
            <w:tcMar>
              <w:top w:w="30" w:type="dxa"/>
              <w:left w:w="20" w:type="dxa"/>
              <w:bottom w:w="30" w:type="dxa"/>
              <w:right w:w="20" w:type="dxa"/>
            </w:tcMar>
            <w:vAlign w:val="bottom"/>
            <w:hideMark/>
          </w:tcPr>
          <w:p w14:paraId="43DC39C4" w14:textId="77777777" w:rsidR="00000000" w:rsidRDefault="0068293C">
            <w:pPr>
              <w:spacing w:after="100"/>
              <w:jc w:val="center"/>
              <w:rPr>
                <w:rFonts w:eastAsia="Times New Roman"/>
              </w:rPr>
            </w:pPr>
            <w:r>
              <w:rPr>
                <w:rFonts w:eastAsia="Times New Roman"/>
                <w:b/>
                <w:bCs/>
                <w:color w:val="000000"/>
                <w:sz w:val="16"/>
                <w:szCs w:val="16"/>
              </w:rPr>
              <w:t>Amount of (Gain) Loss Reclassified from AOCI into the Condensed Consolidated Statement of Operations</w:t>
            </w:r>
          </w:p>
        </w:tc>
      </w:tr>
      <w:tr w:rsidR="00000000" w14:paraId="697432DB" w14:textId="77777777">
        <w:trPr>
          <w:divId w:val="2057393358"/>
        </w:trPr>
        <w:tc>
          <w:tcPr>
            <w:tcW w:w="0" w:type="auto"/>
            <w:gridSpan w:val="3"/>
            <w:tcMar>
              <w:top w:w="30" w:type="dxa"/>
              <w:left w:w="20" w:type="dxa"/>
              <w:bottom w:w="30" w:type="dxa"/>
              <w:right w:w="20" w:type="dxa"/>
            </w:tcMar>
            <w:vAlign w:val="bottom"/>
            <w:hideMark/>
          </w:tcPr>
          <w:p w14:paraId="2135408D" w14:textId="77777777" w:rsidR="00000000" w:rsidRDefault="0068293C">
            <w:pPr>
              <w:spacing w:after="100"/>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14:paraId="12FA2E7A" w14:textId="77777777" w:rsidR="00000000" w:rsidRDefault="0068293C">
            <w:pPr>
              <w:spacing w:after="100"/>
              <w:jc w:val="center"/>
              <w:rPr>
                <w:rFonts w:eastAsia="Times New Roman"/>
              </w:rPr>
            </w:pPr>
            <w:r>
              <w:rPr>
                <w:rFonts w:eastAsia="Times New Roman"/>
                <w:b/>
                <w:bCs/>
                <w:color w:val="000000"/>
                <w:sz w:val="16"/>
                <w:szCs w:val="16"/>
              </w:rPr>
              <w:t>For the three months ended March 31, 2022</w:t>
            </w:r>
          </w:p>
        </w:tc>
        <w:tc>
          <w:tcPr>
            <w:tcW w:w="0" w:type="auto"/>
            <w:gridSpan w:val="3"/>
            <w:tcBorders>
              <w:top w:val="single" w:sz="8" w:space="0" w:color="000000"/>
            </w:tcBorders>
            <w:tcMar>
              <w:top w:w="0" w:type="dxa"/>
              <w:left w:w="20" w:type="dxa"/>
              <w:bottom w:w="0" w:type="dxa"/>
              <w:right w:w="20" w:type="dxa"/>
            </w:tcMar>
            <w:vAlign w:val="center"/>
            <w:hideMark/>
          </w:tcPr>
          <w:p w14:paraId="22D5BC37"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A23ECD" w14:textId="77777777" w:rsidR="00000000" w:rsidRDefault="0068293C">
            <w:pPr>
              <w:spacing w:after="100"/>
              <w:jc w:val="center"/>
              <w:rPr>
                <w:rFonts w:eastAsia="Times New Roman"/>
              </w:rPr>
            </w:pPr>
            <w:r>
              <w:rPr>
                <w:rFonts w:eastAsia="Times New Roman"/>
                <w:b/>
                <w:bCs/>
                <w:color w:val="000000"/>
                <w:sz w:val="16"/>
                <w:szCs w:val="16"/>
              </w:rPr>
              <w:t>For the three months ended March 31, 2021</w:t>
            </w:r>
          </w:p>
        </w:tc>
        <w:tc>
          <w:tcPr>
            <w:tcW w:w="0" w:type="auto"/>
            <w:gridSpan w:val="3"/>
            <w:tcMar>
              <w:top w:w="0" w:type="dxa"/>
              <w:left w:w="20" w:type="dxa"/>
              <w:bottom w:w="0" w:type="dxa"/>
              <w:right w:w="20" w:type="dxa"/>
            </w:tcMar>
            <w:vAlign w:val="center"/>
            <w:hideMark/>
          </w:tcPr>
          <w:p w14:paraId="775040D8"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D4A0C5" w14:textId="77777777" w:rsidR="00000000" w:rsidRDefault="0068293C">
            <w:pPr>
              <w:spacing w:after="100"/>
              <w:jc w:val="center"/>
              <w:rPr>
                <w:rFonts w:eastAsia="Times New Roman"/>
              </w:rPr>
            </w:pPr>
            <w:r>
              <w:rPr>
                <w:rFonts w:eastAsia="Times New Roman"/>
                <w:b/>
                <w:bCs/>
                <w:color w:val="000000"/>
                <w:sz w:val="16"/>
                <w:szCs w:val="16"/>
              </w:rPr>
              <w:t>Location of (Gain) Loss Reclassified from AOCI into the Condensed Consolidated Statement of Operations</w:t>
            </w:r>
          </w:p>
        </w:tc>
        <w:tc>
          <w:tcPr>
            <w:tcW w:w="0" w:type="auto"/>
            <w:gridSpan w:val="3"/>
            <w:tcMar>
              <w:top w:w="0" w:type="dxa"/>
              <w:left w:w="20" w:type="dxa"/>
              <w:bottom w:w="0" w:type="dxa"/>
              <w:right w:w="20" w:type="dxa"/>
            </w:tcMar>
            <w:vAlign w:val="center"/>
            <w:hideMark/>
          </w:tcPr>
          <w:p w14:paraId="64287A9C"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F492BA" w14:textId="77777777" w:rsidR="00000000" w:rsidRDefault="0068293C">
            <w:pPr>
              <w:spacing w:after="100"/>
              <w:jc w:val="center"/>
              <w:rPr>
                <w:rFonts w:eastAsia="Times New Roman"/>
              </w:rPr>
            </w:pPr>
            <w:r>
              <w:rPr>
                <w:rFonts w:eastAsia="Times New Roman"/>
                <w:b/>
                <w:bCs/>
                <w:color w:val="000000"/>
                <w:sz w:val="16"/>
                <w:szCs w:val="16"/>
              </w:rPr>
              <w:t>For the three months ended March 31, 2022</w:t>
            </w:r>
          </w:p>
        </w:tc>
        <w:tc>
          <w:tcPr>
            <w:tcW w:w="0" w:type="auto"/>
            <w:gridSpan w:val="3"/>
            <w:tcBorders>
              <w:top w:val="single" w:sz="8" w:space="0" w:color="000000"/>
            </w:tcBorders>
            <w:tcMar>
              <w:top w:w="0" w:type="dxa"/>
              <w:left w:w="20" w:type="dxa"/>
              <w:bottom w:w="0" w:type="dxa"/>
              <w:right w:w="20" w:type="dxa"/>
            </w:tcMar>
            <w:vAlign w:val="center"/>
            <w:hideMark/>
          </w:tcPr>
          <w:p w14:paraId="64ADE487"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24EBBA" w14:textId="77777777" w:rsidR="00000000" w:rsidRDefault="0068293C">
            <w:pPr>
              <w:spacing w:after="100"/>
              <w:jc w:val="center"/>
              <w:rPr>
                <w:rFonts w:eastAsia="Times New Roman"/>
              </w:rPr>
            </w:pPr>
            <w:r>
              <w:rPr>
                <w:rFonts w:eastAsia="Times New Roman"/>
                <w:b/>
                <w:bCs/>
                <w:color w:val="000000"/>
                <w:sz w:val="16"/>
                <w:szCs w:val="16"/>
              </w:rPr>
              <w:t>For the three months ended March 31, 2021</w:t>
            </w:r>
          </w:p>
        </w:tc>
      </w:tr>
      <w:tr w:rsidR="00000000" w14:paraId="5883A368" w14:textId="77777777">
        <w:trPr>
          <w:divId w:val="2057393358"/>
        </w:trPr>
        <w:tc>
          <w:tcPr>
            <w:tcW w:w="0" w:type="auto"/>
            <w:gridSpan w:val="3"/>
            <w:shd w:val="clear" w:color="auto" w:fill="CCEEFF"/>
            <w:tcMar>
              <w:top w:w="30" w:type="dxa"/>
              <w:left w:w="20" w:type="dxa"/>
              <w:bottom w:w="30" w:type="dxa"/>
              <w:right w:w="20" w:type="dxa"/>
            </w:tcMar>
            <w:hideMark/>
          </w:tcPr>
          <w:p w14:paraId="29CFF82B" w14:textId="77777777" w:rsidR="00000000" w:rsidRDefault="0068293C">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14:paraId="2A703FB9"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F49553B" w14:textId="77777777" w:rsidR="00000000" w:rsidRDefault="0068293C">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5774A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3EC2F"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28B105"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1C06E0"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40951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48BC4"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B92B412" w14:textId="77777777" w:rsidR="00000000" w:rsidRDefault="0068293C">
            <w:pPr>
              <w:spacing w:after="100"/>
              <w:rPr>
                <w:rFonts w:eastAsia="Times New Roman"/>
              </w:rPr>
            </w:pPr>
            <w:r>
              <w:rPr>
                <w:rFonts w:eastAsia="Times New Roman"/>
                <w:color w:val="000000"/>
                <w:sz w:val="20"/>
                <w:szCs w:val="20"/>
              </w:rPr>
              <w:t>Cost of services</w:t>
            </w:r>
          </w:p>
        </w:tc>
        <w:tc>
          <w:tcPr>
            <w:tcW w:w="0" w:type="auto"/>
            <w:gridSpan w:val="3"/>
            <w:shd w:val="clear" w:color="auto" w:fill="CCEEFF"/>
            <w:tcMar>
              <w:top w:w="0" w:type="dxa"/>
              <w:left w:w="20" w:type="dxa"/>
              <w:bottom w:w="0" w:type="dxa"/>
              <w:right w:w="20" w:type="dxa"/>
            </w:tcMar>
            <w:vAlign w:val="center"/>
            <w:hideMark/>
          </w:tcPr>
          <w:p w14:paraId="761304E8" w14:textId="77777777" w:rsidR="00000000" w:rsidRDefault="0068293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2B0278D"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AEA1C05"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41D6D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AD217"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BA7EBF"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9D1651"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6E035C" w14:textId="77777777" w:rsidR="00000000" w:rsidRDefault="0068293C">
            <w:pPr>
              <w:spacing w:after="100"/>
              <w:jc w:val="right"/>
              <w:rPr>
                <w:rFonts w:eastAsia="Times New Roman"/>
              </w:rPr>
            </w:pPr>
          </w:p>
        </w:tc>
      </w:tr>
      <w:tr w:rsidR="00000000" w14:paraId="315F1331" w14:textId="77777777">
        <w:trPr>
          <w:divId w:val="2057393358"/>
        </w:trPr>
        <w:tc>
          <w:tcPr>
            <w:tcW w:w="0" w:type="auto"/>
            <w:gridSpan w:val="3"/>
            <w:vAlign w:val="center"/>
            <w:hideMark/>
          </w:tcPr>
          <w:p w14:paraId="4D20B575" w14:textId="77777777" w:rsidR="00000000" w:rsidRDefault="0068293C">
            <w:pPr>
              <w:spacing w:after="100"/>
              <w:jc w:val="right"/>
              <w:rPr>
                <w:rFonts w:eastAsia="Times New Roman"/>
                <w:sz w:val="20"/>
                <w:szCs w:val="20"/>
              </w:rPr>
            </w:pPr>
          </w:p>
        </w:tc>
        <w:tc>
          <w:tcPr>
            <w:tcW w:w="0" w:type="auto"/>
            <w:gridSpan w:val="3"/>
            <w:vAlign w:val="center"/>
            <w:hideMark/>
          </w:tcPr>
          <w:p w14:paraId="7ADE19D3" w14:textId="77777777" w:rsidR="00000000" w:rsidRDefault="0068293C">
            <w:pPr>
              <w:spacing w:after="100"/>
              <w:rPr>
                <w:rFonts w:eastAsia="Times New Roman"/>
                <w:sz w:val="20"/>
                <w:szCs w:val="20"/>
              </w:rPr>
            </w:pPr>
          </w:p>
        </w:tc>
        <w:tc>
          <w:tcPr>
            <w:tcW w:w="0" w:type="auto"/>
            <w:gridSpan w:val="3"/>
            <w:vAlign w:val="center"/>
            <w:hideMark/>
          </w:tcPr>
          <w:p w14:paraId="3591A911" w14:textId="77777777" w:rsidR="00000000" w:rsidRDefault="0068293C">
            <w:pPr>
              <w:spacing w:after="100"/>
              <w:rPr>
                <w:rFonts w:eastAsia="Times New Roman"/>
                <w:sz w:val="20"/>
                <w:szCs w:val="20"/>
              </w:rPr>
            </w:pPr>
          </w:p>
        </w:tc>
        <w:tc>
          <w:tcPr>
            <w:tcW w:w="0" w:type="auto"/>
            <w:gridSpan w:val="3"/>
            <w:vAlign w:val="center"/>
            <w:hideMark/>
          </w:tcPr>
          <w:p w14:paraId="300FBCEE" w14:textId="77777777" w:rsidR="00000000" w:rsidRDefault="0068293C">
            <w:pPr>
              <w:spacing w:after="100"/>
              <w:rPr>
                <w:rFonts w:eastAsia="Times New Roman"/>
                <w:sz w:val="20"/>
                <w:szCs w:val="20"/>
              </w:rPr>
            </w:pPr>
          </w:p>
        </w:tc>
        <w:tc>
          <w:tcPr>
            <w:tcW w:w="0" w:type="auto"/>
            <w:gridSpan w:val="3"/>
            <w:vAlign w:val="center"/>
            <w:hideMark/>
          </w:tcPr>
          <w:p w14:paraId="66CFC270" w14:textId="77777777" w:rsidR="00000000" w:rsidRDefault="0068293C">
            <w:pPr>
              <w:spacing w:after="100"/>
              <w:rPr>
                <w:rFonts w:eastAsia="Times New Roman"/>
                <w:sz w:val="20"/>
                <w:szCs w:val="20"/>
              </w:rPr>
            </w:pPr>
          </w:p>
        </w:tc>
        <w:tc>
          <w:tcPr>
            <w:tcW w:w="0" w:type="auto"/>
            <w:gridSpan w:val="3"/>
            <w:vAlign w:val="center"/>
            <w:hideMark/>
          </w:tcPr>
          <w:p w14:paraId="4B632392" w14:textId="77777777" w:rsidR="00000000" w:rsidRDefault="0068293C">
            <w:pPr>
              <w:spacing w:after="100"/>
              <w:rPr>
                <w:rFonts w:eastAsia="Times New Roman"/>
                <w:sz w:val="20"/>
                <w:szCs w:val="20"/>
              </w:rPr>
            </w:pPr>
          </w:p>
        </w:tc>
        <w:tc>
          <w:tcPr>
            <w:tcW w:w="0" w:type="auto"/>
            <w:gridSpan w:val="3"/>
            <w:vAlign w:val="center"/>
            <w:hideMark/>
          </w:tcPr>
          <w:p w14:paraId="35586C8F" w14:textId="77777777" w:rsidR="00000000" w:rsidRDefault="0068293C">
            <w:pPr>
              <w:spacing w:after="100"/>
              <w:rPr>
                <w:rFonts w:eastAsia="Times New Roman"/>
                <w:sz w:val="20"/>
                <w:szCs w:val="20"/>
              </w:rPr>
            </w:pPr>
          </w:p>
        </w:tc>
        <w:tc>
          <w:tcPr>
            <w:tcW w:w="0" w:type="auto"/>
            <w:gridSpan w:val="3"/>
            <w:vAlign w:val="center"/>
            <w:hideMark/>
          </w:tcPr>
          <w:p w14:paraId="1C497F98" w14:textId="77777777" w:rsidR="00000000" w:rsidRDefault="0068293C">
            <w:pPr>
              <w:spacing w:after="100"/>
              <w:rPr>
                <w:rFonts w:eastAsia="Times New Roman"/>
                <w:sz w:val="20"/>
                <w:szCs w:val="20"/>
              </w:rPr>
            </w:pPr>
          </w:p>
        </w:tc>
        <w:tc>
          <w:tcPr>
            <w:tcW w:w="0" w:type="auto"/>
            <w:gridSpan w:val="3"/>
            <w:vAlign w:val="center"/>
            <w:hideMark/>
          </w:tcPr>
          <w:p w14:paraId="4AB0B54C" w14:textId="77777777" w:rsidR="00000000" w:rsidRDefault="0068293C">
            <w:pPr>
              <w:spacing w:after="100"/>
              <w:rPr>
                <w:rFonts w:eastAsia="Times New Roman"/>
                <w:sz w:val="20"/>
                <w:szCs w:val="20"/>
              </w:rPr>
            </w:pPr>
          </w:p>
        </w:tc>
        <w:tc>
          <w:tcPr>
            <w:tcW w:w="0" w:type="auto"/>
            <w:gridSpan w:val="3"/>
            <w:vAlign w:val="center"/>
            <w:hideMark/>
          </w:tcPr>
          <w:p w14:paraId="7827FE98" w14:textId="77777777" w:rsidR="00000000" w:rsidRDefault="0068293C">
            <w:pPr>
              <w:spacing w:after="100"/>
              <w:rPr>
                <w:rFonts w:eastAsia="Times New Roman"/>
                <w:sz w:val="20"/>
                <w:szCs w:val="20"/>
              </w:rPr>
            </w:pPr>
          </w:p>
        </w:tc>
      </w:tr>
      <w:tr w:rsidR="00000000" w14:paraId="0B1CBD65" w14:textId="77777777">
        <w:trPr>
          <w:divId w:val="2057393358"/>
        </w:trPr>
        <w:tc>
          <w:tcPr>
            <w:tcW w:w="0" w:type="auto"/>
            <w:gridSpan w:val="3"/>
            <w:vAlign w:val="center"/>
            <w:hideMark/>
          </w:tcPr>
          <w:p w14:paraId="27700FF3" w14:textId="77777777" w:rsidR="00000000" w:rsidRDefault="0068293C">
            <w:pPr>
              <w:spacing w:after="100"/>
              <w:rPr>
                <w:rFonts w:eastAsia="Times New Roman"/>
                <w:sz w:val="20"/>
                <w:szCs w:val="20"/>
              </w:rPr>
            </w:pPr>
          </w:p>
        </w:tc>
        <w:tc>
          <w:tcPr>
            <w:tcW w:w="0" w:type="auto"/>
            <w:gridSpan w:val="3"/>
            <w:vAlign w:val="center"/>
            <w:hideMark/>
          </w:tcPr>
          <w:p w14:paraId="1120AC41" w14:textId="77777777" w:rsidR="00000000" w:rsidRDefault="0068293C">
            <w:pPr>
              <w:spacing w:after="100"/>
              <w:rPr>
                <w:rFonts w:eastAsia="Times New Roman"/>
                <w:sz w:val="20"/>
                <w:szCs w:val="20"/>
              </w:rPr>
            </w:pPr>
          </w:p>
        </w:tc>
        <w:tc>
          <w:tcPr>
            <w:tcW w:w="0" w:type="auto"/>
            <w:gridSpan w:val="3"/>
            <w:vAlign w:val="center"/>
            <w:hideMark/>
          </w:tcPr>
          <w:p w14:paraId="2D7CFE53" w14:textId="77777777" w:rsidR="00000000" w:rsidRDefault="0068293C">
            <w:pPr>
              <w:spacing w:after="100"/>
              <w:rPr>
                <w:rFonts w:eastAsia="Times New Roman"/>
                <w:sz w:val="20"/>
                <w:szCs w:val="20"/>
              </w:rPr>
            </w:pPr>
          </w:p>
        </w:tc>
        <w:tc>
          <w:tcPr>
            <w:tcW w:w="0" w:type="auto"/>
            <w:gridSpan w:val="3"/>
            <w:vAlign w:val="center"/>
            <w:hideMark/>
          </w:tcPr>
          <w:p w14:paraId="2F357F49" w14:textId="77777777" w:rsidR="00000000" w:rsidRDefault="0068293C">
            <w:pPr>
              <w:spacing w:after="100"/>
              <w:rPr>
                <w:rFonts w:eastAsia="Times New Roman"/>
                <w:sz w:val="20"/>
                <w:szCs w:val="20"/>
              </w:rPr>
            </w:pPr>
          </w:p>
        </w:tc>
        <w:tc>
          <w:tcPr>
            <w:tcW w:w="0" w:type="auto"/>
            <w:gridSpan w:val="3"/>
            <w:vAlign w:val="center"/>
            <w:hideMark/>
          </w:tcPr>
          <w:p w14:paraId="3260D1C9" w14:textId="77777777" w:rsidR="00000000" w:rsidRDefault="0068293C">
            <w:pPr>
              <w:spacing w:after="100"/>
              <w:rPr>
                <w:rFonts w:eastAsia="Times New Roman"/>
                <w:sz w:val="20"/>
                <w:szCs w:val="20"/>
              </w:rPr>
            </w:pPr>
          </w:p>
        </w:tc>
        <w:tc>
          <w:tcPr>
            <w:tcW w:w="0" w:type="auto"/>
            <w:gridSpan w:val="3"/>
            <w:vAlign w:val="center"/>
            <w:hideMark/>
          </w:tcPr>
          <w:p w14:paraId="475CE3AF" w14:textId="77777777" w:rsidR="00000000" w:rsidRDefault="0068293C">
            <w:pPr>
              <w:spacing w:after="100"/>
              <w:rPr>
                <w:rFonts w:eastAsia="Times New Roman"/>
                <w:sz w:val="20"/>
                <w:szCs w:val="20"/>
              </w:rPr>
            </w:pPr>
          </w:p>
        </w:tc>
        <w:tc>
          <w:tcPr>
            <w:tcW w:w="0" w:type="auto"/>
            <w:gridSpan w:val="3"/>
            <w:vAlign w:val="center"/>
            <w:hideMark/>
          </w:tcPr>
          <w:p w14:paraId="51979E58" w14:textId="77777777" w:rsidR="00000000" w:rsidRDefault="0068293C">
            <w:pPr>
              <w:spacing w:after="100"/>
              <w:rPr>
                <w:rFonts w:eastAsia="Times New Roman"/>
                <w:sz w:val="20"/>
                <w:szCs w:val="20"/>
              </w:rPr>
            </w:pPr>
          </w:p>
        </w:tc>
        <w:tc>
          <w:tcPr>
            <w:tcW w:w="0" w:type="auto"/>
            <w:gridSpan w:val="3"/>
            <w:vAlign w:val="center"/>
            <w:hideMark/>
          </w:tcPr>
          <w:p w14:paraId="40A273C7" w14:textId="77777777" w:rsidR="00000000" w:rsidRDefault="0068293C">
            <w:pPr>
              <w:spacing w:after="100"/>
              <w:rPr>
                <w:rFonts w:eastAsia="Times New Roman"/>
                <w:sz w:val="20"/>
                <w:szCs w:val="20"/>
              </w:rPr>
            </w:pPr>
          </w:p>
        </w:tc>
        <w:tc>
          <w:tcPr>
            <w:tcW w:w="0" w:type="auto"/>
            <w:gridSpan w:val="3"/>
            <w:vAlign w:val="center"/>
            <w:hideMark/>
          </w:tcPr>
          <w:p w14:paraId="33408305" w14:textId="77777777" w:rsidR="00000000" w:rsidRDefault="0068293C">
            <w:pPr>
              <w:spacing w:after="100"/>
              <w:rPr>
                <w:rFonts w:eastAsia="Times New Roman"/>
                <w:sz w:val="20"/>
                <w:szCs w:val="20"/>
              </w:rPr>
            </w:pPr>
          </w:p>
        </w:tc>
        <w:tc>
          <w:tcPr>
            <w:tcW w:w="0" w:type="auto"/>
            <w:gridSpan w:val="3"/>
            <w:vAlign w:val="center"/>
            <w:hideMark/>
          </w:tcPr>
          <w:p w14:paraId="4CEF159B" w14:textId="77777777" w:rsidR="00000000" w:rsidRDefault="0068293C">
            <w:pPr>
              <w:spacing w:after="100"/>
              <w:rPr>
                <w:rFonts w:eastAsia="Times New Roman"/>
                <w:sz w:val="20"/>
                <w:szCs w:val="20"/>
              </w:rPr>
            </w:pPr>
          </w:p>
        </w:tc>
      </w:tr>
      <w:tr w:rsidR="00000000" w14:paraId="480278AE" w14:textId="77777777">
        <w:trPr>
          <w:divId w:val="2057393358"/>
        </w:trPr>
        <w:tc>
          <w:tcPr>
            <w:tcW w:w="0" w:type="auto"/>
            <w:gridSpan w:val="3"/>
            <w:vAlign w:val="center"/>
            <w:hideMark/>
          </w:tcPr>
          <w:p w14:paraId="689A7640" w14:textId="77777777" w:rsidR="00000000" w:rsidRDefault="0068293C">
            <w:pPr>
              <w:spacing w:after="100"/>
              <w:rPr>
                <w:rFonts w:eastAsia="Times New Roman"/>
                <w:sz w:val="20"/>
                <w:szCs w:val="20"/>
              </w:rPr>
            </w:pPr>
          </w:p>
        </w:tc>
        <w:tc>
          <w:tcPr>
            <w:tcW w:w="0" w:type="auto"/>
            <w:gridSpan w:val="3"/>
            <w:vAlign w:val="center"/>
            <w:hideMark/>
          </w:tcPr>
          <w:p w14:paraId="08B755B0" w14:textId="77777777" w:rsidR="00000000" w:rsidRDefault="0068293C">
            <w:pPr>
              <w:spacing w:after="100"/>
              <w:rPr>
                <w:rFonts w:eastAsia="Times New Roman"/>
                <w:sz w:val="20"/>
                <w:szCs w:val="20"/>
              </w:rPr>
            </w:pPr>
          </w:p>
        </w:tc>
        <w:tc>
          <w:tcPr>
            <w:tcW w:w="0" w:type="auto"/>
            <w:gridSpan w:val="3"/>
            <w:vAlign w:val="center"/>
            <w:hideMark/>
          </w:tcPr>
          <w:p w14:paraId="7C5EEBA5" w14:textId="77777777" w:rsidR="00000000" w:rsidRDefault="0068293C">
            <w:pPr>
              <w:spacing w:after="100"/>
              <w:rPr>
                <w:rFonts w:eastAsia="Times New Roman"/>
                <w:sz w:val="20"/>
                <w:szCs w:val="20"/>
              </w:rPr>
            </w:pPr>
          </w:p>
        </w:tc>
        <w:tc>
          <w:tcPr>
            <w:tcW w:w="0" w:type="auto"/>
            <w:gridSpan w:val="3"/>
            <w:vAlign w:val="center"/>
            <w:hideMark/>
          </w:tcPr>
          <w:p w14:paraId="6083074F" w14:textId="77777777" w:rsidR="00000000" w:rsidRDefault="0068293C">
            <w:pPr>
              <w:spacing w:after="100"/>
              <w:rPr>
                <w:rFonts w:eastAsia="Times New Roman"/>
                <w:sz w:val="20"/>
                <w:szCs w:val="20"/>
              </w:rPr>
            </w:pPr>
          </w:p>
        </w:tc>
        <w:tc>
          <w:tcPr>
            <w:tcW w:w="0" w:type="auto"/>
            <w:gridSpan w:val="3"/>
            <w:vAlign w:val="center"/>
            <w:hideMark/>
          </w:tcPr>
          <w:p w14:paraId="1DBC50F8" w14:textId="77777777" w:rsidR="00000000" w:rsidRDefault="0068293C">
            <w:pPr>
              <w:spacing w:after="100"/>
              <w:rPr>
                <w:rFonts w:eastAsia="Times New Roman"/>
                <w:sz w:val="20"/>
                <w:szCs w:val="20"/>
              </w:rPr>
            </w:pPr>
          </w:p>
        </w:tc>
        <w:tc>
          <w:tcPr>
            <w:tcW w:w="0" w:type="auto"/>
            <w:gridSpan w:val="3"/>
            <w:vAlign w:val="center"/>
            <w:hideMark/>
          </w:tcPr>
          <w:p w14:paraId="5C7B09D1" w14:textId="77777777" w:rsidR="00000000" w:rsidRDefault="0068293C">
            <w:pPr>
              <w:spacing w:after="100"/>
              <w:rPr>
                <w:rFonts w:eastAsia="Times New Roman"/>
                <w:sz w:val="20"/>
                <w:szCs w:val="20"/>
              </w:rPr>
            </w:pPr>
          </w:p>
        </w:tc>
        <w:tc>
          <w:tcPr>
            <w:tcW w:w="0" w:type="auto"/>
            <w:gridSpan w:val="3"/>
            <w:vAlign w:val="center"/>
            <w:hideMark/>
          </w:tcPr>
          <w:p w14:paraId="77347AF4" w14:textId="77777777" w:rsidR="00000000" w:rsidRDefault="0068293C">
            <w:pPr>
              <w:spacing w:after="100"/>
              <w:rPr>
                <w:rFonts w:eastAsia="Times New Roman"/>
                <w:sz w:val="20"/>
                <w:szCs w:val="20"/>
              </w:rPr>
            </w:pPr>
          </w:p>
        </w:tc>
        <w:tc>
          <w:tcPr>
            <w:tcW w:w="0" w:type="auto"/>
            <w:gridSpan w:val="3"/>
            <w:vAlign w:val="center"/>
            <w:hideMark/>
          </w:tcPr>
          <w:p w14:paraId="335DCF4A" w14:textId="77777777" w:rsidR="00000000" w:rsidRDefault="0068293C">
            <w:pPr>
              <w:spacing w:after="100"/>
              <w:rPr>
                <w:rFonts w:eastAsia="Times New Roman"/>
                <w:sz w:val="20"/>
                <w:szCs w:val="20"/>
              </w:rPr>
            </w:pPr>
          </w:p>
        </w:tc>
        <w:tc>
          <w:tcPr>
            <w:tcW w:w="0" w:type="auto"/>
            <w:gridSpan w:val="3"/>
            <w:vAlign w:val="center"/>
            <w:hideMark/>
          </w:tcPr>
          <w:p w14:paraId="30E60C0C" w14:textId="77777777" w:rsidR="00000000" w:rsidRDefault="0068293C">
            <w:pPr>
              <w:spacing w:after="100"/>
              <w:rPr>
                <w:rFonts w:eastAsia="Times New Roman"/>
                <w:sz w:val="20"/>
                <w:szCs w:val="20"/>
              </w:rPr>
            </w:pPr>
          </w:p>
        </w:tc>
        <w:tc>
          <w:tcPr>
            <w:tcW w:w="0" w:type="auto"/>
            <w:gridSpan w:val="3"/>
            <w:vAlign w:val="center"/>
            <w:hideMark/>
          </w:tcPr>
          <w:p w14:paraId="0468EAC0" w14:textId="77777777" w:rsidR="00000000" w:rsidRDefault="0068293C">
            <w:pPr>
              <w:spacing w:after="100"/>
              <w:rPr>
                <w:rFonts w:eastAsia="Times New Roman"/>
                <w:sz w:val="20"/>
                <w:szCs w:val="20"/>
              </w:rPr>
            </w:pPr>
          </w:p>
        </w:tc>
      </w:tr>
      <w:tr w:rsidR="00000000" w14:paraId="733B9E11" w14:textId="77777777">
        <w:trPr>
          <w:divId w:val="2057393358"/>
        </w:trPr>
        <w:tc>
          <w:tcPr>
            <w:tcW w:w="0" w:type="auto"/>
            <w:gridSpan w:val="3"/>
            <w:vAlign w:val="center"/>
            <w:hideMark/>
          </w:tcPr>
          <w:p w14:paraId="21DC7624" w14:textId="77777777" w:rsidR="00000000" w:rsidRDefault="0068293C">
            <w:pPr>
              <w:spacing w:after="100"/>
              <w:rPr>
                <w:rFonts w:eastAsia="Times New Roman"/>
                <w:sz w:val="20"/>
                <w:szCs w:val="20"/>
              </w:rPr>
            </w:pPr>
          </w:p>
        </w:tc>
        <w:tc>
          <w:tcPr>
            <w:tcW w:w="0" w:type="auto"/>
            <w:gridSpan w:val="3"/>
            <w:vAlign w:val="center"/>
            <w:hideMark/>
          </w:tcPr>
          <w:p w14:paraId="21AD0F22" w14:textId="77777777" w:rsidR="00000000" w:rsidRDefault="0068293C">
            <w:pPr>
              <w:spacing w:after="100"/>
              <w:rPr>
                <w:rFonts w:eastAsia="Times New Roman"/>
                <w:sz w:val="20"/>
                <w:szCs w:val="20"/>
              </w:rPr>
            </w:pPr>
          </w:p>
        </w:tc>
        <w:tc>
          <w:tcPr>
            <w:tcW w:w="0" w:type="auto"/>
            <w:gridSpan w:val="3"/>
            <w:vAlign w:val="center"/>
            <w:hideMark/>
          </w:tcPr>
          <w:p w14:paraId="072A4CD8" w14:textId="77777777" w:rsidR="00000000" w:rsidRDefault="0068293C">
            <w:pPr>
              <w:spacing w:after="100"/>
              <w:rPr>
                <w:rFonts w:eastAsia="Times New Roman"/>
                <w:sz w:val="20"/>
                <w:szCs w:val="20"/>
              </w:rPr>
            </w:pPr>
          </w:p>
        </w:tc>
        <w:tc>
          <w:tcPr>
            <w:tcW w:w="0" w:type="auto"/>
            <w:gridSpan w:val="3"/>
            <w:vAlign w:val="center"/>
            <w:hideMark/>
          </w:tcPr>
          <w:p w14:paraId="7CD2A480" w14:textId="77777777" w:rsidR="00000000" w:rsidRDefault="0068293C">
            <w:pPr>
              <w:spacing w:after="100"/>
              <w:rPr>
                <w:rFonts w:eastAsia="Times New Roman"/>
                <w:sz w:val="20"/>
                <w:szCs w:val="20"/>
              </w:rPr>
            </w:pPr>
          </w:p>
        </w:tc>
        <w:tc>
          <w:tcPr>
            <w:tcW w:w="0" w:type="auto"/>
            <w:gridSpan w:val="3"/>
            <w:vAlign w:val="center"/>
            <w:hideMark/>
          </w:tcPr>
          <w:p w14:paraId="37FDBEE2" w14:textId="77777777" w:rsidR="00000000" w:rsidRDefault="0068293C">
            <w:pPr>
              <w:spacing w:after="100"/>
              <w:rPr>
                <w:rFonts w:eastAsia="Times New Roman"/>
                <w:sz w:val="20"/>
                <w:szCs w:val="20"/>
              </w:rPr>
            </w:pPr>
          </w:p>
        </w:tc>
        <w:tc>
          <w:tcPr>
            <w:tcW w:w="0" w:type="auto"/>
            <w:gridSpan w:val="3"/>
            <w:vAlign w:val="center"/>
            <w:hideMark/>
          </w:tcPr>
          <w:p w14:paraId="1C90ABA9" w14:textId="77777777" w:rsidR="00000000" w:rsidRDefault="0068293C">
            <w:pPr>
              <w:spacing w:after="100"/>
              <w:rPr>
                <w:rFonts w:eastAsia="Times New Roman"/>
                <w:sz w:val="20"/>
                <w:szCs w:val="20"/>
              </w:rPr>
            </w:pPr>
          </w:p>
        </w:tc>
        <w:tc>
          <w:tcPr>
            <w:tcW w:w="0" w:type="auto"/>
            <w:vAlign w:val="center"/>
            <w:hideMark/>
          </w:tcPr>
          <w:p w14:paraId="751637C6" w14:textId="77777777" w:rsidR="00000000" w:rsidRDefault="0068293C">
            <w:pPr>
              <w:spacing w:after="100"/>
              <w:rPr>
                <w:rFonts w:eastAsia="Times New Roman"/>
                <w:sz w:val="20"/>
                <w:szCs w:val="20"/>
              </w:rPr>
            </w:pPr>
          </w:p>
        </w:tc>
        <w:tc>
          <w:tcPr>
            <w:tcW w:w="0" w:type="auto"/>
            <w:vAlign w:val="center"/>
            <w:hideMark/>
          </w:tcPr>
          <w:p w14:paraId="7066AEC6" w14:textId="77777777" w:rsidR="00000000" w:rsidRDefault="0068293C">
            <w:pPr>
              <w:spacing w:after="100"/>
              <w:rPr>
                <w:rFonts w:eastAsia="Times New Roman"/>
                <w:sz w:val="20"/>
                <w:szCs w:val="20"/>
              </w:rPr>
            </w:pPr>
          </w:p>
        </w:tc>
        <w:tc>
          <w:tcPr>
            <w:tcW w:w="0" w:type="auto"/>
            <w:vAlign w:val="center"/>
            <w:hideMark/>
          </w:tcPr>
          <w:p w14:paraId="2E4BC7E9" w14:textId="77777777" w:rsidR="00000000" w:rsidRDefault="0068293C">
            <w:pPr>
              <w:spacing w:after="100"/>
              <w:rPr>
                <w:rFonts w:eastAsia="Times New Roman"/>
                <w:sz w:val="20"/>
                <w:szCs w:val="20"/>
              </w:rPr>
            </w:pPr>
          </w:p>
        </w:tc>
        <w:tc>
          <w:tcPr>
            <w:tcW w:w="0" w:type="auto"/>
            <w:vAlign w:val="center"/>
            <w:hideMark/>
          </w:tcPr>
          <w:p w14:paraId="2C40F15D" w14:textId="77777777" w:rsidR="00000000" w:rsidRDefault="0068293C">
            <w:pPr>
              <w:spacing w:after="100"/>
              <w:rPr>
                <w:rFonts w:eastAsia="Times New Roman"/>
                <w:sz w:val="20"/>
                <w:szCs w:val="20"/>
              </w:rPr>
            </w:pPr>
          </w:p>
        </w:tc>
        <w:tc>
          <w:tcPr>
            <w:tcW w:w="0" w:type="auto"/>
            <w:vAlign w:val="center"/>
            <w:hideMark/>
          </w:tcPr>
          <w:p w14:paraId="52784DB5" w14:textId="77777777" w:rsidR="00000000" w:rsidRDefault="0068293C">
            <w:pPr>
              <w:spacing w:after="100"/>
              <w:rPr>
                <w:rFonts w:eastAsia="Times New Roman"/>
                <w:sz w:val="20"/>
                <w:szCs w:val="20"/>
              </w:rPr>
            </w:pPr>
          </w:p>
        </w:tc>
        <w:tc>
          <w:tcPr>
            <w:tcW w:w="0" w:type="auto"/>
            <w:vAlign w:val="center"/>
            <w:hideMark/>
          </w:tcPr>
          <w:p w14:paraId="6C49F92F" w14:textId="77777777" w:rsidR="00000000" w:rsidRDefault="0068293C">
            <w:pPr>
              <w:spacing w:after="100"/>
              <w:rPr>
                <w:rFonts w:eastAsia="Times New Roman"/>
                <w:sz w:val="20"/>
                <w:szCs w:val="20"/>
              </w:rPr>
            </w:pPr>
          </w:p>
        </w:tc>
        <w:tc>
          <w:tcPr>
            <w:tcW w:w="0" w:type="auto"/>
            <w:vAlign w:val="center"/>
            <w:hideMark/>
          </w:tcPr>
          <w:p w14:paraId="6CE97782" w14:textId="77777777" w:rsidR="00000000" w:rsidRDefault="0068293C">
            <w:pPr>
              <w:spacing w:after="100"/>
              <w:rPr>
                <w:rFonts w:eastAsia="Times New Roman"/>
                <w:sz w:val="20"/>
                <w:szCs w:val="20"/>
              </w:rPr>
            </w:pPr>
          </w:p>
        </w:tc>
        <w:tc>
          <w:tcPr>
            <w:tcW w:w="0" w:type="auto"/>
            <w:vAlign w:val="center"/>
            <w:hideMark/>
          </w:tcPr>
          <w:p w14:paraId="539AA4BF" w14:textId="77777777" w:rsidR="00000000" w:rsidRDefault="0068293C">
            <w:pPr>
              <w:spacing w:after="100"/>
              <w:rPr>
                <w:rFonts w:eastAsia="Times New Roman"/>
                <w:sz w:val="20"/>
                <w:szCs w:val="20"/>
              </w:rPr>
            </w:pPr>
          </w:p>
        </w:tc>
        <w:tc>
          <w:tcPr>
            <w:tcW w:w="0" w:type="auto"/>
            <w:vAlign w:val="center"/>
            <w:hideMark/>
          </w:tcPr>
          <w:p w14:paraId="6EAF0A3A" w14:textId="77777777" w:rsidR="00000000" w:rsidRDefault="0068293C">
            <w:pPr>
              <w:spacing w:after="100"/>
              <w:rPr>
                <w:rFonts w:eastAsia="Times New Roman"/>
                <w:sz w:val="20"/>
                <w:szCs w:val="20"/>
              </w:rPr>
            </w:pPr>
          </w:p>
        </w:tc>
        <w:tc>
          <w:tcPr>
            <w:tcW w:w="0" w:type="auto"/>
            <w:vAlign w:val="center"/>
            <w:hideMark/>
          </w:tcPr>
          <w:p w14:paraId="4C2840EA" w14:textId="77777777" w:rsidR="00000000" w:rsidRDefault="0068293C">
            <w:pPr>
              <w:spacing w:after="100"/>
              <w:rPr>
                <w:rFonts w:eastAsia="Times New Roman"/>
                <w:sz w:val="20"/>
                <w:szCs w:val="20"/>
              </w:rPr>
            </w:pPr>
          </w:p>
        </w:tc>
        <w:tc>
          <w:tcPr>
            <w:tcW w:w="0" w:type="auto"/>
            <w:vAlign w:val="center"/>
            <w:hideMark/>
          </w:tcPr>
          <w:p w14:paraId="3F4F35F0" w14:textId="77777777" w:rsidR="00000000" w:rsidRDefault="0068293C">
            <w:pPr>
              <w:spacing w:after="100"/>
              <w:rPr>
                <w:rFonts w:eastAsia="Times New Roman"/>
                <w:sz w:val="20"/>
                <w:szCs w:val="20"/>
              </w:rPr>
            </w:pPr>
          </w:p>
        </w:tc>
        <w:tc>
          <w:tcPr>
            <w:tcW w:w="0" w:type="auto"/>
            <w:vAlign w:val="center"/>
            <w:hideMark/>
          </w:tcPr>
          <w:p w14:paraId="5CD5055D" w14:textId="77777777" w:rsidR="00000000" w:rsidRDefault="0068293C">
            <w:pPr>
              <w:spacing w:after="100"/>
              <w:rPr>
                <w:rFonts w:eastAsia="Times New Roman"/>
                <w:sz w:val="20"/>
                <w:szCs w:val="20"/>
              </w:rPr>
            </w:pPr>
          </w:p>
        </w:tc>
      </w:tr>
      <w:tr w:rsidR="00000000" w14:paraId="4CF82912" w14:textId="77777777">
        <w:trPr>
          <w:divId w:val="2057393358"/>
        </w:trPr>
        <w:tc>
          <w:tcPr>
            <w:tcW w:w="0" w:type="auto"/>
            <w:gridSpan w:val="3"/>
            <w:vAlign w:val="center"/>
            <w:hideMark/>
          </w:tcPr>
          <w:p w14:paraId="512BF7D9" w14:textId="77777777" w:rsidR="00000000" w:rsidRDefault="0068293C">
            <w:pPr>
              <w:spacing w:after="100"/>
              <w:rPr>
                <w:rFonts w:eastAsia="Times New Roman"/>
                <w:sz w:val="20"/>
                <w:szCs w:val="20"/>
              </w:rPr>
            </w:pPr>
          </w:p>
        </w:tc>
        <w:tc>
          <w:tcPr>
            <w:tcW w:w="0" w:type="auto"/>
            <w:gridSpan w:val="3"/>
            <w:vAlign w:val="center"/>
            <w:hideMark/>
          </w:tcPr>
          <w:p w14:paraId="1ED01B79" w14:textId="77777777" w:rsidR="00000000" w:rsidRDefault="0068293C">
            <w:pPr>
              <w:spacing w:after="100"/>
              <w:rPr>
                <w:rFonts w:eastAsia="Times New Roman"/>
                <w:sz w:val="20"/>
                <w:szCs w:val="20"/>
              </w:rPr>
            </w:pPr>
          </w:p>
        </w:tc>
        <w:tc>
          <w:tcPr>
            <w:tcW w:w="0" w:type="auto"/>
            <w:gridSpan w:val="3"/>
            <w:vAlign w:val="center"/>
            <w:hideMark/>
          </w:tcPr>
          <w:p w14:paraId="30BAAA0E" w14:textId="77777777" w:rsidR="00000000" w:rsidRDefault="0068293C">
            <w:pPr>
              <w:spacing w:after="100"/>
              <w:rPr>
                <w:rFonts w:eastAsia="Times New Roman"/>
                <w:sz w:val="20"/>
                <w:szCs w:val="20"/>
              </w:rPr>
            </w:pPr>
          </w:p>
        </w:tc>
        <w:tc>
          <w:tcPr>
            <w:tcW w:w="0" w:type="auto"/>
            <w:gridSpan w:val="3"/>
            <w:vAlign w:val="center"/>
            <w:hideMark/>
          </w:tcPr>
          <w:p w14:paraId="041A9E4D" w14:textId="77777777" w:rsidR="00000000" w:rsidRDefault="0068293C">
            <w:pPr>
              <w:spacing w:after="100"/>
              <w:rPr>
                <w:rFonts w:eastAsia="Times New Roman"/>
                <w:sz w:val="20"/>
                <w:szCs w:val="20"/>
              </w:rPr>
            </w:pPr>
          </w:p>
        </w:tc>
        <w:tc>
          <w:tcPr>
            <w:tcW w:w="0" w:type="auto"/>
            <w:gridSpan w:val="3"/>
            <w:vAlign w:val="center"/>
            <w:hideMark/>
          </w:tcPr>
          <w:p w14:paraId="0C37A0D4" w14:textId="77777777" w:rsidR="00000000" w:rsidRDefault="0068293C">
            <w:pPr>
              <w:spacing w:after="100"/>
              <w:rPr>
                <w:rFonts w:eastAsia="Times New Roman"/>
                <w:sz w:val="20"/>
                <w:szCs w:val="20"/>
              </w:rPr>
            </w:pPr>
          </w:p>
        </w:tc>
        <w:tc>
          <w:tcPr>
            <w:tcW w:w="0" w:type="auto"/>
            <w:gridSpan w:val="3"/>
            <w:vAlign w:val="center"/>
            <w:hideMark/>
          </w:tcPr>
          <w:p w14:paraId="4D21A8FA" w14:textId="77777777" w:rsidR="00000000" w:rsidRDefault="0068293C">
            <w:pPr>
              <w:spacing w:after="100"/>
              <w:rPr>
                <w:rFonts w:eastAsia="Times New Roman"/>
                <w:sz w:val="20"/>
                <w:szCs w:val="20"/>
              </w:rPr>
            </w:pPr>
          </w:p>
        </w:tc>
        <w:tc>
          <w:tcPr>
            <w:tcW w:w="0" w:type="auto"/>
            <w:gridSpan w:val="3"/>
            <w:vAlign w:val="center"/>
            <w:hideMark/>
          </w:tcPr>
          <w:p w14:paraId="1F5C4EFF" w14:textId="77777777" w:rsidR="00000000" w:rsidRDefault="0068293C">
            <w:pPr>
              <w:spacing w:after="100"/>
              <w:rPr>
                <w:rFonts w:eastAsia="Times New Roman"/>
                <w:sz w:val="20"/>
                <w:szCs w:val="20"/>
              </w:rPr>
            </w:pPr>
          </w:p>
        </w:tc>
        <w:tc>
          <w:tcPr>
            <w:tcW w:w="0" w:type="auto"/>
            <w:gridSpan w:val="3"/>
            <w:vAlign w:val="center"/>
            <w:hideMark/>
          </w:tcPr>
          <w:p w14:paraId="334F4DC0" w14:textId="77777777" w:rsidR="00000000" w:rsidRDefault="0068293C">
            <w:pPr>
              <w:spacing w:after="100"/>
              <w:rPr>
                <w:rFonts w:eastAsia="Times New Roman"/>
                <w:sz w:val="20"/>
                <w:szCs w:val="20"/>
              </w:rPr>
            </w:pPr>
          </w:p>
        </w:tc>
        <w:tc>
          <w:tcPr>
            <w:tcW w:w="0" w:type="auto"/>
            <w:gridSpan w:val="3"/>
            <w:vAlign w:val="center"/>
            <w:hideMark/>
          </w:tcPr>
          <w:p w14:paraId="046692AC" w14:textId="77777777" w:rsidR="00000000" w:rsidRDefault="0068293C">
            <w:pPr>
              <w:spacing w:after="100"/>
              <w:rPr>
                <w:rFonts w:eastAsia="Times New Roman"/>
                <w:sz w:val="20"/>
                <w:szCs w:val="20"/>
              </w:rPr>
            </w:pPr>
          </w:p>
        </w:tc>
        <w:tc>
          <w:tcPr>
            <w:tcW w:w="0" w:type="auto"/>
            <w:gridSpan w:val="3"/>
            <w:vAlign w:val="center"/>
            <w:hideMark/>
          </w:tcPr>
          <w:p w14:paraId="6E1594BE" w14:textId="77777777" w:rsidR="00000000" w:rsidRDefault="0068293C">
            <w:pPr>
              <w:spacing w:after="100"/>
              <w:rPr>
                <w:rFonts w:eastAsia="Times New Roman"/>
                <w:sz w:val="20"/>
                <w:szCs w:val="20"/>
              </w:rPr>
            </w:pPr>
          </w:p>
        </w:tc>
      </w:tr>
      <w:tr w:rsidR="00000000" w14:paraId="3B0C0753" w14:textId="77777777">
        <w:trPr>
          <w:divId w:val="2057393358"/>
        </w:trPr>
        <w:tc>
          <w:tcPr>
            <w:tcW w:w="0" w:type="auto"/>
            <w:gridSpan w:val="3"/>
            <w:vAlign w:val="center"/>
            <w:hideMark/>
          </w:tcPr>
          <w:p w14:paraId="674C6EAE" w14:textId="77777777" w:rsidR="00000000" w:rsidRDefault="0068293C">
            <w:pPr>
              <w:spacing w:after="100"/>
              <w:rPr>
                <w:rFonts w:eastAsia="Times New Roman"/>
                <w:sz w:val="20"/>
                <w:szCs w:val="20"/>
              </w:rPr>
            </w:pPr>
          </w:p>
        </w:tc>
        <w:tc>
          <w:tcPr>
            <w:tcW w:w="0" w:type="auto"/>
            <w:gridSpan w:val="3"/>
            <w:vAlign w:val="center"/>
            <w:hideMark/>
          </w:tcPr>
          <w:p w14:paraId="7A3EEC90" w14:textId="77777777" w:rsidR="00000000" w:rsidRDefault="0068293C">
            <w:pPr>
              <w:spacing w:after="100"/>
              <w:rPr>
                <w:rFonts w:eastAsia="Times New Roman"/>
                <w:sz w:val="20"/>
                <w:szCs w:val="20"/>
              </w:rPr>
            </w:pPr>
          </w:p>
        </w:tc>
        <w:tc>
          <w:tcPr>
            <w:tcW w:w="0" w:type="auto"/>
            <w:gridSpan w:val="3"/>
            <w:vAlign w:val="center"/>
            <w:hideMark/>
          </w:tcPr>
          <w:p w14:paraId="5B064AF8" w14:textId="77777777" w:rsidR="00000000" w:rsidRDefault="0068293C">
            <w:pPr>
              <w:spacing w:after="100"/>
              <w:rPr>
                <w:rFonts w:eastAsia="Times New Roman"/>
                <w:sz w:val="20"/>
                <w:szCs w:val="20"/>
              </w:rPr>
            </w:pPr>
          </w:p>
        </w:tc>
        <w:tc>
          <w:tcPr>
            <w:tcW w:w="0" w:type="auto"/>
            <w:gridSpan w:val="3"/>
            <w:vAlign w:val="center"/>
            <w:hideMark/>
          </w:tcPr>
          <w:p w14:paraId="1B76F346" w14:textId="77777777" w:rsidR="00000000" w:rsidRDefault="0068293C">
            <w:pPr>
              <w:spacing w:after="100"/>
              <w:rPr>
                <w:rFonts w:eastAsia="Times New Roman"/>
                <w:sz w:val="20"/>
                <w:szCs w:val="20"/>
              </w:rPr>
            </w:pPr>
          </w:p>
        </w:tc>
        <w:tc>
          <w:tcPr>
            <w:tcW w:w="0" w:type="auto"/>
            <w:gridSpan w:val="3"/>
            <w:vAlign w:val="center"/>
            <w:hideMark/>
          </w:tcPr>
          <w:p w14:paraId="3D5F7C7A" w14:textId="77777777" w:rsidR="00000000" w:rsidRDefault="0068293C">
            <w:pPr>
              <w:spacing w:after="100"/>
              <w:rPr>
                <w:rFonts w:eastAsia="Times New Roman"/>
                <w:sz w:val="20"/>
                <w:szCs w:val="20"/>
              </w:rPr>
            </w:pPr>
          </w:p>
        </w:tc>
        <w:tc>
          <w:tcPr>
            <w:tcW w:w="0" w:type="auto"/>
            <w:gridSpan w:val="3"/>
            <w:vAlign w:val="center"/>
            <w:hideMark/>
          </w:tcPr>
          <w:p w14:paraId="13372911" w14:textId="77777777" w:rsidR="00000000" w:rsidRDefault="0068293C">
            <w:pPr>
              <w:spacing w:after="100"/>
              <w:rPr>
                <w:rFonts w:eastAsia="Times New Roman"/>
                <w:sz w:val="20"/>
                <w:szCs w:val="20"/>
              </w:rPr>
            </w:pPr>
          </w:p>
        </w:tc>
        <w:tc>
          <w:tcPr>
            <w:tcW w:w="0" w:type="auto"/>
            <w:gridSpan w:val="3"/>
            <w:vAlign w:val="center"/>
            <w:hideMark/>
          </w:tcPr>
          <w:p w14:paraId="462F355C" w14:textId="77777777" w:rsidR="00000000" w:rsidRDefault="0068293C">
            <w:pPr>
              <w:spacing w:after="100"/>
              <w:rPr>
                <w:rFonts w:eastAsia="Times New Roman"/>
                <w:sz w:val="20"/>
                <w:szCs w:val="20"/>
              </w:rPr>
            </w:pPr>
          </w:p>
        </w:tc>
        <w:tc>
          <w:tcPr>
            <w:tcW w:w="0" w:type="auto"/>
            <w:gridSpan w:val="3"/>
            <w:vAlign w:val="center"/>
            <w:hideMark/>
          </w:tcPr>
          <w:p w14:paraId="1C1EEF81" w14:textId="77777777" w:rsidR="00000000" w:rsidRDefault="0068293C">
            <w:pPr>
              <w:spacing w:after="100"/>
              <w:rPr>
                <w:rFonts w:eastAsia="Times New Roman"/>
                <w:sz w:val="20"/>
                <w:szCs w:val="20"/>
              </w:rPr>
            </w:pPr>
          </w:p>
        </w:tc>
        <w:tc>
          <w:tcPr>
            <w:tcW w:w="0" w:type="auto"/>
            <w:gridSpan w:val="3"/>
            <w:vAlign w:val="center"/>
            <w:hideMark/>
          </w:tcPr>
          <w:p w14:paraId="69D6DC9C" w14:textId="77777777" w:rsidR="00000000" w:rsidRDefault="0068293C">
            <w:pPr>
              <w:spacing w:after="100"/>
              <w:rPr>
                <w:rFonts w:eastAsia="Times New Roman"/>
                <w:sz w:val="20"/>
                <w:szCs w:val="20"/>
              </w:rPr>
            </w:pPr>
          </w:p>
        </w:tc>
        <w:tc>
          <w:tcPr>
            <w:tcW w:w="0" w:type="auto"/>
            <w:gridSpan w:val="3"/>
            <w:vAlign w:val="center"/>
            <w:hideMark/>
          </w:tcPr>
          <w:p w14:paraId="72DA4813" w14:textId="77777777" w:rsidR="00000000" w:rsidRDefault="0068293C">
            <w:pPr>
              <w:spacing w:after="100"/>
              <w:rPr>
                <w:rFonts w:eastAsia="Times New Roman"/>
                <w:sz w:val="20"/>
                <w:szCs w:val="20"/>
              </w:rPr>
            </w:pPr>
          </w:p>
        </w:tc>
      </w:tr>
      <w:tr w:rsidR="00000000" w14:paraId="2A7ECB57" w14:textId="77777777">
        <w:trPr>
          <w:divId w:val="2057393358"/>
        </w:trPr>
        <w:tc>
          <w:tcPr>
            <w:tcW w:w="0" w:type="auto"/>
            <w:gridSpan w:val="3"/>
            <w:vAlign w:val="center"/>
            <w:hideMark/>
          </w:tcPr>
          <w:p w14:paraId="5781CFE5" w14:textId="77777777" w:rsidR="00000000" w:rsidRDefault="0068293C">
            <w:pPr>
              <w:spacing w:after="100"/>
              <w:rPr>
                <w:rFonts w:eastAsia="Times New Roman"/>
                <w:sz w:val="20"/>
                <w:szCs w:val="20"/>
              </w:rPr>
            </w:pPr>
          </w:p>
        </w:tc>
        <w:tc>
          <w:tcPr>
            <w:tcW w:w="0" w:type="auto"/>
            <w:gridSpan w:val="3"/>
            <w:vAlign w:val="center"/>
            <w:hideMark/>
          </w:tcPr>
          <w:p w14:paraId="2A116EBE" w14:textId="77777777" w:rsidR="00000000" w:rsidRDefault="0068293C">
            <w:pPr>
              <w:spacing w:after="100"/>
              <w:rPr>
                <w:rFonts w:eastAsia="Times New Roman"/>
                <w:sz w:val="20"/>
                <w:szCs w:val="20"/>
              </w:rPr>
            </w:pPr>
          </w:p>
        </w:tc>
        <w:tc>
          <w:tcPr>
            <w:tcW w:w="0" w:type="auto"/>
            <w:gridSpan w:val="3"/>
            <w:vAlign w:val="center"/>
            <w:hideMark/>
          </w:tcPr>
          <w:p w14:paraId="79D22DBC" w14:textId="77777777" w:rsidR="00000000" w:rsidRDefault="0068293C">
            <w:pPr>
              <w:spacing w:after="100"/>
              <w:rPr>
                <w:rFonts w:eastAsia="Times New Roman"/>
                <w:sz w:val="20"/>
                <w:szCs w:val="20"/>
              </w:rPr>
            </w:pPr>
          </w:p>
        </w:tc>
        <w:tc>
          <w:tcPr>
            <w:tcW w:w="0" w:type="auto"/>
            <w:gridSpan w:val="3"/>
            <w:vAlign w:val="center"/>
            <w:hideMark/>
          </w:tcPr>
          <w:p w14:paraId="0F3186C7" w14:textId="77777777" w:rsidR="00000000" w:rsidRDefault="0068293C">
            <w:pPr>
              <w:spacing w:after="100"/>
              <w:rPr>
                <w:rFonts w:eastAsia="Times New Roman"/>
                <w:sz w:val="20"/>
                <w:szCs w:val="20"/>
              </w:rPr>
            </w:pPr>
          </w:p>
        </w:tc>
        <w:tc>
          <w:tcPr>
            <w:tcW w:w="0" w:type="auto"/>
            <w:gridSpan w:val="3"/>
            <w:vAlign w:val="center"/>
            <w:hideMark/>
          </w:tcPr>
          <w:p w14:paraId="7A0C2EF8" w14:textId="77777777" w:rsidR="00000000" w:rsidRDefault="0068293C">
            <w:pPr>
              <w:spacing w:after="100"/>
              <w:rPr>
                <w:rFonts w:eastAsia="Times New Roman"/>
                <w:sz w:val="20"/>
                <w:szCs w:val="20"/>
              </w:rPr>
            </w:pPr>
          </w:p>
        </w:tc>
        <w:tc>
          <w:tcPr>
            <w:tcW w:w="0" w:type="auto"/>
            <w:gridSpan w:val="3"/>
            <w:vAlign w:val="center"/>
            <w:hideMark/>
          </w:tcPr>
          <w:p w14:paraId="4072E684" w14:textId="77777777" w:rsidR="00000000" w:rsidRDefault="0068293C">
            <w:pPr>
              <w:spacing w:after="100"/>
              <w:rPr>
                <w:rFonts w:eastAsia="Times New Roman"/>
                <w:sz w:val="20"/>
                <w:szCs w:val="20"/>
              </w:rPr>
            </w:pPr>
          </w:p>
        </w:tc>
        <w:tc>
          <w:tcPr>
            <w:tcW w:w="0" w:type="auto"/>
            <w:gridSpan w:val="3"/>
            <w:vAlign w:val="center"/>
            <w:hideMark/>
          </w:tcPr>
          <w:p w14:paraId="13022AB3" w14:textId="77777777" w:rsidR="00000000" w:rsidRDefault="0068293C">
            <w:pPr>
              <w:spacing w:after="100"/>
              <w:rPr>
                <w:rFonts w:eastAsia="Times New Roman"/>
                <w:sz w:val="20"/>
                <w:szCs w:val="20"/>
              </w:rPr>
            </w:pPr>
          </w:p>
        </w:tc>
        <w:tc>
          <w:tcPr>
            <w:tcW w:w="0" w:type="auto"/>
            <w:gridSpan w:val="3"/>
            <w:vAlign w:val="center"/>
            <w:hideMark/>
          </w:tcPr>
          <w:p w14:paraId="552CD936" w14:textId="77777777" w:rsidR="00000000" w:rsidRDefault="0068293C">
            <w:pPr>
              <w:spacing w:after="100"/>
              <w:rPr>
                <w:rFonts w:eastAsia="Times New Roman"/>
                <w:sz w:val="20"/>
                <w:szCs w:val="20"/>
              </w:rPr>
            </w:pPr>
          </w:p>
        </w:tc>
        <w:tc>
          <w:tcPr>
            <w:tcW w:w="0" w:type="auto"/>
            <w:gridSpan w:val="3"/>
            <w:vAlign w:val="center"/>
            <w:hideMark/>
          </w:tcPr>
          <w:p w14:paraId="3495D1B2" w14:textId="77777777" w:rsidR="00000000" w:rsidRDefault="0068293C">
            <w:pPr>
              <w:spacing w:after="100"/>
              <w:rPr>
                <w:rFonts w:eastAsia="Times New Roman"/>
                <w:sz w:val="20"/>
                <w:szCs w:val="20"/>
              </w:rPr>
            </w:pPr>
          </w:p>
        </w:tc>
        <w:tc>
          <w:tcPr>
            <w:tcW w:w="0" w:type="auto"/>
            <w:gridSpan w:val="3"/>
            <w:vAlign w:val="center"/>
            <w:hideMark/>
          </w:tcPr>
          <w:p w14:paraId="729A74C6" w14:textId="77777777" w:rsidR="00000000" w:rsidRDefault="0068293C">
            <w:pPr>
              <w:spacing w:after="100"/>
              <w:rPr>
                <w:rFonts w:eastAsia="Times New Roman"/>
                <w:sz w:val="20"/>
                <w:szCs w:val="20"/>
              </w:rPr>
            </w:pPr>
          </w:p>
        </w:tc>
      </w:tr>
      <w:tr w:rsidR="00000000" w14:paraId="1C1895F3" w14:textId="77777777">
        <w:trPr>
          <w:divId w:val="2057393358"/>
        </w:trPr>
        <w:tc>
          <w:tcPr>
            <w:tcW w:w="0" w:type="auto"/>
            <w:gridSpan w:val="3"/>
            <w:vAlign w:val="center"/>
            <w:hideMark/>
          </w:tcPr>
          <w:p w14:paraId="5D4B8260" w14:textId="77777777" w:rsidR="00000000" w:rsidRDefault="0068293C">
            <w:pPr>
              <w:spacing w:after="100"/>
              <w:rPr>
                <w:rFonts w:eastAsia="Times New Roman"/>
                <w:sz w:val="20"/>
                <w:szCs w:val="20"/>
              </w:rPr>
            </w:pPr>
          </w:p>
        </w:tc>
        <w:tc>
          <w:tcPr>
            <w:tcW w:w="0" w:type="auto"/>
            <w:gridSpan w:val="3"/>
            <w:vAlign w:val="center"/>
            <w:hideMark/>
          </w:tcPr>
          <w:p w14:paraId="34D57870" w14:textId="77777777" w:rsidR="00000000" w:rsidRDefault="0068293C">
            <w:pPr>
              <w:spacing w:after="100"/>
              <w:rPr>
                <w:rFonts w:eastAsia="Times New Roman"/>
                <w:sz w:val="20"/>
                <w:szCs w:val="20"/>
              </w:rPr>
            </w:pPr>
          </w:p>
        </w:tc>
        <w:tc>
          <w:tcPr>
            <w:tcW w:w="0" w:type="auto"/>
            <w:gridSpan w:val="3"/>
            <w:vAlign w:val="center"/>
            <w:hideMark/>
          </w:tcPr>
          <w:p w14:paraId="7C7A392D" w14:textId="77777777" w:rsidR="00000000" w:rsidRDefault="0068293C">
            <w:pPr>
              <w:spacing w:after="100"/>
              <w:rPr>
                <w:rFonts w:eastAsia="Times New Roman"/>
                <w:sz w:val="20"/>
                <w:szCs w:val="20"/>
              </w:rPr>
            </w:pPr>
          </w:p>
        </w:tc>
        <w:tc>
          <w:tcPr>
            <w:tcW w:w="0" w:type="auto"/>
            <w:gridSpan w:val="3"/>
            <w:vAlign w:val="center"/>
            <w:hideMark/>
          </w:tcPr>
          <w:p w14:paraId="77F0610A" w14:textId="77777777" w:rsidR="00000000" w:rsidRDefault="0068293C">
            <w:pPr>
              <w:spacing w:after="100"/>
              <w:rPr>
                <w:rFonts w:eastAsia="Times New Roman"/>
                <w:sz w:val="20"/>
                <w:szCs w:val="20"/>
              </w:rPr>
            </w:pPr>
          </w:p>
        </w:tc>
        <w:tc>
          <w:tcPr>
            <w:tcW w:w="0" w:type="auto"/>
            <w:gridSpan w:val="3"/>
            <w:vAlign w:val="center"/>
            <w:hideMark/>
          </w:tcPr>
          <w:p w14:paraId="5BC7B9D6" w14:textId="77777777" w:rsidR="00000000" w:rsidRDefault="0068293C">
            <w:pPr>
              <w:spacing w:after="100"/>
              <w:rPr>
                <w:rFonts w:eastAsia="Times New Roman"/>
                <w:sz w:val="20"/>
                <w:szCs w:val="20"/>
              </w:rPr>
            </w:pPr>
          </w:p>
        </w:tc>
        <w:tc>
          <w:tcPr>
            <w:tcW w:w="0" w:type="auto"/>
            <w:gridSpan w:val="3"/>
            <w:vAlign w:val="center"/>
            <w:hideMark/>
          </w:tcPr>
          <w:p w14:paraId="183134AA" w14:textId="77777777" w:rsidR="00000000" w:rsidRDefault="0068293C">
            <w:pPr>
              <w:spacing w:after="100"/>
              <w:rPr>
                <w:rFonts w:eastAsia="Times New Roman"/>
                <w:sz w:val="20"/>
                <w:szCs w:val="20"/>
              </w:rPr>
            </w:pPr>
          </w:p>
        </w:tc>
        <w:tc>
          <w:tcPr>
            <w:tcW w:w="0" w:type="auto"/>
            <w:gridSpan w:val="3"/>
            <w:vAlign w:val="center"/>
            <w:hideMark/>
          </w:tcPr>
          <w:p w14:paraId="32BE2324" w14:textId="77777777" w:rsidR="00000000" w:rsidRDefault="0068293C">
            <w:pPr>
              <w:spacing w:after="100"/>
              <w:rPr>
                <w:rFonts w:eastAsia="Times New Roman"/>
                <w:sz w:val="20"/>
                <w:szCs w:val="20"/>
              </w:rPr>
            </w:pPr>
          </w:p>
        </w:tc>
        <w:tc>
          <w:tcPr>
            <w:tcW w:w="0" w:type="auto"/>
            <w:gridSpan w:val="3"/>
            <w:vAlign w:val="center"/>
            <w:hideMark/>
          </w:tcPr>
          <w:p w14:paraId="4356FD8F" w14:textId="77777777" w:rsidR="00000000" w:rsidRDefault="0068293C">
            <w:pPr>
              <w:spacing w:after="100"/>
              <w:rPr>
                <w:rFonts w:eastAsia="Times New Roman"/>
                <w:sz w:val="20"/>
                <w:szCs w:val="20"/>
              </w:rPr>
            </w:pPr>
          </w:p>
        </w:tc>
        <w:tc>
          <w:tcPr>
            <w:tcW w:w="0" w:type="auto"/>
            <w:gridSpan w:val="3"/>
            <w:vAlign w:val="center"/>
            <w:hideMark/>
          </w:tcPr>
          <w:p w14:paraId="7B4A3CD9" w14:textId="77777777" w:rsidR="00000000" w:rsidRDefault="0068293C">
            <w:pPr>
              <w:spacing w:after="100"/>
              <w:rPr>
                <w:rFonts w:eastAsia="Times New Roman"/>
                <w:sz w:val="20"/>
                <w:szCs w:val="20"/>
              </w:rPr>
            </w:pPr>
          </w:p>
        </w:tc>
        <w:tc>
          <w:tcPr>
            <w:tcW w:w="0" w:type="auto"/>
            <w:gridSpan w:val="3"/>
            <w:vAlign w:val="center"/>
            <w:hideMark/>
          </w:tcPr>
          <w:p w14:paraId="6A0D523B" w14:textId="77777777" w:rsidR="00000000" w:rsidRDefault="0068293C">
            <w:pPr>
              <w:spacing w:after="100"/>
              <w:rPr>
                <w:rFonts w:eastAsia="Times New Roman"/>
                <w:sz w:val="20"/>
                <w:szCs w:val="20"/>
              </w:rPr>
            </w:pPr>
          </w:p>
        </w:tc>
      </w:tr>
    </w:tbl>
    <w:p w14:paraId="763D500F" w14:textId="77777777" w:rsidR="00000000" w:rsidRDefault="0068293C">
      <w:pPr>
        <w:jc w:val="center"/>
        <w:divId w:val="271590748"/>
        <w:rPr>
          <w:rFonts w:eastAsia="Times New Roman"/>
        </w:rPr>
      </w:pPr>
      <w:r>
        <w:rPr>
          <w:rFonts w:eastAsia="Times New Roman"/>
          <w:color w:val="000000"/>
          <w:sz w:val="20"/>
          <w:szCs w:val="20"/>
        </w:rPr>
        <w:t>30</w:t>
      </w:r>
    </w:p>
    <w:p w14:paraId="293545EA" w14:textId="77777777" w:rsidR="00000000" w:rsidRDefault="0068293C">
      <w:pPr>
        <w:rPr>
          <w:rFonts w:eastAsia="Times New Roman"/>
        </w:rPr>
      </w:pPr>
      <w:r>
        <w:rPr>
          <w:rFonts w:eastAsia="Times New Roman"/>
        </w:rPr>
        <w:pict w14:anchorId="15B590FB">
          <v:rect id="_x0000_i1055" style="width:0;height:1.5pt" o:hralign="center" o:hrstd="t" o:hr="t" fillcolor="#a0a0a0" stroked="f"/>
        </w:pict>
      </w:r>
    </w:p>
    <w:p w14:paraId="7BC7DC39" w14:textId="77777777" w:rsidR="00000000" w:rsidRDefault="0068293C">
      <w:pPr>
        <w:ind w:firstLine="720"/>
        <w:divId w:val="1583752830"/>
        <w:rPr>
          <w:rFonts w:eastAsia="Times New Roman"/>
        </w:rPr>
      </w:pPr>
      <w:hyperlink w:anchor="i78484f3d0d8e4e36a7c87ddd6ea9d725_7" w:history="1">
        <w:r>
          <w:rPr>
            <w:rStyle w:val="a3"/>
            <w:rFonts w:eastAsia="Times New Roman"/>
            <w:sz w:val="16"/>
            <w:szCs w:val="16"/>
          </w:rPr>
          <w:t>Table of Content</w:t>
        </w:r>
      </w:hyperlink>
    </w:p>
    <w:p w14:paraId="3D587C14" w14:textId="77777777" w:rsidR="00000000" w:rsidRDefault="0068293C">
      <w:pPr>
        <w:jc w:val="center"/>
        <w:divId w:val="1068193048"/>
        <w:rPr>
          <w:rFonts w:eastAsia="Times New Roman"/>
        </w:rPr>
      </w:pPr>
      <w:r>
        <w:rPr>
          <w:rFonts w:eastAsia="Times New Roman"/>
          <w:b/>
          <w:bCs/>
          <w:color w:val="000000"/>
          <w:sz w:val="20"/>
          <w:szCs w:val="20"/>
        </w:rPr>
        <w:t>NCR Corporation</w:t>
      </w:r>
    </w:p>
    <w:p w14:paraId="069CF166" w14:textId="77777777" w:rsidR="00000000" w:rsidRDefault="0068293C">
      <w:pPr>
        <w:jc w:val="center"/>
        <w:divId w:val="1068193048"/>
        <w:rPr>
          <w:rFonts w:eastAsia="Times New Roman"/>
        </w:rPr>
      </w:pPr>
      <w:r>
        <w:rPr>
          <w:rFonts w:eastAsia="Times New Roman"/>
          <w:b/>
          <w:bCs/>
          <w:color w:val="000000"/>
          <w:sz w:val="20"/>
          <w:szCs w:val="20"/>
        </w:rPr>
        <w:t>Notes to Condensed Consolidated Financial Statements (Unaudited)—(Continued)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179"/>
        <w:gridCol w:w="36"/>
        <w:gridCol w:w="46"/>
        <w:gridCol w:w="2179"/>
        <w:gridCol w:w="36"/>
        <w:gridCol w:w="36"/>
        <w:gridCol w:w="36"/>
        <w:gridCol w:w="36"/>
        <w:gridCol w:w="120"/>
        <w:gridCol w:w="1627"/>
        <w:gridCol w:w="36"/>
        <w:gridCol w:w="36"/>
        <w:gridCol w:w="36"/>
        <w:gridCol w:w="36"/>
        <w:gridCol w:w="120"/>
        <w:gridCol w:w="1629"/>
        <w:gridCol w:w="36"/>
      </w:tblGrid>
      <w:tr w:rsidR="00000000" w14:paraId="1DD047FC" w14:textId="77777777">
        <w:trPr>
          <w:jc w:val="center"/>
        </w:trPr>
        <w:tc>
          <w:tcPr>
            <w:tcW w:w="50" w:type="pct"/>
            <w:vAlign w:val="center"/>
            <w:hideMark/>
          </w:tcPr>
          <w:p w14:paraId="4DE57945" w14:textId="77777777" w:rsidR="00000000" w:rsidRDefault="0068293C">
            <w:pPr>
              <w:jc w:val="center"/>
              <w:rPr>
                <w:rFonts w:eastAsia="Times New Roman"/>
              </w:rPr>
            </w:pPr>
          </w:p>
        </w:tc>
        <w:tc>
          <w:tcPr>
            <w:tcW w:w="1333" w:type="pct"/>
            <w:vAlign w:val="center"/>
            <w:hideMark/>
          </w:tcPr>
          <w:p w14:paraId="776A3424" w14:textId="77777777" w:rsidR="00000000" w:rsidRDefault="0068293C">
            <w:pPr>
              <w:spacing w:after="100"/>
              <w:rPr>
                <w:rFonts w:eastAsia="Times New Roman"/>
                <w:sz w:val="20"/>
                <w:szCs w:val="20"/>
              </w:rPr>
            </w:pPr>
          </w:p>
        </w:tc>
        <w:tc>
          <w:tcPr>
            <w:tcW w:w="5" w:type="pct"/>
            <w:vAlign w:val="center"/>
            <w:hideMark/>
          </w:tcPr>
          <w:p w14:paraId="405F2E62" w14:textId="77777777" w:rsidR="00000000" w:rsidRDefault="0068293C">
            <w:pPr>
              <w:spacing w:after="100"/>
              <w:rPr>
                <w:rFonts w:eastAsia="Times New Roman"/>
                <w:sz w:val="20"/>
                <w:szCs w:val="20"/>
              </w:rPr>
            </w:pPr>
          </w:p>
        </w:tc>
        <w:tc>
          <w:tcPr>
            <w:tcW w:w="50" w:type="pct"/>
            <w:vAlign w:val="center"/>
            <w:hideMark/>
          </w:tcPr>
          <w:p w14:paraId="1E832F42" w14:textId="77777777" w:rsidR="00000000" w:rsidRDefault="0068293C">
            <w:pPr>
              <w:spacing w:after="100"/>
              <w:rPr>
                <w:rFonts w:eastAsia="Times New Roman"/>
                <w:sz w:val="20"/>
                <w:szCs w:val="20"/>
              </w:rPr>
            </w:pPr>
          </w:p>
        </w:tc>
        <w:tc>
          <w:tcPr>
            <w:tcW w:w="1333" w:type="pct"/>
            <w:vAlign w:val="center"/>
            <w:hideMark/>
          </w:tcPr>
          <w:p w14:paraId="29B8BFA9" w14:textId="77777777" w:rsidR="00000000" w:rsidRDefault="0068293C">
            <w:pPr>
              <w:spacing w:after="100"/>
              <w:rPr>
                <w:rFonts w:eastAsia="Times New Roman"/>
                <w:sz w:val="20"/>
                <w:szCs w:val="20"/>
              </w:rPr>
            </w:pPr>
          </w:p>
        </w:tc>
        <w:tc>
          <w:tcPr>
            <w:tcW w:w="5" w:type="pct"/>
            <w:vAlign w:val="center"/>
            <w:hideMark/>
          </w:tcPr>
          <w:p w14:paraId="2F9D7137" w14:textId="77777777" w:rsidR="00000000" w:rsidRDefault="0068293C">
            <w:pPr>
              <w:spacing w:after="100"/>
              <w:rPr>
                <w:rFonts w:eastAsia="Times New Roman"/>
                <w:sz w:val="20"/>
                <w:szCs w:val="20"/>
              </w:rPr>
            </w:pPr>
          </w:p>
        </w:tc>
        <w:tc>
          <w:tcPr>
            <w:tcW w:w="5" w:type="pct"/>
            <w:vAlign w:val="center"/>
            <w:hideMark/>
          </w:tcPr>
          <w:p w14:paraId="460D1502" w14:textId="77777777" w:rsidR="00000000" w:rsidRDefault="0068293C">
            <w:pPr>
              <w:spacing w:after="100"/>
              <w:rPr>
                <w:rFonts w:eastAsia="Times New Roman"/>
                <w:sz w:val="20"/>
                <w:szCs w:val="20"/>
              </w:rPr>
            </w:pPr>
          </w:p>
        </w:tc>
        <w:tc>
          <w:tcPr>
            <w:tcW w:w="26" w:type="pct"/>
            <w:vAlign w:val="center"/>
            <w:hideMark/>
          </w:tcPr>
          <w:p w14:paraId="7EEBD93F" w14:textId="77777777" w:rsidR="00000000" w:rsidRDefault="0068293C">
            <w:pPr>
              <w:spacing w:after="100"/>
              <w:rPr>
                <w:rFonts w:eastAsia="Times New Roman"/>
                <w:sz w:val="20"/>
                <w:szCs w:val="20"/>
              </w:rPr>
            </w:pPr>
          </w:p>
        </w:tc>
        <w:tc>
          <w:tcPr>
            <w:tcW w:w="5" w:type="pct"/>
            <w:vAlign w:val="center"/>
            <w:hideMark/>
          </w:tcPr>
          <w:p w14:paraId="38FA38D4" w14:textId="77777777" w:rsidR="00000000" w:rsidRDefault="0068293C">
            <w:pPr>
              <w:spacing w:after="100"/>
              <w:rPr>
                <w:rFonts w:eastAsia="Times New Roman"/>
                <w:sz w:val="20"/>
                <w:szCs w:val="20"/>
              </w:rPr>
            </w:pPr>
          </w:p>
        </w:tc>
        <w:tc>
          <w:tcPr>
            <w:tcW w:w="50" w:type="pct"/>
            <w:vAlign w:val="center"/>
            <w:hideMark/>
          </w:tcPr>
          <w:p w14:paraId="7262E911" w14:textId="77777777" w:rsidR="00000000" w:rsidRDefault="0068293C">
            <w:pPr>
              <w:spacing w:after="100"/>
              <w:rPr>
                <w:rFonts w:eastAsia="Times New Roman"/>
                <w:sz w:val="20"/>
                <w:szCs w:val="20"/>
              </w:rPr>
            </w:pPr>
          </w:p>
        </w:tc>
        <w:tc>
          <w:tcPr>
            <w:tcW w:w="1019" w:type="pct"/>
            <w:vAlign w:val="center"/>
            <w:hideMark/>
          </w:tcPr>
          <w:p w14:paraId="57941906" w14:textId="77777777" w:rsidR="00000000" w:rsidRDefault="0068293C">
            <w:pPr>
              <w:spacing w:after="100"/>
              <w:rPr>
                <w:rFonts w:eastAsia="Times New Roman"/>
                <w:sz w:val="20"/>
                <w:szCs w:val="20"/>
              </w:rPr>
            </w:pPr>
          </w:p>
        </w:tc>
        <w:tc>
          <w:tcPr>
            <w:tcW w:w="5" w:type="pct"/>
            <w:vAlign w:val="center"/>
            <w:hideMark/>
          </w:tcPr>
          <w:p w14:paraId="6790F217" w14:textId="77777777" w:rsidR="00000000" w:rsidRDefault="0068293C">
            <w:pPr>
              <w:spacing w:after="100"/>
              <w:rPr>
                <w:rFonts w:eastAsia="Times New Roman"/>
                <w:sz w:val="20"/>
                <w:szCs w:val="20"/>
              </w:rPr>
            </w:pPr>
          </w:p>
        </w:tc>
        <w:tc>
          <w:tcPr>
            <w:tcW w:w="5" w:type="pct"/>
            <w:vAlign w:val="center"/>
            <w:hideMark/>
          </w:tcPr>
          <w:p w14:paraId="3EA4404F" w14:textId="77777777" w:rsidR="00000000" w:rsidRDefault="0068293C">
            <w:pPr>
              <w:spacing w:after="100"/>
              <w:rPr>
                <w:rFonts w:eastAsia="Times New Roman"/>
                <w:sz w:val="20"/>
                <w:szCs w:val="20"/>
              </w:rPr>
            </w:pPr>
          </w:p>
        </w:tc>
        <w:tc>
          <w:tcPr>
            <w:tcW w:w="26" w:type="pct"/>
            <w:vAlign w:val="center"/>
            <w:hideMark/>
          </w:tcPr>
          <w:p w14:paraId="3E43FC61" w14:textId="77777777" w:rsidR="00000000" w:rsidRDefault="0068293C">
            <w:pPr>
              <w:spacing w:after="100"/>
              <w:rPr>
                <w:rFonts w:eastAsia="Times New Roman"/>
                <w:sz w:val="20"/>
                <w:szCs w:val="20"/>
              </w:rPr>
            </w:pPr>
          </w:p>
        </w:tc>
        <w:tc>
          <w:tcPr>
            <w:tcW w:w="5" w:type="pct"/>
            <w:vAlign w:val="center"/>
            <w:hideMark/>
          </w:tcPr>
          <w:p w14:paraId="5135DB5F" w14:textId="77777777" w:rsidR="00000000" w:rsidRDefault="0068293C">
            <w:pPr>
              <w:spacing w:after="100"/>
              <w:rPr>
                <w:rFonts w:eastAsia="Times New Roman"/>
                <w:sz w:val="20"/>
                <w:szCs w:val="20"/>
              </w:rPr>
            </w:pPr>
          </w:p>
        </w:tc>
        <w:tc>
          <w:tcPr>
            <w:tcW w:w="50" w:type="pct"/>
            <w:vAlign w:val="center"/>
            <w:hideMark/>
          </w:tcPr>
          <w:p w14:paraId="1A2DA5F4" w14:textId="77777777" w:rsidR="00000000" w:rsidRDefault="0068293C">
            <w:pPr>
              <w:spacing w:after="100"/>
              <w:rPr>
                <w:rFonts w:eastAsia="Times New Roman"/>
                <w:sz w:val="20"/>
                <w:szCs w:val="20"/>
              </w:rPr>
            </w:pPr>
          </w:p>
        </w:tc>
        <w:tc>
          <w:tcPr>
            <w:tcW w:w="1019" w:type="pct"/>
            <w:vAlign w:val="center"/>
            <w:hideMark/>
          </w:tcPr>
          <w:p w14:paraId="64443E55" w14:textId="77777777" w:rsidR="00000000" w:rsidRDefault="0068293C">
            <w:pPr>
              <w:spacing w:after="100"/>
              <w:rPr>
                <w:rFonts w:eastAsia="Times New Roman"/>
                <w:sz w:val="20"/>
                <w:szCs w:val="20"/>
              </w:rPr>
            </w:pPr>
          </w:p>
        </w:tc>
        <w:tc>
          <w:tcPr>
            <w:tcW w:w="5" w:type="pct"/>
            <w:vAlign w:val="center"/>
            <w:hideMark/>
          </w:tcPr>
          <w:p w14:paraId="291821AA" w14:textId="77777777" w:rsidR="00000000" w:rsidRDefault="0068293C">
            <w:pPr>
              <w:spacing w:after="100"/>
              <w:rPr>
                <w:rFonts w:eastAsia="Times New Roman"/>
                <w:sz w:val="20"/>
                <w:szCs w:val="20"/>
              </w:rPr>
            </w:pPr>
          </w:p>
        </w:tc>
      </w:tr>
      <w:tr w:rsidR="00000000" w14:paraId="0D74E069" w14:textId="77777777">
        <w:trPr>
          <w:jc w:val="center"/>
        </w:trPr>
        <w:tc>
          <w:tcPr>
            <w:tcW w:w="0" w:type="auto"/>
            <w:gridSpan w:val="3"/>
            <w:tcMar>
              <w:top w:w="30" w:type="dxa"/>
              <w:left w:w="20" w:type="dxa"/>
              <w:bottom w:w="30" w:type="dxa"/>
              <w:right w:w="20" w:type="dxa"/>
            </w:tcMar>
            <w:vAlign w:val="bottom"/>
            <w:hideMark/>
          </w:tcPr>
          <w:p w14:paraId="5A663E20"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1F6A3894"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9094F45" w14:textId="77777777" w:rsidR="00000000" w:rsidRDefault="0068293C">
            <w:pPr>
              <w:spacing w:after="100"/>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0532EB2D" w14:textId="77777777" w:rsidR="00000000" w:rsidRDefault="0068293C">
            <w:pPr>
              <w:spacing w:after="100"/>
              <w:jc w:val="center"/>
              <w:rPr>
                <w:rFonts w:eastAsia="Times New Roman"/>
              </w:rPr>
            </w:pPr>
            <w:r>
              <w:rPr>
                <w:rFonts w:eastAsia="Times New Roman"/>
                <w:b/>
                <w:bCs/>
                <w:color w:val="000000"/>
                <w:sz w:val="16"/>
                <w:szCs w:val="16"/>
              </w:rPr>
              <w:t>Amount of Gain (Loss) Recognized in the Condensed Consolidated Statement of Operations</w:t>
            </w:r>
          </w:p>
        </w:tc>
      </w:tr>
      <w:tr w:rsidR="00000000" w14:paraId="715C98E2" w14:textId="77777777">
        <w:trPr>
          <w:jc w:val="center"/>
        </w:trPr>
        <w:tc>
          <w:tcPr>
            <w:tcW w:w="0" w:type="auto"/>
            <w:gridSpan w:val="3"/>
            <w:tcMar>
              <w:top w:w="0" w:type="dxa"/>
              <w:left w:w="20" w:type="dxa"/>
              <w:bottom w:w="0" w:type="dxa"/>
              <w:right w:w="20" w:type="dxa"/>
            </w:tcMar>
            <w:vAlign w:val="center"/>
            <w:hideMark/>
          </w:tcPr>
          <w:p w14:paraId="57D1E56C"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A5B52CD"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8451E6" w14:textId="77777777" w:rsidR="00000000" w:rsidRDefault="0068293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B46ACB6"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350D24A3" w14:textId="77777777">
        <w:trPr>
          <w:jc w:val="center"/>
        </w:trPr>
        <w:tc>
          <w:tcPr>
            <w:tcW w:w="0" w:type="auto"/>
            <w:gridSpan w:val="3"/>
            <w:tcMar>
              <w:top w:w="30" w:type="dxa"/>
              <w:left w:w="20" w:type="dxa"/>
              <w:bottom w:w="30" w:type="dxa"/>
              <w:right w:w="20" w:type="dxa"/>
            </w:tcMar>
            <w:vAlign w:val="bottom"/>
            <w:hideMark/>
          </w:tcPr>
          <w:p w14:paraId="0861FCFB" w14:textId="77777777" w:rsidR="00000000" w:rsidRDefault="0068293C">
            <w:pPr>
              <w:spacing w:after="100"/>
              <w:rPr>
                <w:rFonts w:eastAsia="Times New Roman"/>
              </w:rPr>
            </w:pPr>
            <w:r>
              <w:rPr>
                <w:rFonts w:eastAsia="Times New Roman"/>
                <w:b/>
                <w:bCs/>
                <w:color w:val="000000"/>
                <w:sz w:val="16"/>
                <w:szCs w:val="16"/>
              </w:rPr>
              <w:t>Derivatives not Designated as Hedging Instruments</w:t>
            </w:r>
          </w:p>
        </w:tc>
        <w:tc>
          <w:tcPr>
            <w:tcW w:w="0" w:type="auto"/>
            <w:gridSpan w:val="3"/>
            <w:tcMar>
              <w:top w:w="30" w:type="dxa"/>
              <w:left w:w="20" w:type="dxa"/>
              <w:bottom w:w="30" w:type="dxa"/>
              <w:right w:w="20" w:type="dxa"/>
            </w:tcMar>
            <w:vAlign w:val="bottom"/>
            <w:hideMark/>
          </w:tcPr>
          <w:p w14:paraId="3232EBCC" w14:textId="77777777" w:rsidR="00000000" w:rsidRDefault="0068293C">
            <w:pPr>
              <w:spacing w:after="100"/>
              <w:jc w:val="center"/>
              <w:rPr>
                <w:rFonts w:eastAsia="Times New Roman"/>
              </w:rPr>
            </w:pPr>
            <w:r>
              <w:rPr>
                <w:rFonts w:eastAsia="Times New Roman"/>
                <w:b/>
                <w:bCs/>
                <w:color w:val="000000"/>
                <w:sz w:val="16"/>
                <w:szCs w:val="16"/>
              </w:rPr>
              <w:t>Location of Gain (Loss) Recognized in the Condensed Consolidated Statement of Operations</w:t>
            </w:r>
          </w:p>
        </w:tc>
        <w:tc>
          <w:tcPr>
            <w:tcW w:w="0" w:type="auto"/>
            <w:gridSpan w:val="3"/>
            <w:tcMar>
              <w:top w:w="0" w:type="dxa"/>
              <w:left w:w="20" w:type="dxa"/>
              <w:bottom w:w="0" w:type="dxa"/>
              <w:right w:w="20" w:type="dxa"/>
            </w:tcMar>
            <w:vAlign w:val="center"/>
            <w:hideMark/>
          </w:tcPr>
          <w:p w14:paraId="668CB6F1"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53207B"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311DBDB"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2C6436"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58799B4C" w14:textId="77777777">
        <w:trPr>
          <w:jc w:val="center"/>
        </w:trPr>
        <w:tc>
          <w:tcPr>
            <w:tcW w:w="0" w:type="auto"/>
            <w:gridSpan w:val="3"/>
            <w:shd w:val="clear" w:color="auto" w:fill="CCEEFF"/>
            <w:tcMar>
              <w:top w:w="30" w:type="dxa"/>
              <w:left w:w="20" w:type="dxa"/>
              <w:bottom w:w="30" w:type="dxa"/>
              <w:right w:w="20" w:type="dxa"/>
            </w:tcMar>
            <w:vAlign w:val="bottom"/>
            <w:hideMark/>
          </w:tcPr>
          <w:p w14:paraId="544363D2" w14:textId="77777777" w:rsidR="00000000" w:rsidRDefault="0068293C">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14:paraId="38594AA1" w14:textId="77777777" w:rsidR="00000000" w:rsidRDefault="0068293C">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14:paraId="5490C613"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0B9A9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36B54D" w14:textId="77777777" w:rsidR="00000000" w:rsidRDefault="0068293C">
            <w:pPr>
              <w:spacing w:after="100"/>
              <w:jc w:val="right"/>
              <w:rPr>
                <w:rFonts w:eastAsia="Times New Roman"/>
              </w:rPr>
            </w:pPr>
            <w:r>
              <w:rPr>
                <w:rFonts w:eastAsia="Times New Roman"/>
                <w:b/>
                <w:bCs/>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61D0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41EAF"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B9FF8F"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8DDE93" w14:textId="77777777" w:rsidR="00000000" w:rsidRDefault="0068293C">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A08E23" w14:textId="77777777" w:rsidR="00000000" w:rsidRDefault="0068293C">
            <w:pPr>
              <w:spacing w:after="100"/>
              <w:jc w:val="right"/>
              <w:rPr>
                <w:rFonts w:eastAsia="Times New Roman"/>
              </w:rPr>
            </w:pPr>
          </w:p>
        </w:tc>
      </w:tr>
      <w:tr w:rsidR="00000000" w14:paraId="56590805" w14:textId="77777777">
        <w:trPr>
          <w:jc w:val="center"/>
        </w:trPr>
        <w:tc>
          <w:tcPr>
            <w:tcW w:w="0" w:type="auto"/>
            <w:gridSpan w:val="3"/>
            <w:vAlign w:val="center"/>
            <w:hideMark/>
          </w:tcPr>
          <w:p w14:paraId="4C47907E" w14:textId="77777777" w:rsidR="00000000" w:rsidRDefault="0068293C">
            <w:pPr>
              <w:spacing w:after="100"/>
              <w:jc w:val="right"/>
              <w:rPr>
                <w:rFonts w:eastAsia="Times New Roman"/>
                <w:sz w:val="20"/>
                <w:szCs w:val="20"/>
              </w:rPr>
            </w:pPr>
          </w:p>
        </w:tc>
        <w:tc>
          <w:tcPr>
            <w:tcW w:w="0" w:type="auto"/>
            <w:gridSpan w:val="3"/>
            <w:vAlign w:val="center"/>
            <w:hideMark/>
          </w:tcPr>
          <w:p w14:paraId="707F2277" w14:textId="77777777" w:rsidR="00000000" w:rsidRDefault="0068293C">
            <w:pPr>
              <w:spacing w:after="100"/>
              <w:rPr>
                <w:rFonts w:eastAsia="Times New Roman"/>
                <w:sz w:val="20"/>
                <w:szCs w:val="20"/>
              </w:rPr>
            </w:pPr>
          </w:p>
        </w:tc>
        <w:tc>
          <w:tcPr>
            <w:tcW w:w="0" w:type="auto"/>
            <w:gridSpan w:val="3"/>
            <w:vAlign w:val="center"/>
            <w:hideMark/>
          </w:tcPr>
          <w:p w14:paraId="585A1043" w14:textId="77777777" w:rsidR="00000000" w:rsidRDefault="0068293C">
            <w:pPr>
              <w:spacing w:after="100"/>
              <w:rPr>
                <w:rFonts w:eastAsia="Times New Roman"/>
                <w:sz w:val="20"/>
                <w:szCs w:val="20"/>
              </w:rPr>
            </w:pPr>
          </w:p>
        </w:tc>
        <w:tc>
          <w:tcPr>
            <w:tcW w:w="0" w:type="auto"/>
            <w:gridSpan w:val="3"/>
            <w:vAlign w:val="center"/>
            <w:hideMark/>
          </w:tcPr>
          <w:p w14:paraId="122EBCE0" w14:textId="77777777" w:rsidR="00000000" w:rsidRDefault="0068293C">
            <w:pPr>
              <w:spacing w:after="100"/>
              <w:rPr>
                <w:rFonts w:eastAsia="Times New Roman"/>
                <w:sz w:val="20"/>
                <w:szCs w:val="20"/>
              </w:rPr>
            </w:pPr>
          </w:p>
        </w:tc>
        <w:tc>
          <w:tcPr>
            <w:tcW w:w="0" w:type="auto"/>
            <w:gridSpan w:val="3"/>
            <w:vAlign w:val="center"/>
            <w:hideMark/>
          </w:tcPr>
          <w:p w14:paraId="26108B62" w14:textId="77777777" w:rsidR="00000000" w:rsidRDefault="0068293C">
            <w:pPr>
              <w:spacing w:after="100"/>
              <w:rPr>
                <w:rFonts w:eastAsia="Times New Roman"/>
                <w:sz w:val="20"/>
                <w:szCs w:val="20"/>
              </w:rPr>
            </w:pPr>
          </w:p>
        </w:tc>
        <w:tc>
          <w:tcPr>
            <w:tcW w:w="0" w:type="auto"/>
            <w:gridSpan w:val="3"/>
            <w:vAlign w:val="center"/>
            <w:hideMark/>
          </w:tcPr>
          <w:p w14:paraId="63BFF64E" w14:textId="77777777" w:rsidR="00000000" w:rsidRDefault="0068293C">
            <w:pPr>
              <w:spacing w:after="100"/>
              <w:rPr>
                <w:rFonts w:eastAsia="Times New Roman"/>
                <w:sz w:val="20"/>
                <w:szCs w:val="20"/>
              </w:rPr>
            </w:pPr>
          </w:p>
        </w:tc>
      </w:tr>
    </w:tbl>
    <w:p w14:paraId="3095810F" w14:textId="77777777" w:rsidR="00000000" w:rsidRDefault="0068293C">
      <w:pPr>
        <w:divId w:val="509947434"/>
        <w:rPr>
          <w:rFonts w:eastAsia="Times New Roman"/>
        </w:rPr>
      </w:pPr>
    </w:p>
    <w:p w14:paraId="7284DCBC" w14:textId="77777777" w:rsidR="00000000" w:rsidRDefault="0068293C">
      <w:pPr>
        <w:jc w:val="both"/>
        <w:rPr>
          <w:rFonts w:eastAsia="Times New Roman"/>
        </w:rPr>
      </w:pPr>
      <w:r>
        <w:rPr>
          <w:rFonts w:eastAsia="Times New Roman"/>
          <w:color w:val="000000"/>
          <w:sz w:val="20"/>
          <w:szCs w:val="20"/>
        </w:rPr>
        <w:t>Refer t</w:t>
      </w:r>
      <w:r>
        <w:rPr>
          <w:rFonts w:eastAsia="Times New Roman"/>
          <w:color w:val="000000"/>
          <w:sz w:val="20"/>
          <w:szCs w:val="20"/>
        </w:rPr>
        <w:t>o Note 14, “Fair Value of Assets and Liabilities”, for further information on derivative assets and liabilities recorded at fair value on a recurring basis.</w:t>
      </w:r>
    </w:p>
    <w:p w14:paraId="6E1512A7" w14:textId="77777777" w:rsidR="00000000" w:rsidRDefault="0068293C">
      <w:pPr>
        <w:jc w:val="both"/>
        <w:divId w:val="216821908"/>
        <w:rPr>
          <w:rFonts w:eastAsia="Times New Roman"/>
        </w:rPr>
      </w:pPr>
      <w:r>
        <w:rPr>
          <w:rFonts w:eastAsia="Times New Roman"/>
          <w:b/>
          <w:bCs/>
          <w:i/>
          <w:iCs/>
          <w:color w:val="000000"/>
          <w:sz w:val="20"/>
          <w:szCs w:val="20"/>
        </w:rPr>
        <w:t>Concentration of Credit Risk</w:t>
      </w:r>
    </w:p>
    <w:p w14:paraId="39798256" w14:textId="77777777" w:rsidR="00000000" w:rsidRDefault="0068293C">
      <w:pPr>
        <w:jc w:val="both"/>
        <w:divId w:val="238559643"/>
        <w:rPr>
          <w:rFonts w:eastAsia="Times New Roman"/>
        </w:rPr>
      </w:pPr>
      <w:r>
        <w:rPr>
          <w:rFonts w:eastAsia="Times New Roman"/>
          <w:color w:val="000000"/>
          <w:sz w:val="20"/>
          <w:szCs w:val="20"/>
        </w:rPr>
        <w:t>NCR </w:t>
      </w:r>
      <w:r>
        <w:rPr>
          <w:rFonts w:eastAsia="Times New Roman"/>
          <w:color w:val="000000"/>
          <w:sz w:val="20"/>
          <w:szCs w:val="20"/>
        </w:rPr>
        <w:t>is potentially subject to concentrations of credit risk on accounts receivable and financial instruments such as hedging instruments and cash and cash equivalents. Credit risk includes the risk of nonperformance by counterparties. The maximum potential los</w:t>
      </w:r>
      <w:r>
        <w:rPr>
          <w:rFonts w:eastAsia="Times New Roman"/>
          <w:color w:val="000000"/>
          <w:sz w:val="20"/>
          <w:szCs w:val="20"/>
        </w:rPr>
        <w:t xml:space="preserve">s may exceed the amount recognized on the Condensed Consolidated Balance Sheets. Exposure to credit risk is managed through credit approvals, credit limits, selecting major international financial institutions as counterparties to hedging transactions and </w:t>
      </w:r>
      <w:r>
        <w:rPr>
          <w:rFonts w:eastAsia="Times New Roman"/>
          <w:color w:val="000000"/>
          <w:sz w:val="20"/>
          <w:szCs w:val="20"/>
        </w:rPr>
        <w:t>monitoring procedures. NCR’s business often involves large transactions with customers, and if one or more of those customers were to default on its obligations under applicable contractual arrangements, the Company could be exposed to potentially signific</w:t>
      </w:r>
      <w:r>
        <w:rPr>
          <w:rFonts w:eastAsia="Times New Roman"/>
          <w:color w:val="000000"/>
          <w:sz w:val="20"/>
          <w:szCs w:val="20"/>
        </w:rPr>
        <w:t>ant losses. However, management believes that the reserves for potential losses are adequate. As of March 31, 2022 and December 31, 2021, we did not have any major concentration of credit risk related to financial instruments.</w:t>
      </w:r>
    </w:p>
    <w:p w14:paraId="0589E5DA" w14:textId="77777777" w:rsidR="00000000" w:rsidRDefault="0068293C">
      <w:pPr>
        <w:jc w:val="both"/>
        <w:divId w:val="1114977593"/>
        <w:rPr>
          <w:rFonts w:eastAsia="Times New Roman"/>
        </w:rPr>
      </w:pPr>
    </w:p>
    <w:p w14:paraId="1643900C" w14:textId="77777777" w:rsidR="00000000" w:rsidRDefault="0068293C">
      <w:pPr>
        <w:divId w:val="1369990472"/>
        <w:rPr>
          <w:rFonts w:eastAsia="Times New Roman"/>
        </w:rPr>
      </w:pPr>
      <w:r>
        <w:rPr>
          <w:rFonts w:eastAsia="Times New Roman"/>
          <w:b/>
          <w:bCs/>
          <w:color w:val="54B948"/>
          <w:sz w:val="20"/>
          <w:szCs w:val="20"/>
        </w:rPr>
        <w:t>14. FAIR VALUE OF ASSETS AND LIABILITIES</w:t>
      </w:r>
      <w:r>
        <w:rPr>
          <w:rFonts w:eastAsia="Times New Roman"/>
          <w:b/>
          <w:bCs/>
          <w:color w:val="000000"/>
          <w:sz w:val="20"/>
          <w:szCs w:val="20"/>
        </w:rPr>
        <w:t xml:space="preserve"> </w:t>
      </w:r>
    </w:p>
    <w:p w14:paraId="38F9EA83" w14:textId="77777777" w:rsidR="00000000" w:rsidRDefault="0068293C">
      <w:pPr>
        <w:jc w:val="both"/>
        <w:divId w:val="627399125"/>
        <w:rPr>
          <w:rFonts w:eastAsia="Times New Roman"/>
        </w:rPr>
      </w:pPr>
      <w:r>
        <w:rPr>
          <w:rFonts w:eastAsia="Times New Roman"/>
          <w:b/>
          <w:bCs/>
          <w:i/>
          <w:iCs/>
          <w:color w:val="000000"/>
          <w:sz w:val="20"/>
          <w:szCs w:val="20"/>
        </w:rPr>
        <w:t>Assets and Liabilities Measured at Fair Value on a Recurring Basis</w:t>
      </w:r>
    </w:p>
    <w:p w14:paraId="66A6685F" w14:textId="77777777" w:rsidR="00000000" w:rsidRDefault="0068293C">
      <w:pPr>
        <w:jc w:val="both"/>
        <w:divId w:val="1456293363"/>
        <w:rPr>
          <w:rFonts w:eastAsia="Times New Roman"/>
        </w:rPr>
      </w:pPr>
      <w:r>
        <w:rPr>
          <w:rFonts w:eastAsia="Times New Roman"/>
          <w:color w:val="000000"/>
          <w:sz w:val="20"/>
          <w:szCs w:val="20"/>
        </w:rPr>
        <w:t>Assets and liabilities recorded at fair value on a recurring basis as of March 31, 2022 and December 31, 2021 are set forth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2856"/>
        <w:gridCol w:w="39"/>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14:paraId="0FB63101" w14:textId="77777777">
        <w:trPr>
          <w:divId w:val="754134596"/>
          <w:jc w:val="center"/>
        </w:trPr>
        <w:tc>
          <w:tcPr>
            <w:tcW w:w="50" w:type="pct"/>
            <w:vAlign w:val="center"/>
            <w:hideMark/>
          </w:tcPr>
          <w:p w14:paraId="18FEFAFA" w14:textId="77777777" w:rsidR="00000000" w:rsidRDefault="0068293C">
            <w:pPr>
              <w:jc w:val="both"/>
              <w:rPr>
                <w:rFonts w:eastAsia="Times New Roman"/>
              </w:rPr>
            </w:pPr>
          </w:p>
        </w:tc>
        <w:tc>
          <w:tcPr>
            <w:tcW w:w="1884" w:type="pct"/>
            <w:vAlign w:val="center"/>
            <w:hideMark/>
          </w:tcPr>
          <w:p w14:paraId="08EF02F8" w14:textId="77777777" w:rsidR="00000000" w:rsidRDefault="0068293C">
            <w:pPr>
              <w:spacing w:after="100"/>
              <w:rPr>
                <w:rFonts w:eastAsia="Times New Roman"/>
                <w:sz w:val="20"/>
                <w:szCs w:val="20"/>
              </w:rPr>
            </w:pPr>
          </w:p>
        </w:tc>
        <w:tc>
          <w:tcPr>
            <w:tcW w:w="5" w:type="pct"/>
            <w:vAlign w:val="center"/>
            <w:hideMark/>
          </w:tcPr>
          <w:p w14:paraId="545195C5" w14:textId="77777777" w:rsidR="00000000" w:rsidRDefault="0068293C">
            <w:pPr>
              <w:spacing w:after="100"/>
              <w:rPr>
                <w:rFonts w:eastAsia="Times New Roman"/>
                <w:sz w:val="20"/>
                <w:szCs w:val="20"/>
              </w:rPr>
            </w:pPr>
          </w:p>
        </w:tc>
        <w:tc>
          <w:tcPr>
            <w:tcW w:w="50" w:type="pct"/>
            <w:vAlign w:val="center"/>
            <w:hideMark/>
          </w:tcPr>
          <w:p w14:paraId="58EB90D0" w14:textId="77777777" w:rsidR="00000000" w:rsidRDefault="0068293C">
            <w:pPr>
              <w:spacing w:after="100"/>
              <w:rPr>
                <w:rFonts w:eastAsia="Times New Roman"/>
                <w:sz w:val="20"/>
                <w:szCs w:val="20"/>
              </w:rPr>
            </w:pPr>
          </w:p>
        </w:tc>
        <w:tc>
          <w:tcPr>
            <w:tcW w:w="479" w:type="pct"/>
            <w:vAlign w:val="center"/>
            <w:hideMark/>
          </w:tcPr>
          <w:p w14:paraId="601F6B21" w14:textId="77777777" w:rsidR="00000000" w:rsidRDefault="0068293C">
            <w:pPr>
              <w:spacing w:after="100"/>
              <w:rPr>
                <w:rFonts w:eastAsia="Times New Roman"/>
                <w:sz w:val="20"/>
                <w:szCs w:val="20"/>
              </w:rPr>
            </w:pPr>
          </w:p>
        </w:tc>
        <w:tc>
          <w:tcPr>
            <w:tcW w:w="5" w:type="pct"/>
            <w:vAlign w:val="center"/>
            <w:hideMark/>
          </w:tcPr>
          <w:p w14:paraId="305DBC96" w14:textId="77777777" w:rsidR="00000000" w:rsidRDefault="0068293C">
            <w:pPr>
              <w:spacing w:after="100"/>
              <w:rPr>
                <w:rFonts w:eastAsia="Times New Roman"/>
                <w:sz w:val="20"/>
                <w:szCs w:val="20"/>
              </w:rPr>
            </w:pPr>
          </w:p>
        </w:tc>
        <w:tc>
          <w:tcPr>
            <w:tcW w:w="5" w:type="pct"/>
            <w:vAlign w:val="center"/>
            <w:hideMark/>
          </w:tcPr>
          <w:p w14:paraId="17189A0A" w14:textId="77777777" w:rsidR="00000000" w:rsidRDefault="0068293C">
            <w:pPr>
              <w:spacing w:after="100"/>
              <w:rPr>
                <w:rFonts w:eastAsia="Times New Roman"/>
                <w:sz w:val="20"/>
                <w:szCs w:val="20"/>
              </w:rPr>
            </w:pPr>
          </w:p>
        </w:tc>
        <w:tc>
          <w:tcPr>
            <w:tcW w:w="26" w:type="pct"/>
            <w:vAlign w:val="center"/>
            <w:hideMark/>
          </w:tcPr>
          <w:p w14:paraId="25DA396B" w14:textId="77777777" w:rsidR="00000000" w:rsidRDefault="0068293C">
            <w:pPr>
              <w:spacing w:after="100"/>
              <w:rPr>
                <w:rFonts w:eastAsia="Times New Roman"/>
                <w:sz w:val="20"/>
                <w:szCs w:val="20"/>
              </w:rPr>
            </w:pPr>
          </w:p>
        </w:tc>
        <w:tc>
          <w:tcPr>
            <w:tcW w:w="5" w:type="pct"/>
            <w:vAlign w:val="center"/>
            <w:hideMark/>
          </w:tcPr>
          <w:p w14:paraId="3FD971CC" w14:textId="77777777" w:rsidR="00000000" w:rsidRDefault="0068293C">
            <w:pPr>
              <w:spacing w:after="100"/>
              <w:rPr>
                <w:rFonts w:eastAsia="Times New Roman"/>
                <w:sz w:val="20"/>
                <w:szCs w:val="20"/>
              </w:rPr>
            </w:pPr>
          </w:p>
        </w:tc>
        <w:tc>
          <w:tcPr>
            <w:tcW w:w="50" w:type="pct"/>
            <w:vAlign w:val="center"/>
            <w:hideMark/>
          </w:tcPr>
          <w:p w14:paraId="13EF743B" w14:textId="77777777" w:rsidR="00000000" w:rsidRDefault="0068293C">
            <w:pPr>
              <w:spacing w:after="100"/>
              <w:rPr>
                <w:rFonts w:eastAsia="Times New Roman"/>
                <w:sz w:val="20"/>
                <w:szCs w:val="20"/>
              </w:rPr>
            </w:pPr>
          </w:p>
        </w:tc>
        <w:tc>
          <w:tcPr>
            <w:tcW w:w="728" w:type="pct"/>
            <w:vAlign w:val="center"/>
            <w:hideMark/>
          </w:tcPr>
          <w:p w14:paraId="644ABC18" w14:textId="77777777" w:rsidR="00000000" w:rsidRDefault="0068293C">
            <w:pPr>
              <w:spacing w:after="100"/>
              <w:rPr>
                <w:rFonts w:eastAsia="Times New Roman"/>
                <w:sz w:val="20"/>
                <w:szCs w:val="20"/>
              </w:rPr>
            </w:pPr>
          </w:p>
        </w:tc>
        <w:tc>
          <w:tcPr>
            <w:tcW w:w="5" w:type="pct"/>
            <w:vAlign w:val="center"/>
            <w:hideMark/>
          </w:tcPr>
          <w:p w14:paraId="221EDB8F" w14:textId="77777777" w:rsidR="00000000" w:rsidRDefault="0068293C">
            <w:pPr>
              <w:spacing w:after="100"/>
              <w:rPr>
                <w:rFonts w:eastAsia="Times New Roman"/>
                <w:sz w:val="20"/>
                <w:szCs w:val="20"/>
              </w:rPr>
            </w:pPr>
          </w:p>
        </w:tc>
        <w:tc>
          <w:tcPr>
            <w:tcW w:w="5" w:type="pct"/>
            <w:vAlign w:val="center"/>
            <w:hideMark/>
          </w:tcPr>
          <w:p w14:paraId="14D9B393" w14:textId="77777777" w:rsidR="00000000" w:rsidRDefault="0068293C">
            <w:pPr>
              <w:spacing w:after="100"/>
              <w:rPr>
                <w:rFonts w:eastAsia="Times New Roman"/>
                <w:sz w:val="20"/>
                <w:szCs w:val="20"/>
              </w:rPr>
            </w:pPr>
          </w:p>
        </w:tc>
        <w:tc>
          <w:tcPr>
            <w:tcW w:w="26" w:type="pct"/>
            <w:vAlign w:val="center"/>
            <w:hideMark/>
          </w:tcPr>
          <w:p w14:paraId="7ECAD1D6" w14:textId="77777777" w:rsidR="00000000" w:rsidRDefault="0068293C">
            <w:pPr>
              <w:spacing w:after="100"/>
              <w:rPr>
                <w:rFonts w:eastAsia="Times New Roman"/>
                <w:sz w:val="20"/>
                <w:szCs w:val="20"/>
              </w:rPr>
            </w:pPr>
          </w:p>
        </w:tc>
        <w:tc>
          <w:tcPr>
            <w:tcW w:w="5" w:type="pct"/>
            <w:vAlign w:val="center"/>
            <w:hideMark/>
          </w:tcPr>
          <w:p w14:paraId="45E0EADD" w14:textId="77777777" w:rsidR="00000000" w:rsidRDefault="0068293C">
            <w:pPr>
              <w:spacing w:after="100"/>
              <w:rPr>
                <w:rFonts w:eastAsia="Times New Roman"/>
                <w:sz w:val="20"/>
                <w:szCs w:val="20"/>
              </w:rPr>
            </w:pPr>
          </w:p>
        </w:tc>
        <w:tc>
          <w:tcPr>
            <w:tcW w:w="50" w:type="pct"/>
            <w:vAlign w:val="center"/>
            <w:hideMark/>
          </w:tcPr>
          <w:p w14:paraId="609EFE52" w14:textId="77777777" w:rsidR="00000000" w:rsidRDefault="0068293C">
            <w:pPr>
              <w:spacing w:after="100"/>
              <w:rPr>
                <w:rFonts w:eastAsia="Times New Roman"/>
                <w:sz w:val="20"/>
                <w:szCs w:val="20"/>
              </w:rPr>
            </w:pPr>
          </w:p>
        </w:tc>
        <w:tc>
          <w:tcPr>
            <w:tcW w:w="794" w:type="pct"/>
            <w:vAlign w:val="center"/>
            <w:hideMark/>
          </w:tcPr>
          <w:p w14:paraId="4E8F680E" w14:textId="77777777" w:rsidR="00000000" w:rsidRDefault="0068293C">
            <w:pPr>
              <w:spacing w:after="100"/>
              <w:rPr>
                <w:rFonts w:eastAsia="Times New Roman"/>
                <w:sz w:val="20"/>
                <w:szCs w:val="20"/>
              </w:rPr>
            </w:pPr>
          </w:p>
        </w:tc>
        <w:tc>
          <w:tcPr>
            <w:tcW w:w="5" w:type="pct"/>
            <w:vAlign w:val="center"/>
            <w:hideMark/>
          </w:tcPr>
          <w:p w14:paraId="6E97B9E0" w14:textId="77777777" w:rsidR="00000000" w:rsidRDefault="0068293C">
            <w:pPr>
              <w:spacing w:after="100"/>
              <w:rPr>
                <w:rFonts w:eastAsia="Times New Roman"/>
                <w:sz w:val="20"/>
                <w:szCs w:val="20"/>
              </w:rPr>
            </w:pPr>
          </w:p>
        </w:tc>
        <w:tc>
          <w:tcPr>
            <w:tcW w:w="5" w:type="pct"/>
            <w:vAlign w:val="center"/>
            <w:hideMark/>
          </w:tcPr>
          <w:p w14:paraId="4DC2A994" w14:textId="77777777" w:rsidR="00000000" w:rsidRDefault="0068293C">
            <w:pPr>
              <w:spacing w:after="100"/>
              <w:rPr>
                <w:rFonts w:eastAsia="Times New Roman"/>
                <w:sz w:val="20"/>
                <w:szCs w:val="20"/>
              </w:rPr>
            </w:pPr>
          </w:p>
        </w:tc>
        <w:tc>
          <w:tcPr>
            <w:tcW w:w="26" w:type="pct"/>
            <w:vAlign w:val="center"/>
            <w:hideMark/>
          </w:tcPr>
          <w:p w14:paraId="3FF07F7D" w14:textId="77777777" w:rsidR="00000000" w:rsidRDefault="0068293C">
            <w:pPr>
              <w:spacing w:after="100"/>
              <w:rPr>
                <w:rFonts w:eastAsia="Times New Roman"/>
                <w:sz w:val="20"/>
                <w:szCs w:val="20"/>
              </w:rPr>
            </w:pPr>
          </w:p>
        </w:tc>
        <w:tc>
          <w:tcPr>
            <w:tcW w:w="5" w:type="pct"/>
            <w:vAlign w:val="center"/>
            <w:hideMark/>
          </w:tcPr>
          <w:p w14:paraId="0857A765" w14:textId="77777777" w:rsidR="00000000" w:rsidRDefault="0068293C">
            <w:pPr>
              <w:spacing w:after="100"/>
              <w:rPr>
                <w:rFonts w:eastAsia="Times New Roman"/>
                <w:sz w:val="20"/>
                <w:szCs w:val="20"/>
              </w:rPr>
            </w:pPr>
          </w:p>
        </w:tc>
        <w:tc>
          <w:tcPr>
            <w:tcW w:w="50" w:type="pct"/>
            <w:vAlign w:val="center"/>
            <w:hideMark/>
          </w:tcPr>
          <w:p w14:paraId="25BD7E06" w14:textId="77777777" w:rsidR="00000000" w:rsidRDefault="0068293C">
            <w:pPr>
              <w:spacing w:after="100"/>
              <w:rPr>
                <w:rFonts w:eastAsia="Times New Roman"/>
                <w:sz w:val="20"/>
                <w:szCs w:val="20"/>
              </w:rPr>
            </w:pPr>
          </w:p>
        </w:tc>
        <w:tc>
          <w:tcPr>
            <w:tcW w:w="728" w:type="pct"/>
            <w:vAlign w:val="center"/>
            <w:hideMark/>
          </w:tcPr>
          <w:p w14:paraId="719865B9" w14:textId="77777777" w:rsidR="00000000" w:rsidRDefault="0068293C">
            <w:pPr>
              <w:spacing w:after="100"/>
              <w:rPr>
                <w:rFonts w:eastAsia="Times New Roman"/>
                <w:sz w:val="20"/>
                <w:szCs w:val="20"/>
              </w:rPr>
            </w:pPr>
          </w:p>
        </w:tc>
        <w:tc>
          <w:tcPr>
            <w:tcW w:w="5" w:type="pct"/>
            <w:vAlign w:val="center"/>
            <w:hideMark/>
          </w:tcPr>
          <w:p w14:paraId="7E835739" w14:textId="77777777" w:rsidR="00000000" w:rsidRDefault="0068293C">
            <w:pPr>
              <w:spacing w:after="100"/>
              <w:rPr>
                <w:rFonts w:eastAsia="Times New Roman"/>
                <w:sz w:val="20"/>
                <w:szCs w:val="20"/>
              </w:rPr>
            </w:pPr>
          </w:p>
        </w:tc>
      </w:tr>
      <w:tr w:rsidR="00000000" w14:paraId="73C9C90C" w14:textId="77777777">
        <w:trPr>
          <w:divId w:val="754134596"/>
          <w:jc w:val="center"/>
        </w:trPr>
        <w:tc>
          <w:tcPr>
            <w:tcW w:w="0" w:type="auto"/>
            <w:gridSpan w:val="3"/>
            <w:tcMar>
              <w:top w:w="30" w:type="dxa"/>
              <w:left w:w="20" w:type="dxa"/>
              <w:bottom w:w="30" w:type="dxa"/>
              <w:right w:w="20" w:type="dxa"/>
            </w:tcMar>
            <w:vAlign w:val="bottom"/>
            <w:hideMark/>
          </w:tcPr>
          <w:p w14:paraId="5B829A40" w14:textId="77777777" w:rsidR="00000000" w:rsidRDefault="0068293C">
            <w:pPr>
              <w:spacing w:after="100"/>
              <w:divId w:val="492794449"/>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3C646D81" w14:textId="77777777" w:rsidR="00000000" w:rsidRDefault="0068293C">
            <w:pPr>
              <w:spacing w:after="100"/>
              <w:jc w:val="center"/>
              <w:rPr>
                <w:rFonts w:eastAsia="Times New Roman"/>
              </w:rPr>
            </w:pPr>
            <w:r>
              <w:rPr>
                <w:rFonts w:eastAsia="Times New Roman"/>
                <w:b/>
                <w:bCs/>
                <w:color w:val="000000"/>
                <w:sz w:val="16"/>
                <w:szCs w:val="16"/>
              </w:rPr>
              <w:t>March 31, 2022</w:t>
            </w:r>
          </w:p>
        </w:tc>
      </w:tr>
      <w:tr w:rsidR="00000000" w14:paraId="04051C65" w14:textId="77777777">
        <w:trPr>
          <w:divId w:val="754134596"/>
          <w:jc w:val="center"/>
        </w:trPr>
        <w:tc>
          <w:tcPr>
            <w:tcW w:w="0" w:type="auto"/>
            <w:gridSpan w:val="3"/>
            <w:tcMar>
              <w:top w:w="30" w:type="dxa"/>
              <w:left w:w="20" w:type="dxa"/>
              <w:bottom w:w="30" w:type="dxa"/>
              <w:right w:w="20" w:type="dxa"/>
            </w:tcMar>
            <w:vAlign w:val="bottom"/>
            <w:hideMark/>
          </w:tcPr>
          <w:p w14:paraId="1F32D3BD"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BF1AF3B" w14:textId="77777777" w:rsidR="00000000" w:rsidRDefault="0068293C">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01DC65C5"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38E970" w14:textId="77777777" w:rsidR="00000000" w:rsidRDefault="0068293C">
            <w:pPr>
              <w:spacing w:after="100"/>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14:paraId="45607AB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503677" w14:textId="77777777" w:rsidR="00000000" w:rsidRDefault="0068293C">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14:paraId="1D463C5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867A0D" w14:textId="77777777" w:rsidR="00000000" w:rsidRDefault="0068293C">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14:paraId="54DC19DF" w14:textId="77777777">
        <w:trPr>
          <w:divId w:val="754134596"/>
          <w:jc w:val="center"/>
        </w:trPr>
        <w:tc>
          <w:tcPr>
            <w:tcW w:w="0" w:type="auto"/>
            <w:gridSpan w:val="3"/>
            <w:shd w:val="clear" w:color="auto" w:fill="CCEEFF"/>
            <w:tcMar>
              <w:top w:w="30" w:type="dxa"/>
              <w:left w:w="20" w:type="dxa"/>
              <w:bottom w:w="30" w:type="dxa"/>
              <w:right w:w="20" w:type="dxa"/>
            </w:tcMar>
            <w:hideMark/>
          </w:tcPr>
          <w:p w14:paraId="531EEFBC" w14:textId="77777777" w:rsidR="00000000" w:rsidRDefault="0068293C">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DFDD1B"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23E87"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95CC8F"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D56C2D"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A3FF91"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905C60"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34D500" w14:textId="77777777" w:rsidR="00000000" w:rsidRDefault="0068293C">
            <w:pPr>
              <w:spacing w:after="100"/>
              <w:rPr>
                <w:rFonts w:eastAsia="Times New Roman"/>
                <w:sz w:val="20"/>
                <w:szCs w:val="20"/>
              </w:rPr>
            </w:pPr>
          </w:p>
        </w:tc>
      </w:tr>
      <w:tr w:rsidR="00000000" w14:paraId="4266CBBC" w14:textId="77777777">
        <w:trPr>
          <w:divId w:val="754134596"/>
          <w:jc w:val="center"/>
        </w:trPr>
        <w:tc>
          <w:tcPr>
            <w:tcW w:w="0" w:type="auto"/>
            <w:gridSpan w:val="3"/>
            <w:shd w:val="clear" w:color="auto" w:fill="FFFFFF"/>
            <w:tcMar>
              <w:top w:w="30" w:type="dxa"/>
              <w:left w:w="20" w:type="dxa"/>
              <w:bottom w:w="30" w:type="dxa"/>
              <w:right w:w="20" w:type="dxa"/>
            </w:tcMar>
            <w:hideMark/>
          </w:tcPr>
          <w:p w14:paraId="1AD954AF" w14:textId="77777777" w:rsidR="00000000" w:rsidRDefault="0068293C">
            <w:pPr>
              <w:spacing w:after="100"/>
              <w:divId w:val="820315617"/>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1E927ACB"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47D8094" w14:textId="77777777" w:rsidR="00000000" w:rsidRDefault="0068293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BAAED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3534A"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2F1327"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BFE8DC5" w14:textId="77777777" w:rsidR="00000000" w:rsidRDefault="0068293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9186C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D1DD8"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9ECA39"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9C0D5FB"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DDDFE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30246"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DB061B"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3860901"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146B56" w14:textId="77777777" w:rsidR="00000000" w:rsidRDefault="0068293C">
            <w:pPr>
              <w:spacing w:after="100"/>
              <w:jc w:val="right"/>
              <w:rPr>
                <w:rFonts w:eastAsia="Times New Roman"/>
              </w:rPr>
            </w:pPr>
          </w:p>
        </w:tc>
      </w:tr>
      <w:tr w:rsidR="00000000" w14:paraId="11974373" w14:textId="77777777">
        <w:trPr>
          <w:divId w:val="754134596"/>
          <w:jc w:val="center"/>
        </w:trPr>
        <w:tc>
          <w:tcPr>
            <w:tcW w:w="0" w:type="auto"/>
            <w:gridSpan w:val="3"/>
            <w:shd w:val="clear" w:color="auto" w:fill="CCEEFF"/>
            <w:tcMar>
              <w:top w:w="30" w:type="dxa"/>
              <w:left w:w="20" w:type="dxa"/>
              <w:bottom w:w="30" w:type="dxa"/>
              <w:right w:w="20" w:type="dxa"/>
            </w:tcMar>
            <w:hideMark/>
          </w:tcPr>
          <w:p w14:paraId="7CA2D11F" w14:textId="77777777" w:rsidR="00000000" w:rsidRDefault="0068293C">
            <w:pPr>
              <w:spacing w:after="100"/>
              <w:divId w:val="179124136"/>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D3D8CB3"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4B5B0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F4D7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BC417"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1E9BD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D801D"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8BFDC"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25474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BEEB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1DBB7"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06D146" w14:textId="77777777" w:rsidR="00000000" w:rsidRDefault="0068293C">
            <w:pPr>
              <w:spacing w:after="100"/>
              <w:jc w:val="right"/>
              <w:rPr>
                <w:rFonts w:eastAsia="Times New Roman"/>
              </w:rPr>
            </w:pPr>
          </w:p>
        </w:tc>
      </w:tr>
      <w:tr w:rsidR="00000000" w14:paraId="650A31B3" w14:textId="77777777">
        <w:trPr>
          <w:divId w:val="754134596"/>
          <w:jc w:val="center"/>
        </w:trPr>
        <w:tc>
          <w:tcPr>
            <w:tcW w:w="0" w:type="auto"/>
            <w:gridSpan w:val="3"/>
            <w:shd w:val="clear" w:color="auto" w:fill="FFFFFF"/>
            <w:tcMar>
              <w:top w:w="30" w:type="dxa"/>
              <w:left w:w="20" w:type="dxa"/>
              <w:bottom w:w="30" w:type="dxa"/>
              <w:right w:w="20" w:type="dxa"/>
            </w:tcMar>
            <w:hideMark/>
          </w:tcPr>
          <w:p w14:paraId="73033E28" w14:textId="77777777" w:rsidR="00000000" w:rsidRDefault="0068293C">
            <w:pPr>
              <w:spacing w:after="100"/>
              <w:divId w:val="1152914702"/>
              <w:rPr>
                <w:rFonts w:eastAsia="Times New Roman"/>
              </w:rPr>
            </w:pPr>
            <w:r>
              <w:rPr>
                <w:rFonts w:eastAsia="Times New Roman"/>
                <w:color w:val="000000"/>
                <w:sz w:val="20"/>
                <w:szCs w:val="20"/>
              </w:rPr>
              <w:t>Interest rate swap agreements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E748B40" w14:textId="77777777" w:rsidR="00000000" w:rsidRDefault="0068293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0F06D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74CB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6C8B1"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9E21B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F52A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291EE" w14:textId="77777777" w:rsidR="00000000" w:rsidRDefault="0068293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F5396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79AAD"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E5C785"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243B78" w14:textId="77777777" w:rsidR="00000000" w:rsidRDefault="0068293C">
            <w:pPr>
              <w:spacing w:after="100"/>
              <w:jc w:val="right"/>
              <w:rPr>
                <w:rFonts w:eastAsia="Times New Roman"/>
              </w:rPr>
            </w:pPr>
          </w:p>
        </w:tc>
      </w:tr>
      <w:tr w:rsidR="00000000" w14:paraId="37B5EEAE" w14:textId="77777777">
        <w:trPr>
          <w:divId w:val="754134596"/>
          <w:jc w:val="center"/>
        </w:trPr>
        <w:tc>
          <w:tcPr>
            <w:tcW w:w="0" w:type="auto"/>
            <w:gridSpan w:val="3"/>
            <w:shd w:val="clear" w:color="auto" w:fill="CCEEFF"/>
            <w:tcMar>
              <w:top w:w="30" w:type="dxa"/>
              <w:left w:w="380" w:type="dxa"/>
              <w:bottom w:w="30" w:type="dxa"/>
              <w:right w:w="20" w:type="dxa"/>
            </w:tcMar>
            <w:hideMark/>
          </w:tcPr>
          <w:p w14:paraId="53218854" w14:textId="77777777" w:rsidR="00000000" w:rsidRDefault="0068293C">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77D25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CDF714" w14:textId="77777777" w:rsidR="00000000" w:rsidRDefault="0068293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8C841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37D27"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D5407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172CD1" w14:textId="77777777" w:rsidR="00000000" w:rsidRDefault="0068293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1EECA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961EB"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DE2BB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3ED2E0" w14:textId="77777777" w:rsidR="00000000" w:rsidRDefault="0068293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2CC9A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18D5A"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D85C3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564508"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A32457" w14:textId="77777777" w:rsidR="00000000" w:rsidRDefault="0068293C">
            <w:pPr>
              <w:spacing w:after="100"/>
              <w:jc w:val="right"/>
              <w:rPr>
                <w:rFonts w:eastAsia="Times New Roman"/>
              </w:rPr>
            </w:pPr>
          </w:p>
        </w:tc>
      </w:tr>
      <w:tr w:rsidR="00000000" w14:paraId="22D563B8" w14:textId="77777777">
        <w:trPr>
          <w:divId w:val="754134596"/>
          <w:jc w:val="center"/>
        </w:trPr>
        <w:tc>
          <w:tcPr>
            <w:tcW w:w="0" w:type="auto"/>
            <w:gridSpan w:val="3"/>
            <w:shd w:val="clear" w:color="auto" w:fill="FFFFFF"/>
            <w:tcMar>
              <w:top w:w="30" w:type="dxa"/>
              <w:left w:w="20" w:type="dxa"/>
              <w:bottom w:w="30" w:type="dxa"/>
              <w:right w:w="20" w:type="dxa"/>
            </w:tcMar>
            <w:hideMark/>
          </w:tcPr>
          <w:p w14:paraId="59925137" w14:textId="77777777" w:rsidR="00000000" w:rsidRDefault="0068293C">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429A2C"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1791A"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2FC299"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492D7E"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63004F"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0F9FC1"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708CC6" w14:textId="77777777" w:rsidR="00000000" w:rsidRDefault="0068293C">
            <w:pPr>
              <w:spacing w:after="100"/>
              <w:rPr>
                <w:rFonts w:eastAsia="Times New Roman"/>
                <w:sz w:val="20"/>
                <w:szCs w:val="20"/>
              </w:rPr>
            </w:pPr>
          </w:p>
        </w:tc>
      </w:tr>
      <w:tr w:rsidR="00000000" w14:paraId="0CFA2956" w14:textId="77777777">
        <w:trPr>
          <w:divId w:val="754134596"/>
          <w:jc w:val="center"/>
        </w:trPr>
        <w:tc>
          <w:tcPr>
            <w:tcW w:w="0" w:type="auto"/>
            <w:gridSpan w:val="3"/>
            <w:shd w:val="clear" w:color="auto" w:fill="CCEEFF"/>
            <w:tcMar>
              <w:top w:w="30" w:type="dxa"/>
              <w:left w:w="20" w:type="dxa"/>
              <w:bottom w:w="30" w:type="dxa"/>
              <w:right w:w="20" w:type="dxa"/>
            </w:tcMar>
            <w:hideMark/>
          </w:tcPr>
          <w:p w14:paraId="6F5F50E0" w14:textId="77777777" w:rsidR="00000000" w:rsidRDefault="0068293C">
            <w:pPr>
              <w:spacing w:after="100"/>
              <w:divId w:val="1102796280"/>
              <w:rPr>
                <w:rFonts w:eastAsia="Times New Roman"/>
              </w:rPr>
            </w:pPr>
            <w:r>
              <w:rPr>
                <w:rFonts w:eastAsia="Times New Roman"/>
                <w:color w:val="000000"/>
                <w:sz w:val="20"/>
                <w:szCs w:val="20"/>
              </w:rPr>
              <w:t>Interest rate swap agreements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36AE82B5"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FD931CB"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5822F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359D8"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DA78B4"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45564F0"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0E12F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A8E61"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351ACB"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851CBBF"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02046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EB43C"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054813"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0AAD87F"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404094" w14:textId="77777777" w:rsidR="00000000" w:rsidRDefault="0068293C">
            <w:pPr>
              <w:spacing w:after="100"/>
              <w:jc w:val="right"/>
              <w:rPr>
                <w:rFonts w:eastAsia="Times New Roman"/>
              </w:rPr>
            </w:pPr>
          </w:p>
        </w:tc>
      </w:tr>
      <w:tr w:rsidR="00000000" w14:paraId="3A0FC93D" w14:textId="77777777">
        <w:trPr>
          <w:divId w:val="754134596"/>
          <w:jc w:val="center"/>
        </w:trPr>
        <w:tc>
          <w:tcPr>
            <w:tcW w:w="0" w:type="auto"/>
            <w:gridSpan w:val="3"/>
            <w:shd w:val="clear" w:color="auto" w:fill="FFFFFF"/>
            <w:tcMar>
              <w:top w:w="30" w:type="dxa"/>
              <w:left w:w="20" w:type="dxa"/>
              <w:bottom w:w="30" w:type="dxa"/>
              <w:right w:w="20" w:type="dxa"/>
            </w:tcMar>
            <w:hideMark/>
          </w:tcPr>
          <w:p w14:paraId="74108B3A" w14:textId="77777777" w:rsidR="00000000" w:rsidRDefault="0068293C">
            <w:pPr>
              <w:spacing w:after="100"/>
              <w:divId w:val="899630365"/>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9BA18BF" w14:textId="77777777" w:rsidR="00000000" w:rsidRDefault="0068293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5427C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7200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E4E730"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86082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4D48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8B317D" w14:textId="77777777" w:rsidR="00000000" w:rsidRDefault="0068293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F6637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200D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78F5F"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442A19" w14:textId="77777777" w:rsidR="00000000" w:rsidRDefault="0068293C">
            <w:pPr>
              <w:spacing w:after="100"/>
              <w:jc w:val="right"/>
              <w:rPr>
                <w:rFonts w:eastAsia="Times New Roman"/>
              </w:rPr>
            </w:pPr>
          </w:p>
        </w:tc>
      </w:tr>
      <w:tr w:rsidR="00000000" w14:paraId="32B4B08F" w14:textId="77777777">
        <w:trPr>
          <w:divId w:val="754134596"/>
          <w:jc w:val="center"/>
        </w:trPr>
        <w:tc>
          <w:tcPr>
            <w:tcW w:w="0" w:type="auto"/>
            <w:gridSpan w:val="3"/>
            <w:shd w:val="clear" w:color="auto" w:fill="CCEEFF"/>
            <w:tcMar>
              <w:top w:w="30" w:type="dxa"/>
              <w:left w:w="380" w:type="dxa"/>
              <w:bottom w:w="30" w:type="dxa"/>
              <w:right w:w="20" w:type="dxa"/>
            </w:tcMar>
            <w:hideMark/>
          </w:tcPr>
          <w:p w14:paraId="0AA7FFEE" w14:textId="77777777" w:rsidR="00000000" w:rsidRDefault="0068293C">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120DF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AEF25B" w14:textId="77777777" w:rsidR="00000000" w:rsidRDefault="0068293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94724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14392"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BA04D8"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588CEA"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22BA9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BD9B8"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BC0C2F"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2C4496" w14:textId="77777777" w:rsidR="00000000" w:rsidRDefault="0068293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4FFC5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08B3E"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3AAA1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9CACE5" w14:textId="77777777" w:rsidR="00000000" w:rsidRDefault="0068293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A193EC" w14:textId="77777777" w:rsidR="00000000" w:rsidRDefault="0068293C">
            <w:pPr>
              <w:spacing w:after="100"/>
              <w:jc w:val="right"/>
              <w:rPr>
                <w:rFonts w:eastAsia="Times New Roman"/>
              </w:rPr>
            </w:pPr>
          </w:p>
        </w:tc>
      </w:tr>
    </w:tbl>
    <w:p w14:paraId="58E62009" w14:textId="77777777" w:rsidR="00000000" w:rsidRDefault="0068293C">
      <w:pPr>
        <w:divId w:val="34162252"/>
        <w:rPr>
          <w:rFonts w:eastAsia="Times New Roman"/>
        </w:rPr>
      </w:pPr>
    </w:p>
    <w:p w14:paraId="0F67DB0E" w14:textId="77777777" w:rsidR="00000000" w:rsidRDefault="0068293C">
      <w:pPr>
        <w:jc w:val="center"/>
        <w:divId w:val="1991864479"/>
        <w:rPr>
          <w:rFonts w:eastAsia="Times New Roman"/>
        </w:rPr>
      </w:pPr>
      <w:r>
        <w:rPr>
          <w:rFonts w:eastAsia="Times New Roman"/>
          <w:color w:val="000000"/>
          <w:sz w:val="20"/>
          <w:szCs w:val="20"/>
        </w:rPr>
        <w:t>31</w:t>
      </w:r>
    </w:p>
    <w:p w14:paraId="1E4B5D23" w14:textId="77777777" w:rsidR="00000000" w:rsidRDefault="0068293C">
      <w:pPr>
        <w:rPr>
          <w:rFonts w:eastAsia="Times New Roman"/>
        </w:rPr>
      </w:pPr>
      <w:r>
        <w:rPr>
          <w:rFonts w:eastAsia="Times New Roman"/>
        </w:rPr>
        <w:pict w14:anchorId="7187A6E0">
          <v:rect id="_x0000_i1056" style="width:0;height:1.5pt" o:hralign="center" o:hrstd="t" o:hr="t" fillcolor="#a0a0a0" stroked="f"/>
        </w:pict>
      </w:r>
    </w:p>
    <w:p w14:paraId="4C40D245" w14:textId="77777777" w:rsidR="00000000" w:rsidRDefault="0068293C">
      <w:pPr>
        <w:ind w:firstLine="720"/>
        <w:divId w:val="1714190784"/>
        <w:rPr>
          <w:rFonts w:eastAsia="Times New Roman"/>
        </w:rPr>
      </w:pPr>
      <w:hyperlink w:anchor="i78484f3d0d8e4e36a7c87ddd6ea9d725_7" w:history="1">
        <w:r>
          <w:rPr>
            <w:rStyle w:val="a3"/>
            <w:rFonts w:eastAsia="Times New Roman"/>
            <w:sz w:val="16"/>
            <w:szCs w:val="16"/>
          </w:rPr>
          <w:t>Table of Content</w:t>
        </w:r>
      </w:hyperlink>
    </w:p>
    <w:p w14:paraId="6DCF70A3" w14:textId="77777777" w:rsidR="00000000" w:rsidRDefault="0068293C">
      <w:pPr>
        <w:jc w:val="center"/>
        <w:divId w:val="1414206489"/>
        <w:rPr>
          <w:rFonts w:eastAsia="Times New Roman"/>
        </w:rPr>
      </w:pPr>
      <w:r>
        <w:rPr>
          <w:rFonts w:eastAsia="Times New Roman"/>
          <w:b/>
          <w:bCs/>
          <w:color w:val="000000"/>
          <w:sz w:val="20"/>
          <w:szCs w:val="20"/>
        </w:rPr>
        <w:t>NCR Corporation</w:t>
      </w:r>
    </w:p>
    <w:p w14:paraId="4A2119AC" w14:textId="77777777" w:rsidR="00000000" w:rsidRDefault="0068293C">
      <w:pPr>
        <w:jc w:val="center"/>
        <w:divId w:val="1414206489"/>
        <w:rPr>
          <w:rFonts w:eastAsia="Times New Roman"/>
        </w:rPr>
      </w:pPr>
      <w:r>
        <w:rPr>
          <w:rFonts w:eastAsia="Times New Roman"/>
          <w:b/>
          <w:bCs/>
          <w:color w:val="000000"/>
          <w:sz w:val="20"/>
          <w:szCs w:val="20"/>
        </w:rPr>
        <w:t>Notes to Condensed Consolidated Financial Statements (Unaudited)—(Continued)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857"/>
        <w:gridCol w:w="39"/>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14:paraId="3ED4E7F4" w14:textId="77777777">
        <w:trPr>
          <w:jc w:val="center"/>
        </w:trPr>
        <w:tc>
          <w:tcPr>
            <w:tcW w:w="50" w:type="pct"/>
            <w:vAlign w:val="center"/>
            <w:hideMark/>
          </w:tcPr>
          <w:p w14:paraId="72E2AA15" w14:textId="77777777" w:rsidR="00000000" w:rsidRDefault="0068293C">
            <w:pPr>
              <w:jc w:val="center"/>
              <w:rPr>
                <w:rFonts w:eastAsia="Times New Roman"/>
              </w:rPr>
            </w:pPr>
          </w:p>
        </w:tc>
        <w:tc>
          <w:tcPr>
            <w:tcW w:w="1884" w:type="pct"/>
            <w:vAlign w:val="center"/>
            <w:hideMark/>
          </w:tcPr>
          <w:p w14:paraId="7CA3D638" w14:textId="77777777" w:rsidR="00000000" w:rsidRDefault="0068293C">
            <w:pPr>
              <w:spacing w:after="100"/>
              <w:rPr>
                <w:rFonts w:eastAsia="Times New Roman"/>
                <w:sz w:val="20"/>
                <w:szCs w:val="20"/>
              </w:rPr>
            </w:pPr>
          </w:p>
        </w:tc>
        <w:tc>
          <w:tcPr>
            <w:tcW w:w="5" w:type="pct"/>
            <w:vAlign w:val="center"/>
            <w:hideMark/>
          </w:tcPr>
          <w:p w14:paraId="345E2672" w14:textId="77777777" w:rsidR="00000000" w:rsidRDefault="0068293C">
            <w:pPr>
              <w:spacing w:after="100"/>
              <w:rPr>
                <w:rFonts w:eastAsia="Times New Roman"/>
                <w:sz w:val="20"/>
                <w:szCs w:val="20"/>
              </w:rPr>
            </w:pPr>
          </w:p>
        </w:tc>
        <w:tc>
          <w:tcPr>
            <w:tcW w:w="50" w:type="pct"/>
            <w:vAlign w:val="center"/>
            <w:hideMark/>
          </w:tcPr>
          <w:p w14:paraId="1AF59FE2" w14:textId="77777777" w:rsidR="00000000" w:rsidRDefault="0068293C">
            <w:pPr>
              <w:spacing w:after="100"/>
              <w:rPr>
                <w:rFonts w:eastAsia="Times New Roman"/>
                <w:sz w:val="20"/>
                <w:szCs w:val="20"/>
              </w:rPr>
            </w:pPr>
          </w:p>
        </w:tc>
        <w:tc>
          <w:tcPr>
            <w:tcW w:w="479" w:type="pct"/>
            <w:vAlign w:val="center"/>
            <w:hideMark/>
          </w:tcPr>
          <w:p w14:paraId="5C036AFB" w14:textId="77777777" w:rsidR="00000000" w:rsidRDefault="0068293C">
            <w:pPr>
              <w:spacing w:after="100"/>
              <w:rPr>
                <w:rFonts w:eastAsia="Times New Roman"/>
                <w:sz w:val="20"/>
                <w:szCs w:val="20"/>
              </w:rPr>
            </w:pPr>
          </w:p>
        </w:tc>
        <w:tc>
          <w:tcPr>
            <w:tcW w:w="5" w:type="pct"/>
            <w:vAlign w:val="center"/>
            <w:hideMark/>
          </w:tcPr>
          <w:p w14:paraId="0A2BFCC6" w14:textId="77777777" w:rsidR="00000000" w:rsidRDefault="0068293C">
            <w:pPr>
              <w:spacing w:after="100"/>
              <w:rPr>
                <w:rFonts w:eastAsia="Times New Roman"/>
                <w:sz w:val="20"/>
                <w:szCs w:val="20"/>
              </w:rPr>
            </w:pPr>
          </w:p>
        </w:tc>
        <w:tc>
          <w:tcPr>
            <w:tcW w:w="5" w:type="pct"/>
            <w:vAlign w:val="center"/>
            <w:hideMark/>
          </w:tcPr>
          <w:p w14:paraId="548CE662" w14:textId="77777777" w:rsidR="00000000" w:rsidRDefault="0068293C">
            <w:pPr>
              <w:spacing w:after="100"/>
              <w:rPr>
                <w:rFonts w:eastAsia="Times New Roman"/>
                <w:sz w:val="20"/>
                <w:szCs w:val="20"/>
              </w:rPr>
            </w:pPr>
          </w:p>
        </w:tc>
        <w:tc>
          <w:tcPr>
            <w:tcW w:w="26" w:type="pct"/>
            <w:vAlign w:val="center"/>
            <w:hideMark/>
          </w:tcPr>
          <w:p w14:paraId="3C6F2F1E" w14:textId="77777777" w:rsidR="00000000" w:rsidRDefault="0068293C">
            <w:pPr>
              <w:spacing w:after="100"/>
              <w:rPr>
                <w:rFonts w:eastAsia="Times New Roman"/>
                <w:sz w:val="20"/>
                <w:szCs w:val="20"/>
              </w:rPr>
            </w:pPr>
          </w:p>
        </w:tc>
        <w:tc>
          <w:tcPr>
            <w:tcW w:w="5" w:type="pct"/>
            <w:vAlign w:val="center"/>
            <w:hideMark/>
          </w:tcPr>
          <w:p w14:paraId="106F72DC" w14:textId="77777777" w:rsidR="00000000" w:rsidRDefault="0068293C">
            <w:pPr>
              <w:spacing w:after="100"/>
              <w:rPr>
                <w:rFonts w:eastAsia="Times New Roman"/>
                <w:sz w:val="20"/>
                <w:szCs w:val="20"/>
              </w:rPr>
            </w:pPr>
          </w:p>
        </w:tc>
        <w:tc>
          <w:tcPr>
            <w:tcW w:w="50" w:type="pct"/>
            <w:vAlign w:val="center"/>
            <w:hideMark/>
          </w:tcPr>
          <w:p w14:paraId="1E96170C" w14:textId="77777777" w:rsidR="00000000" w:rsidRDefault="0068293C">
            <w:pPr>
              <w:spacing w:after="100"/>
              <w:rPr>
                <w:rFonts w:eastAsia="Times New Roman"/>
                <w:sz w:val="20"/>
                <w:szCs w:val="20"/>
              </w:rPr>
            </w:pPr>
          </w:p>
        </w:tc>
        <w:tc>
          <w:tcPr>
            <w:tcW w:w="728" w:type="pct"/>
            <w:vAlign w:val="center"/>
            <w:hideMark/>
          </w:tcPr>
          <w:p w14:paraId="7EFEF8E1" w14:textId="77777777" w:rsidR="00000000" w:rsidRDefault="0068293C">
            <w:pPr>
              <w:spacing w:after="100"/>
              <w:rPr>
                <w:rFonts w:eastAsia="Times New Roman"/>
                <w:sz w:val="20"/>
                <w:szCs w:val="20"/>
              </w:rPr>
            </w:pPr>
          </w:p>
        </w:tc>
        <w:tc>
          <w:tcPr>
            <w:tcW w:w="5" w:type="pct"/>
            <w:vAlign w:val="center"/>
            <w:hideMark/>
          </w:tcPr>
          <w:p w14:paraId="169EC18F" w14:textId="77777777" w:rsidR="00000000" w:rsidRDefault="0068293C">
            <w:pPr>
              <w:spacing w:after="100"/>
              <w:rPr>
                <w:rFonts w:eastAsia="Times New Roman"/>
                <w:sz w:val="20"/>
                <w:szCs w:val="20"/>
              </w:rPr>
            </w:pPr>
          </w:p>
        </w:tc>
        <w:tc>
          <w:tcPr>
            <w:tcW w:w="5" w:type="pct"/>
            <w:vAlign w:val="center"/>
            <w:hideMark/>
          </w:tcPr>
          <w:p w14:paraId="63743B20" w14:textId="77777777" w:rsidR="00000000" w:rsidRDefault="0068293C">
            <w:pPr>
              <w:spacing w:after="100"/>
              <w:rPr>
                <w:rFonts w:eastAsia="Times New Roman"/>
                <w:sz w:val="20"/>
                <w:szCs w:val="20"/>
              </w:rPr>
            </w:pPr>
          </w:p>
        </w:tc>
        <w:tc>
          <w:tcPr>
            <w:tcW w:w="26" w:type="pct"/>
            <w:vAlign w:val="center"/>
            <w:hideMark/>
          </w:tcPr>
          <w:p w14:paraId="7D0D32F5" w14:textId="77777777" w:rsidR="00000000" w:rsidRDefault="0068293C">
            <w:pPr>
              <w:spacing w:after="100"/>
              <w:rPr>
                <w:rFonts w:eastAsia="Times New Roman"/>
                <w:sz w:val="20"/>
                <w:szCs w:val="20"/>
              </w:rPr>
            </w:pPr>
          </w:p>
        </w:tc>
        <w:tc>
          <w:tcPr>
            <w:tcW w:w="5" w:type="pct"/>
            <w:vAlign w:val="center"/>
            <w:hideMark/>
          </w:tcPr>
          <w:p w14:paraId="7E68D643" w14:textId="77777777" w:rsidR="00000000" w:rsidRDefault="0068293C">
            <w:pPr>
              <w:spacing w:after="100"/>
              <w:rPr>
                <w:rFonts w:eastAsia="Times New Roman"/>
                <w:sz w:val="20"/>
                <w:szCs w:val="20"/>
              </w:rPr>
            </w:pPr>
          </w:p>
        </w:tc>
        <w:tc>
          <w:tcPr>
            <w:tcW w:w="50" w:type="pct"/>
            <w:vAlign w:val="center"/>
            <w:hideMark/>
          </w:tcPr>
          <w:p w14:paraId="16F0D2E3" w14:textId="77777777" w:rsidR="00000000" w:rsidRDefault="0068293C">
            <w:pPr>
              <w:spacing w:after="100"/>
              <w:rPr>
                <w:rFonts w:eastAsia="Times New Roman"/>
                <w:sz w:val="20"/>
                <w:szCs w:val="20"/>
              </w:rPr>
            </w:pPr>
          </w:p>
        </w:tc>
        <w:tc>
          <w:tcPr>
            <w:tcW w:w="794" w:type="pct"/>
            <w:vAlign w:val="center"/>
            <w:hideMark/>
          </w:tcPr>
          <w:p w14:paraId="2FD6FC66" w14:textId="77777777" w:rsidR="00000000" w:rsidRDefault="0068293C">
            <w:pPr>
              <w:spacing w:after="100"/>
              <w:rPr>
                <w:rFonts w:eastAsia="Times New Roman"/>
                <w:sz w:val="20"/>
                <w:szCs w:val="20"/>
              </w:rPr>
            </w:pPr>
          </w:p>
        </w:tc>
        <w:tc>
          <w:tcPr>
            <w:tcW w:w="5" w:type="pct"/>
            <w:vAlign w:val="center"/>
            <w:hideMark/>
          </w:tcPr>
          <w:p w14:paraId="659D95CA" w14:textId="77777777" w:rsidR="00000000" w:rsidRDefault="0068293C">
            <w:pPr>
              <w:spacing w:after="100"/>
              <w:rPr>
                <w:rFonts w:eastAsia="Times New Roman"/>
                <w:sz w:val="20"/>
                <w:szCs w:val="20"/>
              </w:rPr>
            </w:pPr>
          </w:p>
        </w:tc>
        <w:tc>
          <w:tcPr>
            <w:tcW w:w="5" w:type="pct"/>
            <w:vAlign w:val="center"/>
            <w:hideMark/>
          </w:tcPr>
          <w:p w14:paraId="6988642F" w14:textId="77777777" w:rsidR="00000000" w:rsidRDefault="0068293C">
            <w:pPr>
              <w:spacing w:after="100"/>
              <w:rPr>
                <w:rFonts w:eastAsia="Times New Roman"/>
                <w:sz w:val="20"/>
                <w:szCs w:val="20"/>
              </w:rPr>
            </w:pPr>
          </w:p>
        </w:tc>
        <w:tc>
          <w:tcPr>
            <w:tcW w:w="26" w:type="pct"/>
            <w:vAlign w:val="center"/>
            <w:hideMark/>
          </w:tcPr>
          <w:p w14:paraId="30785E4E" w14:textId="77777777" w:rsidR="00000000" w:rsidRDefault="0068293C">
            <w:pPr>
              <w:spacing w:after="100"/>
              <w:rPr>
                <w:rFonts w:eastAsia="Times New Roman"/>
                <w:sz w:val="20"/>
                <w:szCs w:val="20"/>
              </w:rPr>
            </w:pPr>
          </w:p>
        </w:tc>
        <w:tc>
          <w:tcPr>
            <w:tcW w:w="5" w:type="pct"/>
            <w:vAlign w:val="center"/>
            <w:hideMark/>
          </w:tcPr>
          <w:p w14:paraId="14C69A26" w14:textId="77777777" w:rsidR="00000000" w:rsidRDefault="0068293C">
            <w:pPr>
              <w:spacing w:after="100"/>
              <w:rPr>
                <w:rFonts w:eastAsia="Times New Roman"/>
                <w:sz w:val="20"/>
                <w:szCs w:val="20"/>
              </w:rPr>
            </w:pPr>
          </w:p>
        </w:tc>
        <w:tc>
          <w:tcPr>
            <w:tcW w:w="50" w:type="pct"/>
            <w:vAlign w:val="center"/>
            <w:hideMark/>
          </w:tcPr>
          <w:p w14:paraId="2214660B" w14:textId="77777777" w:rsidR="00000000" w:rsidRDefault="0068293C">
            <w:pPr>
              <w:spacing w:after="100"/>
              <w:rPr>
                <w:rFonts w:eastAsia="Times New Roman"/>
                <w:sz w:val="20"/>
                <w:szCs w:val="20"/>
              </w:rPr>
            </w:pPr>
          </w:p>
        </w:tc>
        <w:tc>
          <w:tcPr>
            <w:tcW w:w="728" w:type="pct"/>
            <w:vAlign w:val="center"/>
            <w:hideMark/>
          </w:tcPr>
          <w:p w14:paraId="039B7D5B" w14:textId="77777777" w:rsidR="00000000" w:rsidRDefault="0068293C">
            <w:pPr>
              <w:spacing w:after="100"/>
              <w:rPr>
                <w:rFonts w:eastAsia="Times New Roman"/>
                <w:sz w:val="20"/>
                <w:szCs w:val="20"/>
              </w:rPr>
            </w:pPr>
          </w:p>
        </w:tc>
        <w:tc>
          <w:tcPr>
            <w:tcW w:w="5" w:type="pct"/>
            <w:vAlign w:val="center"/>
            <w:hideMark/>
          </w:tcPr>
          <w:p w14:paraId="7F24B8DD" w14:textId="77777777" w:rsidR="00000000" w:rsidRDefault="0068293C">
            <w:pPr>
              <w:spacing w:after="100"/>
              <w:rPr>
                <w:rFonts w:eastAsia="Times New Roman"/>
                <w:sz w:val="20"/>
                <w:szCs w:val="20"/>
              </w:rPr>
            </w:pPr>
          </w:p>
        </w:tc>
      </w:tr>
      <w:tr w:rsidR="00000000" w14:paraId="64605698" w14:textId="77777777">
        <w:trPr>
          <w:jc w:val="center"/>
        </w:trPr>
        <w:tc>
          <w:tcPr>
            <w:tcW w:w="0" w:type="auto"/>
            <w:gridSpan w:val="3"/>
            <w:tcMar>
              <w:top w:w="0" w:type="dxa"/>
              <w:left w:w="20" w:type="dxa"/>
              <w:bottom w:w="0" w:type="dxa"/>
              <w:right w:w="20" w:type="dxa"/>
            </w:tcMar>
            <w:vAlign w:val="center"/>
            <w:hideMark/>
          </w:tcPr>
          <w:p w14:paraId="08D34440" w14:textId="77777777" w:rsidR="00000000" w:rsidRDefault="0068293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BEDFF1A"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427C103B" w14:textId="77777777">
        <w:trPr>
          <w:jc w:val="center"/>
        </w:trPr>
        <w:tc>
          <w:tcPr>
            <w:tcW w:w="0" w:type="auto"/>
            <w:gridSpan w:val="3"/>
            <w:tcMar>
              <w:top w:w="30" w:type="dxa"/>
              <w:left w:w="20" w:type="dxa"/>
              <w:bottom w:w="30" w:type="dxa"/>
              <w:right w:w="20" w:type="dxa"/>
            </w:tcMar>
            <w:vAlign w:val="bottom"/>
            <w:hideMark/>
          </w:tcPr>
          <w:p w14:paraId="5EE6F05D"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CA0163F" w14:textId="77777777" w:rsidR="00000000" w:rsidRDefault="0068293C">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04824F66"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2CADBC" w14:textId="77777777" w:rsidR="00000000" w:rsidRDefault="0068293C">
            <w:pPr>
              <w:spacing w:after="100"/>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14:paraId="4B11C92E"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5FD948" w14:textId="77777777" w:rsidR="00000000" w:rsidRDefault="0068293C">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14:paraId="6C1F6463"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5B23E0" w14:textId="77777777" w:rsidR="00000000" w:rsidRDefault="0068293C">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14:paraId="09DF6954" w14:textId="77777777">
        <w:trPr>
          <w:jc w:val="center"/>
        </w:trPr>
        <w:tc>
          <w:tcPr>
            <w:tcW w:w="0" w:type="auto"/>
            <w:gridSpan w:val="3"/>
            <w:shd w:val="clear" w:color="auto" w:fill="CCEEFF"/>
            <w:tcMar>
              <w:top w:w="30" w:type="dxa"/>
              <w:left w:w="20" w:type="dxa"/>
              <w:bottom w:w="30" w:type="dxa"/>
              <w:right w:w="20" w:type="dxa"/>
            </w:tcMar>
            <w:hideMark/>
          </w:tcPr>
          <w:p w14:paraId="2C8788B1" w14:textId="77777777" w:rsidR="00000000" w:rsidRDefault="0068293C">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93BF4C"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EAE03"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06760B"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EB4C60"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DDEA8C"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BD773"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052168" w14:textId="77777777" w:rsidR="00000000" w:rsidRDefault="0068293C">
            <w:pPr>
              <w:spacing w:after="100"/>
              <w:rPr>
                <w:rFonts w:eastAsia="Times New Roman"/>
                <w:sz w:val="20"/>
                <w:szCs w:val="20"/>
              </w:rPr>
            </w:pPr>
          </w:p>
        </w:tc>
      </w:tr>
      <w:tr w:rsidR="00000000" w14:paraId="7FCCB983" w14:textId="77777777">
        <w:trPr>
          <w:jc w:val="center"/>
        </w:trPr>
        <w:tc>
          <w:tcPr>
            <w:tcW w:w="0" w:type="auto"/>
            <w:gridSpan w:val="3"/>
            <w:shd w:val="clear" w:color="auto" w:fill="FFFFFF"/>
            <w:tcMar>
              <w:top w:w="30" w:type="dxa"/>
              <w:left w:w="20" w:type="dxa"/>
              <w:bottom w:w="30" w:type="dxa"/>
              <w:right w:w="20" w:type="dxa"/>
            </w:tcMar>
            <w:hideMark/>
          </w:tcPr>
          <w:p w14:paraId="5AD8671F" w14:textId="77777777" w:rsidR="00000000" w:rsidRDefault="0068293C">
            <w:pPr>
              <w:spacing w:after="100"/>
              <w:divId w:val="159394132"/>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3AF90586"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55C9C8" w14:textId="77777777" w:rsidR="00000000" w:rsidRDefault="0068293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3C2AF14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6C865"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F2ACD9"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DDD8B8" w14:textId="77777777" w:rsidR="00000000" w:rsidRDefault="0068293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7ED00D8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378C4"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5CBBC4"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9C0965"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21549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5EF4D"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AA58C1"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1BC0A6"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BA86A9" w14:textId="77777777" w:rsidR="00000000" w:rsidRDefault="0068293C">
            <w:pPr>
              <w:spacing w:after="100"/>
              <w:jc w:val="right"/>
              <w:rPr>
                <w:rFonts w:eastAsia="Times New Roman"/>
              </w:rPr>
            </w:pPr>
          </w:p>
        </w:tc>
      </w:tr>
      <w:tr w:rsidR="00000000" w14:paraId="5E9F3310" w14:textId="77777777">
        <w:trPr>
          <w:jc w:val="center"/>
        </w:trPr>
        <w:tc>
          <w:tcPr>
            <w:tcW w:w="0" w:type="auto"/>
            <w:gridSpan w:val="3"/>
            <w:vAlign w:val="center"/>
            <w:hideMark/>
          </w:tcPr>
          <w:p w14:paraId="6BF5D8AA" w14:textId="77777777" w:rsidR="00000000" w:rsidRDefault="0068293C">
            <w:pPr>
              <w:spacing w:after="100"/>
              <w:jc w:val="right"/>
              <w:rPr>
                <w:rFonts w:eastAsia="Times New Roman"/>
                <w:sz w:val="20"/>
                <w:szCs w:val="20"/>
              </w:rPr>
            </w:pPr>
          </w:p>
        </w:tc>
        <w:tc>
          <w:tcPr>
            <w:tcW w:w="0" w:type="auto"/>
            <w:gridSpan w:val="3"/>
            <w:vAlign w:val="center"/>
            <w:hideMark/>
          </w:tcPr>
          <w:p w14:paraId="5185D82F" w14:textId="77777777" w:rsidR="00000000" w:rsidRDefault="0068293C">
            <w:pPr>
              <w:spacing w:after="100"/>
              <w:rPr>
                <w:rFonts w:eastAsia="Times New Roman"/>
                <w:sz w:val="20"/>
                <w:szCs w:val="20"/>
              </w:rPr>
            </w:pPr>
          </w:p>
        </w:tc>
        <w:tc>
          <w:tcPr>
            <w:tcW w:w="0" w:type="auto"/>
            <w:gridSpan w:val="3"/>
            <w:vAlign w:val="center"/>
            <w:hideMark/>
          </w:tcPr>
          <w:p w14:paraId="16C3689B" w14:textId="77777777" w:rsidR="00000000" w:rsidRDefault="0068293C">
            <w:pPr>
              <w:spacing w:after="100"/>
              <w:rPr>
                <w:rFonts w:eastAsia="Times New Roman"/>
                <w:sz w:val="20"/>
                <w:szCs w:val="20"/>
              </w:rPr>
            </w:pPr>
          </w:p>
        </w:tc>
        <w:tc>
          <w:tcPr>
            <w:tcW w:w="0" w:type="auto"/>
            <w:gridSpan w:val="3"/>
            <w:vAlign w:val="center"/>
            <w:hideMark/>
          </w:tcPr>
          <w:p w14:paraId="6190BA81" w14:textId="77777777" w:rsidR="00000000" w:rsidRDefault="0068293C">
            <w:pPr>
              <w:spacing w:after="100"/>
              <w:rPr>
                <w:rFonts w:eastAsia="Times New Roman"/>
                <w:sz w:val="20"/>
                <w:szCs w:val="20"/>
              </w:rPr>
            </w:pPr>
          </w:p>
        </w:tc>
        <w:tc>
          <w:tcPr>
            <w:tcW w:w="0" w:type="auto"/>
            <w:gridSpan w:val="3"/>
            <w:vAlign w:val="center"/>
            <w:hideMark/>
          </w:tcPr>
          <w:p w14:paraId="084FC98C" w14:textId="77777777" w:rsidR="00000000" w:rsidRDefault="0068293C">
            <w:pPr>
              <w:spacing w:after="100"/>
              <w:rPr>
                <w:rFonts w:eastAsia="Times New Roman"/>
                <w:sz w:val="20"/>
                <w:szCs w:val="20"/>
              </w:rPr>
            </w:pPr>
          </w:p>
        </w:tc>
        <w:tc>
          <w:tcPr>
            <w:tcW w:w="0" w:type="auto"/>
            <w:gridSpan w:val="3"/>
            <w:vAlign w:val="center"/>
            <w:hideMark/>
          </w:tcPr>
          <w:p w14:paraId="77F3BBCD" w14:textId="77777777" w:rsidR="00000000" w:rsidRDefault="0068293C">
            <w:pPr>
              <w:spacing w:after="100"/>
              <w:rPr>
                <w:rFonts w:eastAsia="Times New Roman"/>
                <w:sz w:val="20"/>
                <w:szCs w:val="20"/>
              </w:rPr>
            </w:pPr>
          </w:p>
        </w:tc>
        <w:tc>
          <w:tcPr>
            <w:tcW w:w="0" w:type="auto"/>
            <w:gridSpan w:val="3"/>
            <w:vAlign w:val="center"/>
            <w:hideMark/>
          </w:tcPr>
          <w:p w14:paraId="5C788D4C" w14:textId="77777777" w:rsidR="00000000" w:rsidRDefault="0068293C">
            <w:pPr>
              <w:spacing w:after="100"/>
              <w:rPr>
                <w:rFonts w:eastAsia="Times New Roman"/>
                <w:sz w:val="20"/>
                <w:szCs w:val="20"/>
              </w:rPr>
            </w:pPr>
          </w:p>
        </w:tc>
        <w:tc>
          <w:tcPr>
            <w:tcW w:w="0" w:type="auto"/>
            <w:gridSpan w:val="3"/>
            <w:vAlign w:val="center"/>
            <w:hideMark/>
          </w:tcPr>
          <w:p w14:paraId="17D1971F" w14:textId="77777777" w:rsidR="00000000" w:rsidRDefault="0068293C">
            <w:pPr>
              <w:spacing w:after="100"/>
              <w:rPr>
                <w:rFonts w:eastAsia="Times New Roman"/>
                <w:sz w:val="20"/>
                <w:szCs w:val="20"/>
              </w:rPr>
            </w:pPr>
          </w:p>
        </w:tc>
      </w:tr>
      <w:tr w:rsidR="00000000" w14:paraId="7379F6FF" w14:textId="77777777">
        <w:trPr>
          <w:jc w:val="center"/>
        </w:trPr>
        <w:tc>
          <w:tcPr>
            <w:tcW w:w="0" w:type="auto"/>
            <w:gridSpan w:val="3"/>
            <w:shd w:val="clear" w:color="auto" w:fill="CCEEFF"/>
            <w:tcMar>
              <w:top w:w="30" w:type="dxa"/>
              <w:left w:w="20" w:type="dxa"/>
              <w:bottom w:w="30" w:type="dxa"/>
              <w:right w:w="20" w:type="dxa"/>
            </w:tcMar>
            <w:hideMark/>
          </w:tcPr>
          <w:p w14:paraId="1C76CC80" w14:textId="77777777" w:rsidR="00000000" w:rsidRDefault="0068293C">
            <w:pPr>
              <w:spacing w:after="100"/>
              <w:divId w:val="211573774"/>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148FFC41"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2CD147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704AE"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9B4CF7"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E4A40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67E8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E11254"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2B89021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1596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6FE810"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267C44" w14:textId="77777777" w:rsidR="00000000" w:rsidRDefault="0068293C">
            <w:pPr>
              <w:spacing w:after="100"/>
              <w:jc w:val="right"/>
              <w:rPr>
                <w:rFonts w:eastAsia="Times New Roman"/>
              </w:rPr>
            </w:pPr>
          </w:p>
        </w:tc>
      </w:tr>
      <w:tr w:rsidR="00000000" w14:paraId="1D878A49" w14:textId="77777777">
        <w:trPr>
          <w:jc w:val="center"/>
        </w:trPr>
        <w:tc>
          <w:tcPr>
            <w:tcW w:w="0" w:type="auto"/>
            <w:gridSpan w:val="3"/>
            <w:shd w:val="clear" w:color="auto" w:fill="FFFFFF"/>
            <w:tcMar>
              <w:top w:w="30" w:type="dxa"/>
              <w:left w:w="20" w:type="dxa"/>
              <w:bottom w:w="30" w:type="dxa"/>
              <w:right w:w="20" w:type="dxa"/>
            </w:tcMar>
            <w:hideMark/>
          </w:tcPr>
          <w:p w14:paraId="29057A9E" w14:textId="77777777" w:rsidR="00000000" w:rsidRDefault="0068293C">
            <w:pPr>
              <w:spacing w:after="100"/>
              <w:divId w:val="767651433"/>
              <w:rPr>
                <w:rFonts w:eastAsia="Times New Roman"/>
              </w:rPr>
            </w:pPr>
            <w:r>
              <w:rPr>
                <w:rFonts w:eastAsia="Times New Roman"/>
                <w:color w:val="000000"/>
                <w:sz w:val="20"/>
                <w:szCs w:val="20"/>
              </w:rPr>
              <w:t>Interest rate cap agreements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23DBB1E" w14:textId="77777777" w:rsidR="00000000" w:rsidRDefault="0068293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25403ED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6DEB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B3047"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C8022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7CE2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CF0FC" w14:textId="77777777" w:rsidR="00000000" w:rsidRDefault="0068293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2235B13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C5144"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265FB8"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32CA4C" w14:textId="77777777" w:rsidR="00000000" w:rsidRDefault="0068293C">
            <w:pPr>
              <w:spacing w:after="100"/>
              <w:jc w:val="right"/>
              <w:rPr>
                <w:rFonts w:eastAsia="Times New Roman"/>
              </w:rPr>
            </w:pPr>
          </w:p>
        </w:tc>
      </w:tr>
      <w:tr w:rsidR="00000000" w14:paraId="31EEC8E7" w14:textId="77777777">
        <w:trPr>
          <w:jc w:val="center"/>
        </w:trPr>
        <w:tc>
          <w:tcPr>
            <w:tcW w:w="0" w:type="auto"/>
            <w:gridSpan w:val="3"/>
            <w:shd w:val="clear" w:color="auto" w:fill="CCEEFF"/>
            <w:tcMar>
              <w:top w:w="30" w:type="dxa"/>
              <w:left w:w="380" w:type="dxa"/>
              <w:bottom w:w="30" w:type="dxa"/>
              <w:right w:w="20" w:type="dxa"/>
            </w:tcMar>
            <w:hideMark/>
          </w:tcPr>
          <w:p w14:paraId="73D0C4FB" w14:textId="77777777" w:rsidR="00000000" w:rsidRDefault="0068293C">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21CB0E"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77AFAD" w14:textId="77777777" w:rsidR="00000000" w:rsidRDefault="0068293C">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9B66A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DD03D"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EA773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EC8EFD" w14:textId="77777777" w:rsidR="00000000" w:rsidRDefault="0068293C">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364C1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2C3F6"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F47C87"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59F772" w14:textId="77777777" w:rsidR="00000000" w:rsidRDefault="0068293C">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76B74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27AC8"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0D2FE3"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F2DA26"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A7D6F9" w14:textId="77777777" w:rsidR="00000000" w:rsidRDefault="0068293C">
            <w:pPr>
              <w:spacing w:after="100"/>
              <w:jc w:val="right"/>
              <w:rPr>
                <w:rFonts w:eastAsia="Times New Roman"/>
              </w:rPr>
            </w:pPr>
          </w:p>
        </w:tc>
      </w:tr>
      <w:tr w:rsidR="00000000" w14:paraId="5C894688" w14:textId="77777777">
        <w:trPr>
          <w:jc w:val="center"/>
        </w:trPr>
        <w:tc>
          <w:tcPr>
            <w:tcW w:w="0" w:type="auto"/>
            <w:gridSpan w:val="3"/>
            <w:shd w:val="clear" w:color="auto" w:fill="FFFFFF"/>
            <w:tcMar>
              <w:top w:w="30" w:type="dxa"/>
              <w:left w:w="20" w:type="dxa"/>
              <w:bottom w:w="30" w:type="dxa"/>
              <w:right w:w="20" w:type="dxa"/>
            </w:tcMar>
            <w:hideMark/>
          </w:tcPr>
          <w:p w14:paraId="309E1378" w14:textId="77777777" w:rsidR="00000000" w:rsidRDefault="0068293C">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5DBC5C"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FE021"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160922"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695191"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6AF70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388BC"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DF148F8" w14:textId="77777777" w:rsidR="00000000" w:rsidRDefault="0068293C">
            <w:pPr>
              <w:spacing w:after="100"/>
              <w:rPr>
                <w:rFonts w:eastAsia="Times New Roman"/>
                <w:sz w:val="20"/>
                <w:szCs w:val="20"/>
              </w:rPr>
            </w:pPr>
          </w:p>
        </w:tc>
      </w:tr>
      <w:tr w:rsidR="00000000" w14:paraId="4A8658F2" w14:textId="77777777">
        <w:trPr>
          <w:jc w:val="center"/>
        </w:trPr>
        <w:tc>
          <w:tcPr>
            <w:tcW w:w="0" w:type="auto"/>
            <w:gridSpan w:val="3"/>
            <w:vAlign w:val="center"/>
            <w:hideMark/>
          </w:tcPr>
          <w:p w14:paraId="1963B3BD" w14:textId="77777777" w:rsidR="00000000" w:rsidRDefault="0068293C">
            <w:pPr>
              <w:spacing w:after="100"/>
              <w:rPr>
                <w:rFonts w:eastAsia="Times New Roman"/>
                <w:sz w:val="20"/>
                <w:szCs w:val="20"/>
              </w:rPr>
            </w:pPr>
          </w:p>
        </w:tc>
        <w:tc>
          <w:tcPr>
            <w:tcW w:w="0" w:type="auto"/>
            <w:gridSpan w:val="3"/>
            <w:vAlign w:val="center"/>
            <w:hideMark/>
          </w:tcPr>
          <w:p w14:paraId="20F31575" w14:textId="77777777" w:rsidR="00000000" w:rsidRDefault="0068293C">
            <w:pPr>
              <w:spacing w:after="100"/>
              <w:rPr>
                <w:rFonts w:eastAsia="Times New Roman"/>
                <w:sz w:val="20"/>
                <w:szCs w:val="20"/>
              </w:rPr>
            </w:pPr>
          </w:p>
        </w:tc>
        <w:tc>
          <w:tcPr>
            <w:tcW w:w="0" w:type="auto"/>
            <w:gridSpan w:val="3"/>
            <w:vAlign w:val="center"/>
            <w:hideMark/>
          </w:tcPr>
          <w:p w14:paraId="288ADB09" w14:textId="77777777" w:rsidR="00000000" w:rsidRDefault="0068293C">
            <w:pPr>
              <w:spacing w:after="100"/>
              <w:rPr>
                <w:rFonts w:eastAsia="Times New Roman"/>
                <w:sz w:val="20"/>
                <w:szCs w:val="20"/>
              </w:rPr>
            </w:pPr>
          </w:p>
        </w:tc>
        <w:tc>
          <w:tcPr>
            <w:tcW w:w="0" w:type="auto"/>
            <w:gridSpan w:val="3"/>
            <w:vAlign w:val="center"/>
            <w:hideMark/>
          </w:tcPr>
          <w:p w14:paraId="72019E37" w14:textId="77777777" w:rsidR="00000000" w:rsidRDefault="0068293C">
            <w:pPr>
              <w:spacing w:after="100"/>
              <w:rPr>
                <w:rFonts w:eastAsia="Times New Roman"/>
                <w:sz w:val="20"/>
                <w:szCs w:val="20"/>
              </w:rPr>
            </w:pPr>
          </w:p>
        </w:tc>
        <w:tc>
          <w:tcPr>
            <w:tcW w:w="0" w:type="auto"/>
            <w:gridSpan w:val="3"/>
            <w:vAlign w:val="center"/>
            <w:hideMark/>
          </w:tcPr>
          <w:p w14:paraId="431F9BCA" w14:textId="77777777" w:rsidR="00000000" w:rsidRDefault="0068293C">
            <w:pPr>
              <w:spacing w:after="100"/>
              <w:rPr>
                <w:rFonts w:eastAsia="Times New Roman"/>
                <w:sz w:val="20"/>
                <w:szCs w:val="20"/>
              </w:rPr>
            </w:pPr>
          </w:p>
        </w:tc>
        <w:tc>
          <w:tcPr>
            <w:tcW w:w="0" w:type="auto"/>
            <w:gridSpan w:val="3"/>
            <w:vAlign w:val="center"/>
            <w:hideMark/>
          </w:tcPr>
          <w:p w14:paraId="2EA87F4F" w14:textId="77777777" w:rsidR="00000000" w:rsidRDefault="0068293C">
            <w:pPr>
              <w:spacing w:after="100"/>
              <w:rPr>
                <w:rFonts w:eastAsia="Times New Roman"/>
                <w:sz w:val="20"/>
                <w:szCs w:val="20"/>
              </w:rPr>
            </w:pPr>
          </w:p>
        </w:tc>
        <w:tc>
          <w:tcPr>
            <w:tcW w:w="0" w:type="auto"/>
            <w:gridSpan w:val="3"/>
            <w:vAlign w:val="center"/>
            <w:hideMark/>
          </w:tcPr>
          <w:p w14:paraId="1128B4E5" w14:textId="77777777" w:rsidR="00000000" w:rsidRDefault="0068293C">
            <w:pPr>
              <w:spacing w:after="100"/>
              <w:rPr>
                <w:rFonts w:eastAsia="Times New Roman"/>
                <w:sz w:val="20"/>
                <w:szCs w:val="20"/>
              </w:rPr>
            </w:pPr>
          </w:p>
        </w:tc>
        <w:tc>
          <w:tcPr>
            <w:tcW w:w="0" w:type="auto"/>
            <w:gridSpan w:val="3"/>
            <w:vAlign w:val="center"/>
            <w:hideMark/>
          </w:tcPr>
          <w:p w14:paraId="61B07BB2" w14:textId="77777777" w:rsidR="00000000" w:rsidRDefault="0068293C">
            <w:pPr>
              <w:spacing w:after="100"/>
              <w:rPr>
                <w:rFonts w:eastAsia="Times New Roman"/>
                <w:sz w:val="20"/>
                <w:szCs w:val="20"/>
              </w:rPr>
            </w:pPr>
          </w:p>
        </w:tc>
      </w:tr>
      <w:tr w:rsidR="00000000" w14:paraId="4A7B47AB" w14:textId="77777777">
        <w:trPr>
          <w:jc w:val="center"/>
        </w:trPr>
        <w:tc>
          <w:tcPr>
            <w:tcW w:w="0" w:type="auto"/>
            <w:gridSpan w:val="3"/>
            <w:shd w:val="clear" w:color="auto" w:fill="CCEEFF"/>
            <w:tcMar>
              <w:top w:w="30" w:type="dxa"/>
              <w:left w:w="20" w:type="dxa"/>
              <w:bottom w:w="30" w:type="dxa"/>
              <w:right w:w="20" w:type="dxa"/>
            </w:tcMar>
            <w:hideMark/>
          </w:tcPr>
          <w:p w14:paraId="1F0F0A5E" w14:textId="77777777" w:rsidR="00000000" w:rsidRDefault="0068293C">
            <w:pPr>
              <w:spacing w:after="100"/>
              <w:divId w:val="1473451298"/>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1F0D7272"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EC3F07"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F3AD18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5D82D"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C31AE6"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EBE09D"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14D90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5B97B"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396D6A"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274B27"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67B1A9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803C7" w14:textId="77777777" w:rsidR="00000000" w:rsidRDefault="006829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759281"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28234F6"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366988" w14:textId="77777777" w:rsidR="00000000" w:rsidRDefault="0068293C">
            <w:pPr>
              <w:spacing w:after="100"/>
              <w:jc w:val="right"/>
              <w:rPr>
                <w:rFonts w:eastAsia="Times New Roman"/>
              </w:rPr>
            </w:pPr>
          </w:p>
        </w:tc>
      </w:tr>
      <w:tr w:rsidR="00000000" w14:paraId="01513A72" w14:textId="77777777">
        <w:trPr>
          <w:jc w:val="center"/>
        </w:trPr>
        <w:tc>
          <w:tcPr>
            <w:tcW w:w="0" w:type="auto"/>
            <w:gridSpan w:val="3"/>
            <w:shd w:val="clear" w:color="auto" w:fill="FFFFFF"/>
            <w:tcMar>
              <w:top w:w="30" w:type="dxa"/>
              <w:left w:w="380" w:type="dxa"/>
              <w:bottom w:w="30" w:type="dxa"/>
              <w:right w:w="20" w:type="dxa"/>
            </w:tcMar>
            <w:hideMark/>
          </w:tcPr>
          <w:p w14:paraId="76794CF9" w14:textId="77777777" w:rsidR="00000000" w:rsidRDefault="0068293C">
            <w:pPr>
              <w:spacing w:after="100"/>
              <w:rPr>
                <w:rFonts w:eastAsia="Times New Roman"/>
              </w:rPr>
            </w:pPr>
            <w:r>
              <w:rPr>
                <w:rFonts w:eastAsia="Times New Roman"/>
                <w:b/>
                <w:bCs/>
                <w:color w:val="000000"/>
                <w:sz w:val="20"/>
                <w:szCs w:val="20"/>
              </w:rPr>
              <w:t>Total</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68AF534"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BED9266"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41629F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503E9" w14:textId="77777777" w:rsidR="00000000" w:rsidRDefault="0068293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583BBF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19CDCC2B"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71E54B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54BDF" w14:textId="77777777" w:rsidR="00000000" w:rsidRDefault="0068293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D5C7DDC"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50551E36"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6C74EDC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30EA3"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E55C28"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0D3550"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C2FC2F" w14:textId="77777777" w:rsidR="00000000" w:rsidRDefault="0068293C">
            <w:pPr>
              <w:spacing w:after="100"/>
              <w:jc w:val="right"/>
              <w:rPr>
                <w:rFonts w:eastAsia="Times New Roman"/>
              </w:rPr>
            </w:pPr>
          </w:p>
        </w:tc>
      </w:tr>
    </w:tbl>
    <w:p w14:paraId="243BD0B4" w14:textId="77777777" w:rsidR="00000000" w:rsidRDefault="0068293C">
      <w:pPr>
        <w:divId w:val="1699041383"/>
        <w:rPr>
          <w:rFonts w:eastAsia="Times New Roman"/>
        </w:rPr>
      </w:pPr>
    </w:p>
    <w:p w14:paraId="25C24017" w14:textId="77777777" w:rsidR="00000000" w:rsidRDefault="0068293C">
      <w:pPr>
        <w:divId w:val="429476663"/>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Included in Cash and cash equivalents in the Condensed Consolidated Balance Sheets.</w:t>
      </w:r>
    </w:p>
    <w:p w14:paraId="28218843" w14:textId="77777777" w:rsidR="00000000" w:rsidRDefault="0068293C">
      <w:pPr>
        <w:divId w:val="457260507"/>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Included in Other current assets in the Condensed Consolidated Balance Sheets.</w:t>
      </w:r>
    </w:p>
    <w:p w14:paraId="297542A1" w14:textId="77777777" w:rsidR="00000000" w:rsidRDefault="0068293C">
      <w:pPr>
        <w:divId w:val="390424163"/>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Included in Other assets in the Condensed Consolidated Bal</w:t>
      </w:r>
      <w:r>
        <w:rPr>
          <w:rFonts w:eastAsia="Times New Roman"/>
          <w:color w:val="000000"/>
          <w:sz w:val="18"/>
          <w:szCs w:val="18"/>
        </w:rPr>
        <w:t xml:space="preserve">ance Sheets. </w:t>
      </w:r>
    </w:p>
    <w:p w14:paraId="1289D2E0" w14:textId="77777777" w:rsidR="00000000" w:rsidRDefault="0068293C">
      <w:pPr>
        <w:divId w:val="17584183"/>
        <w:rPr>
          <w:rFonts w:eastAsia="Times New Roman"/>
        </w:rPr>
      </w:pP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Included in Other current liabilities in the Condensed Consolidated Balance Sheets.</w:t>
      </w:r>
    </w:p>
    <w:p w14:paraId="4C6B95EE" w14:textId="77777777" w:rsidR="00000000" w:rsidRDefault="0068293C">
      <w:pPr>
        <w:divId w:val="2044675031"/>
        <w:rPr>
          <w:rFonts w:eastAsia="Times New Roman"/>
        </w:rPr>
      </w:pPr>
    </w:p>
    <w:p w14:paraId="5663B6A5" w14:textId="77777777" w:rsidR="00000000" w:rsidRDefault="0068293C">
      <w:pPr>
        <w:jc w:val="both"/>
        <w:rPr>
          <w:rFonts w:eastAsia="Times New Roman"/>
        </w:rPr>
      </w:pPr>
      <w:r>
        <w:rPr>
          <w:rFonts w:eastAsia="Times New Roman"/>
          <w:i/>
          <w:iCs/>
          <w:color w:val="000000"/>
          <w:sz w:val="20"/>
          <w:szCs w:val="20"/>
        </w:rPr>
        <w:t xml:space="preserve">Deposits Held in Money Market Mutual Funds </w:t>
      </w:r>
      <w:r>
        <w:rPr>
          <w:rFonts w:eastAsia="Times New Roman"/>
          <w:color w:val="000000"/>
          <w:sz w:val="20"/>
          <w:szCs w:val="20"/>
        </w:rPr>
        <w:t xml:space="preserve">A portion of the Company’s excess cash is held in money market mutual funds that generate interest income </w:t>
      </w:r>
      <w:r>
        <w:rPr>
          <w:rFonts w:eastAsia="Times New Roman"/>
          <w:color w:val="000000"/>
          <w:sz w:val="20"/>
          <w:szCs w:val="20"/>
        </w:rPr>
        <w:t>based on prevailing market rates. Money market mutual fund holdings are measured at fair value using quoted market prices and are classified within Level 1 of the valuation hierarchy.</w:t>
      </w:r>
    </w:p>
    <w:p w14:paraId="4A62BEBE" w14:textId="77777777" w:rsidR="00000000" w:rsidRDefault="0068293C">
      <w:pPr>
        <w:jc w:val="both"/>
        <w:rPr>
          <w:rFonts w:eastAsia="Times New Roman"/>
        </w:rPr>
      </w:pPr>
    </w:p>
    <w:p w14:paraId="493C60F4" w14:textId="77777777" w:rsidR="00000000" w:rsidRDefault="0068293C">
      <w:pPr>
        <w:jc w:val="both"/>
        <w:rPr>
          <w:rFonts w:eastAsia="Times New Roman"/>
        </w:rPr>
      </w:pPr>
      <w:r>
        <w:rPr>
          <w:rFonts w:eastAsia="Times New Roman"/>
          <w:i/>
          <w:iCs/>
          <w:color w:val="000000"/>
          <w:sz w:val="20"/>
          <w:szCs w:val="20"/>
        </w:rPr>
        <w:t xml:space="preserve">Foreign Exchange Contracts </w:t>
      </w:r>
      <w:r>
        <w:rPr>
          <w:rFonts w:eastAsia="Times New Roman"/>
          <w:color w:val="000000"/>
          <w:sz w:val="20"/>
          <w:szCs w:val="20"/>
        </w:rPr>
        <w:t>As a result of our global operating activit</w:t>
      </w:r>
      <w:r>
        <w:rPr>
          <w:rFonts w:eastAsia="Times New Roman"/>
          <w:color w:val="000000"/>
          <w:sz w:val="20"/>
          <w:szCs w:val="20"/>
        </w:rPr>
        <w:t>ies, we are exposed to risks from changes in foreign currency exchange rates, which may adversely affect our financial condition. To manage our exposures and mitigate the impact of currency fluctuations on our financial results, we hedge our primary transa</w:t>
      </w:r>
      <w:r>
        <w:rPr>
          <w:rFonts w:eastAsia="Times New Roman"/>
          <w:color w:val="000000"/>
          <w:sz w:val="20"/>
          <w:szCs w:val="20"/>
        </w:rPr>
        <w:t>ctional exposures through the use of foreign exchange forward and option contracts. The foreign exchange contracts are valued using the market approach based on observable market transactions of forward rates and are classified within Level 2 of the valuat</w:t>
      </w:r>
      <w:r>
        <w:rPr>
          <w:rFonts w:eastAsia="Times New Roman"/>
          <w:color w:val="000000"/>
          <w:sz w:val="20"/>
          <w:szCs w:val="20"/>
        </w:rPr>
        <w:t>ion hierarchy.</w:t>
      </w:r>
    </w:p>
    <w:p w14:paraId="2C6059FE" w14:textId="77777777" w:rsidR="00000000" w:rsidRDefault="0068293C">
      <w:pPr>
        <w:jc w:val="both"/>
        <w:rPr>
          <w:rFonts w:eastAsia="Times New Roman"/>
        </w:rPr>
      </w:pPr>
    </w:p>
    <w:p w14:paraId="07692797" w14:textId="77777777" w:rsidR="00000000" w:rsidRDefault="0068293C">
      <w:pPr>
        <w:jc w:val="both"/>
        <w:rPr>
          <w:rFonts w:eastAsia="Times New Roman"/>
        </w:rPr>
      </w:pPr>
      <w:r>
        <w:rPr>
          <w:rFonts w:eastAsia="Times New Roman"/>
          <w:i/>
          <w:iCs/>
          <w:color w:val="000000"/>
          <w:sz w:val="20"/>
          <w:szCs w:val="20"/>
        </w:rPr>
        <w:t>Interest Rate Swap and Cap Agreements</w:t>
      </w:r>
      <w:r>
        <w:rPr>
          <w:rFonts w:eastAsia="Times New Roman"/>
          <w:color w:val="000000"/>
          <w:sz w:val="20"/>
          <w:szCs w:val="20"/>
        </w:rPr>
        <w:t xml:space="preserve"> In order to add stability to interest expense and operating costs and to manage exposure to interest rate movements the Company utilizes interest rate swap contracts and interest rate cap agreements as</w:t>
      </w:r>
      <w:r>
        <w:rPr>
          <w:rFonts w:eastAsia="Times New Roman"/>
          <w:color w:val="000000"/>
          <w:sz w:val="20"/>
          <w:szCs w:val="20"/>
        </w:rPr>
        <w:t xml:space="preserve"> part of its interest rate risk management strategy. The interest rate cap agreements are valued using the market standard methodology of discounting the future expected cash receipts that would occur if variable interest rates rise above the strike rate o</w:t>
      </w:r>
      <w:r>
        <w:rPr>
          <w:rFonts w:eastAsia="Times New Roman"/>
          <w:color w:val="000000"/>
          <w:sz w:val="20"/>
          <w:szCs w:val="20"/>
        </w:rPr>
        <w:t>f the caps. The variable interest rates used in the calculation of projected receipts on the cap are based on an expectation of future interest rates derived from observable market interest rate curves and volatilities. The interest rate swap contracts are</w:t>
      </w:r>
      <w:r>
        <w:rPr>
          <w:rFonts w:eastAsia="Times New Roman"/>
          <w:color w:val="000000"/>
          <w:sz w:val="20"/>
          <w:szCs w:val="20"/>
        </w:rPr>
        <w:t xml:space="preserve"> valued using an income model based on disparity between variable and fixed interest rates, the scheduled balance of underlying principal outstanding, yield curves, and other information readily available in the market. As such, the interest rate swap cont</w:t>
      </w:r>
      <w:r>
        <w:rPr>
          <w:rFonts w:eastAsia="Times New Roman"/>
          <w:color w:val="000000"/>
          <w:sz w:val="20"/>
          <w:szCs w:val="20"/>
        </w:rPr>
        <w:t xml:space="preserve">racts and interest rate cap agreements are classified in Level 2 of the fair value hierarchy. </w:t>
      </w:r>
    </w:p>
    <w:p w14:paraId="682075D0" w14:textId="77777777" w:rsidR="00000000" w:rsidRDefault="0068293C">
      <w:pPr>
        <w:divId w:val="863324490"/>
        <w:rPr>
          <w:rFonts w:eastAsia="Times New Roman"/>
        </w:rPr>
      </w:pPr>
    </w:p>
    <w:p w14:paraId="4054A1FA" w14:textId="77777777" w:rsidR="00000000" w:rsidRDefault="0068293C">
      <w:pPr>
        <w:jc w:val="both"/>
        <w:rPr>
          <w:rFonts w:eastAsia="Times New Roman"/>
        </w:rPr>
      </w:pPr>
      <w:r>
        <w:rPr>
          <w:rFonts w:eastAsia="Times New Roman"/>
          <w:color w:val="000000"/>
          <w:sz w:val="20"/>
          <w:szCs w:val="20"/>
        </w:rPr>
        <w:t xml:space="preserve">We incorporate credit valuation adjustments to appropriately reflect both our own nonperformance risk and the respective counterparty’s nonperformance risk in </w:t>
      </w:r>
      <w:r>
        <w:rPr>
          <w:rFonts w:eastAsia="Times New Roman"/>
          <w:color w:val="000000"/>
          <w:sz w:val="20"/>
          <w:szCs w:val="20"/>
        </w:rPr>
        <w:t>the fair value measurements. In adjusting the fair value of our derivative contracts for the effect of nonperformance risk, we consider the impact of netting and any applicable credit enhancements. We measure the credit risk of our derivative financial ins</w:t>
      </w:r>
      <w:r>
        <w:rPr>
          <w:rFonts w:eastAsia="Times New Roman"/>
          <w:color w:val="000000"/>
          <w:sz w:val="20"/>
          <w:szCs w:val="20"/>
        </w:rPr>
        <w:t xml:space="preserve">truments that are subject to master netting agreements on a net basis by counterparty portfolio. </w:t>
      </w:r>
    </w:p>
    <w:p w14:paraId="09D6BF80" w14:textId="77777777" w:rsidR="00000000" w:rsidRDefault="0068293C">
      <w:pPr>
        <w:jc w:val="both"/>
        <w:rPr>
          <w:rFonts w:eastAsia="Times New Roman"/>
        </w:rPr>
      </w:pPr>
    </w:p>
    <w:p w14:paraId="0E7D5683" w14:textId="77777777" w:rsidR="00000000" w:rsidRDefault="0068293C">
      <w:pPr>
        <w:jc w:val="both"/>
        <w:rPr>
          <w:rFonts w:eastAsia="Times New Roman"/>
        </w:rPr>
      </w:pPr>
      <w:r>
        <w:rPr>
          <w:rFonts w:eastAsia="Times New Roman"/>
          <w:color w:val="000000"/>
          <w:sz w:val="20"/>
          <w:szCs w:val="20"/>
          <w:shd w:val="clear" w:color="auto" w:fill="FFFFFF"/>
        </w:rPr>
        <w:t>Although we have determined that the majority of the inputs used to value our derivatives fall within Level 2 of the fair value hierarchy, the credit valuat</w:t>
      </w:r>
      <w:r>
        <w:rPr>
          <w:rFonts w:eastAsia="Times New Roman"/>
          <w:color w:val="000000"/>
          <w:sz w:val="20"/>
          <w:szCs w:val="20"/>
          <w:shd w:val="clear" w:color="auto" w:fill="FFFFFF"/>
        </w:rPr>
        <w:t>ion adjustments utilize Level 3 inputs to evaluate the likelihood of both our own default and counterparty default. As of March 31, 2022, we determined that the credit valuation adjustments are not significant to the overall valuation of our derivatives an</w:t>
      </w:r>
      <w:r>
        <w:rPr>
          <w:rFonts w:eastAsia="Times New Roman"/>
          <w:color w:val="000000"/>
          <w:sz w:val="20"/>
          <w:szCs w:val="20"/>
          <w:shd w:val="clear" w:color="auto" w:fill="FFFFFF"/>
        </w:rPr>
        <w:t>d therefore, the valuations are classified in Level 2 of the fair value hierarchy.</w:t>
      </w:r>
    </w:p>
    <w:p w14:paraId="796C9E3A" w14:textId="77777777" w:rsidR="00000000" w:rsidRDefault="0068293C">
      <w:pPr>
        <w:jc w:val="both"/>
        <w:rPr>
          <w:rFonts w:eastAsia="Times New Roman"/>
        </w:rPr>
      </w:pPr>
    </w:p>
    <w:p w14:paraId="56FF1194" w14:textId="77777777" w:rsidR="00000000" w:rsidRDefault="0068293C">
      <w:pPr>
        <w:divId w:val="1008605858"/>
        <w:rPr>
          <w:rFonts w:eastAsia="Times New Roman"/>
        </w:rPr>
      </w:pPr>
      <w:r>
        <w:rPr>
          <w:rFonts w:eastAsia="Times New Roman"/>
          <w:b/>
          <w:bCs/>
          <w:i/>
          <w:iCs/>
          <w:color w:val="000000"/>
          <w:sz w:val="20"/>
          <w:szCs w:val="20"/>
        </w:rPr>
        <w:t>Assets Measured at Fair Value on a Non-recurring Basis</w:t>
      </w:r>
    </w:p>
    <w:p w14:paraId="12523402" w14:textId="77777777" w:rsidR="00000000" w:rsidRDefault="0068293C">
      <w:pPr>
        <w:jc w:val="both"/>
        <w:rPr>
          <w:rFonts w:eastAsia="Times New Roman"/>
        </w:rPr>
      </w:pPr>
    </w:p>
    <w:p w14:paraId="76A1F103" w14:textId="77777777" w:rsidR="00000000" w:rsidRDefault="0068293C">
      <w:pPr>
        <w:jc w:val="both"/>
        <w:rPr>
          <w:rFonts w:eastAsia="Times New Roman"/>
        </w:rPr>
      </w:pPr>
      <w:r>
        <w:rPr>
          <w:rFonts w:eastAsia="Times New Roman"/>
          <w:color w:val="000000"/>
          <w:sz w:val="20"/>
          <w:szCs w:val="20"/>
        </w:rPr>
        <w:t xml:space="preserve">From time to time, certain assets are measured at fair value on a nonrecurring basis using significant unobservable inputs (Level 3). NCR reviews the carrying values of investments when events and circumstances warrant and considers all available evidence </w:t>
      </w:r>
      <w:r>
        <w:rPr>
          <w:rFonts w:eastAsia="Times New Roman"/>
          <w:color w:val="000000"/>
          <w:sz w:val="20"/>
          <w:szCs w:val="20"/>
        </w:rPr>
        <w:t>in evaluating when declines in fair value are other-than-temporary declines. There were no material impairment charges or non-recurring fair value adjustments recorded during the three months ended March 31, 2022 and 2021.</w:t>
      </w:r>
    </w:p>
    <w:p w14:paraId="3DA7FA73" w14:textId="77777777" w:rsidR="00000000" w:rsidRDefault="0068293C">
      <w:pPr>
        <w:jc w:val="center"/>
        <w:divId w:val="1469930654"/>
        <w:rPr>
          <w:rFonts w:eastAsia="Times New Roman"/>
        </w:rPr>
      </w:pPr>
      <w:r>
        <w:rPr>
          <w:rFonts w:eastAsia="Times New Roman"/>
          <w:color w:val="000000"/>
          <w:sz w:val="20"/>
          <w:szCs w:val="20"/>
        </w:rPr>
        <w:t>32</w:t>
      </w:r>
    </w:p>
    <w:p w14:paraId="703FD914" w14:textId="77777777" w:rsidR="00000000" w:rsidRDefault="0068293C">
      <w:pPr>
        <w:rPr>
          <w:rFonts w:eastAsia="Times New Roman"/>
        </w:rPr>
      </w:pPr>
      <w:r>
        <w:rPr>
          <w:rFonts w:eastAsia="Times New Roman"/>
        </w:rPr>
        <w:pict w14:anchorId="7C19DA54">
          <v:rect id="_x0000_i1057" style="width:0;height:1.5pt" o:hralign="center" o:hrstd="t" o:hr="t" fillcolor="#a0a0a0" stroked="f"/>
        </w:pict>
      </w:r>
    </w:p>
    <w:p w14:paraId="5C77C328" w14:textId="77777777" w:rsidR="00000000" w:rsidRDefault="0068293C">
      <w:pPr>
        <w:ind w:firstLine="720"/>
        <w:divId w:val="1563561144"/>
        <w:rPr>
          <w:rFonts w:eastAsia="Times New Roman"/>
        </w:rPr>
      </w:pPr>
      <w:hyperlink w:anchor="i78484f3d0d8e4e36a7c87ddd6ea9d725_7" w:history="1">
        <w:r>
          <w:rPr>
            <w:rStyle w:val="a3"/>
            <w:rFonts w:eastAsia="Times New Roman"/>
            <w:sz w:val="16"/>
            <w:szCs w:val="16"/>
          </w:rPr>
          <w:t>Table of Content</w:t>
        </w:r>
      </w:hyperlink>
    </w:p>
    <w:p w14:paraId="7986CF23" w14:textId="77777777" w:rsidR="00000000" w:rsidRDefault="0068293C">
      <w:pPr>
        <w:jc w:val="center"/>
        <w:divId w:val="1887910114"/>
        <w:rPr>
          <w:rFonts w:eastAsia="Times New Roman"/>
        </w:rPr>
      </w:pPr>
      <w:r>
        <w:rPr>
          <w:rFonts w:eastAsia="Times New Roman"/>
          <w:b/>
          <w:bCs/>
          <w:color w:val="000000"/>
          <w:sz w:val="20"/>
          <w:szCs w:val="20"/>
        </w:rPr>
        <w:t>NCR Corporation</w:t>
      </w:r>
    </w:p>
    <w:p w14:paraId="43C56A59" w14:textId="77777777" w:rsidR="00000000" w:rsidRDefault="0068293C">
      <w:pPr>
        <w:jc w:val="center"/>
        <w:divId w:val="1887910114"/>
        <w:rPr>
          <w:rFonts w:eastAsia="Times New Roman"/>
        </w:rPr>
      </w:pPr>
      <w:r>
        <w:rPr>
          <w:rFonts w:eastAsia="Times New Roman"/>
          <w:b/>
          <w:bCs/>
          <w:color w:val="000000"/>
          <w:sz w:val="20"/>
          <w:szCs w:val="20"/>
        </w:rPr>
        <w:t>Notes to Condensed Consolidated Financial Statements (Unaudited)—(Continued)</w:t>
      </w:r>
    </w:p>
    <w:p w14:paraId="078DC342" w14:textId="77777777" w:rsidR="00000000" w:rsidRDefault="0068293C">
      <w:pPr>
        <w:divId w:val="1484657211"/>
        <w:rPr>
          <w:rFonts w:eastAsia="Times New Roman"/>
        </w:rPr>
      </w:pPr>
      <w:r>
        <w:rPr>
          <w:rFonts w:eastAsia="Times New Roman"/>
          <w:b/>
          <w:bCs/>
          <w:color w:val="54B948"/>
          <w:sz w:val="20"/>
          <w:szCs w:val="20"/>
        </w:rPr>
        <w:t>15. ACCUMULATED OTHER COMPREHENSIVE INCOME (LOSS)</w:t>
      </w:r>
    </w:p>
    <w:p w14:paraId="6488762B" w14:textId="77777777" w:rsidR="00000000" w:rsidRDefault="0068293C">
      <w:pPr>
        <w:divId w:val="1538008846"/>
        <w:rPr>
          <w:rFonts w:eastAsia="Times New Roman"/>
        </w:rPr>
      </w:pPr>
    </w:p>
    <w:p w14:paraId="622A3C7D" w14:textId="77777777" w:rsidR="00000000" w:rsidRDefault="0068293C">
      <w:pPr>
        <w:divId w:val="1770202843"/>
        <w:rPr>
          <w:rFonts w:eastAsia="Times New Roman"/>
        </w:rPr>
      </w:pPr>
    </w:p>
    <w:p w14:paraId="095F84B2" w14:textId="77777777" w:rsidR="00000000" w:rsidRDefault="0068293C">
      <w:pPr>
        <w:divId w:val="825785425"/>
        <w:rPr>
          <w:rFonts w:eastAsia="Times New Roman"/>
        </w:rPr>
      </w:pPr>
      <w:r>
        <w:rPr>
          <w:rFonts w:eastAsia="Times New Roman"/>
          <w:b/>
          <w:bCs/>
          <w:color w:val="000000"/>
          <w:sz w:val="20"/>
          <w:szCs w:val="20"/>
        </w:rPr>
        <w:t>Changes in Accumulated Other Comprehensive Income (“AOCI”) by Component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27"/>
        <w:gridCol w:w="37"/>
        <w:gridCol w:w="121"/>
        <w:gridCol w:w="1158"/>
        <w:gridCol w:w="36"/>
        <w:gridCol w:w="121"/>
        <w:gridCol w:w="829"/>
        <w:gridCol w:w="36"/>
        <w:gridCol w:w="121"/>
        <w:gridCol w:w="1158"/>
        <w:gridCol w:w="36"/>
        <w:gridCol w:w="120"/>
        <w:gridCol w:w="831"/>
        <w:gridCol w:w="36"/>
      </w:tblGrid>
      <w:tr w:rsidR="00000000" w14:paraId="290C432F" w14:textId="77777777">
        <w:trPr>
          <w:divId w:val="196743033"/>
          <w:jc w:val="center"/>
        </w:trPr>
        <w:tc>
          <w:tcPr>
            <w:tcW w:w="50" w:type="pct"/>
            <w:vAlign w:val="center"/>
            <w:hideMark/>
          </w:tcPr>
          <w:p w14:paraId="307248C1" w14:textId="77777777" w:rsidR="00000000" w:rsidRDefault="0068293C">
            <w:pPr>
              <w:rPr>
                <w:rFonts w:eastAsia="Times New Roman"/>
              </w:rPr>
            </w:pPr>
          </w:p>
        </w:tc>
        <w:tc>
          <w:tcPr>
            <w:tcW w:w="2215" w:type="pct"/>
            <w:vAlign w:val="center"/>
            <w:hideMark/>
          </w:tcPr>
          <w:p w14:paraId="2B5DCE69" w14:textId="77777777" w:rsidR="00000000" w:rsidRDefault="0068293C">
            <w:pPr>
              <w:spacing w:after="100"/>
              <w:rPr>
                <w:rFonts w:eastAsia="Times New Roman"/>
                <w:sz w:val="20"/>
                <w:szCs w:val="20"/>
              </w:rPr>
            </w:pPr>
          </w:p>
        </w:tc>
        <w:tc>
          <w:tcPr>
            <w:tcW w:w="5" w:type="pct"/>
            <w:vAlign w:val="center"/>
            <w:hideMark/>
          </w:tcPr>
          <w:p w14:paraId="48C451C2" w14:textId="77777777" w:rsidR="00000000" w:rsidRDefault="0068293C">
            <w:pPr>
              <w:spacing w:after="100"/>
              <w:rPr>
                <w:rFonts w:eastAsia="Times New Roman"/>
                <w:sz w:val="20"/>
                <w:szCs w:val="20"/>
              </w:rPr>
            </w:pPr>
          </w:p>
        </w:tc>
        <w:tc>
          <w:tcPr>
            <w:tcW w:w="50" w:type="pct"/>
            <w:vAlign w:val="center"/>
            <w:hideMark/>
          </w:tcPr>
          <w:p w14:paraId="2E81617C" w14:textId="77777777" w:rsidR="00000000" w:rsidRDefault="0068293C">
            <w:pPr>
              <w:spacing w:after="100"/>
              <w:rPr>
                <w:rFonts w:eastAsia="Times New Roman"/>
                <w:sz w:val="20"/>
                <w:szCs w:val="20"/>
              </w:rPr>
            </w:pPr>
          </w:p>
        </w:tc>
        <w:tc>
          <w:tcPr>
            <w:tcW w:w="726" w:type="pct"/>
            <w:vAlign w:val="center"/>
            <w:hideMark/>
          </w:tcPr>
          <w:p w14:paraId="34859C01" w14:textId="77777777" w:rsidR="00000000" w:rsidRDefault="0068293C">
            <w:pPr>
              <w:spacing w:after="100"/>
              <w:rPr>
                <w:rFonts w:eastAsia="Times New Roman"/>
                <w:sz w:val="20"/>
                <w:szCs w:val="20"/>
              </w:rPr>
            </w:pPr>
          </w:p>
        </w:tc>
        <w:tc>
          <w:tcPr>
            <w:tcW w:w="5" w:type="pct"/>
            <w:vAlign w:val="center"/>
            <w:hideMark/>
          </w:tcPr>
          <w:p w14:paraId="04BE908F" w14:textId="77777777" w:rsidR="00000000" w:rsidRDefault="0068293C">
            <w:pPr>
              <w:spacing w:after="100"/>
              <w:rPr>
                <w:rFonts w:eastAsia="Times New Roman"/>
                <w:sz w:val="20"/>
                <w:szCs w:val="20"/>
              </w:rPr>
            </w:pPr>
          </w:p>
        </w:tc>
        <w:tc>
          <w:tcPr>
            <w:tcW w:w="50" w:type="pct"/>
            <w:vAlign w:val="center"/>
            <w:hideMark/>
          </w:tcPr>
          <w:p w14:paraId="1DBC6849" w14:textId="77777777" w:rsidR="00000000" w:rsidRDefault="0068293C">
            <w:pPr>
              <w:spacing w:after="100"/>
              <w:rPr>
                <w:rFonts w:eastAsia="Times New Roman"/>
                <w:sz w:val="20"/>
                <w:szCs w:val="20"/>
              </w:rPr>
            </w:pPr>
          </w:p>
        </w:tc>
        <w:tc>
          <w:tcPr>
            <w:tcW w:w="528" w:type="pct"/>
            <w:vAlign w:val="center"/>
            <w:hideMark/>
          </w:tcPr>
          <w:p w14:paraId="5FF9840C" w14:textId="77777777" w:rsidR="00000000" w:rsidRDefault="0068293C">
            <w:pPr>
              <w:spacing w:after="100"/>
              <w:rPr>
                <w:rFonts w:eastAsia="Times New Roman"/>
                <w:sz w:val="20"/>
                <w:szCs w:val="20"/>
              </w:rPr>
            </w:pPr>
          </w:p>
        </w:tc>
        <w:tc>
          <w:tcPr>
            <w:tcW w:w="5" w:type="pct"/>
            <w:vAlign w:val="center"/>
            <w:hideMark/>
          </w:tcPr>
          <w:p w14:paraId="024B9DCD" w14:textId="77777777" w:rsidR="00000000" w:rsidRDefault="0068293C">
            <w:pPr>
              <w:spacing w:after="100"/>
              <w:rPr>
                <w:rFonts w:eastAsia="Times New Roman"/>
                <w:sz w:val="20"/>
                <w:szCs w:val="20"/>
              </w:rPr>
            </w:pPr>
          </w:p>
        </w:tc>
        <w:tc>
          <w:tcPr>
            <w:tcW w:w="50" w:type="pct"/>
            <w:vAlign w:val="center"/>
            <w:hideMark/>
          </w:tcPr>
          <w:p w14:paraId="29F161FE" w14:textId="77777777" w:rsidR="00000000" w:rsidRDefault="0068293C">
            <w:pPr>
              <w:spacing w:after="100"/>
              <w:rPr>
                <w:rFonts w:eastAsia="Times New Roman"/>
                <w:sz w:val="20"/>
                <w:szCs w:val="20"/>
              </w:rPr>
            </w:pPr>
          </w:p>
        </w:tc>
        <w:tc>
          <w:tcPr>
            <w:tcW w:w="726" w:type="pct"/>
            <w:vAlign w:val="center"/>
            <w:hideMark/>
          </w:tcPr>
          <w:p w14:paraId="2C4920AC" w14:textId="77777777" w:rsidR="00000000" w:rsidRDefault="0068293C">
            <w:pPr>
              <w:spacing w:after="100"/>
              <w:rPr>
                <w:rFonts w:eastAsia="Times New Roman"/>
                <w:sz w:val="20"/>
                <w:szCs w:val="20"/>
              </w:rPr>
            </w:pPr>
          </w:p>
        </w:tc>
        <w:tc>
          <w:tcPr>
            <w:tcW w:w="5" w:type="pct"/>
            <w:vAlign w:val="center"/>
            <w:hideMark/>
          </w:tcPr>
          <w:p w14:paraId="0C773756" w14:textId="77777777" w:rsidR="00000000" w:rsidRDefault="0068293C">
            <w:pPr>
              <w:spacing w:after="100"/>
              <w:rPr>
                <w:rFonts w:eastAsia="Times New Roman"/>
                <w:sz w:val="20"/>
                <w:szCs w:val="20"/>
              </w:rPr>
            </w:pPr>
          </w:p>
        </w:tc>
        <w:tc>
          <w:tcPr>
            <w:tcW w:w="50" w:type="pct"/>
            <w:vAlign w:val="center"/>
            <w:hideMark/>
          </w:tcPr>
          <w:p w14:paraId="54929158" w14:textId="77777777" w:rsidR="00000000" w:rsidRDefault="0068293C">
            <w:pPr>
              <w:spacing w:after="100"/>
              <w:rPr>
                <w:rFonts w:eastAsia="Times New Roman"/>
                <w:sz w:val="20"/>
                <w:szCs w:val="20"/>
              </w:rPr>
            </w:pPr>
          </w:p>
        </w:tc>
        <w:tc>
          <w:tcPr>
            <w:tcW w:w="529" w:type="pct"/>
            <w:vAlign w:val="center"/>
            <w:hideMark/>
          </w:tcPr>
          <w:p w14:paraId="15DEB22A" w14:textId="77777777" w:rsidR="00000000" w:rsidRDefault="0068293C">
            <w:pPr>
              <w:spacing w:after="100"/>
              <w:rPr>
                <w:rFonts w:eastAsia="Times New Roman"/>
                <w:sz w:val="20"/>
                <w:szCs w:val="20"/>
              </w:rPr>
            </w:pPr>
          </w:p>
        </w:tc>
        <w:tc>
          <w:tcPr>
            <w:tcW w:w="5" w:type="pct"/>
            <w:vAlign w:val="center"/>
            <w:hideMark/>
          </w:tcPr>
          <w:p w14:paraId="1B65BCE4" w14:textId="77777777" w:rsidR="00000000" w:rsidRDefault="0068293C">
            <w:pPr>
              <w:spacing w:after="100"/>
              <w:rPr>
                <w:rFonts w:eastAsia="Times New Roman"/>
                <w:sz w:val="20"/>
                <w:szCs w:val="20"/>
              </w:rPr>
            </w:pPr>
          </w:p>
        </w:tc>
      </w:tr>
      <w:tr w:rsidR="00000000" w14:paraId="51D49D03" w14:textId="77777777">
        <w:trPr>
          <w:divId w:val="196743033"/>
          <w:jc w:val="center"/>
        </w:trPr>
        <w:tc>
          <w:tcPr>
            <w:tcW w:w="0" w:type="auto"/>
            <w:gridSpan w:val="3"/>
            <w:tcMar>
              <w:top w:w="30" w:type="dxa"/>
              <w:left w:w="20" w:type="dxa"/>
              <w:bottom w:w="30" w:type="dxa"/>
              <w:right w:w="20" w:type="dxa"/>
            </w:tcMar>
            <w:vAlign w:val="bottom"/>
            <w:hideMark/>
          </w:tcPr>
          <w:p w14:paraId="567A1912"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2520ADD1" w14:textId="77777777" w:rsidR="00000000" w:rsidRDefault="0068293C">
            <w:pPr>
              <w:spacing w:after="100"/>
              <w:jc w:val="center"/>
              <w:rPr>
                <w:rFonts w:eastAsia="Times New Roman"/>
              </w:rPr>
            </w:pPr>
            <w:r>
              <w:rPr>
                <w:rFonts w:eastAsia="Times New Roman"/>
                <w:b/>
                <w:bCs/>
                <w:color w:val="000000"/>
                <w:sz w:val="16"/>
                <w:szCs w:val="16"/>
              </w:rPr>
              <w:t>Currency Translation Adjustments</w:t>
            </w:r>
          </w:p>
        </w:tc>
        <w:tc>
          <w:tcPr>
            <w:tcW w:w="0" w:type="auto"/>
            <w:gridSpan w:val="3"/>
            <w:tcMar>
              <w:top w:w="30" w:type="dxa"/>
              <w:left w:w="20" w:type="dxa"/>
              <w:bottom w:w="30" w:type="dxa"/>
              <w:right w:w="20" w:type="dxa"/>
            </w:tcMar>
            <w:vAlign w:val="bottom"/>
            <w:hideMark/>
          </w:tcPr>
          <w:p w14:paraId="71B90270" w14:textId="77777777" w:rsidR="00000000" w:rsidRDefault="0068293C">
            <w:pPr>
              <w:spacing w:after="100"/>
              <w:jc w:val="center"/>
              <w:rPr>
                <w:rFonts w:eastAsia="Times New Roman"/>
              </w:rPr>
            </w:pPr>
            <w:r>
              <w:rPr>
                <w:rFonts w:eastAsia="Times New Roman"/>
                <w:b/>
                <w:bCs/>
                <w:color w:val="000000"/>
                <w:sz w:val="16"/>
                <w:szCs w:val="16"/>
              </w:rPr>
              <w:t>Changes in Employee Benefit Plans</w:t>
            </w:r>
          </w:p>
        </w:tc>
        <w:tc>
          <w:tcPr>
            <w:tcW w:w="0" w:type="auto"/>
            <w:gridSpan w:val="3"/>
            <w:tcMar>
              <w:top w:w="30" w:type="dxa"/>
              <w:left w:w="20" w:type="dxa"/>
              <w:bottom w:w="30" w:type="dxa"/>
              <w:right w:w="20" w:type="dxa"/>
            </w:tcMar>
            <w:vAlign w:val="bottom"/>
            <w:hideMark/>
          </w:tcPr>
          <w:p w14:paraId="619F88E2" w14:textId="77777777" w:rsidR="00000000" w:rsidRDefault="0068293C">
            <w:pPr>
              <w:spacing w:after="100"/>
              <w:jc w:val="center"/>
              <w:rPr>
                <w:rFonts w:eastAsia="Times New Roman"/>
              </w:rPr>
            </w:pPr>
            <w:r>
              <w:rPr>
                <w:rFonts w:eastAsia="Times New Roman"/>
                <w:b/>
                <w:bCs/>
                <w:color w:val="000000"/>
                <w:sz w:val="16"/>
                <w:szCs w:val="16"/>
              </w:rPr>
              <w:t>Changes in Fair Value of Effective Cash Flow Hedges</w:t>
            </w:r>
          </w:p>
        </w:tc>
        <w:tc>
          <w:tcPr>
            <w:tcW w:w="0" w:type="auto"/>
            <w:gridSpan w:val="3"/>
            <w:tcMar>
              <w:top w:w="30" w:type="dxa"/>
              <w:left w:w="20" w:type="dxa"/>
              <w:bottom w:w="30" w:type="dxa"/>
              <w:right w:w="20" w:type="dxa"/>
            </w:tcMar>
            <w:vAlign w:val="bottom"/>
            <w:hideMark/>
          </w:tcPr>
          <w:p w14:paraId="40532C3B" w14:textId="77777777" w:rsidR="00000000" w:rsidRDefault="0068293C">
            <w:pPr>
              <w:spacing w:after="100"/>
              <w:jc w:val="center"/>
              <w:rPr>
                <w:rFonts w:eastAsia="Times New Roman"/>
              </w:rPr>
            </w:pPr>
            <w:r>
              <w:rPr>
                <w:rFonts w:eastAsia="Times New Roman"/>
                <w:b/>
                <w:bCs/>
                <w:color w:val="000000"/>
                <w:sz w:val="16"/>
                <w:szCs w:val="16"/>
              </w:rPr>
              <w:t>Total</w:t>
            </w:r>
          </w:p>
        </w:tc>
      </w:tr>
      <w:tr w:rsidR="00000000" w14:paraId="48772EA5" w14:textId="77777777">
        <w:trPr>
          <w:divId w:val="196743033"/>
          <w:jc w:val="center"/>
        </w:trPr>
        <w:tc>
          <w:tcPr>
            <w:tcW w:w="0" w:type="auto"/>
            <w:gridSpan w:val="3"/>
            <w:shd w:val="clear" w:color="auto" w:fill="CCEEFF"/>
            <w:tcMar>
              <w:top w:w="30" w:type="dxa"/>
              <w:left w:w="20" w:type="dxa"/>
              <w:bottom w:w="30" w:type="dxa"/>
              <w:right w:w="20" w:type="dxa"/>
            </w:tcMar>
            <w:vAlign w:val="bottom"/>
            <w:hideMark/>
          </w:tcPr>
          <w:p w14:paraId="6498642A" w14:textId="77777777" w:rsidR="00000000" w:rsidRDefault="0068293C">
            <w:pPr>
              <w:spacing w:after="100"/>
              <w:rPr>
                <w:rFonts w:eastAsia="Times New Roman"/>
              </w:rPr>
            </w:pPr>
            <w:r>
              <w:rPr>
                <w:rFonts w:eastAsia="Times New Roman"/>
                <w:color w:val="000000"/>
                <w:sz w:val="20"/>
                <w:szCs w:val="20"/>
              </w:rPr>
              <w:t xml:space="preserve">Balance as of December 31, 2021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478490"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B551F7" w14:textId="77777777" w:rsidR="00000000" w:rsidRDefault="0068293C">
            <w:pPr>
              <w:spacing w:after="100"/>
              <w:jc w:val="right"/>
              <w:rPr>
                <w:rFonts w:eastAsia="Times New Roman"/>
              </w:rPr>
            </w:pPr>
            <w:r>
              <w:rPr>
                <w:rFonts w:eastAsia="Times New Roman"/>
                <w:b/>
                <w:bCs/>
                <w:color w:val="000000"/>
                <w:sz w:val="20"/>
                <w:szCs w:val="20"/>
              </w:rPr>
              <w:t>(275)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165FC6" w14:textId="77777777" w:rsidR="00000000" w:rsidRDefault="0068293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65101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27F290" w14:textId="77777777" w:rsidR="00000000" w:rsidRDefault="0068293C">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9169D5" w14:textId="77777777" w:rsidR="00000000" w:rsidRDefault="0068293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960364"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0D0C91" w14:textId="77777777" w:rsidR="00000000" w:rsidRDefault="0068293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A7C61A" w14:textId="77777777" w:rsidR="00000000" w:rsidRDefault="0068293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67D2D2"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0FC5F0" w14:textId="77777777" w:rsidR="00000000" w:rsidRDefault="0068293C">
            <w:pPr>
              <w:spacing w:after="100"/>
              <w:jc w:val="right"/>
              <w:rPr>
                <w:rFonts w:eastAsia="Times New Roman"/>
              </w:rPr>
            </w:pPr>
            <w:r>
              <w:rPr>
                <w:rFonts w:eastAsia="Times New Roman"/>
                <w:b/>
                <w:bCs/>
                <w:color w:val="000000"/>
                <w:sz w:val="20"/>
                <w:szCs w:val="20"/>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296792" w14:textId="77777777" w:rsidR="00000000" w:rsidRDefault="0068293C">
            <w:pPr>
              <w:spacing w:after="100"/>
              <w:jc w:val="right"/>
              <w:rPr>
                <w:rFonts w:eastAsia="Times New Roman"/>
              </w:rPr>
            </w:pPr>
          </w:p>
        </w:tc>
      </w:tr>
      <w:tr w:rsidR="00000000" w14:paraId="6D8614D6" w14:textId="77777777">
        <w:trPr>
          <w:divId w:val="196743033"/>
          <w:jc w:val="center"/>
        </w:trPr>
        <w:tc>
          <w:tcPr>
            <w:tcW w:w="0" w:type="auto"/>
            <w:gridSpan w:val="3"/>
            <w:shd w:val="clear" w:color="auto" w:fill="FFFFFF"/>
            <w:tcMar>
              <w:top w:w="30" w:type="dxa"/>
              <w:left w:w="380" w:type="dxa"/>
              <w:bottom w:w="30" w:type="dxa"/>
              <w:right w:w="20" w:type="dxa"/>
            </w:tcMar>
            <w:vAlign w:val="bottom"/>
            <w:hideMark/>
          </w:tcPr>
          <w:p w14:paraId="1F454B48" w14:textId="77777777" w:rsidR="00000000" w:rsidRDefault="0068293C">
            <w:pPr>
              <w:spacing w:after="100"/>
              <w:rPr>
                <w:rFonts w:eastAsia="Times New Roman"/>
              </w:rPr>
            </w:pPr>
            <w:r>
              <w:rPr>
                <w:rFonts w:eastAsia="Times New Roman"/>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14:paraId="4065CCBE" w14:textId="77777777" w:rsidR="00000000" w:rsidRDefault="0068293C">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14:paraId="1C6C68B9"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FA3091"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25D65B"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9D5D4A" w14:textId="77777777" w:rsidR="00000000" w:rsidRDefault="0068293C">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5810BFDD"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9D7547" w14:textId="77777777" w:rsidR="00000000" w:rsidRDefault="0068293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54A8DF29" w14:textId="77777777" w:rsidR="00000000" w:rsidRDefault="0068293C">
            <w:pPr>
              <w:spacing w:after="100"/>
              <w:jc w:val="right"/>
              <w:rPr>
                <w:rFonts w:eastAsia="Times New Roman"/>
              </w:rPr>
            </w:pPr>
          </w:p>
        </w:tc>
      </w:tr>
      <w:tr w:rsidR="00000000" w14:paraId="0C620377" w14:textId="77777777">
        <w:trPr>
          <w:divId w:val="196743033"/>
          <w:jc w:val="center"/>
        </w:trPr>
        <w:tc>
          <w:tcPr>
            <w:tcW w:w="0" w:type="auto"/>
            <w:gridSpan w:val="3"/>
            <w:shd w:val="clear" w:color="auto" w:fill="CCEEFF"/>
            <w:tcMar>
              <w:top w:w="30" w:type="dxa"/>
              <w:left w:w="380" w:type="dxa"/>
              <w:bottom w:w="30" w:type="dxa"/>
              <w:right w:w="20" w:type="dxa"/>
            </w:tcMar>
            <w:vAlign w:val="bottom"/>
            <w:hideMark/>
          </w:tcPr>
          <w:p w14:paraId="4BDA59FD" w14:textId="77777777" w:rsidR="00000000" w:rsidRDefault="0068293C">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14:paraId="12BB2FAE"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20E7D9"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6B4E2B"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36A29566"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4A325D"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77AD820"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C22242"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A9279F" w14:textId="77777777" w:rsidR="00000000" w:rsidRDefault="0068293C">
            <w:pPr>
              <w:spacing w:after="100"/>
              <w:jc w:val="right"/>
              <w:rPr>
                <w:rFonts w:eastAsia="Times New Roman"/>
              </w:rPr>
            </w:pPr>
          </w:p>
        </w:tc>
      </w:tr>
      <w:tr w:rsidR="00000000" w14:paraId="2BAC65E2" w14:textId="77777777">
        <w:trPr>
          <w:divId w:val="196743033"/>
          <w:jc w:val="center"/>
        </w:trPr>
        <w:tc>
          <w:tcPr>
            <w:tcW w:w="0" w:type="auto"/>
            <w:gridSpan w:val="3"/>
            <w:shd w:val="clear" w:color="auto" w:fill="FFFFFF"/>
            <w:tcMar>
              <w:top w:w="30" w:type="dxa"/>
              <w:left w:w="20" w:type="dxa"/>
              <w:bottom w:w="30" w:type="dxa"/>
              <w:right w:w="20" w:type="dxa"/>
            </w:tcMar>
            <w:vAlign w:val="bottom"/>
            <w:hideMark/>
          </w:tcPr>
          <w:p w14:paraId="272B93B8" w14:textId="77777777" w:rsidR="00000000" w:rsidRDefault="0068293C">
            <w:pPr>
              <w:spacing w:after="100"/>
              <w:rPr>
                <w:rFonts w:eastAsia="Times New Roman"/>
              </w:rPr>
            </w:pPr>
            <w:r>
              <w:rPr>
                <w:rFonts w:eastAsia="Times New Roman"/>
                <w:color w:val="000000"/>
                <w:sz w:val="20"/>
                <w:szCs w:val="20"/>
              </w:rPr>
              <w:t xml:space="preserve">Net current period other comprehensive (loss)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CEC91E" w14:textId="77777777" w:rsidR="00000000" w:rsidRDefault="0068293C">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06647C"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49A1B1"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CCE96D"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23EA8A" w14:textId="77777777" w:rsidR="00000000" w:rsidRDefault="0068293C">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99835"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810EA1" w14:textId="77777777" w:rsidR="00000000" w:rsidRDefault="0068293C">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1B2D7A" w14:textId="77777777" w:rsidR="00000000" w:rsidRDefault="0068293C">
            <w:pPr>
              <w:spacing w:after="100"/>
              <w:jc w:val="right"/>
              <w:rPr>
                <w:rFonts w:eastAsia="Times New Roman"/>
              </w:rPr>
            </w:pPr>
          </w:p>
        </w:tc>
      </w:tr>
      <w:tr w:rsidR="00000000" w14:paraId="6507C063" w14:textId="77777777">
        <w:trPr>
          <w:divId w:val="196743033"/>
          <w:jc w:val="center"/>
        </w:trPr>
        <w:tc>
          <w:tcPr>
            <w:tcW w:w="0" w:type="auto"/>
            <w:gridSpan w:val="3"/>
            <w:shd w:val="clear" w:color="auto" w:fill="CCEEFF"/>
            <w:tcMar>
              <w:top w:w="30" w:type="dxa"/>
              <w:left w:w="20" w:type="dxa"/>
              <w:bottom w:w="30" w:type="dxa"/>
              <w:right w:w="20" w:type="dxa"/>
            </w:tcMar>
            <w:vAlign w:val="bottom"/>
            <w:hideMark/>
          </w:tcPr>
          <w:p w14:paraId="0FCD4A4C" w14:textId="77777777" w:rsidR="00000000" w:rsidRDefault="0068293C">
            <w:pPr>
              <w:spacing w:after="100"/>
              <w:rPr>
                <w:rFonts w:eastAsia="Times New Roman"/>
              </w:rPr>
            </w:pPr>
            <w:r>
              <w:rPr>
                <w:rFonts w:eastAsia="Times New Roman"/>
                <w:color w:val="000000"/>
                <w:sz w:val="20"/>
                <w:szCs w:val="20"/>
              </w:rPr>
              <w:t xml:space="preserve">Balance as of March 31, 2022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A80C1E"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E5B1D1" w14:textId="77777777" w:rsidR="00000000" w:rsidRDefault="0068293C">
            <w:pPr>
              <w:spacing w:after="100"/>
              <w:jc w:val="right"/>
              <w:rPr>
                <w:rFonts w:eastAsia="Times New Roman"/>
              </w:rPr>
            </w:pPr>
            <w:r>
              <w:rPr>
                <w:rFonts w:eastAsia="Times New Roman"/>
                <w:b/>
                <w:bCs/>
                <w:color w:val="000000"/>
                <w:sz w:val="20"/>
                <w:szCs w:val="20"/>
              </w:rPr>
              <w:t>(301)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E36D61" w14:textId="77777777" w:rsidR="00000000" w:rsidRDefault="0068293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E7DC88"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043363" w14:textId="77777777" w:rsidR="00000000" w:rsidRDefault="0068293C">
            <w:pPr>
              <w:spacing w:after="100"/>
              <w:jc w:val="right"/>
              <w:rPr>
                <w:rFonts w:eastAsia="Times New Roman"/>
              </w:rPr>
            </w:pPr>
            <w:r>
              <w:rPr>
                <w:rFonts w:eastAsia="Times New Roman"/>
                <w:b/>
                <w:bCs/>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34189D" w14:textId="77777777" w:rsidR="00000000" w:rsidRDefault="0068293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A0E2A1"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22F8AD" w14:textId="77777777" w:rsidR="00000000" w:rsidRDefault="0068293C">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AAFBE8" w14:textId="77777777" w:rsidR="00000000" w:rsidRDefault="0068293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8EE53F"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FD865D" w14:textId="77777777" w:rsidR="00000000" w:rsidRDefault="0068293C">
            <w:pPr>
              <w:spacing w:after="100"/>
              <w:jc w:val="right"/>
              <w:rPr>
                <w:rFonts w:eastAsia="Times New Roman"/>
              </w:rPr>
            </w:pPr>
            <w:r>
              <w:rPr>
                <w:rFonts w:eastAsia="Times New Roman"/>
                <w:b/>
                <w:bCs/>
                <w:color w:val="000000"/>
                <w:sz w:val="20"/>
                <w:szCs w:val="20"/>
              </w:rPr>
              <w:t>(273)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188DE1" w14:textId="77777777" w:rsidR="00000000" w:rsidRDefault="0068293C">
            <w:pPr>
              <w:spacing w:after="100"/>
              <w:jc w:val="right"/>
              <w:rPr>
                <w:rFonts w:eastAsia="Times New Roman"/>
              </w:rPr>
            </w:pPr>
          </w:p>
        </w:tc>
      </w:tr>
    </w:tbl>
    <w:p w14:paraId="756C7306" w14:textId="77777777" w:rsidR="00000000" w:rsidRDefault="0068293C">
      <w:pPr>
        <w:jc w:val="center"/>
        <w:rPr>
          <w:rFonts w:eastAsia="Times New Roman"/>
        </w:rPr>
      </w:pPr>
    </w:p>
    <w:p w14:paraId="5C859DF2" w14:textId="77777777" w:rsidR="00000000" w:rsidRDefault="0068293C">
      <w:pPr>
        <w:divId w:val="811868023"/>
        <w:rPr>
          <w:rFonts w:eastAsia="Times New Roman"/>
        </w:rPr>
      </w:pPr>
      <w:r>
        <w:rPr>
          <w:rFonts w:eastAsia="Times New Roman"/>
          <w:b/>
          <w:bCs/>
          <w:color w:val="000000"/>
          <w:sz w:val="20"/>
          <w:szCs w:val="20"/>
        </w:rPr>
        <w:t>Reclassifications Out of AOCI</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81"/>
        <w:gridCol w:w="36"/>
        <w:gridCol w:w="38"/>
        <w:gridCol w:w="4100"/>
        <w:gridCol w:w="38"/>
        <w:gridCol w:w="121"/>
        <w:gridCol w:w="865"/>
        <w:gridCol w:w="36"/>
        <w:gridCol w:w="121"/>
        <w:gridCol w:w="865"/>
        <w:gridCol w:w="36"/>
        <w:gridCol w:w="121"/>
        <w:gridCol w:w="648"/>
        <w:gridCol w:w="37"/>
        <w:gridCol w:w="36"/>
        <w:gridCol w:w="36"/>
        <w:gridCol w:w="36"/>
        <w:gridCol w:w="120"/>
        <w:gridCol w:w="811"/>
        <w:gridCol w:w="36"/>
      </w:tblGrid>
      <w:tr w:rsidR="00000000" w14:paraId="057748EB" w14:textId="77777777">
        <w:trPr>
          <w:divId w:val="464664675"/>
          <w:jc w:val="center"/>
        </w:trPr>
        <w:tc>
          <w:tcPr>
            <w:tcW w:w="5" w:type="pct"/>
            <w:vAlign w:val="center"/>
            <w:hideMark/>
          </w:tcPr>
          <w:p w14:paraId="0D0934FE" w14:textId="77777777" w:rsidR="00000000" w:rsidRDefault="0068293C">
            <w:pPr>
              <w:rPr>
                <w:rFonts w:eastAsia="Times New Roman"/>
              </w:rPr>
            </w:pPr>
          </w:p>
        </w:tc>
        <w:tc>
          <w:tcPr>
            <w:tcW w:w="85" w:type="pct"/>
            <w:vAlign w:val="center"/>
            <w:hideMark/>
          </w:tcPr>
          <w:p w14:paraId="3542B337" w14:textId="77777777" w:rsidR="00000000" w:rsidRDefault="0068293C">
            <w:pPr>
              <w:spacing w:after="100"/>
              <w:rPr>
                <w:rFonts w:eastAsia="Times New Roman"/>
                <w:sz w:val="20"/>
                <w:szCs w:val="20"/>
              </w:rPr>
            </w:pPr>
          </w:p>
        </w:tc>
        <w:tc>
          <w:tcPr>
            <w:tcW w:w="5" w:type="pct"/>
            <w:vAlign w:val="center"/>
            <w:hideMark/>
          </w:tcPr>
          <w:p w14:paraId="5AE20EA2" w14:textId="77777777" w:rsidR="00000000" w:rsidRDefault="0068293C">
            <w:pPr>
              <w:spacing w:after="100"/>
              <w:rPr>
                <w:rFonts w:eastAsia="Times New Roman"/>
                <w:sz w:val="20"/>
                <w:szCs w:val="20"/>
              </w:rPr>
            </w:pPr>
          </w:p>
        </w:tc>
        <w:tc>
          <w:tcPr>
            <w:tcW w:w="50" w:type="pct"/>
            <w:vAlign w:val="center"/>
            <w:hideMark/>
          </w:tcPr>
          <w:p w14:paraId="2D584BE6" w14:textId="77777777" w:rsidR="00000000" w:rsidRDefault="0068293C">
            <w:pPr>
              <w:spacing w:after="100"/>
              <w:rPr>
                <w:rFonts w:eastAsia="Times New Roman"/>
                <w:sz w:val="20"/>
                <w:szCs w:val="20"/>
              </w:rPr>
            </w:pPr>
          </w:p>
        </w:tc>
        <w:tc>
          <w:tcPr>
            <w:tcW w:w="2525" w:type="pct"/>
            <w:vAlign w:val="center"/>
            <w:hideMark/>
          </w:tcPr>
          <w:p w14:paraId="2F647160" w14:textId="77777777" w:rsidR="00000000" w:rsidRDefault="0068293C">
            <w:pPr>
              <w:spacing w:after="100"/>
              <w:rPr>
                <w:rFonts w:eastAsia="Times New Roman"/>
                <w:sz w:val="20"/>
                <w:szCs w:val="20"/>
              </w:rPr>
            </w:pPr>
          </w:p>
        </w:tc>
        <w:tc>
          <w:tcPr>
            <w:tcW w:w="5" w:type="pct"/>
            <w:vAlign w:val="center"/>
            <w:hideMark/>
          </w:tcPr>
          <w:p w14:paraId="3B5E39E8" w14:textId="77777777" w:rsidR="00000000" w:rsidRDefault="0068293C">
            <w:pPr>
              <w:spacing w:after="100"/>
              <w:rPr>
                <w:rFonts w:eastAsia="Times New Roman"/>
                <w:sz w:val="20"/>
                <w:szCs w:val="20"/>
              </w:rPr>
            </w:pPr>
          </w:p>
        </w:tc>
        <w:tc>
          <w:tcPr>
            <w:tcW w:w="50" w:type="pct"/>
            <w:vAlign w:val="center"/>
            <w:hideMark/>
          </w:tcPr>
          <w:p w14:paraId="28E03E71" w14:textId="77777777" w:rsidR="00000000" w:rsidRDefault="0068293C">
            <w:pPr>
              <w:spacing w:after="100"/>
              <w:rPr>
                <w:rFonts w:eastAsia="Times New Roman"/>
                <w:sz w:val="20"/>
                <w:szCs w:val="20"/>
              </w:rPr>
            </w:pPr>
          </w:p>
        </w:tc>
        <w:tc>
          <w:tcPr>
            <w:tcW w:w="525" w:type="pct"/>
            <w:vAlign w:val="center"/>
            <w:hideMark/>
          </w:tcPr>
          <w:p w14:paraId="3DC841A1" w14:textId="77777777" w:rsidR="00000000" w:rsidRDefault="0068293C">
            <w:pPr>
              <w:spacing w:after="100"/>
              <w:rPr>
                <w:rFonts w:eastAsia="Times New Roman"/>
                <w:sz w:val="20"/>
                <w:szCs w:val="20"/>
              </w:rPr>
            </w:pPr>
          </w:p>
        </w:tc>
        <w:tc>
          <w:tcPr>
            <w:tcW w:w="5" w:type="pct"/>
            <w:vAlign w:val="center"/>
            <w:hideMark/>
          </w:tcPr>
          <w:p w14:paraId="468A8964" w14:textId="77777777" w:rsidR="00000000" w:rsidRDefault="0068293C">
            <w:pPr>
              <w:spacing w:after="100"/>
              <w:rPr>
                <w:rFonts w:eastAsia="Times New Roman"/>
                <w:sz w:val="20"/>
                <w:szCs w:val="20"/>
              </w:rPr>
            </w:pPr>
          </w:p>
        </w:tc>
        <w:tc>
          <w:tcPr>
            <w:tcW w:w="50" w:type="pct"/>
            <w:vAlign w:val="center"/>
            <w:hideMark/>
          </w:tcPr>
          <w:p w14:paraId="4BC59B3E" w14:textId="77777777" w:rsidR="00000000" w:rsidRDefault="0068293C">
            <w:pPr>
              <w:spacing w:after="100"/>
              <w:rPr>
                <w:rFonts w:eastAsia="Times New Roman"/>
                <w:sz w:val="20"/>
                <w:szCs w:val="20"/>
              </w:rPr>
            </w:pPr>
          </w:p>
        </w:tc>
        <w:tc>
          <w:tcPr>
            <w:tcW w:w="525" w:type="pct"/>
            <w:vAlign w:val="center"/>
            <w:hideMark/>
          </w:tcPr>
          <w:p w14:paraId="76E17229" w14:textId="77777777" w:rsidR="00000000" w:rsidRDefault="0068293C">
            <w:pPr>
              <w:spacing w:after="100"/>
              <w:rPr>
                <w:rFonts w:eastAsia="Times New Roman"/>
                <w:sz w:val="20"/>
                <w:szCs w:val="20"/>
              </w:rPr>
            </w:pPr>
          </w:p>
        </w:tc>
        <w:tc>
          <w:tcPr>
            <w:tcW w:w="5" w:type="pct"/>
            <w:vAlign w:val="center"/>
            <w:hideMark/>
          </w:tcPr>
          <w:p w14:paraId="41E58A87" w14:textId="77777777" w:rsidR="00000000" w:rsidRDefault="0068293C">
            <w:pPr>
              <w:spacing w:after="100"/>
              <w:rPr>
                <w:rFonts w:eastAsia="Times New Roman"/>
                <w:sz w:val="20"/>
                <w:szCs w:val="20"/>
              </w:rPr>
            </w:pPr>
          </w:p>
        </w:tc>
        <w:tc>
          <w:tcPr>
            <w:tcW w:w="50" w:type="pct"/>
            <w:vAlign w:val="center"/>
            <w:hideMark/>
          </w:tcPr>
          <w:p w14:paraId="1E002BCC" w14:textId="77777777" w:rsidR="00000000" w:rsidRDefault="0068293C">
            <w:pPr>
              <w:spacing w:after="100"/>
              <w:rPr>
                <w:rFonts w:eastAsia="Times New Roman"/>
                <w:sz w:val="20"/>
                <w:szCs w:val="20"/>
              </w:rPr>
            </w:pPr>
          </w:p>
        </w:tc>
        <w:tc>
          <w:tcPr>
            <w:tcW w:w="496" w:type="pct"/>
            <w:vAlign w:val="center"/>
            <w:hideMark/>
          </w:tcPr>
          <w:p w14:paraId="079CE0EB" w14:textId="77777777" w:rsidR="00000000" w:rsidRDefault="0068293C">
            <w:pPr>
              <w:spacing w:after="100"/>
              <w:rPr>
                <w:rFonts w:eastAsia="Times New Roman"/>
                <w:sz w:val="20"/>
                <w:szCs w:val="20"/>
              </w:rPr>
            </w:pPr>
          </w:p>
        </w:tc>
        <w:tc>
          <w:tcPr>
            <w:tcW w:w="5" w:type="pct"/>
            <w:vAlign w:val="center"/>
            <w:hideMark/>
          </w:tcPr>
          <w:p w14:paraId="286D4681" w14:textId="77777777" w:rsidR="00000000" w:rsidRDefault="0068293C">
            <w:pPr>
              <w:spacing w:after="100"/>
              <w:rPr>
                <w:rFonts w:eastAsia="Times New Roman"/>
                <w:sz w:val="20"/>
                <w:szCs w:val="20"/>
              </w:rPr>
            </w:pPr>
          </w:p>
        </w:tc>
        <w:tc>
          <w:tcPr>
            <w:tcW w:w="5" w:type="pct"/>
            <w:vAlign w:val="center"/>
            <w:hideMark/>
          </w:tcPr>
          <w:p w14:paraId="03368002" w14:textId="77777777" w:rsidR="00000000" w:rsidRDefault="0068293C">
            <w:pPr>
              <w:spacing w:after="100"/>
              <w:rPr>
                <w:rFonts w:eastAsia="Times New Roman"/>
                <w:sz w:val="20"/>
                <w:szCs w:val="20"/>
              </w:rPr>
            </w:pPr>
          </w:p>
        </w:tc>
        <w:tc>
          <w:tcPr>
            <w:tcW w:w="19" w:type="pct"/>
            <w:vAlign w:val="center"/>
            <w:hideMark/>
          </w:tcPr>
          <w:p w14:paraId="5CD98898" w14:textId="77777777" w:rsidR="00000000" w:rsidRDefault="0068293C">
            <w:pPr>
              <w:spacing w:after="100"/>
              <w:rPr>
                <w:rFonts w:eastAsia="Times New Roman"/>
                <w:sz w:val="20"/>
                <w:szCs w:val="20"/>
              </w:rPr>
            </w:pPr>
          </w:p>
        </w:tc>
        <w:tc>
          <w:tcPr>
            <w:tcW w:w="5" w:type="pct"/>
            <w:vAlign w:val="center"/>
            <w:hideMark/>
          </w:tcPr>
          <w:p w14:paraId="205A0E15" w14:textId="77777777" w:rsidR="00000000" w:rsidRDefault="0068293C">
            <w:pPr>
              <w:spacing w:after="100"/>
              <w:rPr>
                <w:rFonts w:eastAsia="Times New Roman"/>
                <w:sz w:val="20"/>
                <w:szCs w:val="20"/>
              </w:rPr>
            </w:pPr>
          </w:p>
        </w:tc>
        <w:tc>
          <w:tcPr>
            <w:tcW w:w="50" w:type="pct"/>
            <w:vAlign w:val="center"/>
            <w:hideMark/>
          </w:tcPr>
          <w:p w14:paraId="39DB0476" w14:textId="77777777" w:rsidR="00000000" w:rsidRDefault="0068293C">
            <w:pPr>
              <w:spacing w:after="100"/>
              <w:rPr>
                <w:rFonts w:eastAsia="Times New Roman"/>
                <w:sz w:val="20"/>
                <w:szCs w:val="20"/>
              </w:rPr>
            </w:pPr>
          </w:p>
        </w:tc>
        <w:tc>
          <w:tcPr>
            <w:tcW w:w="526" w:type="pct"/>
            <w:vAlign w:val="center"/>
            <w:hideMark/>
          </w:tcPr>
          <w:p w14:paraId="2246EBA0" w14:textId="77777777" w:rsidR="00000000" w:rsidRDefault="0068293C">
            <w:pPr>
              <w:spacing w:after="100"/>
              <w:rPr>
                <w:rFonts w:eastAsia="Times New Roman"/>
                <w:sz w:val="20"/>
                <w:szCs w:val="20"/>
              </w:rPr>
            </w:pPr>
          </w:p>
        </w:tc>
        <w:tc>
          <w:tcPr>
            <w:tcW w:w="5" w:type="pct"/>
            <w:vAlign w:val="center"/>
            <w:hideMark/>
          </w:tcPr>
          <w:p w14:paraId="15CA1AEA" w14:textId="77777777" w:rsidR="00000000" w:rsidRDefault="0068293C">
            <w:pPr>
              <w:spacing w:after="100"/>
              <w:rPr>
                <w:rFonts w:eastAsia="Times New Roman"/>
                <w:sz w:val="20"/>
                <w:szCs w:val="20"/>
              </w:rPr>
            </w:pPr>
          </w:p>
        </w:tc>
      </w:tr>
      <w:tr w:rsidR="00000000" w14:paraId="19A2A2B5" w14:textId="77777777">
        <w:trPr>
          <w:divId w:val="464664675"/>
          <w:jc w:val="center"/>
        </w:trPr>
        <w:tc>
          <w:tcPr>
            <w:tcW w:w="0" w:type="auto"/>
            <w:gridSpan w:val="3"/>
            <w:tcMar>
              <w:top w:w="0" w:type="dxa"/>
              <w:left w:w="20" w:type="dxa"/>
              <w:bottom w:w="0" w:type="dxa"/>
              <w:right w:w="20" w:type="dxa"/>
            </w:tcMar>
            <w:vAlign w:val="center"/>
            <w:hideMark/>
          </w:tcPr>
          <w:p w14:paraId="4C3524E7"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D5A156" w14:textId="77777777" w:rsidR="00000000" w:rsidRDefault="006829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79B3DE6" w14:textId="77777777" w:rsidR="00000000" w:rsidRDefault="0068293C">
            <w:pPr>
              <w:spacing w:after="100"/>
              <w:jc w:val="center"/>
              <w:rPr>
                <w:rFonts w:eastAsia="Times New Roman"/>
              </w:rPr>
            </w:pPr>
            <w:r>
              <w:rPr>
                <w:rFonts w:eastAsia="Times New Roman"/>
                <w:b/>
                <w:bCs/>
                <w:color w:val="000000"/>
                <w:sz w:val="16"/>
                <w:szCs w:val="16"/>
              </w:rPr>
              <w:t>For the three months ended March 31, 2022</w:t>
            </w:r>
          </w:p>
        </w:tc>
      </w:tr>
      <w:tr w:rsidR="00000000" w14:paraId="22E48C02" w14:textId="77777777">
        <w:trPr>
          <w:divId w:val="464664675"/>
          <w:jc w:val="center"/>
        </w:trPr>
        <w:tc>
          <w:tcPr>
            <w:tcW w:w="0" w:type="auto"/>
            <w:gridSpan w:val="6"/>
            <w:tcMar>
              <w:top w:w="0" w:type="dxa"/>
              <w:left w:w="20" w:type="dxa"/>
              <w:bottom w:w="0" w:type="dxa"/>
              <w:right w:w="20" w:type="dxa"/>
            </w:tcMar>
            <w:vAlign w:val="center"/>
            <w:hideMark/>
          </w:tcPr>
          <w:p w14:paraId="0F48C0DD" w14:textId="77777777" w:rsidR="00000000" w:rsidRDefault="0068293C">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51BA038" w14:textId="77777777" w:rsidR="00000000" w:rsidRDefault="0068293C">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14:paraId="3FDE7E8D" w14:textId="77777777" w:rsidR="00000000" w:rsidRDefault="0068293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5A9CAF4"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DBC369" w14:textId="77777777" w:rsidR="00000000" w:rsidRDefault="0068293C">
            <w:pPr>
              <w:spacing w:after="100"/>
              <w:rPr>
                <w:rFonts w:eastAsia="Times New Roman"/>
                <w:sz w:val="20"/>
                <w:szCs w:val="20"/>
              </w:rPr>
            </w:pPr>
          </w:p>
        </w:tc>
      </w:tr>
      <w:tr w:rsidR="00000000" w14:paraId="700F5857" w14:textId="77777777">
        <w:trPr>
          <w:divId w:val="464664675"/>
          <w:jc w:val="center"/>
        </w:trPr>
        <w:tc>
          <w:tcPr>
            <w:tcW w:w="0" w:type="auto"/>
            <w:gridSpan w:val="6"/>
            <w:tcMar>
              <w:top w:w="30" w:type="dxa"/>
              <w:left w:w="20" w:type="dxa"/>
              <w:bottom w:w="30" w:type="dxa"/>
              <w:right w:w="20" w:type="dxa"/>
            </w:tcMar>
            <w:vAlign w:val="bottom"/>
            <w:hideMark/>
          </w:tcPr>
          <w:p w14:paraId="34DBDBC1"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18A4956" w14:textId="77777777" w:rsidR="00000000" w:rsidRDefault="0068293C">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14:paraId="612C5A5B" w14:textId="77777777" w:rsidR="00000000" w:rsidRDefault="0068293C">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14:paraId="7D934778" w14:textId="77777777" w:rsidR="00000000" w:rsidRDefault="0068293C">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14:paraId="1629D4CF"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D5D9BF" w14:textId="77777777" w:rsidR="00000000" w:rsidRDefault="0068293C">
            <w:pPr>
              <w:spacing w:after="100"/>
              <w:jc w:val="center"/>
              <w:rPr>
                <w:rFonts w:eastAsia="Times New Roman"/>
              </w:rPr>
            </w:pPr>
            <w:r>
              <w:rPr>
                <w:rFonts w:eastAsia="Times New Roman"/>
                <w:b/>
                <w:bCs/>
                <w:color w:val="000000"/>
                <w:sz w:val="16"/>
                <w:szCs w:val="16"/>
              </w:rPr>
              <w:t>Total</w:t>
            </w:r>
          </w:p>
        </w:tc>
      </w:tr>
      <w:tr w:rsidR="00000000" w14:paraId="08FFF1C5" w14:textId="77777777">
        <w:trPr>
          <w:divId w:val="464664675"/>
          <w:jc w:val="center"/>
        </w:trPr>
        <w:tc>
          <w:tcPr>
            <w:tcW w:w="0" w:type="auto"/>
            <w:gridSpan w:val="6"/>
            <w:shd w:val="clear" w:color="auto" w:fill="CCEEFF"/>
            <w:tcMar>
              <w:top w:w="30" w:type="dxa"/>
              <w:left w:w="20" w:type="dxa"/>
              <w:bottom w:w="30" w:type="dxa"/>
              <w:right w:w="20" w:type="dxa"/>
            </w:tcMar>
            <w:vAlign w:val="bottom"/>
            <w:hideMark/>
          </w:tcPr>
          <w:p w14:paraId="17BCE749" w14:textId="77777777" w:rsidR="00000000" w:rsidRDefault="0068293C">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01A1BA" w14:textId="77777777" w:rsidR="00000000" w:rsidRDefault="0068293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A63DFA"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A47EC2"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9F9145"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94F821" w14:textId="77777777" w:rsidR="00000000" w:rsidRDefault="0068293C">
            <w:pPr>
              <w:spacing w:after="100"/>
              <w:rPr>
                <w:rFonts w:eastAsia="Times New Roman"/>
                <w:sz w:val="20"/>
                <w:szCs w:val="20"/>
              </w:rPr>
            </w:pPr>
          </w:p>
        </w:tc>
      </w:tr>
      <w:tr w:rsidR="00000000" w14:paraId="49AC4DF8" w14:textId="77777777">
        <w:trPr>
          <w:divId w:val="464664675"/>
          <w:jc w:val="center"/>
        </w:trPr>
        <w:tc>
          <w:tcPr>
            <w:tcW w:w="0" w:type="auto"/>
            <w:gridSpan w:val="3"/>
            <w:shd w:val="clear" w:color="auto" w:fill="FFFFFF"/>
            <w:tcMar>
              <w:top w:w="0" w:type="dxa"/>
              <w:left w:w="20" w:type="dxa"/>
              <w:bottom w:w="0" w:type="dxa"/>
              <w:right w:w="20" w:type="dxa"/>
            </w:tcMar>
            <w:vAlign w:val="center"/>
            <w:hideMark/>
          </w:tcPr>
          <w:p w14:paraId="5DEAB5A2" w14:textId="77777777" w:rsidR="00000000" w:rsidRDefault="0068293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046E1FE" w14:textId="77777777" w:rsidR="00000000" w:rsidRDefault="0068293C">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14:paraId="0A589475"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44156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F62CDE" w14:textId="77777777" w:rsidR="00000000" w:rsidRDefault="0068293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02424AE"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A0047E"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D95B73" w14:textId="77777777" w:rsidR="00000000" w:rsidRDefault="0068293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B96000E"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8CD22F"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68184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87FBC"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C9399F"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B458EF"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C4B04D" w14:textId="77777777" w:rsidR="00000000" w:rsidRDefault="0068293C">
            <w:pPr>
              <w:spacing w:after="100"/>
              <w:jc w:val="right"/>
              <w:rPr>
                <w:rFonts w:eastAsia="Times New Roman"/>
              </w:rPr>
            </w:pPr>
          </w:p>
        </w:tc>
      </w:tr>
      <w:tr w:rsidR="00000000" w14:paraId="272E5AF0" w14:textId="77777777">
        <w:trPr>
          <w:divId w:val="464664675"/>
          <w:jc w:val="center"/>
        </w:trPr>
        <w:tc>
          <w:tcPr>
            <w:tcW w:w="0" w:type="auto"/>
            <w:gridSpan w:val="3"/>
            <w:shd w:val="clear" w:color="auto" w:fill="CCEEFF"/>
            <w:tcMar>
              <w:top w:w="0" w:type="dxa"/>
              <w:left w:w="20" w:type="dxa"/>
              <w:bottom w:w="0" w:type="dxa"/>
              <w:right w:w="20" w:type="dxa"/>
            </w:tcMar>
            <w:vAlign w:val="center"/>
            <w:hideMark/>
          </w:tcPr>
          <w:p w14:paraId="7237EE52"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6BEA7B6" w14:textId="77777777" w:rsidR="00000000" w:rsidRDefault="0068293C">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14:paraId="3B34EEEC"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BEAC99"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F053C1"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2FC9FBCA"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CD44B4" w14:textId="77777777" w:rsidR="00000000" w:rsidRDefault="006829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7D1A2C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F849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6E60D4"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85AC43" w14:textId="77777777" w:rsidR="00000000" w:rsidRDefault="0068293C">
            <w:pPr>
              <w:spacing w:after="100"/>
              <w:jc w:val="right"/>
              <w:rPr>
                <w:rFonts w:eastAsia="Times New Roman"/>
              </w:rPr>
            </w:pPr>
          </w:p>
        </w:tc>
      </w:tr>
      <w:tr w:rsidR="00000000" w14:paraId="2E8D7991" w14:textId="77777777">
        <w:trPr>
          <w:divId w:val="464664675"/>
          <w:jc w:val="center"/>
        </w:trPr>
        <w:tc>
          <w:tcPr>
            <w:tcW w:w="0" w:type="auto"/>
            <w:gridSpan w:val="3"/>
            <w:shd w:val="clear" w:color="auto" w:fill="FFFFFF"/>
            <w:tcMar>
              <w:top w:w="0" w:type="dxa"/>
              <w:left w:w="20" w:type="dxa"/>
              <w:bottom w:w="0" w:type="dxa"/>
              <w:right w:w="20" w:type="dxa"/>
            </w:tcMar>
            <w:vAlign w:val="center"/>
            <w:hideMark/>
          </w:tcPr>
          <w:p w14:paraId="38635F70"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75112A5" w14:textId="77777777" w:rsidR="00000000" w:rsidRDefault="0068293C">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5C451E4E"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A8726C"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3A7C23"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B941ED"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22FAA3"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F61B6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51BB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6617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565F2A" w14:textId="77777777" w:rsidR="00000000" w:rsidRDefault="0068293C">
            <w:pPr>
              <w:spacing w:after="100"/>
              <w:jc w:val="right"/>
              <w:rPr>
                <w:rFonts w:eastAsia="Times New Roman"/>
              </w:rPr>
            </w:pPr>
          </w:p>
        </w:tc>
      </w:tr>
      <w:tr w:rsidR="00000000" w14:paraId="70EEB21A" w14:textId="77777777">
        <w:trPr>
          <w:divId w:val="464664675"/>
          <w:jc w:val="center"/>
        </w:trPr>
        <w:tc>
          <w:tcPr>
            <w:tcW w:w="0" w:type="auto"/>
            <w:gridSpan w:val="3"/>
            <w:shd w:val="clear" w:color="auto" w:fill="CCEEFF"/>
            <w:tcMar>
              <w:top w:w="0" w:type="dxa"/>
              <w:left w:w="20" w:type="dxa"/>
              <w:bottom w:w="0" w:type="dxa"/>
              <w:right w:w="20" w:type="dxa"/>
            </w:tcMar>
            <w:vAlign w:val="center"/>
            <w:hideMark/>
          </w:tcPr>
          <w:p w14:paraId="047D8912"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F001F66" w14:textId="77777777" w:rsidR="00000000" w:rsidRDefault="0068293C">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14:paraId="22C17E2C"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1229F5"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E0A33F"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E3A2D7"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EB1527"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976D8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51D79E"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9A0BC"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28526B" w14:textId="77777777" w:rsidR="00000000" w:rsidRDefault="0068293C">
            <w:pPr>
              <w:spacing w:after="100"/>
              <w:jc w:val="right"/>
              <w:rPr>
                <w:rFonts w:eastAsia="Times New Roman"/>
              </w:rPr>
            </w:pPr>
          </w:p>
        </w:tc>
      </w:tr>
      <w:tr w:rsidR="00000000" w14:paraId="0A59D2A3" w14:textId="77777777">
        <w:trPr>
          <w:divId w:val="464664675"/>
          <w:jc w:val="center"/>
        </w:trPr>
        <w:tc>
          <w:tcPr>
            <w:tcW w:w="0" w:type="auto"/>
            <w:gridSpan w:val="3"/>
            <w:shd w:val="clear" w:color="auto" w:fill="FFFFFF"/>
            <w:tcMar>
              <w:top w:w="0" w:type="dxa"/>
              <w:left w:w="20" w:type="dxa"/>
              <w:bottom w:w="0" w:type="dxa"/>
              <w:right w:w="20" w:type="dxa"/>
            </w:tcMar>
            <w:vAlign w:val="center"/>
            <w:hideMark/>
          </w:tcPr>
          <w:p w14:paraId="10338A7B"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4544E0D" w14:textId="77777777" w:rsidR="00000000" w:rsidRDefault="0068293C">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43197F"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35EFA3"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36F32B" w14:textId="77777777" w:rsidR="00000000" w:rsidRDefault="0068293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1B7FE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05AA9C"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6F14A3" w14:textId="77777777" w:rsidR="00000000" w:rsidRDefault="0068293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7795B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B69765" w14:textId="77777777" w:rsidR="00000000" w:rsidRDefault="0068293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DACD5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45FAB"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D6ED86"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6315AE"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43928C" w14:textId="77777777" w:rsidR="00000000" w:rsidRDefault="0068293C">
            <w:pPr>
              <w:spacing w:after="100"/>
              <w:jc w:val="right"/>
              <w:rPr>
                <w:rFonts w:eastAsia="Times New Roman"/>
              </w:rPr>
            </w:pPr>
          </w:p>
        </w:tc>
      </w:tr>
      <w:tr w:rsidR="00000000" w14:paraId="7DEFC189" w14:textId="77777777">
        <w:trPr>
          <w:divId w:val="464664675"/>
          <w:jc w:val="center"/>
        </w:trPr>
        <w:tc>
          <w:tcPr>
            <w:tcW w:w="0" w:type="auto"/>
            <w:gridSpan w:val="3"/>
            <w:shd w:val="clear" w:color="auto" w:fill="CCEEFF"/>
            <w:tcMar>
              <w:top w:w="0" w:type="dxa"/>
              <w:left w:w="20" w:type="dxa"/>
              <w:bottom w:w="0" w:type="dxa"/>
              <w:right w:w="20" w:type="dxa"/>
            </w:tcMar>
            <w:vAlign w:val="center"/>
            <w:hideMark/>
          </w:tcPr>
          <w:p w14:paraId="32F27F86"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C12F606" w14:textId="77777777" w:rsidR="00000000" w:rsidRDefault="0068293C">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74FC74" w14:textId="77777777" w:rsidR="00000000" w:rsidRDefault="0068293C">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905B16E"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7480C8"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7D5EDC" w14:textId="77777777" w:rsidR="00000000" w:rsidRDefault="0068293C">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EACEE78"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B45558D" w14:textId="77777777" w:rsidR="00000000" w:rsidRDefault="0068293C">
            <w:pPr>
              <w:spacing w:after="100"/>
              <w:jc w:val="right"/>
              <w:rPr>
                <w:rFonts w:eastAsia="Times New Roman"/>
              </w:rPr>
            </w:pPr>
          </w:p>
        </w:tc>
      </w:tr>
      <w:tr w:rsidR="00000000" w14:paraId="61765625" w14:textId="77777777">
        <w:trPr>
          <w:divId w:val="464664675"/>
          <w:jc w:val="center"/>
        </w:trPr>
        <w:tc>
          <w:tcPr>
            <w:tcW w:w="0" w:type="auto"/>
            <w:gridSpan w:val="3"/>
            <w:shd w:val="clear" w:color="auto" w:fill="FFFFFF"/>
            <w:tcMar>
              <w:top w:w="0" w:type="dxa"/>
              <w:left w:w="20" w:type="dxa"/>
              <w:bottom w:w="0" w:type="dxa"/>
              <w:right w:w="20" w:type="dxa"/>
            </w:tcMar>
            <w:vAlign w:val="center"/>
            <w:hideMark/>
          </w:tcPr>
          <w:p w14:paraId="71E09143"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F31B824" w14:textId="77777777" w:rsidR="00000000" w:rsidRDefault="0068293C">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14:paraId="41722035"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A770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C454D5"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F71F55" w14:textId="77777777" w:rsidR="00000000" w:rsidRDefault="0068293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79E35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1228F7"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BA485A" w14:textId="77777777" w:rsidR="00000000" w:rsidRDefault="0068293C">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4164"/>
        <w:gridCol w:w="144"/>
        <w:gridCol w:w="144"/>
        <w:gridCol w:w="865"/>
        <w:gridCol w:w="144"/>
        <w:gridCol w:w="144"/>
        <w:gridCol w:w="865"/>
        <w:gridCol w:w="144"/>
        <w:gridCol w:w="144"/>
        <w:gridCol w:w="865"/>
        <w:gridCol w:w="144"/>
        <w:gridCol w:w="144"/>
        <w:gridCol w:w="144"/>
        <w:gridCol w:w="144"/>
        <w:gridCol w:w="144"/>
        <w:gridCol w:w="865"/>
        <w:gridCol w:w="144"/>
      </w:tblGrid>
      <w:tr w:rsidR="00000000" w14:paraId="40DE4AC3" w14:textId="77777777">
        <w:trPr>
          <w:jc w:val="center"/>
        </w:trPr>
        <w:tc>
          <w:tcPr>
            <w:tcW w:w="5" w:type="pct"/>
            <w:vAlign w:val="center"/>
            <w:hideMark/>
          </w:tcPr>
          <w:p w14:paraId="13D3C527" w14:textId="77777777" w:rsidR="00000000" w:rsidRDefault="0068293C">
            <w:pPr>
              <w:jc w:val="center"/>
              <w:rPr>
                <w:rFonts w:eastAsia="Times New Roman"/>
              </w:rPr>
            </w:pPr>
          </w:p>
        </w:tc>
        <w:tc>
          <w:tcPr>
            <w:tcW w:w="84" w:type="pct"/>
            <w:vAlign w:val="center"/>
            <w:hideMark/>
          </w:tcPr>
          <w:p w14:paraId="3E3F1860" w14:textId="77777777" w:rsidR="00000000" w:rsidRDefault="0068293C">
            <w:pPr>
              <w:spacing w:after="100"/>
              <w:rPr>
                <w:rFonts w:eastAsia="Times New Roman"/>
                <w:sz w:val="20"/>
                <w:szCs w:val="20"/>
              </w:rPr>
            </w:pPr>
          </w:p>
        </w:tc>
        <w:tc>
          <w:tcPr>
            <w:tcW w:w="5" w:type="pct"/>
            <w:vAlign w:val="center"/>
            <w:hideMark/>
          </w:tcPr>
          <w:p w14:paraId="1596DEFD" w14:textId="77777777" w:rsidR="00000000" w:rsidRDefault="0068293C">
            <w:pPr>
              <w:spacing w:after="100"/>
              <w:rPr>
                <w:rFonts w:eastAsia="Times New Roman"/>
                <w:sz w:val="20"/>
                <w:szCs w:val="20"/>
              </w:rPr>
            </w:pPr>
          </w:p>
        </w:tc>
        <w:tc>
          <w:tcPr>
            <w:tcW w:w="50" w:type="pct"/>
            <w:vAlign w:val="center"/>
            <w:hideMark/>
          </w:tcPr>
          <w:p w14:paraId="57F547A8" w14:textId="77777777" w:rsidR="00000000" w:rsidRDefault="0068293C">
            <w:pPr>
              <w:spacing w:after="100"/>
              <w:rPr>
                <w:rFonts w:eastAsia="Times New Roman"/>
                <w:sz w:val="20"/>
                <w:szCs w:val="20"/>
              </w:rPr>
            </w:pPr>
          </w:p>
        </w:tc>
        <w:tc>
          <w:tcPr>
            <w:tcW w:w="2507" w:type="pct"/>
            <w:vAlign w:val="center"/>
            <w:hideMark/>
          </w:tcPr>
          <w:p w14:paraId="77CAD743" w14:textId="77777777" w:rsidR="00000000" w:rsidRDefault="0068293C">
            <w:pPr>
              <w:spacing w:after="100"/>
              <w:rPr>
                <w:rFonts w:eastAsia="Times New Roman"/>
                <w:sz w:val="20"/>
                <w:szCs w:val="20"/>
              </w:rPr>
            </w:pPr>
          </w:p>
        </w:tc>
        <w:tc>
          <w:tcPr>
            <w:tcW w:w="5" w:type="pct"/>
            <w:vAlign w:val="center"/>
            <w:hideMark/>
          </w:tcPr>
          <w:p w14:paraId="3BB1205F" w14:textId="77777777" w:rsidR="00000000" w:rsidRDefault="0068293C">
            <w:pPr>
              <w:spacing w:after="100"/>
              <w:rPr>
                <w:rFonts w:eastAsia="Times New Roman"/>
                <w:sz w:val="20"/>
                <w:szCs w:val="20"/>
              </w:rPr>
            </w:pPr>
          </w:p>
        </w:tc>
        <w:tc>
          <w:tcPr>
            <w:tcW w:w="50" w:type="pct"/>
            <w:vAlign w:val="center"/>
            <w:hideMark/>
          </w:tcPr>
          <w:p w14:paraId="1533C03F" w14:textId="77777777" w:rsidR="00000000" w:rsidRDefault="0068293C">
            <w:pPr>
              <w:spacing w:after="100"/>
              <w:rPr>
                <w:rFonts w:eastAsia="Times New Roman"/>
                <w:sz w:val="20"/>
                <w:szCs w:val="20"/>
              </w:rPr>
            </w:pPr>
          </w:p>
        </w:tc>
        <w:tc>
          <w:tcPr>
            <w:tcW w:w="521" w:type="pct"/>
            <w:vAlign w:val="center"/>
            <w:hideMark/>
          </w:tcPr>
          <w:p w14:paraId="7D62DB4B" w14:textId="77777777" w:rsidR="00000000" w:rsidRDefault="0068293C">
            <w:pPr>
              <w:spacing w:after="100"/>
              <w:rPr>
                <w:rFonts w:eastAsia="Times New Roman"/>
                <w:sz w:val="20"/>
                <w:szCs w:val="20"/>
              </w:rPr>
            </w:pPr>
          </w:p>
        </w:tc>
        <w:tc>
          <w:tcPr>
            <w:tcW w:w="5" w:type="pct"/>
            <w:vAlign w:val="center"/>
            <w:hideMark/>
          </w:tcPr>
          <w:p w14:paraId="5483C51B" w14:textId="77777777" w:rsidR="00000000" w:rsidRDefault="0068293C">
            <w:pPr>
              <w:spacing w:after="100"/>
              <w:rPr>
                <w:rFonts w:eastAsia="Times New Roman"/>
                <w:sz w:val="20"/>
                <w:szCs w:val="20"/>
              </w:rPr>
            </w:pPr>
          </w:p>
        </w:tc>
        <w:tc>
          <w:tcPr>
            <w:tcW w:w="50" w:type="pct"/>
            <w:vAlign w:val="center"/>
            <w:hideMark/>
          </w:tcPr>
          <w:p w14:paraId="5E2D7632" w14:textId="77777777" w:rsidR="00000000" w:rsidRDefault="0068293C">
            <w:pPr>
              <w:spacing w:after="100"/>
              <w:rPr>
                <w:rFonts w:eastAsia="Times New Roman"/>
                <w:sz w:val="20"/>
                <w:szCs w:val="20"/>
              </w:rPr>
            </w:pPr>
          </w:p>
        </w:tc>
        <w:tc>
          <w:tcPr>
            <w:tcW w:w="521" w:type="pct"/>
            <w:vAlign w:val="center"/>
            <w:hideMark/>
          </w:tcPr>
          <w:p w14:paraId="111C50C1" w14:textId="77777777" w:rsidR="00000000" w:rsidRDefault="0068293C">
            <w:pPr>
              <w:spacing w:after="100"/>
              <w:rPr>
                <w:rFonts w:eastAsia="Times New Roman"/>
                <w:sz w:val="20"/>
                <w:szCs w:val="20"/>
              </w:rPr>
            </w:pPr>
          </w:p>
        </w:tc>
        <w:tc>
          <w:tcPr>
            <w:tcW w:w="5" w:type="pct"/>
            <w:vAlign w:val="center"/>
            <w:hideMark/>
          </w:tcPr>
          <w:p w14:paraId="0652C7DF" w14:textId="77777777" w:rsidR="00000000" w:rsidRDefault="0068293C">
            <w:pPr>
              <w:spacing w:after="100"/>
              <w:rPr>
                <w:rFonts w:eastAsia="Times New Roman"/>
                <w:sz w:val="20"/>
                <w:szCs w:val="20"/>
              </w:rPr>
            </w:pPr>
          </w:p>
        </w:tc>
        <w:tc>
          <w:tcPr>
            <w:tcW w:w="50" w:type="pct"/>
            <w:vAlign w:val="center"/>
            <w:hideMark/>
          </w:tcPr>
          <w:p w14:paraId="30CA5BA1" w14:textId="77777777" w:rsidR="00000000" w:rsidRDefault="0068293C">
            <w:pPr>
              <w:spacing w:after="100"/>
              <w:rPr>
                <w:rFonts w:eastAsia="Times New Roman"/>
                <w:sz w:val="20"/>
                <w:szCs w:val="20"/>
              </w:rPr>
            </w:pPr>
          </w:p>
        </w:tc>
        <w:tc>
          <w:tcPr>
            <w:tcW w:w="521" w:type="pct"/>
            <w:vAlign w:val="center"/>
            <w:hideMark/>
          </w:tcPr>
          <w:p w14:paraId="5E29EA01" w14:textId="77777777" w:rsidR="00000000" w:rsidRDefault="0068293C">
            <w:pPr>
              <w:spacing w:after="100"/>
              <w:rPr>
                <w:rFonts w:eastAsia="Times New Roman"/>
                <w:sz w:val="20"/>
                <w:szCs w:val="20"/>
              </w:rPr>
            </w:pPr>
          </w:p>
        </w:tc>
        <w:tc>
          <w:tcPr>
            <w:tcW w:w="5" w:type="pct"/>
            <w:vAlign w:val="center"/>
            <w:hideMark/>
          </w:tcPr>
          <w:p w14:paraId="09032340" w14:textId="77777777" w:rsidR="00000000" w:rsidRDefault="0068293C">
            <w:pPr>
              <w:spacing w:after="100"/>
              <w:rPr>
                <w:rFonts w:eastAsia="Times New Roman"/>
                <w:sz w:val="20"/>
                <w:szCs w:val="20"/>
              </w:rPr>
            </w:pPr>
          </w:p>
        </w:tc>
        <w:tc>
          <w:tcPr>
            <w:tcW w:w="5" w:type="pct"/>
            <w:vAlign w:val="center"/>
            <w:hideMark/>
          </w:tcPr>
          <w:p w14:paraId="586BFD87" w14:textId="77777777" w:rsidR="00000000" w:rsidRDefault="0068293C">
            <w:pPr>
              <w:spacing w:after="100"/>
              <w:rPr>
                <w:rFonts w:eastAsia="Times New Roman"/>
                <w:sz w:val="20"/>
                <w:szCs w:val="20"/>
              </w:rPr>
            </w:pPr>
          </w:p>
        </w:tc>
        <w:tc>
          <w:tcPr>
            <w:tcW w:w="26" w:type="pct"/>
            <w:vAlign w:val="center"/>
            <w:hideMark/>
          </w:tcPr>
          <w:p w14:paraId="41EA157C" w14:textId="77777777" w:rsidR="00000000" w:rsidRDefault="0068293C">
            <w:pPr>
              <w:spacing w:after="100"/>
              <w:rPr>
                <w:rFonts w:eastAsia="Times New Roman"/>
                <w:sz w:val="20"/>
                <w:szCs w:val="20"/>
              </w:rPr>
            </w:pPr>
          </w:p>
        </w:tc>
        <w:tc>
          <w:tcPr>
            <w:tcW w:w="5" w:type="pct"/>
            <w:vAlign w:val="center"/>
            <w:hideMark/>
          </w:tcPr>
          <w:p w14:paraId="4C471009" w14:textId="77777777" w:rsidR="00000000" w:rsidRDefault="0068293C">
            <w:pPr>
              <w:spacing w:after="100"/>
              <w:rPr>
                <w:rFonts w:eastAsia="Times New Roman"/>
                <w:sz w:val="20"/>
                <w:szCs w:val="20"/>
              </w:rPr>
            </w:pPr>
          </w:p>
        </w:tc>
        <w:tc>
          <w:tcPr>
            <w:tcW w:w="50" w:type="pct"/>
            <w:vAlign w:val="center"/>
            <w:hideMark/>
          </w:tcPr>
          <w:p w14:paraId="5D3F08E0" w14:textId="77777777" w:rsidR="00000000" w:rsidRDefault="0068293C">
            <w:pPr>
              <w:spacing w:after="100"/>
              <w:rPr>
                <w:rFonts w:eastAsia="Times New Roman"/>
                <w:sz w:val="20"/>
                <w:szCs w:val="20"/>
              </w:rPr>
            </w:pPr>
          </w:p>
        </w:tc>
        <w:tc>
          <w:tcPr>
            <w:tcW w:w="521" w:type="pct"/>
            <w:vAlign w:val="center"/>
            <w:hideMark/>
          </w:tcPr>
          <w:p w14:paraId="564470E2" w14:textId="77777777" w:rsidR="00000000" w:rsidRDefault="0068293C">
            <w:pPr>
              <w:spacing w:after="100"/>
              <w:rPr>
                <w:rFonts w:eastAsia="Times New Roman"/>
                <w:sz w:val="20"/>
                <w:szCs w:val="20"/>
              </w:rPr>
            </w:pPr>
          </w:p>
        </w:tc>
        <w:tc>
          <w:tcPr>
            <w:tcW w:w="5" w:type="pct"/>
            <w:vAlign w:val="center"/>
            <w:hideMark/>
          </w:tcPr>
          <w:p w14:paraId="1AAB8371" w14:textId="77777777" w:rsidR="00000000" w:rsidRDefault="0068293C">
            <w:pPr>
              <w:spacing w:after="100"/>
              <w:rPr>
                <w:rFonts w:eastAsia="Times New Roman"/>
                <w:sz w:val="20"/>
                <w:szCs w:val="20"/>
              </w:rPr>
            </w:pPr>
          </w:p>
        </w:tc>
      </w:tr>
      <w:tr w:rsidR="00000000" w14:paraId="0FC815EF" w14:textId="77777777">
        <w:trPr>
          <w:jc w:val="center"/>
        </w:trPr>
        <w:tc>
          <w:tcPr>
            <w:tcW w:w="0" w:type="auto"/>
            <w:gridSpan w:val="3"/>
            <w:tcMar>
              <w:top w:w="0" w:type="dxa"/>
              <w:left w:w="20" w:type="dxa"/>
              <w:bottom w:w="0" w:type="dxa"/>
              <w:right w:w="20" w:type="dxa"/>
            </w:tcMar>
            <w:vAlign w:val="center"/>
            <w:hideMark/>
          </w:tcPr>
          <w:p w14:paraId="2AE6E3F9"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C485B8" w14:textId="77777777" w:rsidR="00000000" w:rsidRDefault="006829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6C4AE1DF" w14:textId="77777777" w:rsidR="00000000" w:rsidRDefault="0068293C">
            <w:pPr>
              <w:spacing w:after="100"/>
              <w:jc w:val="center"/>
              <w:rPr>
                <w:rFonts w:eastAsia="Times New Roman"/>
              </w:rPr>
            </w:pPr>
            <w:r>
              <w:rPr>
                <w:rFonts w:eastAsia="Times New Roman"/>
                <w:b/>
                <w:bCs/>
                <w:color w:val="000000"/>
                <w:sz w:val="16"/>
                <w:szCs w:val="16"/>
              </w:rPr>
              <w:t>For the three months ended March 31, 2021</w:t>
            </w:r>
          </w:p>
        </w:tc>
      </w:tr>
      <w:tr w:rsidR="00000000" w14:paraId="76842CB9" w14:textId="77777777">
        <w:trPr>
          <w:jc w:val="center"/>
        </w:trPr>
        <w:tc>
          <w:tcPr>
            <w:tcW w:w="0" w:type="auto"/>
            <w:gridSpan w:val="6"/>
            <w:tcMar>
              <w:top w:w="0" w:type="dxa"/>
              <w:left w:w="20" w:type="dxa"/>
              <w:bottom w:w="0" w:type="dxa"/>
              <w:right w:w="20" w:type="dxa"/>
            </w:tcMar>
            <w:vAlign w:val="center"/>
            <w:hideMark/>
          </w:tcPr>
          <w:p w14:paraId="09FE3749" w14:textId="77777777" w:rsidR="00000000" w:rsidRDefault="0068293C">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89BAD9A" w14:textId="77777777" w:rsidR="00000000" w:rsidRDefault="0068293C">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14:paraId="075FF518" w14:textId="77777777" w:rsidR="00000000" w:rsidRDefault="0068293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74A4ED9"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BF85FE" w14:textId="77777777" w:rsidR="00000000" w:rsidRDefault="0068293C">
            <w:pPr>
              <w:spacing w:after="100"/>
              <w:rPr>
                <w:rFonts w:eastAsia="Times New Roman"/>
                <w:sz w:val="20"/>
                <w:szCs w:val="20"/>
              </w:rPr>
            </w:pPr>
          </w:p>
        </w:tc>
      </w:tr>
      <w:tr w:rsidR="00000000" w14:paraId="602A6ED7" w14:textId="77777777">
        <w:trPr>
          <w:jc w:val="center"/>
        </w:trPr>
        <w:tc>
          <w:tcPr>
            <w:tcW w:w="0" w:type="auto"/>
            <w:gridSpan w:val="6"/>
            <w:tcMar>
              <w:top w:w="30" w:type="dxa"/>
              <w:left w:w="20" w:type="dxa"/>
              <w:bottom w:w="30" w:type="dxa"/>
              <w:right w:w="20" w:type="dxa"/>
            </w:tcMar>
            <w:vAlign w:val="bottom"/>
            <w:hideMark/>
          </w:tcPr>
          <w:p w14:paraId="47B4B20A"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A1EF4C8" w14:textId="77777777" w:rsidR="00000000" w:rsidRDefault="0068293C">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14:paraId="10A1A3FB" w14:textId="77777777" w:rsidR="00000000" w:rsidRDefault="0068293C">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14:paraId="241C8976" w14:textId="77777777" w:rsidR="00000000" w:rsidRDefault="0068293C">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14:paraId="75D22CF6"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13C2F2" w14:textId="77777777" w:rsidR="00000000" w:rsidRDefault="0068293C">
            <w:pPr>
              <w:spacing w:after="100"/>
              <w:jc w:val="center"/>
              <w:rPr>
                <w:rFonts w:eastAsia="Times New Roman"/>
              </w:rPr>
            </w:pPr>
            <w:r>
              <w:rPr>
                <w:rFonts w:eastAsia="Times New Roman"/>
                <w:b/>
                <w:bCs/>
                <w:color w:val="000000"/>
                <w:sz w:val="16"/>
                <w:szCs w:val="16"/>
              </w:rPr>
              <w:t>Total</w:t>
            </w:r>
          </w:p>
        </w:tc>
      </w:tr>
      <w:tr w:rsidR="00000000" w14:paraId="14545F3A" w14:textId="77777777">
        <w:trPr>
          <w:jc w:val="center"/>
        </w:trPr>
        <w:tc>
          <w:tcPr>
            <w:tcW w:w="0" w:type="auto"/>
            <w:gridSpan w:val="6"/>
            <w:shd w:val="clear" w:color="auto" w:fill="CCEEFF"/>
            <w:tcMar>
              <w:top w:w="30" w:type="dxa"/>
              <w:left w:w="20" w:type="dxa"/>
              <w:bottom w:w="30" w:type="dxa"/>
              <w:right w:w="20" w:type="dxa"/>
            </w:tcMar>
            <w:vAlign w:val="bottom"/>
            <w:hideMark/>
          </w:tcPr>
          <w:p w14:paraId="56EB1F65" w14:textId="77777777" w:rsidR="00000000" w:rsidRDefault="0068293C">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20581C" w14:textId="77777777" w:rsidR="00000000" w:rsidRDefault="0068293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E0EBAA"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BD82CC"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4F7BC3"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4BD5C2" w14:textId="77777777" w:rsidR="00000000" w:rsidRDefault="0068293C">
            <w:pPr>
              <w:spacing w:after="100"/>
              <w:rPr>
                <w:rFonts w:eastAsia="Times New Roman"/>
                <w:sz w:val="20"/>
                <w:szCs w:val="20"/>
              </w:rPr>
            </w:pPr>
          </w:p>
        </w:tc>
      </w:tr>
      <w:tr w:rsidR="00000000" w14:paraId="129E69FA" w14:textId="77777777">
        <w:trPr>
          <w:jc w:val="center"/>
        </w:trPr>
        <w:tc>
          <w:tcPr>
            <w:tcW w:w="0" w:type="auto"/>
            <w:gridSpan w:val="3"/>
            <w:shd w:val="clear" w:color="auto" w:fill="FFFFFF"/>
            <w:tcMar>
              <w:top w:w="0" w:type="dxa"/>
              <w:left w:w="20" w:type="dxa"/>
              <w:bottom w:w="0" w:type="dxa"/>
              <w:right w:w="20" w:type="dxa"/>
            </w:tcMar>
            <w:vAlign w:val="center"/>
            <w:hideMark/>
          </w:tcPr>
          <w:p w14:paraId="03D5EF31" w14:textId="77777777" w:rsidR="00000000" w:rsidRDefault="0068293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145EA57" w14:textId="77777777" w:rsidR="00000000" w:rsidRDefault="0068293C">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14:paraId="323BE6A5"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0C1604"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B57BA2" w14:textId="77777777" w:rsidR="00000000" w:rsidRDefault="0068293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654CA12"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D8F4AC"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2F460C" w14:textId="77777777" w:rsidR="00000000" w:rsidRDefault="0068293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B9F12D9"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A2FC87"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BE9DE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BD4F2"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E52CB0"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F067E8"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CEEE71" w14:textId="77777777" w:rsidR="00000000" w:rsidRDefault="0068293C">
            <w:pPr>
              <w:spacing w:after="100"/>
              <w:jc w:val="right"/>
              <w:rPr>
                <w:rFonts w:eastAsia="Times New Roman"/>
              </w:rPr>
            </w:pPr>
          </w:p>
        </w:tc>
      </w:tr>
      <w:tr w:rsidR="00000000" w14:paraId="2BED22C7" w14:textId="77777777">
        <w:trPr>
          <w:jc w:val="center"/>
        </w:trPr>
        <w:tc>
          <w:tcPr>
            <w:tcW w:w="0" w:type="auto"/>
            <w:gridSpan w:val="3"/>
            <w:shd w:val="clear" w:color="auto" w:fill="CCEEFF"/>
            <w:tcMar>
              <w:top w:w="0" w:type="dxa"/>
              <w:left w:w="20" w:type="dxa"/>
              <w:bottom w:w="0" w:type="dxa"/>
              <w:right w:w="20" w:type="dxa"/>
            </w:tcMar>
            <w:vAlign w:val="center"/>
            <w:hideMark/>
          </w:tcPr>
          <w:p w14:paraId="62545849"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8CBD8C3" w14:textId="77777777" w:rsidR="00000000" w:rsidRDefault="0068293C">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14:paraId="1F478E6D"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2FC06B"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F59407"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13C8B22"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B29934"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AC317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35AD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06FBA" w14:textId="77777777" w:rsidR="00000000" w:rsidRDefault="0068293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04FAFDF4" w14:textId="77777777" w:rsidR="00000000" w:rsidRDefault="0068293C">
            <w:pPr>
              <w:spacing w:after="100"/>
              <w:jc w:val="right"/>
              <w:rPr>
                <w:rFonts w:eastAsia="Times New Roman"/>
              </w:rPr>
            </w:pPr>
          </w:p>
        </w:tc>
      </w:tr>
      <w:tr w:rsidR="00000000" w14:paraId="5BA2740F" w14:textId="77777777">
        <w:trPr>
          <w:jc w:val="center"/>
        </w:trPr>
        <w:tc>
          <w:tcPr>
            <w:tcW w:w="0" w:type="auto"/>
            <w:gridSpan w:val="3"/>
            <w:vAlign w:val="center"/>
            <w:hideMark/>
          </w:tcPr>
          <w:p w14:paraId="435BFB6B" w14:textId="77777777" w:rsidR="00000000" w:rsidRDefault="0068293C">
            <w:pPr>
              <w:spacing w:after="100"/>
              <w:jc w:val="right"/>
              <w:rPr>
                <w:rFonts w:eastAsia="Times New Roman"/>
                <w:sz w:val="20"/>
                <w:szCs w:val="20"/>
              </w:rPr>
            </w:pPr>
          </w:p>
        </w:tc>
        <w:tc>
          <w:tcPr>
            <w:tcW w:w="0" w:type="auto"/>
            <w:gridSpan w:val="3"/>
            <w:vAlign w:val="center"/>
            <w:hideMark/>
          </w:tcPr>
          <w:p w14:paraId="3AC90A85" w14:textId="77777777" w:rsidR="00000000" w:rsidRDefault="0068293C">
            <w:pPr>
              <w:spacing w:after="100"/>
              <w:rPr>
                <w:rFonts w:eastAsia="Times New Roman"/>
                <w:sz w:val="20"/>
                <w:szCs w:val="20"/>
              </w:rPr>
            </w:pPr>
          </w:p>
        </w:tc>
        <w:tc>
          <w:tcPr>
            <w:tcW w:w="0" w:type="auto"/>
            <w:gridSpan w:val="3"/>
            <w:vAlign w:val="center"/>
            <w:hideMark/>
          </w:tcPr>
          <w:p w14:paraId="4DA55134" w14:textId="77777777" w:rsidR="00000000" w:rsidRDefault="0068293C">
            <w:pPr>
              <w:spacing w:after="100"/>
              <w:rPr>
                <w:rFonts w:eastAsia="Times New Roman"/>
                <w:sz w:val="20"/>
                <w:szCs w:val="20"/>
              </w:rPr>
            </w:pPr>
          </w:p>
        </w:tc>
        <w:tc>
          <w:tcPr>
            <w:tcW w:w="0" w:type="auto"/>
            <w:gridSpan w:val="3"/>
            <w:vAlign w:val="center"/>
            <w:hideMark/>
          </w:tcPr>
          <w:p w14:paraId="5A291D44" w14:textId="77777777" w:rsidR="00000000" w:rsidRDefault="0068293C">
            <w:pPr>
              <w:spacing w:after="100"/>
              <w:rPr>
                <w:rFonts w:eastAsia="Times New Roman"/>
                <w:sz w:val="20"/>
                <w:szCs w:val="20"/>
              </w:rPr>
            </w:pPr>
          </w:p>
        </w:tc>
        <w:tc>
          <w:tcPr>
            <w:tcW w:w="0" w:type="auto"/>
            <w:gridSpan w:val="3"/>
            <w:vAlign w:val="center"/>
            <w:hideMark/>
          </w:tcPr>
          <w:p w14:paraId="7654B0B0" w14:textId="77777777" w:rsidR="00000000" w:rsidRDefault="0068293C">
            <w:pPr>
              <w:spacing w:after="100"/>
              <w:rPr>
                <w:rFonts w:eastAsia="Times New Roman"/>
                <w:sz w:val="20"/>
                <w:szCs w:val="20"/>
              </w:rPr>
            </w:pPr>
          </w:p>
        </w:tc>
        <w:tc>
          <w:tcPr>
            <w:tcW w:w="0" w:type="auto"/>
            <w:gridSpan w:val="3"/>
            <w:vAlign w:val="center"/>
            <w:hideMark/>
          </w:tcPr>
          <w:p w14:paraId="2A0B3ADD" w14:textId="77777777" w:rsidR="00000000" w:rsidRDefault="0068293C">
            <w:pPr>
              <w:spacing w:after="100"/>
              <w:rPr>
                <w:rFonts w:eastAsia="Times New Roman"/>
                <w:sz w:val="20"/>
                <w:szCs w:val="20"/>
              </w:rPr>
            </w:pPr>
          </w:p>
        </w:tc>
        <w:tc>
          <w:tcPr>
            <w:tcW w:w="0" w:type="auto"/>
            <w:gridSpan w:val="3"/>
            <w:vAlign w:val="center"/>
            <w:hideMark/>
          </w:tcPr>
          <w:p w14:paraId="0BDDEB8F" w14:textId="77777777" w:rsidR="00000000" w:rsidRDefault="0068293C">
            <w:pPr>
              <w:spacing w:after="100"/>
              <w:rPr>
                <w:rFonts w:eastAsia="Times New Roman"/>
                <w:sz w:val="20"/>
                <w:szCs w:val="20"/>
              </w:rPr>
            </w:pPr>
          </w:p>
        </w:tc>
      </w:tr>
      <w:tr w:rsidR="00000000" w14:paraId="4380AA9D" w14:textId="77777777">
        <w:trPr>
          <w:jc w:val="center"/>
        </w:trPr>
        <w:tc>
          <w:tcPr>
            <w:tcW w:w="0" w:type="auto"/>
            <w:gridSpan w:val="3"/>
            <w:vAlign w:val="center"/>
            <w:hideMark/>
          </w:tcPr>
          <w:p w14:paraId="024B5C9D" w14:textId="77777777" w:rsidR="00000000" w:rsidRDefault="0068293C">
            <w:pPr>
              <w:spacing w:after="100"/>
              <w:rPr>
                <w:rFonts w:eastAsia="Times New Roman"/>
                <w:sz w:val="20"/>
                <w:szCs w:val="20"/>
              </w:rPr>
            </w:pPr>
          </w:p>
        </w:tc>
        <w:tc>
          <w:tcPr>
            <w:tcW w:w="0" w:type="auto"/>
            <w:gridSpan w:val="3"/>
            <w:vAlign w:val="center"/>
            <w:hideMark/>
          </w:tcPr>
          <w:p w14:paraId="202C9B80" w14:textId="77777777" w:rsidR="00000000" w:rsidRDefault="0068293C">
            <w:pPr>
              <w:spacing w:after="100"/>
              <w:rPr>
                <w:rFonts w:eastAsia="Times New Roman"/>
                <w:sz w:val="20"/>
                <w:szCs w:val="20"/>
              </w:rPr>
            </w:pPr>
          </w:p>
        </w:tc>
        <w:tc>
          <w:tcPr>
            <w:tcW w:w="0" w:type="auto"/>
            <w:gridSpan w:val="3"/>
            <w:vAlign w:val="center"/>
            <w:hideMark/>
          </w:tcPr>
          <w:p w14:paraId="6A563446" w14:textId="77777777" w:rsidR="00000000" w:rsidRDefault="0068293C">
            <w:pPr>
              <w:spacing w:after="100"/>
              <w:rPr>
                <w:rFonts w:eastAsia="Times New Roman"/>
                <w:sz w:val="20"/>
                <w:szCs w:val="20"/>
              </w:rPr>
            </w:pPr>
          </w:p>
        </w:tc>
        <w:tc>
          <w:tcPr>
            <w:tcW w:w="0" w:type="auto"/>
            <w:gridSpan w:val="3"/>
            <w:vAlign w:val="center"/>
            <w:hideMark/>
          </w:tcPr>
          <w:p w14:paraId="082049CF" w14:textId="77777777" w:rsidR="00000000" w:rsidRDefault="0068293C">
            <w:pPr>
              <w:spacing w:after="100"/>
              <w:rPr>
                <w:rFonts w:eastAsia="Times New Roman"/>
                <w:sz w:val="20"/>
                <w:szCs w:val="20"/>
              </w:rPr>
            </w:pPr>
          </w:p>
        </w:tc>
        <w:tc>
          <w:tcPr>
            <w:tcW w:w="0" w:type="auto"/>
            <w:gridSpan w:val="3"/>
            <w:vAlign w:val="center"/>
            <w:hideMark/>
          </w:tcPr>
          <w:p w14:paraId="59BC3EA6" w14:textId="77777777" w:rsidR="00000000" w:rsidRDefault="0068293C">
            <w:pPr>
              <w:spacing w:after="100"/>
              <w:rPr>
                <w:rFonts w:eastAsia="Times New Roman"/>
                <w:sz w:val="20"/>
                <w:szCs w:val="20"/>
              </w:rPr>
            </w:pPr>
          </w:p>
        </w:tc>
        <w:tc>
          <w:tcPr>
            <w:tcW w:w="0" w:type="auto"/>
            <w:gridSpan w:val="3"/>
            <w:vAlign w:val="center"/>
            <w:hideMark/>
          </w:tcPr>
          <w:p w14:paraId="25BC45D7" w14:textId="77777777" w:rsidR="00000000" w:rsidRDefault="0068293C">
            <w:pPr>
              <w:spacing w:after="100"/>
              <w:rPr>
                <w:rFonts w:eastAsia="Times New Roman"/>
                <w:sz w:val="20"/>
                <w:szCs w:val="20"/>
              </w:rPr>
            </w:pPr>
          </w:p>
        </w:tc>
        <w:tc>
          <w:tcPr>
            <w:tcW w:w="0" w:type="auto"/>
            <w:gridSpan w:val="3"/>
            <w:vAlign w:val="center"/>
            <w:hideMark/>
          </w:tcPr>
          <w:p w14:paraId="42D01349" w14:textId="77777777" w:rsidR="00000000" w:rsidRDefault="0068293C">
            <w:pPr>
              <w:spacing w:after="100"/>
              <w:rPr>
                <w:rFonts w:eastAsia="Times New Roman"/>
                <w:sz w:val="20"/>
                <w:szCs w:val="20"/>
              </w:rPr>
            </w:pPr>
          </w:p>
        </w:tc>
      </w:tr>
      <w:tr w:rsidR="00000000" w14:paraId="33F3257C" w14:textId="77777777">
        <w:trPr>
          <w:jc w:val="center"/>
        </w:trPr>
        <w:tc>
          <w:tcPr>
            <w:tcW w:w="0" w:type="auto"/>
            <w:gridSpan w:val="3"/>
            <w:vAlign w:val="center"/>
            <w:hideMark/>
          </w:tcPr>
          <w:p w14:paraId="3A1E33BC" w14:textId="77777777" w:rsidR="00000000" w:rsidRDefault="0068293C">
            <w:pPr>
              <w:spacing w:after="100"/>
              <w:rPr>
                <w:rFonts w:eastAsia="Times New Roman"/>
                <w:sz w:val="20"/>
                <w:szCs w:val="20"/>
              </w:rPr>
            </w:pPr>
          </w:p>
        </w:tc>
        <w:tc>
          <w:tcPr>
            <w:tcW w:w="0" w:type="auto"/>
            <w:gridSpan w:val="3"/>
            <w:vAlign w:val="center"/>
            <w:hideMark/>
          </w:tcPr>
          <w:p w14:paraId="33B37FF3" w14:textId="77777777" w:rsidR="00000000" w:rsidRDefault="0068293C">
            <w:pPr>
              <w:spacing w:after="100"/>
              <w:rPr>
                <w:rFonts w:eastAsia="Times New Roman"/>
                <w:sz w:val="20"/>
                <w:szCs w:val="20"/>
              </w:rPr>
            </w:pPr>
          </w:p>
        </w:tc>
        <w:tc>
          <w:tcPr>
            <w:tcW w:w="0" w:type="auto"/>
            <w:gridSpan w:val="3"/>
            <w:vAlign w:val="center"/>
            <w:hideMark/>
          </w:tcPr>
          <w:p w14:paraId="08406027" w14:textId="77777777" w:rsidR="00000000" w:rsidRDefault="0068293C">
            <w:pPr>
              <w:spacing w:after="100"/>
              <w:rPr>
                <w:rFonts w:eastAsia="Times New Roman"/>
                <w:sz w:val="20"/>
                <w:szCs w:val="20"/>
              </w:rPr>
            </w:pPr>
          </w:p>
        </w:tc>
        <w:tc>
          <w:tcPr>
            <w:tcW w:w="0" w:type="auto"/>
            <w:gridSpan w:val="3"/>
            <w:vAlign w:val="center"/>
            <w:hideMark/>
          </w:tcPr>
          <w:p w14:paraId="28B56799" w14:textId="77777777" w:rsidR="00000000" w:rsidRDefault="0068293C">
            <w:pPr>
              <w:spacing w:after="100"/>
              <w:rPr>
                <w:rFonts w:eastAsia="Times New Roman"/>
                <w:sz w:val="20"/>
                <w:szCs w:val="20"/>
              </w:rPr>
            </w:pPr>
          </w:p>
        </w:tc>
        <w:tc>
          <w:tcPr>
            <w:tcW w:w="0" w:type="auto"/>
            <w:gridSpan w:val="3"/>
            <w:vAlign w:val="center"/>
            <w:hideMark/>
          </w:tcPr>
          <w:p w14:paraId="52543199" w14:textId="77777777" w:rsidR="00000000" w:rsidRDefault="0068293C">
            <w:pPr>
              <w:spacing w:after="100"/>
              <w:rPr>
                <w:rFonts w:eastAsia="Times New Roman"/>
                <w:sz w:val="20"/>
                <w:szCs w:val="20"/>
              </w:rPr>
            </w:pPr>
          </w:p>
        </w:tc>
        <w:tc>
          <w:tcPr>
            <w:tcW w:w="0" w:type="auto"/>
            <w:gridSpan w:val="3"/>
            <w:vAlign w:val="center"/>
            <w:hideMark/>
          </w:tcPr>
          <w:p w14:paraId="02FF8C55" w14:textId="77777777" w:rsidR="00000000" w:rsidRDefault="0068293C">
            <w:pPr>
              <w:spacing w:after="100"/>
              <w:rPr>
                <w:rFonts w:eastAsia="Times New Roman"/>
                <w:sz w:val="20"/>
                <w:szCs w:val="20"/>
              </w:rPr>
            </w:pPr>
          </w:p>
        </w:tc>
        <w:tc>
          <w:tcPr>
            <w:tcW w:w="0" w:type="auto"/>
            <w:gridSpan w:val="3"/>
            <w:vAlign w:val="center"/>
            <w:hideMark/>
          </w:tcPr>
          <w:p w14:paraId="20B752E0" w14:textId="77777777" w:rsidR="00000000" w:rsidRDefault="0068293C">
            <w:pPr>
              <w:spacing w:after="100"/>
              <w:rPr>
                <w:rFonts w:eastAsia="Times New Roman"/>
                <w:sz w:val="20"/>
                <w:szCs w:val="20"/>
              </w:rPr>
            </w:pPr>
          </w:p>
        </w:tc>
      </w:tr>
      <w:tr w:rsidR="00000000" w14:paraId="57BEC65B" w14:textId="77777777">
        <w:trPr>
          <w:jc w:val="center"/>
        </w:trPr>
        <w:tc>
          <w:tcPr>
            <w:tcW w:w="0" w:type="auto"/>
            <w:gridSpan w:val="3"/>
            <w:shd w:val="clear" w:color="auto" w:fill="FFFFFF"/>
            <w:tcMar>
              <w:top w:w="0" w:type="dxa"/>
              <w:left w:w="20" w:type="dxa"/>
              <w:bottom w:w="0" w:type="dxa"/>
              <w:right w:w="20" w:type="dxa"/>
            </w:tcMar>
            <w:vAlign w:val="center"/>
            <w:hideMark/>
          </w:tcPr>
          <w:p w14:paraId="11F1C2D1" w14:textId="77777777" w:rsidR="00000000" w:rsidRDefault="0068293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2CB8B52" w14:textId="77777777" w:rsidR="00000000" w:rsidRDefault="0068293C">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AC6F87"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3F645D"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FA17DB" w14:textId="77777777" w:rsidR="00000000" w:rsidRDefault="0068293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71FEC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4715EB"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20B01C" w14:textId="77777777" w:rsidR="00000000" w:rsidRDefault="0068293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1116EA"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A8C27C"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39E0B8" w14:textId="77777777" w:rsidR="00000000" w:rsidRDefault="0068293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6ECC3C"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9DE80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DAF9EF"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B311CE" w14:textId="77777777" w:rsidR="00000000" w:rsidRDefault="0068293C">
            <w:pPr>
              <w:spacing w:after="100"/>
              <w:jc w:val="right"/>
              <w:rPr>
                <w:rFonts w:eastAsia="Times New Roman"/>
              </w:rPr>
            </w:pPr>
          </w:p>
        </w:tc>
      </w:tr>
      <w:tr w:rsidR="00000000" w14:paraId="356F4FDD" w14:textId="77777777">
        <w:trPr>
          <w:jc w:val="center"/>
        </w:trPr>
        <w:tc>
          <w:tcPr>
            <w:tcW w:w="0" w:type="auto"/>
            <w:gridSpan w:val="3"/>
            <w:shd w:val="clear" w:color="auto" w:fill="CCEEFF"/>
            <w:tcMar>
              <w:top w:w="0" w:type="dxa"/>
              <w:left w:w="20" w:type="dxa"/>
              <w:bottom w:w="0" w:type="dxa"/>
              <w:right w:w="20" w:type="dxa"/>
            </w:tcMar>
            <w:vAlign w:val="center"/>
            <w:hideMark/>
          </w:tcPr>
          <w:p w14:paraId="4CCC6594" w14:textId="77777777" w:rsidR="00000000" w:rsidRDefault="0068293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861B468" w14:textId="77777777" w:rsidR="00000000" w:rsidRDefault="0068293C">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52EB39" w14:textId="77777777" w:rsidR="00000000" w:rsidRDefault="0068293C">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16C3B3"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5E6346"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134595" w14:textId="77777777" w:rsidR="00000000" w:rsidRDefault="0068293C">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716124BE"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6CB6F08" w14:textId="77777777" w:rsidR="00000000" w:rsidRDefault="0068293C">
            <w:pPr>
              <w:spacing w:after="100"/>
              <w:jc w:val="right"/>
              <w:rPr>
                <w:rFonts w:eastAsia="Times New Roman"/>
              </w:rPr>
            </w:pPr>
          </w:p>
        </w:tc>
      </w:tr>
      <w:tr w:rsidR="00000000" w14:paraId="6B1627DF" w14:textId="77777777">
        <w:trPr>
          <w:jc w:val="center"/>
        </w:trPr>
        <w:tc>
          <w:tcPr>
            <w:tcW w:w="0" w:type="auto"/>
            <w:gridSpan w:val="3"/>
            <w:shd w:val="clear" w:color="auto" w:fill="FFFFFF"/>
            <w:tcMar>
              <w:top w:w="0" w:type="dxa"/>
              <w:left w:w="20" w:type="dxa"/>
              <w:bottom w:w="0" w:type="dxa"/>
              <w:right w:w="20" w:type="dxa"/>
            </w:tcMar>
            <w:vAlign w:val="center"/>
            <w:hideMark/>
          </w:tcPr>
          <w:p w14:paraId="0A578F7B" w14:textId="77777777" w:rsidR="00000000" w:rsidRDefault="0068293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C280C04" w14:textId="77777777" w:rsidR="00000000" w:rsidRDefault="0068293C">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14:paraId="0761E759" w14:textId="77777777" w:rsidR="00000000" w:rsidRDefault="006829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4F867"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EA74AA"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8A7127" w14:textId="77777777" w:rsidR="00000000" w:rsidRDefault="0068293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23C56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57D668"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C92827" w14:textId="77777777" w:rsidR="00000000" w:rsidRDefault="0068293C">
            <w:pPr>
              <w:spacing w:after="100"/>
              <w:jc w:val="right"/>
              <w:rPr>
                <w:rFonts w:eastAsia="Times New Roman"/>
              </w:rPr>
            </w:pPr>
          </w:p>
        </w:tc>
      </w:tr>
    </w:tbl>
    <w:p w14:paraId="4C048FB2" w14:textId="77777777" w:rsidR="00000000" w:rsidRDefault="0068293C">
      <w:pPr>
        <w:jc w:val="center"/>
        <w:rPr>
          <w:rFonts w:eastAsia="Times New Roman"/>
        </w:rPr>
      </w:pPr>
    </w:p>
    <w:p w14:paraId="660978E7" w14:textId="77777777" w:rsidR="00000000" w:rsidRDefault="0068293C">
      <w:pPr>
        <w:jc w:val="center"/>
        <w:rPr>
          <w:rFonts w:eastAsia="Times New Roman"/>
        </w:rPr>
      </w:pPr>
    </w:p>
    <w:p w14:paraId="14701C93" w14:textId="77777777" w:rsidR="00000000" w:rsidRDefault="0068293C">
      <w:pPr>
        <w:jc w:val="center"/>
        <w:rPr>
          <w:rFonts w:eastAsia="Times New Roman"/>
        </w:rPr>
      </w:pPr>
    </w:p>
    <w:p w14:paraId="2C04E109" w14:textId="77777777" w:rsidR="00000000" w:rsidRDefault="0068293C">
      <w:pPr>
        <w:jc w:val="center"/>
        <w:rPr>
          <w:rFonts w:eastAsia="Times New Roman"/>
        </w:rPr>
      </w:pPr>
    </w:p>
    <w:p w14:paraId="5239E17F" w14:textId="77777777" w:rsidR="00000000" w:rsidRDefault="0068293C">
      <w:pPr>
        <w:jc w:val="center"/>
        <w:rPr>
          <w:rFonts w:eastAsia="Times New Roman"/>
        </w:rPr>
      </w:pPr>
    </w:p>
    <w:p w14:paraId="118CAD11" w14:textId="77777777" w:rsidR="00000000" w:rsidRDefault="0068293C">
      <w:pPr>
        <w:jc w:val="center"/>
        <w:rPr>
          <w:rFonts w:eastAsia="Times New Roman"/>
        </w:rPr>
      </w:pPr>
    </w:p>
    <w:p w14:paraId="5CD8162D" w14:textId="77777777" w:rsidR="00000000" w:rsidRDefault="0068293C">
      <w:pPr>
        <w:jc w:val="center"/>
        <w:divId w:val="160127778"/>
        <w:rPr>
          <w:rFonts w:eastAsia="Times New Roman"/>
        </w:rPr>
      </w:pPr>
    </w:p>
    <w:p w14:paraId="68D7B49B" w14:textId="77777777" w:rsidR="00000000" w:rsidRDefault="0068293C">
      <w:pPr>
        <w:divId w:val="1454863171"/>
        <w:rPr>
          <w:rFonts w:eastAsia="Times New Roman"/>
        </w:rPr>
      </w:pPr>
    </w:p>
    <w:p w14:paraId="36388C9B" w14:textId="77777777" w:rsidR="00000000" w:rsidRDefault="0068293C">
      <w:pPr>
        <w:jc w:val="center"/>
        <w:divId w:val="2062823856"/>
        <w:rPr>
          <w:rFonts w:eastAsia="Times New Roman"/>
        </w:rPr>
      </w:pPr>
      <w:r>
        <w:rPr>
          <w:rFonts w:eastAsia="Times New Roman"/>
          <w:color w:val="000000"/>
          <w:sz w:val="20"/>
          <w:szCs w:val="20"/>
        </w:rPr>
        <w:t>33</w:t>
      </w:r>
    </w:p>
    <w:p w14:paraId="3276D82C" w14:textId="77777777" w:rsidR="00000000" w:rsidRDefault="0068293C">
      <w:pPr>
        <w:rPr>
          <w:rFonts w:eastAsia="Times New Roman"/>
        </w:rPr>
      </w:pPr>
      <w:r>
        <w:rPr>
          <w:rFonts w:eastAsia="Times New Roman"/>
        </w:rPr>
        <w:pict w14:anchorId="06D9CB92">
          <v:rect id="_x0000_i1058" style="width:0;height:1.5pt" o:hralign="center" o:hrstd="t" o:hr="t" fillcolor="#a0a0a0" stroked="f"/>
        </w:pict>
      </w:r>
    </w:p>
    <w:p w14:paraId="144FDCDD" w14:textId="77777777" w:rsidR="00000000" w:rsidRDefault="0068293C">
      <w:pPr>
        <w:ind w:firstLine="720"/>
        <w:divId w:val="2081755185"/>
        <w:rPr>
          <w:rFonts w:eastAsia="Times New Roman"/>
        </w:rPr>
      </w:pPr>
      <w:hyperlink w:anchor="i78484f3d0d8e4e36a7c87ddd6ea9d725_7" w:history="1">
        <w:r>
          <w:rPr>
            <w:rStyle w:val="a3"/>
            <w:rFonts w:eastAsia="Times New Roman"/>
            <w:sz w:val="16"/>
            <w:szCs w:val="16"/>
          </w:rPr>
          <w:t>Table of Content</w:t>
        </w:r>
      </w:hyperlink>
    </w:p>
    <w:p w14:paraId="56D8CBB2" w14:textId="77777777" w:rsidR="00000000" w:rsidRDefault="0068293C">
      <w:pPr>
        <w:jc w:val="center"/>
        <w:divId w:val="662273731"/>
        <w:rPr>
          <w:rFonts w:eastAsia="Times New Roman"/>
        </w:rPr>
      </w:pPr>
      <w:r>
        <w:rPr>
          <w:rFonts w:eastAsia="Times New Roman"/>
          <w:b/>
          <w:bCs/>
          <w:color w:val="000000"/>
          <w:sz w:val="20"/>
          <w:szCs w:val="20"/>
        </w:rPr>
        <w:t>NCR Corporation</w:t>
      </w:r>
    </w:p>
    <w:p w14:paraId="560B5B75" w14:textId="77777777" w:rsidR="00000000" w:rsidRDefault="0068293C">
      <w:pPr>
        <w:jc w:val="center"/>
        <w:divId w:val="662273731"/>
        <w:rPr>
          <w:rFonts w:eastAsia="Times New Roman"/>
        </w:rPr>
      </w:pPr>
      <w:r>
        <w:rPr>
          <w:rFonts w:eastAsia="Times New Roman"/>
          <w:b/>
          <w:bCs/>
          <w:color w:val="000000"/>
          <w:sz w:val="20"/>
          <w:szCs w:val="20"/>
        </w:rPr>
        <w:t>Notes to Condensed Consolidated Financial Statements (Unaudited)—(Continued)</w:t>
      </w:r>
    </w:p>
    <w:p w14:paraId="0CC071A5" w14:textId="77777777" w:rsidR="00000000" w:rsidRDefault="0068293C">
      <w:pPr>
        <w:divId w:val="492457272"/>
        <w:rPr>
          <w:rFonts w:eastAsia="Times New Roman"/>
        </w:rPr>
      </w:pPr>
      <w:r>
        <w:rPr>
          <w:rFonts w:eastAsia="Times New Roman"/>
          <w:b/>
          <w:bCs/>
          <w:color w:val="54B948"/>
          <w:sz w:val="20"/>
          <w:szCs w:val="20"/>
        </w:rPr>
        <w:t>16. SUPPLEMENTAL FINANCIAL INFORMATION</w:t>
      </w:r>
      <w:r>
        <w:rPr>
          <w:rFonts w:eastAsia="Times New Roman"/>
          <w:b/>
          <w:bCs/>
          <w:color w:val="000000"/>
          <w:sz w:val="20"/>
          <w:szCs w:val="20"/>
        </w:rPr>
        <w:t xml:space="preserve"> </w:t>
      </w:r>
    </w:p>
    <w:p w14:paraId="4DD48E1F" w14:textId="77777777" w:rsidR="00000000" w:rsidRDefault="0068293C">
      <w:pPr>
        <w:jc w:val="both"/>
        <w:divId w:val="2103792653"/>
        <w:rPr>
          <w:rFonts w:eastAsia="Times New Roman"/>
        </w:rPr>
      </w:pPr>
      <w:r>
        <w:rPr>
          <w:rFonts w:eastAsia="Times New Roman"/>
          <w:color w:val="000000"/>
          <w:sz w:val="20"/>
          <w:szCs w:val="20"/>
        </w:rPr>
        <w:t>The componen</w:t>
      </w:r>
      <w:r>
        <w:rPr>
          <w:rFonts w:eastAsia="Times New Roman"/>
          <w:color w:val="000000"/>
          <w:sz w:val="20"/>
          <w:szCs w:val="20"/>
        </w:rPr>
        <w:t>ts of accounts receivable are summarized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0"/>
        <w:gridCol w:w="36"/>
        <w:gridCol w:w="120"/>
        <w:gridCol w:w="1092"/>
        <w:gridCol w:w="36"/>
        <w:gridCol w:w="36"/>
        <w:gridCol w:w="36"/>
        <w:gridCol w:w="36"/>
        <w:gridCol w:w="121"/>
        <w:gridCol w:w="1082"/>
        <w:gridCol w:w="36"/>
      </w:tblGrid>
      <w:tr w:rsidR="00000000" w14:paraId="7B86780A" w14:textId="77777777">
        <w:trPr>
          <w:divId w:val="1078208969"/>
          <w:jc w:val="center"/>
        </w:trPr>
        <w:tc>
          <w:tcPr>
            <w:tcW w:w="50" w:type="pct"/>
            <w:vAlign w:val="center"/>
            <w:hideMark/>
          </w:tcPr>
          <w:p w14:paraId="6E5D2A87" w14:textId="77777777" w:rsidR="00000000" w:rsidRDefault="0068293C">
            <w:pPr>
              <w:jc w:val="both"/>
              <w:rPr>
                <w:rFonts w:eastAsia="Times New Roman"/>
              </w:rPr>
            </w:pPr>
          </w:p>
        </w:tc>
        <w:tc>
          <w:tcPr>
            <w:tcW w:w="3412" w:type="pct"/>
            <w:vAlign w:val="center"/>
            <w:hideMark/>
          </w:tcPr>
          <w:p w14:paraId="07357322" w14:textId="77777777" w:rsidR="00000000" w:rsidRDefault="0068293C">
            <w:pPr>
              <w:spacing w:after="100"/>
              <w:rPr>
                <w:rFonts w:eastAsia="Times New Roman"/>
                <w:sz w:val="20"/>
                <w:szCs w:val="20"/>
              </w:rPr>
            </w:pPr>
          </w:p>
        </w:tc>
        <w:tc>
          <w:tcPr>
            <w:tcW w:w="5" w:type="pct"/>
            <w:vAlign w:val="center"/>
            <w:hideMark/>
          </w:tcPr>
          <w:p w14:paraId="288E9D05" w14:textId="77777777" w:rsidR="00000000" w:rsidRDefault="0068293C">
            <w:pPr>
              <w:spacing w:after="100"/>
              <w:rPr>
                <w:rFonts w:eastAsia="Times New Roman"/>
                <w:sz w:val="20"/>
                <w:szCs w:val="20"/>
              </w:rPr>
            </w:pPr>
          </w:p>
        </w:tc>
        <w:tc>
          <w:tcPr>
            <w:tcW w:w="50" w:type="pct"/>
            <w:vAlign w:val="center"/>
            <w:hideMark/>
          </w:tcPr>
          <w:p w14:paraId="022A8F1A" w14:textId="77777777" w:rsidR="00000000" w:rsidRDefault="0068293C">
            <w:pPr>
              <w:spacing w:after="100"/>
              <w:rPr>
                <w:rFonts w:eastAsia="Times New Roman"/>
                <w:sz w:val="20"/>
                <w:szCs w:val="20"/>
              </w:rPr>
            </w:pPr>
          </w:p>
        </w:tc>
        <w:tc>
          <w:tcPr>
            <w:tcW w:w="685" w:type="pct"/>
            <w:vAlign w:val="center"/>
            <w:hideMark/>
          </w:tcPr>
          <w:p w14:paraId="35C09A75" w14:textId="77777777" w:rsidR="00000000" w:rsidRDefault="0068293C">
            <w:pPr>
              <w:spacing w:after="100"/>
              <w:rPr>
                <w:rFonts w:eastAsia="Times New Roman"/>
                <w:sz w:val="20"/>
                <w:szCs w:val="20"/>
              </w:rPr>
            </w:pPr>
          </w:p>
        </w:tc>
        <w:tc>
          <w:tcPr>
            <w:tcW w:w="5" w:type="pct"/>
            <w:vAlign w:val="center"/>
            <w:hideMark/>
          </w:tcPr>
          <w:p w14:paraId="38F25552" w14:textId="77777777" w:rsidR="00000000" w:rsidRDefault="0068293C">
            <w:pPr>
              <w:spacing w:after="100"/>
              <w:rPr>
                <w:rFonts w:eastAsia="Times New Roman"/>
                <w:sz w:val="20"/>
                <w:szCs w:val="20"/>
              </w:rPr>
            </w:pPr>
          </w:p>
        </w:tc>
        <w:tc>
          <w:tcPr>
            <w:tcW w:w="5" w:type="pct"/>
            <w:vAlign w:val="center"/>
            <w:hideMark/>
          </w:tcPr>
          <w:p w14:paraId="43BFFAF6" w14:textId="77777777" w:rsidR="00000000" w:rsidRDefault="0068293C">
            <w:pPr>
              <w:spacing w:after="100"/>
              <w:rPr>
                <w:rFonts w:eastAsia="Times New Roman"/>
                <w:sz w:val="20"/>
                <w:szCs w:val="20"/>
              </w:rPr>
            </w:pPr>
          </w:p>
        </w:tc>
        <w:tc>
          <w:tcPr>
            <w:tcW w:w="26" w:type="pct"/>
            <w:vAlign w:val="center"/>
            <w:hideMark/>
          </w:tcPr>
          <w:p w14:paraId="370B96D8" w14:textId="77777777" w:rsidR="00000000" w:rsidRDefault="0068293C">
            <w:pPr>
              <w:spacing w:after="100"/>
              <w:rPr>
                <w:rFonts w:eastAsia="Times New Roman"/>
                <w:sz w:val="20"/>
                <w:szCs w:val="20"/>
              </w:rPr>
            </w:pPr>
          </w:p>
        </w:tc>
        <w:tc>
          <w:tcPr>
            <w:tcW w:w="5" w:type="pct"/>
            <w:vAlign w:val="center"/>
            <w:hideMark/>
          </w:tcPr>
          <w:p w14:paraId="52A6B063" w14:textId="77777777" w:rsidR="00000000" w:rsidRDefault="0068293C">
            <w:pPr>
              <w:spacing w:after="100"/>
              <w:rPr>
                <w:rFonts w:eastAsia="Times New Roman"/>
                <w:sz w:val="20"/>
                <w:szCs w:val="20"/>
              </w:rPr>
            </w:pPr>
          </w:p>
        </w:tc>
        <w:tc>
          <w:tcPr>
            <w:tcW w:w="50" w:type="pct"/>
            <w:vAlign w:val="center"/>
            <w:hideMark/>
          </w:tcPr>
          <w:p w14:paraId="5FC9B096" w14:textId="77777777" w:rsidR="00000000" w:rsidRDefault="0068293C">
            <w:pPr>
              <w:spacing w:after="100"/>
              <w:rPr>
                <w:rFonts w:eastAsia="Times New Roman"/>
                <w:sz w:val="20"/>
                <w:szCs w:val="20"/>
              </w:rPr>
            </w:pPr>
          </w:p>
        </w:tc>
        <w:tc>
          <w:tcPr>
            <w:tcW w:w="700" w:type="pct"/>
            <w:vAlign w:val="center"/>
            <w:hideMark/>
          </w:tcPr>
          <w:p w14:paraId="5788568A" w14:textId="77777777" w:rsidR="00000000" w:rsidRDefault="0068293C">
            <w:pPr>
              <w:spacing w:after="100"/>
              <w:rPr>
                <w:rFonts w:eastAsia="Times New Roman"/>
                <w:sz w:val="20"/>
                <w:szCs w:val="20"/>
              </w:rPr>
            </w:pPr>
          </w:p>
        </w:tc>
        <w:tc>
          <w:tcPr>
            <w:tcW w:w="5" w:type="pct"/>
            <w:vAlign w:val="center"/>
            <w:hideMark/>
          </w:tcPr>
          <w:p w14:paraId="246CC320" w14:textId="77777777" w:rsidR="00000000" w:rsidRDefault="0068293C">
            <w:pPr>
              <w:spacing w:after="100"/>
              <w:rPr>
                <w:rFonts w:eastAsia="Times New Roman"/>
                <w:sz w:val="20"/>
                <w:szCs w:val="20"/>
              </w:rPr>
            </w:pPr>
          </w:p>
        </w:tc>
      </w:tr>
      <w:tr w:rsidR="00000000" w14:paraId="0E27E1CA" w14:textId="77777777">
        <w:trPr>
          <w:divId w:val="1078208969"/>
          <w:jc w:val="center"/>
        </w:trPr>
        <w:tc>
          <w:tcPr>
            <w:tcW w:w="0" w:type="auto"/>
            <w:gridSpan w:val="3"/>
            <w:tcMar>
              <w:top w:w="30" w:type="dxa"/>
              <w:left w:w="20" w:type="dxa"/>
              <w:bottom w:w="30" w:type="dxa"/>
              <w:right w:w="20" w:type="dxa"/>
            </w:tcMar>
            <w:vAlign w:val="bottom"/>
            <w:hideMark/>
          </w:tcPr>
          <w:p w14:paraId="70B81A88"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61DEB9D5" w14:textId="77777777" w:rsidR="00000000" w:rsidRDefault="0068293C">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388C05E8"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CB73D7"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07D13360" w14:textId="77777777">
        <w:trPr>
          <w:divId w:val="1078208969"/>
          <w:jc w:val="center"/>
        </w:trPr>
        <w:tc>
          <w:tcPr>
            <w:tcW w:w="0" w:type="auto"/>
            <w:gridSpan w:val="3"/>
            <w:shd w:val="clear" w:color="auto" w:fill="CCEEFF"/>
            <w:tcMar>
              <w:top w:w="30" w:type="dxa"/>
              <w:left w:w="20" w:type="dxa"/>
              <w:bottom w:w="30" w:type="dxa"/>
              <w:right w:w="20" w:type="dxa"/>
            </w:tcMar>
            <w:hideMark/>
          </w:tcPr>
          <w:p w14:paraId="2B0DBE67" w14:textId="77777777" w:rsidR="00000000" w:rsidRDefault="0068293C">
            <w:pPr>
              <w:spacing w:after="100"/>
              <w:rPr>
                <w:rFonts w:eastAsia="Times New Roman"/>
              </w:rPr>
            </w:pPr>
            <w:r>
              <w:rPr>
                <w:rFonts w:eastAsia="Times New Roman"/>
                <w:b/>
                <w:bCs/>
                <w:color w:val="000000"/>
                <w:sz w:val="20"/>
                <w:szCs w:val="20"/>
              </w:rPr>
              <w:t>Accounts receivable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4E3BDA"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AEA25"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D56004" w14:textId="77777777" w:rsidR="00000000" w:rsidRDefault="0068293C">
            <w:pPr>
              <w:spacing w:after="100"/>
              <w:rPr>
                <w:rFonts w:eastAsia="Times New Roman"/>
                <w:sz w:val="20"/>
                <w:szCs w:val="20"/>
              </w:rPr>
            </w:pPr>
          </w:p>
        </w:tc>
      </w:tr>
      <w:tr w:rsidR="00000000" w14:paraId="579405ED" w14:textId="77777777">
        <w:trPr>
          <w:divId w:val="1078208969"/>
          <w:jc w:val="center"/>
        </w:trPr>
        <w:tc>
          <w:tcPr>
            <w:tcW w:w="0" w:type="auto"/>
            <w:gridSpan w:val="3"/>
            <w:shd w:val="clear" w:color="auto" w:fill="FFFFFF"/>
            <w:tcMar>
              <w:top w:w="30" w:type="dxa"/>
              <w:left w:w="20" w:type="dxa"/>
              <w:bottom w:w="30" w:type="dxa"/>
              <w:right w:w="20" w:type="dxa"/>
            </w:tcMar>
            <w:hideMark/>
          </w:tcPr>
          <w:p w14:paraId="7FACAD02" w14:textId="77777777" w:rsidR="00000000" w:rsidRDefault="0068293C">
            <w:pPr>
              <w:spacing w:after="100"/>
              <w:rPr>
                <w:rFonts w:eastAsia="Times New Roman"/>
              </w:rPr>
            </w:pPr>
            <w:r>
              <w:rPr>
                <w:rFonts w:eastAsia="Times New Roman"/>
                <w:color w:val="000000"/>
                <w:sz w:val="20"/>
                <w:szCs w:val="20"/>
              </w:rPr>
              <w:t>Trade</w:t>
            </w:r>
          </w:p>
        </w:tc>
        <w:tc>
          <w:tcPr>
            <w:tcW w:w="0" w:type="auto"/>
            <w:shd w:val="clear" w:color="auto" w:fill="FFFFFF"/>
            <w:tcMar>
              <w:top w:w="30" w:type="dxa"/>
              <w:left w:w="20" w:type="dxa"/>
              <w:bottom w:w="30" w:type="dxa"/>
              <w:right w:w="0" w:type="dxa"/>
            </w:tcMar>
            <w:vAlign w:val="bottom"/>
            <w:hideMark/>
          </w:tcPr>
          <w:p w14:paraId="1E761C57"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429FDC3" w14:textId="77777777" w:rsidR="00000000" w:rsidRDefault="0068293C">
            <w:pPr>
              <w:spacing w:after="100"/>
              <w:jc w:val="right"/>
              <w:rPr>
                <w:rFonts w:eastAsia="Times New Roman"/>
              </w:rPr>
            </w:pPr>
            <w:r>
              <w:rPr>
                <w:rFonts w:eastAsia="Times New Roman"/>
                <w:b/>
                <w:bCs/>
                <w:color w:val="000000"/>
                <w:sz w:val="20"/>
                <w:szCs w:val="20"/>
              </w:rPr>
              <w:t>1,049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F8F89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6392F"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ACA8F9"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DB3DAF" w14:textId="77777777" w:rsidR="00000000" w:rsidRDefault="0068293C">
            <w:pPr>
              <w:spacing w:after="100"/>
              <w:jc w:val="right"/>
              <w:rPr>
                <w:rFonts w:eastAsia="Times New Roman"/>
              </w:rPr>
            </w:pPr>
            <w:r>
              <w:rPr>
                <w:rFonts w:eastAsia="Times New Roman"/>
                <w:color w:val="000000"/>
                <w:sz w:val="20"/>
                <w:szCs w:val="20"/>
              </w:rPr>
              <w:t>939 </w:t>
            </w:r>
          </w:p>
        </w:tc>
        <w:tc>
          <w:tcPr>
            <w:tcW w:w="0" w:type="auto"/>
            <w:shd w:val="clear" w:color="auto" w:fill="FFFFFF"/>
            <w:tcMar>
              <w:top w:w="30" w:type="dxa"/>
              <w:left w:w="0" w:type="dxa"/>
              <w:bottom w:w="30" w:type="dxa"/>
              <w:right w:w="20" w:type="dxa"/>
            </w:tcMar>
            <w:vAlign w:val="bottom"/>
            <w:hideMark/>
          </w:tcPr>
          <w:p w14:paraId="3EDA4BA0" w14:textId="77777777" w:rsidR="00000000" w:rsidRDefault="0068293C">
            <w:pPr>
              <w:spacing w:after="100"/>
              <w:jc w:val="right"/>
              <w:rPr>
                <w:rFonts w:eastAsia="Times New Roman"/>
              </w:rPr>
            </w:pPr>
          </w:p>
        </w:tc>
      </w:tr>
      <w:tr w:rsidR="00000000" w14:paraId="47610C74" w14:textId="77777777">
        <w:trPr>
          <w:divId w:val="1078208969"/>
          <w:jc w:val="center"/>
        </w:trPr>
        <w:tc>
          <w:tcPr>
            <w:tcW w:w="0" w:type="auto"/>
            <w:gridSpan w:val="3"/>
            <w:shd w:val="clear" w:color="auto" w:fill="CCEEFF"/>
            <w:tcMar>
              <w:top w:w="30" w:type="dxa"/>
              <w:left w:w="20" w:type="dxa"/>
              <w:bottom w:w="30" w:type="dxa"/>
              <w:right w:w="20" w:type="dxa"/>
            </w:tcMar>
            <w:hideMark/>
          </w:tcPr>
          <w:p w14:paraId="64B435E7" w14:textId="77777777" w:rsidR="00000000" w:rsidRDefault="0068293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7084D2D4" w14:textId="77777777" w:rsidR="00000000" w:rsidRDefault="0068293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990F2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6C94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C52DB2" w14:textId="77777777" w:rsidR="00000000" w:rsidRDefault="0068293C">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6B76CB45" w14:textId="77777777" w:rsidR="00000000" w:rsidRDefault="0068293C">
            <w:pPr>
              <w:spacing w:after="100"/>
              <w:jc w:val="right"/>
              <w:rPr>
                <w:rFonts w:eastAsia="Times New Roman"/>
              </w:rPr>
            </w:pPr>
          </w:p>
        </w:tc>
      </w:tr>
      <w:tr w:rsidR="00000000" w14:paraId="5B123187" w14:textId="77777777">
        <w:trPr>
          <w:divId w:val="1078208969"/>
          <w:jc w:val="center"/>
        </w:trPr>
        <w:tc>
          <w:tcPr>
            <w:tcW w:w="0" w:type="auto"/>
            <w:gridSpan w:val="3"/>
            <w:shd w:val="clear" w:color="auto" w:fill="FFFFFF"/>
            <w:tcMar>
              <w:top w:w="30" w:type="dxa"/>
              <w:left w:w="20" w:type="dxa"/>
              <w:bottom w:w="30" w:type="dxa"/>
              <w:right w:w="20" w:type="dxa"/>
            </w:tcMar>
            <w:hideMark/>
          </w:tcPr>
          <w:p w14:paraId="712797AD" w14:textId="77777777" w:rsidR="00000000" w:rsidRDefault="0068293C">
            <w:pPr>
              <w:spacing w:after="100"/>
              <w:rPr>
                <w:rFonts w:eastAsia="Times New Roman"/>
              </w:rPr>
            </w:pPr>
            <w:r>
              <w:rPr>
                <w:rFonts w:eastAsia="Times New Roman"/>
                <w:color w:val="000000"/>
                <w:sz w:val="20"/>
                <w:szCs w:val="20"/>
              </w:rPr>
              <w:t>Accounts receivable,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F2CA60" w14:textId="77777777" w:rsidR="00000000" w:rsidRDefault="0068293C">
            <w:pPr>
              <w:spacing w:after="100"/>
              <w:jc w:val="right"/>
              <w:rPr>
                <w:rFonts w:eastAsia="Times New Roman"/>
              </w:rPr>
            </w:pPr>
            <w:r>
              <w:rPr>
                <w:rFonts w:eastAsia="Times New Roman"/>
                <w:b/>
                <w:bCs/>
                <w:color w:val="000000"/>
                <w:sz w:val="20"/>
                <w:szCs w:val="20"/>
              </w:rPr>
              <w:t>1,097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4A888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4CA6E"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B6D612" w14:textId="77777777" w:rsidR="00000000" w:rsidRDefault="0068293C">
            <w:pPr>
              <w:spacing w:after="100"/>
              <w:jc w:val="right"/>
              <w:rPr>
                <w:rFonts w:eastAsia="Times New Roman"/>
              </w:rPr>
            </w:pPr>
            <w:r>
              <w:rPr>
                <w:rFonts w:eastAsia="Times New Roman"/>
                <w:color w:val="000000"/>
                <w:sz w:val="20"/>
                <w:szCs w:val="20"/>
              </w:rPr>
              <w:t>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3F50F9" w14:textId="77777777" w:rsidR="00000000" w:rsidRDefault="0068293C">
            <w:pPr>
              <w:spacing w:after="100"/>
              <w:jc w:val="right"/>
              <w:rPr>
                <w:rFonts w:eastAsia="Times New Roman"/>
              </w:rPr>
            </w:pPr>
          </w:p>
        </w:tc>
      </w:tr>
      <w:tr w:rsidR="00000000" w14:paraId="52CF356B" w14:textId="77777777">
        <w:trPr>
          <w:divId w:val="1078208969"/>
          <w:jc w:val="center"/>
        </w:trPr>
        <w:tc>
          <w:tcPr>
            <w:tcW w:w="0" w:type="auto"/>
            <w:gridSpan w:val="3"/>
            <w:shd w:val="clear" w:color="auto" w:fill="CCEEFF"/>
            <w:tcMar>
              <w:top w:w="30" w:type="dxa"/>
              <w:left w:w="20" w:type="dxa"/>
              <w:bottom w:w="30" w:type="dxa"/>
              <w:right w:w="20" w:type="dxa"/>
            </w:tcMar>
            <w:hideMark/>
          </w:tcPr>
          <w:p w14:paraId="6402F669" w14:textId="77777777" w:rsidR="00000000" w:rsidRDefault="0068293C">
            <w:pPr>
              <w:spacing w:after="100"/>
              <w:rPr>
                <w:rFonts w:eastAsia="Times New Roman"/>
              </w:rPr>
            </w:pPr>
            <w:r>
              <w:rPr>
                <w:rFonts w:eastAsia="Times New Roman"/>
                <w:color w:val="000000"/>
                <w:sz w:val="20"/>
                <w:szCs w:val="20"/>
              </w:rPr>
              <w:t>Less: allowance for credit losses</w:t>
            </w:r>
          </w:p>
        </w:tc>
        <w:tc>
          <w:tcPr>
            <w:tcW w:w="0" w:type="auto"/>
            <w:gridSpan w:val="2"/>
            <w:shd w:val="clear" w:color="auto" w:fill="CCEEFF"/>
            <w:tcMar>
              <w:top w:w="30" w:type="dxa"/>
              <w:left w:w="20" w:type="dxa"/>
              <w:bottom w:w="30" w:type="dxa"/>
              <w:right w:w="0" w:type="dxa"/>
            </w:tcMar>
            <w:vAlign w:val="bottom"/>
            <w:hideMark/>
          </w:tcPr>
          <w:p w14:paraId="60B40956" w14:textId="77777777" w:rsidR="00000000" w:rsidRDefault="0068293C">
            <w:pPr>
              <w:spacing w:after="100"/>
              <w:jc w:val="right"/>
              <w:rPr>
                <w:rFonts w:eastAsia="Times New Roman"/>
              </w:rPr>
            </w:pPr>
            <w:r>
              <w:rPr>
                <w:rFonts w:eastAsia="Times New Roman"/>
                <w:b/>
                <w:bCs/>
                <w:color w:val="000000"/>
                <w:sz w:val="20"/>
                <w:szCs w:val="20"/>
              </w:rPr>
              <w:t>(26)</w:t>
            </w:r>
          </w:p>
        </w:tc>
        <w:tc>
          <w:tcPr>
            <w:tcW w:w="0" w:type="auto"/>
            <w:shd w:val="clear" w:color="auto" w:fill="CCEEFF"/>
            <w:tcMar>
              <w:top w:w="30" w:type="dxa"/>
              <w:left w:w="0" w:type="dxa"/>
              <w:bottom w:w="30" w:type="dxa"/>
              <w:right w:w="20" w:type="dxa"/>
            </w:tcMar>
            <w:vAlign w:val="bottom"/>
            <w:hideMark/>
          </w:tcPr>
          <w:p w14:paraId="75D7175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80C92"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72975" w14:textId="77777777" w:rsidR="00000000" w:rsidRDefault="0068293C">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78FE6756" w14:textId="77777777" w:rsidR="00000000" w:rsidRDefault="0068293C">
            <w:pPr>
              <w:spacing w:after="100"/>
              <w:jc w:val="right"/>
              <w:rPr>
                <w:rFonts w:eastAsia="Times New Roman"/>
              </w:rPr>
            </w:pPr>
          </w:p>
        </w:tc>
      </w:tr>
      <w:tr w:rsidR="00000000" w14:paraId="19EC5139" w14:textId="77777777">
        <w:trPr>
          <w:divId w:val="1078208969"/>
          <w:jc w:val="center"/>
        </w:trPr>
        <w:tc>
          <w:tcPr>
            <w:tcW w:w="0" w:type="auto"/>
            <w:gridSpan w:val="3"/>
            <w:shd w:val="clear" w:color="auto" w:fill="FFFFFF"/>
            <w:tcMar>
              <w:top w:w="30" w:type="dxa"/>
              <w:left w:w="20" w:type="dxa"/>
              <w:bottom w:w="30" w:type="dxa"/>
              <w:right w:w="20" w:type="dxa"/>
            </w:tcMar>
            <w:hideMark/>
          </w:tcPr>
          <w:p w14:paraId="7241285A" w14:textId="77777777" w:rsidR="00000000" w:rsidRDefault="0068293C">
            <w:pPr>
              <w:spacing w:after="100"/>
              <w:rPr>
                <w:rFonts w:eastAsia="Times New Roman"/>
              </w:rPr>
            </w:pPr>
            <w:r>
              <w:rPr>
                <w:rFonts w:eastAsia="Times New Roman"/>
                <w:b/>
                <w:bCs/>
                <w:color w:val="000000"/>
                <w:sz w:val="20"/>
                <w:szCs w:val="20"/>
              </w:rPr>
              <w:t>Total accounts receivable,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B606C5"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2E99FF" w14:textId="77777777" w:rsidR="00000000" w:rsidRDefault="0068293C">
            <w:pPr>
              <w:spacing w:after="100"/>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D68AB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4D92A"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5BE0B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C7EE99" w14:textId="77777777" w:rsidR="00000000" w:rsidRDefault="0068293C">
            <w:pPr>
              <w:spacing w:after="100"/>
              <w:jc w:val="right"/>
              <w:rPr>
                <w:rFonts w:eastAsia="Times New Roman"/>
              </w:rPr>
            </w:pPr>
            <w:r>
              <w:rPr>
                <w:rFonts w:eastAsia="Times New Roman"/>
                <w:color w:val="000000"/>
                <w:sz w:val="20"/>
                <w:szCs w:val="20"/>
              </w:rPr>
              <w:t>959 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1926A6" w14:textId="77777777" w:rsidR="00000000" w:rsidRDefault="0068293C">
            <w:pPr>
              <w:spacing w:after="100"/>
              <w:jc w:val="right"/>
              <w:rPr>
                <w:rFonts w:eastAsia="Times New Roman"/>
              </w:rPr>
            </w:pPr>
          </w:p>
        </w:tc>
      </w:tr>
    </w:tbl>
    <w:p w14:paraId="19F4C3EA" w14:textId="77777777" w:rsidR="00000000" w:rsidRDefault="0068293C">
      <w:pPr>
        <w:jc w:val="both"/>
        <w:divId w:val="391469474"/>
        <w:rPr>
          <w:rFonts w:eastAsia="Times New Roman"/>
        </w:rPr>
      </w:pPr>
      <w:r>
        <w:rPr>
          <w:rFonts w:eastAsia="Times New Roman"/>
          <w:color w:val="000000"/>
          <w:sz w:val="20"/>
          <w:szCs w:val="20"/>
        </w:rPr>
        <w:t xml:space="preserve">Our allowance for credit losses as of March 31, 2022 and December 31, 2021 was $26 million and $24 million, respectively. </w:t>
      </w:r>
      <w:r>
        <w:rPr>
          <w:rFonts w:eastAsia="Times New Roman"/>
          <w:color w:val="000000"/>
          <w:sz w:val="20"/>
          <w:szCs w:val="20"/>
          <w:shd w:val="clear" w:color="auto" w:fill="FFFFFF"/>
        </w:rPr>
        <w:t>The impact to our allowance for credit losses for the three months ended March 31, 2022 was an expense of $4 million. We continue to e</w:t>
      </w:r>
      <w:r>
        <w:rPr>
          <w:rFonts w:eastAsia="Times New Roman"/>
          <w:color w:val="000000"/>
          <w:sz w:val="20"/>
          <w:szCs w:val="20"/>
          <w:shd w:val="clear" w:color="auto" w:fill="FFFFFF"/>
        </w:rPr>
        <w:t>valuate our reserves in light of the age and quality of our outstanding accounts receivable, risks to specific industries or countries, as well as the COVID-19 pandemic, and adjust the reserves accordingly. Our allowance for credit losses charged to expens</w:t>
      </w:r>
      <w:r>
        <w:rPr>
          <w:rFonts w:eastAsia="Times New Roman"/>
          <w:color w:val="000000"/>
          <w:sz w:val="20"/>
          <w:szCs w:val="20"/>
          <w:shd w:val="clear" w:color="auto" w:fill="FFFFFF"/>
        </w:rPr>
        <w:t>e for the three months ended March 31, 2021 was zero. The Company recorded write-offs against the reserve for the three months ended March 31, 2022 and 2021 of $2 million and $12 million, respectively.</w:t>
      </w:r>
    </w:p>
    <w:p w14:paraId="5E0CA812" w14:textId="77777777" w:rsidR="00000000" w:rsidRDefault="0068293C">
      <w:pPr>
        <w:divId w:val="384766070"/>
        <w:rPr>
          <w:rFonts w:eastAsia="Times New Roman"/>
        </w:rPr>
      </w:pPr>
      <w:r>
        <w:rPr>
          <w:rFonts w:eastAsia="Times New Roman"/>
          <w:color w:val="000000"/>
          <w:sz w:val="20"/>
          <w:szCs w:val="20"/>
        </w:rPr>
        <w:t>The components of inventory are summarized as follows:</w:t>
      </w:r>
    </w:p>
    <w:tbl>
      <w:tblPr>
        <w:tblW w:w="4985" w:type="pct"/>
        <w:tblCellMar>
          <w:top w:w="15" w:type="dxa"/>
          <w:left w:w="15" w:type="dxa"/>
          <w:bottom w:w="15" w:type="dxa"/>
          <w:right w:w="15" w:type="dxa"/>
        </w:tblCellMar>
        <w:tblLook w:val="04A0" w:firstRow="1" w:lastRow="0" w:firstColumn="1" w:lastColumn="0" w:noHBand="0" w:noVBand="1"/>
      </w:tblPr>
      <w:tblGrid>
        <w:gridCol w:w="40"/>
        <w:gridCol w:w="5610"/>
        <w:gridCol w:w="36"/>
        <w:gridCol w:w="120"/>
        <w:gridCol w:w="1092"/>
        <w:gridCol w:w="36"/>
        <w:gridCol w:w="36"/>
        <w:gridCol w:w="36"/>
        <w:gridCol w:w="36"/>
        <w:gridCol w:w="121"/>
        <w:gridCol w:w="1082"/>
        <w:gridCol w:w="36"/>
      </w:tblGrid>
      <w:tr w:rsidR="00000000" w14:paraId="36C42806" w14:textId="77777777">
        <w:trPr>
          <w:divId w:val="384766070"/>
        </w:trPr>
        <w:tc>
          <w:tcPr>
            <w:tcW w:w="50" w:type="pct"/>
            <w:vAlign w:val="center"/>
            <w:hideMark/>
          </w:tcPr>
          <w:p w14:paraId="26989FFE" w14:textId="77777777" w:rsidR="00000000" w:rsidRDefault="0068293C">
            <w:pPr>
              <w:rPr>
                <w:rFonts w:eastAsia="Times New Roman"/>
              </w:rPr>
            </w:pPr>
          </w:p>
        </w:tc>
        <w:tc>
          <w:tcPr>
            <w:tcW w:w="3412" w:type="pct"/>
            <w:vAlign w:val="center"/>
            <w:hideMark/>
          </w:tcPr>
          <w:p w14:paraId="483EAADD" w14:textId="77777777" w:rsidR="00000000" w:rsidRDefault="0068293C">
            <w:pPr>
              <w:spacing w:after="100"/>
              <w:rPr>
                <w:rFonts w:eastAsia="Times New Roman"/>
                <w:sz w:val="20"/>
                <w:szCs w:val="20"/>
              </w:rPr>
            </w:pPr>
          </w:p>
        </w:tc>
        <w:tc>
          <w:tcPr>
            <w:tcW w:w="5" w:type="pct"/>
            <w:vAlign w:val="center"/>
            <w:hideMark/>
          </w:tcPr>
          <w:p w14:paraId="272DC717" w14:textId="77777777" w:rsidR="00000000" w:rsidRDefault="0068293C">
            <w:pPr>
              <w:spacing w:after="100"/>
              <w:rPr>
                <w:rFonts w:eastAsia="Times New Roman"/>
                <w:sz w:val="20"/>
                <w:szCs w:val="20"/>
              </w:rPr>
            </w:pPr>
          </w:p>
        </w:tc>
        <w:tc>
          <w:tcPr>
            <w:tcW w:w="50" w:type="pct"/>
            <w:vAlign w:val="center"/>
            <w:hideMark/>
          </w:tcPr>
          <w:p w14:paraId="223B78ED" w14:textId="77777777" w:rsidR="00000000" w:rsidRDefault="0068293C">
            <w:pPr>
              <w:spacing w:after="100"/>
              <w:rPr>
                <w:rFonts w:eastAsia="Times New Roman"/>
                <w:sz w:val="20"/>
                <w:szCs w:val="20"/>
              </w:rPr>
            </w:pPr>
          </w:p>
        </w:tc>
        <w:tc>
          <w:tcPr>
            <w:tcW w:w="685" w:type="pct"/>
            <w:vAlign w:val="center"/>
            <w:hideMark/>
          </w:tcPr>
          <w:p w14:paraId="5E9ADF15" w14:textId="77777777" w:rsidR="00000000" w:rsidRDefault="0068293C">
            <w:pPr>
              <w:spacing w:after="100"/>
              <w:rPr>
                <w:rFonts w:eastAsia="Times New Roman"/>
                <w:sz w:val="20"/>
                <w:szCs w:val="20"/>
              </w:rPr>
            </w:pPr>
          </w:p>
        </w:tc>
        <w:tc>
          <w:tcPr>
            <w:tcW w:w="5" w:type="pct"/>
            <w:vAlign w:val="center"/>
            <w:hideMark/>
          </w:tcPr>
          <w:p w14:paraId="766D114D" w14:textId="77777777" w:rsidR="00000000" w:rsidRDefault="0068293C">
            <w:pPr>
              <w:spacing w:after="100"/>
              <w:rPr>
                <w:rFonts w:eastAsia="Times New Roman"/>
                <w:sz w:val="20"/>
                <w:szCs w:val="20"/>
              </w:rPr>
            </w:pPr>
          </w:p>
        </w:tc>
        <w:tc>
          <w:tcPr>
            <w:tcW w:w="5" w:type="pct"/>
            <w:vAlign w:val="center"/>
            <w:hideMark/>
          </w:tcPr>
          <w:p w14:paraId="513DADA9" w14:textId="77777777" w:rsidR="00000000" w:rsidRDefault="0068293C">
            <w:pPr>
              <w:spacing w:after="100"/>
              <w:rPr>
                <w:rFonts w:eastAsia="Times New Roman"/>
                <w:sz w:val="20"/>
                <w:szCs w:val="20"/>
              </w:rPr>
            </w:pPr>
          </w:p>
        </w:tc>
        <w:tc>
          <w:tcPr>
            <w:tcW w:w="26" w:type="pct"/>
            <w:vAlign w:val="center"/>
            <w:hideMark/>
          </w:tcPr>
          <w:p w14:paraId="463BFB72" w14:textId="77777777" w:rsidR="00000000" w:rsidRDefault="0068293C">
            <w:pPr>
              <w:spacing w:after="100"/>
              <w:rPr>
                <w:rFonts w:eastAsia="Times New Roman"/>
                <w:sz w:val="20"/>
                <w:szCs w:val="20"/>
              </w:rPr>
            </w:pPr>
          </w:p>
        </w:tc>
        <w:tc>
          <w:tcPr>
            <w:tcW w:w="5" w:type="pct"/>
            <w:vAlign w:val="center"/>
            <w:hideMark/>
          </w:tcPr>
          <w:p w14:paraId="062A1018" w14:textId="77777777" w:rsidR="00000000" w:rsidRDefault="0068293C">
            <w:pPr>
              <w:spacing w:after="100"/>
              <w:rPr>
                <w:rFonts w:eastAsia="Times New Roman"/>
                <w:sz w:val="20"/>
                <w:szCs w:val="20"/>
              </w:rPr>
            </w:pPr>
          </w:p>
        </w:tc>
        <w:tc>
          <w:tcPr>
            <w:tcW w:w="50" w:type="pct"/>
            <w:vAlign w:val="center"/>
            <w:hideMark/>
          </w:tcPr>
          <w:p w14:paraId="16B82DBB" w14:textId="77777777" w:rsidR="00000000" w:rsidRDefault="0068293C">
            <w:pPr>
              <w:spacing w:after="100"/>
              <w:rPr>
                <w:rFonts w:eastAsia="Times New Roman"/>
                <w:sz w:val="20"/>
                <w:szCs w:val="20"/>
              </w:rPr>
            </w:pPr>
          </w:p>
        </w:tc>
        <w:tc>
          <w:tcPr>
            <w:tcW w:w="700" w:type="pct"/>
            <w:vAlign w:val="center"/>
            <w:hideMark/>
          </w:tcPr>
          <w:p w14:paraId="32BF1D93" w14:textId="77777777" w:rsidR="00000000" w:rsidRDefault="0068293C">
            <w:pPr>
              <w:spacing w:after="100"/>
              <w:rPr>
                <w:rFonts w:eastAsia="Times New Roman"/>
                <w:sz w:val="20"/>
                <w:szCs w:val="20"/>
              </w:rPr>
            </w:pPr>
          </w:p>
        </w:tc>
        <w:tc>
          <w:tcPr>
            <w:tcW w:w="5" w:type="pct"/>
            <w:vAlign w:val="center"/>
            <w:hideMark/>
          </w:tcPr>
          <w:p w14:paraId="68DE648B" w14:textId="77777777" w:rsidR="00000000" w:rsidRDefault="0068293C">
            <w:pPr>
              <w:spacing w:after="100"/>
              <w:rPr>
                <w:rFonts w:eastAsia="Times New Roman"/>
                <w:sz w:val="20"/>
                <w:szCs w:val="20"/>
              </w:rPr>
            </w:pPr>
          </w:p>
        </w:tc>
      </w:tr>
      <w:tr w:rsidR="00000000" w14:paraId="2FEABCB6" w14:textId="77777777">
        <w:trPr>
          <w:divId w:val="384766070"/>
        </w:trPr>
        <w:tc>
          <w:tcPr>
            <w:tcW w:w="0" w:type="auto"/>
            <w:gridSpan w:val="3"/>
            <w:tcMar>
              <w:top w:w="30" w:type="dxa"/>
              <w:left w:w="20" w:type="dxa"/>
              <w:bottom w:w="30" w:type="dxa"/>
              <w:right w:w="20" w:type="dxa"/>
            </w:tcMar>
            <w:vAlign w:val="bottom"/>
            <w:hideMark/>
          </w:tcPr>
          <w:p w14:paraId="1E404DDE"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23F7EF67" w14:textId="77777777" w:rsidR="00000000" w:rsidRDefault="0068293C">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79A80D45" w14:textId="77777777" w:rsidR="00000000" w:rsidRDefault="0068293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11FB84" w14:textId="77777777" w:rsidR="00000000" w:rsidRDefault="0068293C">
            <w:pPr>
              <w:spacing w:after="100"/>
              <w:jc w:val="center"/>
              <w:rPr>
                <w:rFonts w:eastAsia="Times New Roman"/>
              </w:rPr>
            </w:pPr>
            <w:r>
              <w:rPr>
                <w:rFonts w:eastAsia="Times New Roman"/>
                <w:b/>
                <w:bCs/>
                <w:color w:val="000000"/>
                <w:sz w:val="16"/>
                <w:szCs w:val="16"/>
              </w:rPr>
              <w:t>December 31, 2021</w:t>
            </w:r>
          </w:p>
        </w:tc>
      </w:tr>
      <w:tr w:rsidR="00000000" w14:paraId="55004A03" w14:textId="77777777">
        <w:trPr>
          <w:divId w:val="384766070"/>
        </w:trPr>
        <w:tc>
          <w:tcPr>
            <w:tcW w:w="0" w:type="auto"/>
            <w:gridSpan w:val="3"/>
            <w:shd w:val="clear" w:color="auto" w:fill="CCEEFF"/>
            <w:tcMar>
              <w:top w:w="30" w:type="dxa"/>
              <w:left w:w="20" w:type="dxa"/>
              <w:bottom w:w="30" w:type="dxa"/>
              <w:right w:w="20" w:type="dxa"/>
            </w:tcMar>
            <w:hideMark/>
          </w:tcPr>
          <w:p w14:paraId="5B567013" w14:textId="77777777" w:rsidR="00000000" w:rsidRDefault="0068293C">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168091"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EF139"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88FA89" w14:textId="77777777" w:rsidR="00000000" w:rsidRDefault="0068293C">
            <w:pPr>
              <w:spacing w:after="100"/>
              <w:rPr>
                <w:rFonts w:eastAsia="Times New Roman"/>
                <w:sz w:val="20"/>
                <w:szCs w:val="20"/>
              </w:rPr>
            </w:pPr>
          </w:p>
        </w:tc>
      </w:tr>
      <w:tr w:rsidR="00000000" w14:paraId="5847F9FF" w14:textId="77777777">
        <w:trPr>
          <w:divId w:val="384766070"/>
        </w:trPr>
        <w:tc>
          <w:tcPr>
            <w:tcW w:w="0" w:type="auto"/>
            <w:gridSpan w:val="3"/>
            <w:shd w:val="clear" w:color="auto" w:fill="FFFFFF"/>
            <w:tcMar>
              <w:top w:w="30" w:type="dxa"/>
              <w:left w:w="20" w:type="dxa"/>
              <w:bottom w:w="30" w:type="dxa"/>
              <w:right w:w="20" w:type="dxa"/>
            </w:tcMar>
            <w:hideMark/>
          </w:tcPr>
          <w:p w14:paraId="072432AE" w14:textId="77777777" w:rsidR="00000000" w:rsidRDefault="0068293C">
            <w:pPr>
              <w:spacing w:after="100"/>
              <w:rPr>
                <w:rFonts w:eastAsia="Times New Roman"/>
              </w:rPr>
            </w:pPr>
            <w:r>
              <w:rPr>
                <w:rFonts w:eastAsia="Times New Roman"/>
                <w:color w:val="000000"/>
                <w:sz w:val="20"/>
                <w:szCs w:val="20"/>
              </w:rPr>
              <w:t>Work in process and raw materials</w:t>
            </w:r>
          </w:p>
        </w:tc>
        <w:tc>
          <w:tcPr>
            <w:tcW w:w="0" w:type="auto"/>
            <w:shd w:val="clear" w:color="auto" w:fill="FFFFFF"/>
            <w:tcMar>
              <w:top w:w="30" w:type="dxa"/>
              <w:left w:w="20" w:type="dxa"/>
              <w:bottom w:w="30" w:type="dxa"/>
              <w:right w:w="0" w:type="dxa"/>
            </w:tcMar>
            <w:vAlign w:val="bottom"/>
            <w:hideMark/>
          </w:tcPr>
          <w:p w14:paraId="12B8EBAB"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B35CA46" w14:textId="77777777" w:rsidR="00000000" w:rsidRDefault="0068293C">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9DC06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A7173"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0F40AB"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308536" w14:textId="77777777" w:rsidR="00000000" w:rsidRDefault="0068293C">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14:paraId="58733F15" w14:textId="77777777" w:rsidR="00000000" w:rsidRDefault="0068293C">
            <w:pPr>
              <w:spacing w:after="100"/>
              <w:jc w:val="right"/>
              <w:rPr>
                <w:rFonts w:eastAsia="Times New Roman"/>
              </w:rPr>
            </w:pPr>
          </w:p>
        </w:tc>
      </w:tr>
      <w:tr w:rsidR="00000000" w14:paraId="4BF2E31B" w14:textId="77777777">
        <w:trPr>
          <w:divId w:val="384766070"/>
        </w:trPr>
        <w:tc>
          <w:tcPr>
            <w:tcW w:w="0" w:type="auto"/>
            <w:gridSpan w:val="3"/>
            <w:shd w:val="clear" w:color="auto" w:fill="CCEEFF"/>
            <w:tcMar>
              <w:top w:w="30" w:type="dxa"/>
              <w:left w:w="20" w:type="dxa"/>
              <w:bottom w:w="30" w:type="dxa"/>
              <w:right w:w="20" w:type="dxa"/>
            </w:tcMar>
            <w:hideMark/>
          </w:tcPr>
          <w:p w14:paraId="5C4E7EA8" w14:textId="77777777" w:rsidR="00000000" w:rsidRDefault="0068293C">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14:paraId="4A5DD6C3" w14:textId="77777777" w:rsidR="00000000" w:rsidRDefault="0068293C">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04C79E"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6AA48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36CEB9" w14:textId="77777777" w:rsidR="00000000" w:rsidRDefault="0068293C">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14:paraId="72A55676" w14:textId="77777777" w:rsidR="00000000" w:rsidRDefault="0068293C">
            <w:pPr>
              <w:spacing w:after="100"/>
              <w:jc w:val="right"/>
              <w:rPr>
                <w:rFonts w:eastAsia="Times New Roman"/>
              </w:rPr>
            </w:pPr>
          </w:p>
        </w:tc>
      </w:tr>
      <w:tr w:rsidR="00000000" w14:paraId="6E0AD76B" w14:textId="77777777">
        <w:trPr>
          <w:divId w:val="384766070"/>
        </w:trPr>
        <w:tc>
          <w:tcPr>
            <w:tcW w:w="0" w:type="auto"/>
            <w:gridSpan w:val="3"/>
            <w:shd w:val="clear" w:color="auto" w:fill="FFFFFF"/>
            <w:tcMar>
              <w:top w:w="30" w:type="dxa"/>
              <w:left w:w="20" w:type="dxa"/>
              <w:bottom w:w="30" w:type="dxa"/>
              <w:right w:w="20" w:type="dxa"/>
            </w:tcMar>
            <w:hideMark/>
          </w:tcPr>
          <w:p w14:paraId="3FFF4E90" w14:textId="77777777" w:rsidR="00000000" w:rsidRDefault="0068293C">
            <w:pPr>
              <w:spacing w:after="100"/>
              <w:rPr>
                <w:rFonts w:eastAsia="Times New Roman"/>
              </w:rPr>
            </w:pPr>
            <w:r>
              <w:rPr>
                <w:rFonts w:eastAsia="Times New Roman"/>
                <w:color w:val="000000"/>
                <w:sz w:val="20"/>
                <w:szCs w:val="20"/>
              </w:rPr>
              <w:t>Service parts</w:t>
            </w:r>
          </w:p>
        </w:tc>
        <w:tc>
          <w:tcPr>
            <w:tcW w:w="0" w:type="auto"/>
            <w:gridSpan w:val="2"/>
            <w:shd w:val="clear" w:color="auto" w:fill="FFFFFF"/>
            <w:tcMar>
              <w:top w:w="30" w:type="dxa"/>
              <w:left w:w="20" w:type="dxa"/>
              <w:bottom w:w="30" w:type="dxa"/>
              <w:right w:w="0" w:type="dxa"/>
            </w:tcMar>
            <w:vAlign w:val="bottom"/>
            <w:hideMark/>
          </w:tcPr>
          <w:p w14:paraId="4075B64A" w14:textId="77777777" w:rsidR="00000000" w:rsidRDefault="0068293C">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DF15C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2D4B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792DA" w14:textId="77777777" w:rsidR="00000000" w:rsidRDefault="0068293C">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14:paraId="18898047" w14:textId="77777777" w:rsidR="00000000" w:rsidRDefault="0068293C">
            <w:pPr>
              <w:spacing w:after="100"/>
              <w:jc w:val="right"/>
              <w:rPr>
                <w:rFonts w:eastAsia="Times New Roman"/>
              </w:rPr>
            </w:pPr>
          </w:p>
        </w:tc>
      </w:tr>
      <w:tr w:rsidR="00000000" w14:paraId="31A91952" w14:textId="77777777">
        <w:trPr>
          <w:divId w:val="384766070"/>
        </w:trPr>
        <w:tc>
          <w:tcPr>
            <w:tcW w:w="0" w:type="auto"/>
            <w:gridSpan w:val="3"/>
            <w:shd w:val="clear" w:color="auto" w:fill="CCEEFF"/>
            <w:tcMar>
              <w:top w:w="30" w:type="dxa"/>
              <w:left w:w="20" w:type="dxa"/>
              <w:bottom w:w="30" w:type="dxa"/>
              <w:right w:w="20" w:type="dxa"/>
            </w:tcMar>
            <w:hideMark/>
          </w:tcPr>
          <w:p w14:paraId="30F7037B" w14:textId="77777777" w:rsidR="00000000" w:rsidRDefault="0068293C">
            <w:pPr>
              <w:spacing w:after="100"/>
              <w:rPr>
                <w:rFonts w:eastAsia="Times New Roman"/>
              </w:rPr>
            </w:pPr>
            <w:r>
              <w:rPr>
                <w:rFonts w:eastAsia="Times New Roman"/>
                <w:b/>
                <w:bCs/>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4D56D6"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08F85B" w14:textId="77777777" w:rsidR="00000000" w:rsidRDefault="0068293C">
            <w:pPr>
              <w:spacing w:after="100"/>
              <w:jc w:val="right"/>
              <w:rPr>
                <w:rFonts w:eastAsia="Times New Roman"/>
              </w:rPr>
            </w:pPr>
            <w:r>
              <w:rPr>
                <w:rFonts w:eastAsia="Times New Roman"/>
                <w:b/>
                <w:bCs/>
                <w:color w:val="000000"/>
                <w:sz w:val="20"/>
                <w:szCs w:val="20"/>
              </w:rPr>
              <w:t>805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2C7FC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E71B3"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02CC9E4C"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7EE17AE9" w14:textId="77777777" w:rsidR="00000000" w:rsidRDefault="0068293C">
            <w:pPr>
              <w:spacing w:after="100"/>
              <w:jc w:val="right"/>
              <w:rPr>
                <w:rFonts w:eastAsia="Times New Roman"/>
              </w:rPr>
            </w:pPr>
            <w:r>
              <w:rPr>
                <w:rFonts w:eastAsia="Times New Roman"/>
                <w:color w:val="000000"/>
                <w:sz w:val="20"/>
                <w:szCs w:val="20"/>
              </w:rPr>
              <w:t>754 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2B352A6B" w14:textId="77777777" w:rsidR="00000000" w:rsidRDefault="0068293C">
            <w:pPr>
              <w:spacing w:after="100"/>
              <w:jc w:val="right"/>
              <w:rPr>
                <w:rFonts w:eastAsia="Times New Roman"/>
              </w:rPr>
            </w:pPr>
          </w:p>
        </w:tc>
      </w:tr>
    </w:tbl>
    <w:p w14:paraId="3F3D3F72" w14:textId="77777777" w:rsidR="00000000" w:rsidRDefault="0068293C">
      <w:pPr>
        <w:jc w:val="center"/>
        <w:divId w:val="412312995"/>
        <w:rPr>
          <w:rFonts w:eastAsia="Times New Roman"/>
        </w:rPr>
      </w:pPr>
      <w:r>
        <w:rPr>
          <w:rFonts w:eastAsia="Times New Roman"/>
          <w:color w:val="000000"/>
          <w:sz w:val="20"/>
          <w:szCs w:val="20"/>
        </w:rPr>
        <w:t>34</w:t>
      </w:r>
    </w:p>
    <w:p w14:paraId="2BB7DE65" w14:textId="77777777" w:rsidR="00000000" w:rsidRDefault="0068293C">
      <w:pPr>
        <w:rPr>
          <w:rFonts w:eastAsia="Times New Roman"/>
        </w:rPr>
      </w:pPr>
      <w:r>
        <w:rPr>
          <w:rFonts w:eastAsia="Times New Roman"/>
        </w:rPr>
        <w:pict w14:anchorId="6C6347AC">
          <v:rect id="_x0000_i1059" style="width:0;height:1.5pt" o:hralign="center" o:hrstd="t" o:hr="t" fillcolor="#a0a0a0" stroked="f"/>
        </w:pict>
      </w:r>
    </w:p>
    <w:p w14:paraId="47DB8456" w14:textId="77777777" w:rsidR="00000000" w:rsidRDefault="0068293C">
      <w:pPr>
        <w:divId w:val="964967580"/>
        <w:rPr>
          <w:rFonts w:eastAsia="Times New Roman"/>
        </w:rPr>
      </w:pPr>
      <w:hyperlink w:anchor="i78484f3d0d8e4e36a7c87ddd6ea9d725_7" w:history="1">
        <w:r>
          <w:rPr>
            <w:rStyle w:val="a3"/>
            <w:rFonts w:eastAsia="Times New Roman"/>
            <w:sz w:val="16"/>
            <w:szCs w:val="16"/>
          </w:rPr>
          <w:t>Table of Contents</w:t>
        </w:r>
      </w:hyperlink>
    </w:p>
    <w:p w14:paraId="4B70A132" w14:textId="77777777" w:rsidR="00000000" w:rsidRDefault="0068293C">
      <w:pPr>
        <w:ind w:hanging="1170"/>
        <w:divId w:val="255751372"/>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 (</w:t>
      </w:r>
      <w:r>
        <w:rPr>
          <w:rFonts w:eastAsia="Times New Roman"/>
          <w:color w:val="000000"/>
          <w:sz w:val="20"/>
          <w:szCs w:val="20"/>
        </w:rPr>
        <w:t>“</w:t>
      </w:r>
      <w:r>
        <w:rPr>
          <w:rFonts w:eastAsia="Times New Roman"/>
          <w:b/>
          <w:bCs/>
          <w:color w:val="000000"/>
          <w:sz w:val="20"/>
          <w:szCs w:val="20"/>
        </w:rPr>
        <w:t>MD&amp;A</w:t>
      </w:r>
      <w:r>
        <w:rPr>
          <w:rFonts w:eastAsia="Times New Roman"/>
          <w:color w:val="000000"/>
          <w:sz w:val="20"/>
          <w:szCs w:val="20"/>
        </w:rPr>
        <w:t>”</w:t>
      </w:r>
      <w:r>
        <w:rPr>
          <w:rFonts w:eastAsia="Times New Roman"/>
          <w:b/>
          <w:bCs/>
          <w:color w:val="000000"/>
          <w:sz w:val="20"/>
          <w:szCs w:val="20"/>
        </w:rPr>
        <w:t>)</w:t>
      </w:r>
    </w:p>
    <w:p w14:paraId="3AE4DFB8" w14:textId="77777777" w:rsidR="00000000" w:rsidRDefault="0068293C">
      <w:pPr>
        <w:jc w:val="both"/>
        <w:divId w:val="1782676957"/>
        <w:rPr>
          <w:rFonts w:eastAsia="Times New Roman"/>
        </w:rPr>
      </w:pPr>
      <w:r>
        <w:rPr>
          <w:rFonts w:eastAsia="Times New Roman"/>
          <w:color w:val="000000"/>
          <w:sz w:val="20"/>
          <w:szCs w:val="20"/>
        </w:rPr>
        <w:t>The following discussion should be read in conjunction with the Condensed Consolidated Financial Statements and notes thereto included under Item 1. Financial St</w:t>
      </w:r>
      <w:r>
        <w:rPr>
          <w:rFonts w:eastAsia="Times New Roman"/>
          <w:color w:val="000000"/>
          <w:sz w:val="20"/>
          <w:szCs w:val="20"/>
        </w:rPr>
        <w:t xml:space="preserve">atements of this Form 10-Q and our Consolidated Financial Statements and notes thereto and related Management’s Discussion and Analysis of Financial Condition and Results of Operations included in our Annual Report on Form 10-K for the year ended December </w:t>
      </w:r>
      <w:r>
        <w:rPr>
          <w:rFonts w:eastAsia="Times New Roman"/>
          <w:color w:val="000000"/>
          <w:sz w:val="20"/>
          <w:szCs w:val="20"/>
        </w:rPr>
        <w:t>31, 2021 (the “2021 Form 10-K”).</w:t>
      </w:r>
    </w:p>
    <w:p w14:paraId="7967668A" w14:textId="77777777" w:rsidR="00000000" w:rsidRDefault="0068293C">
      <w:pPr>
        <w:jc w:val="both"/>
        <w:rPr>
          <w:rFonts w:eastAsia="Times New Roman"/>
        </w:rPr>
      </w:pPr>
    </w:p>
    <w:p w14:paraId="0ED5AE07" w14:textId="77777777" w:rsidR="00000000" w:rsidRDefault="0068293C">
      <w:pPr>
        <w:jc w:val="both"/>
        <w:rPr>
          <w:rFonts w:eastAsia="Times New Roman"/>
        </w:rPr>
      </w:pPr>
      <w:r>
        <w:rPr>
          <w:rFonts w:eastAsia="Times New Roman"/>
          <w:color w:val="000000"/>
          <w:sz w:val="20"/>
          <w:szCs w:val="20"/>
        </w:rPr>
        <w:t xml:space="preserve">Our discussion within MD&amp;A is organized as follows: </w:t>
      </w:r>
    </w:p>
    <w:p w14:paraId="3681F99E" w14:textId="77777777" w:rsidR="00000000" w:rsidRDefault="0068293C">
      <w:pPr>
        <w:jc w:val="both"/>
        <w:rPr>
          <w:rFonts w:eastAsia="Times New Roman"/>
        </w:rPr>
      </w:pPr>
    </w:p>
    <w:p w14:paraId="3351E948"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Overview. </w:t>
      </w:r>
      <w:r>
        <w:rPr>
          <w:rFonts w:eastAsia="Times New Roman"/>
          <w:color w:val="000000"/>
          <w:sz w:val="20"/>
          <w:szCs w:val="20"/>
        </w:rPr>
        <w:t>This section contains background information on our company, summary of significant themes and events during the quarter as well as strategic initiatives a</w:t>
      </w:r>
      <w:r>
        <w:rPr>
          <w:rFonts w:eastAsia="Times New Roman"/>
          <w:color w:val="000000"/>
          <w:sz w:val="20"/>
          <w:szCs w:val="20"/>
        </w:rPr>
        <w:t>nd trends in order to provide context for management’s discussion and analysis of our financial condition and results of operations.</w:t>
      </w:r>
    </w:p>
    <w:p w14:paraId="686F428D" w14:textId="77777777" w:rsidR="00000000" w:rsidRDefault="0068293C">
      <w:pPr>
        <w:jc w:val="both"/>
        <w:rPr>
          <w:rFonts w:eastAsia="Times New Roman"/>
        </w:rPr>
      </w:pPr>
    </w:p>
    <w:p w14:paraId="0F58FB6F"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xml:space="preserve"> This section contains an analysis of our results of operations presented in the accompanying cond</w:t>
      </w:r>
      <w:r>
        <w:rPr>
          <w:rFonts w:eastAsia="Times New Roman"/>
          <w:color w:val="000000"/>
          <w:sz w:val="20"/>
          <w:szCs w:val="20"/>
        </w:rPr>
        <w:t>ensed consolidated statements of income by comparing the results for the three months ended March 31, 2022 to the results for the three months ended March 31, 2021.</w:t>
      </w:r>
    </w:p>
    <w:p w14:paraId="63B28D7D" w14:textId="77777777" w:rsidR="00000000" w:rsidRDefault="0068293C">
      <w:pPr>
        <w:jc w:val="both"/>
        <w:rPr>
          <w:rFonts w:eastAsia="Times New Roman"/>
        </w:rPr>
      </w:pPr>
    </w:p>
    <w:p w14:paraId="53EAEF24"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Liquidity and capital resources.</w:t>
      </w:r>
      <w:r>
        <w:rPr>
          <w:rFonts w:eastAsia="Times New Roman"/>
          <w:color w:val="000000"/>
          <w:sz w:val="20"/>
          <w:szCs w:val="20"/>
        </w:rPr>
        <w:t xml:space="preserve"> This section provides an analysis of our cash flows and</w:t>
      </w:r>
      <w:r>
        <w:rPr>
          <w:rFonts w:eastAsia="Times New Roman"/>
          <w:color w:val="000000"/>
          <w:sz w:val="20"/>
          <w:szCs w:val="20"/>
        </w:rPr>
        <w:t xml:space="preserve"> a discussion of our contractual obligations at March 31, 2022.</w:t>
      </w:r>
    </w:p>
    <w:p w14:paraId="76E52625" w14:textId="77777777" w:rsidR="00000000" w:rsidRDefault="0068293C">
      <w:pPr>
        <w:jc w:val="both"/>
        <w:rPr>
          <w:rFonts w:eastAsia="Times New Roman"/>
        </w:rPr>
      </w:pPr>
    </w:p>
    <w:p w14:paraId="4FF55320" w14:textId="77777777" w:rsidR="00000000" w:rsidRDefault="0068293C">
      <w:pPr>
        <w:jc w:val="both"/>
        <w:rPr>
          <w:rFonts w:eastAsia="Times New Roman"/>
        </w:rPr>
      </w:pPr>
    </w:p>
    <w:p w14:paraId="1182CBDE" w14:textId="77777777" w:rsidR="00000000" w:rsidRDefault="0068293C">
      <w:pPr>
        <w:ind w:hanging="720"/>
        <w:divId w:val="968782817"/>
        <w:rPr>
          <w:rFonts w:eastAsia="Times New Roman"/>
        </w:rPr>
      </w:pPr>
    </w:p>
    <w:p w14:paraId="61D3C3EF" w14:textId="77777777" w:rsidR="00000000" w:rsidRDefault="0068293C">
      <w:pPr>
        <w:ind w:hanging="720"/>
        <w:jc w:val="both"/>
        <w:rPr>
          <w:rFonts w:eastAsia="Times New Roman"/>
        </w:rPr>
      </w:pPr>
      <w:r>
        <w:rPr>
          <w:rFonts w:eastAsia="Times New Roman"/>
          <w:b/>
          <w:bCs/>
          <w:color w:val="000000"/>
          <w:sz w:val="20"/>
          <w:szCs w:val="20"/>
        </w:rPr>
        <w:t>OVERVIEW</w:t>
      </w:r>
    </w:p>
    <w:p w14:paraId="1410A22F" w14:textId="77777777" w:rsidR="00000000" w:rsidRDefault="0068293C">
      <w:pPr>
        <w:ind w:hanging="720"/>
        <w:jc w:val="both"/>
        <w:rPr>
          <w:rFonts w:eastAsia="Times New Roman"/>
        </w:rPr>
      </w:pPr>
    </w:p>
    <w:p w14:paraId="5D2AB04D" w14:textId="77777777" w:rsidR="00000000" w:rsidRDefault="0068293C">
      <w:pPr>
        <w:jc w:val="both"/>
        <w:rPr>
          <w:rFonts w:eastAsia="Times New Roman"/>
        </w:rPr>
      </w:pPr>
      <w:r>
        <w:rPr>
          <w:rFonts w:eastAsia="Times New Roman"/>
          <w:b/>
          <w:bCs/>
          <w:i/>
          <w:iCs/>
          <w:color w:val="000000"/>
          <w:sz w:val="20"/>
          <w:szCs w:val="20"/>
        </w:rPr>
        <w:t>BUSINESS OVERVIEW</w:t>
      </w:r>
    </w:p>
    <w:p w14:paraId="49BA61E6" w14:textId="77777777" w:rsidR="00000000" w:rsidRDefault="0068293C">
      <w:pPr>
        <w:jc w:val="both"/>
        <w:rPr>
          <w:rFonts w:eastAsia="Times New Roman"/>
        </w:rPr>
      </w:pPr>
    </w:p>
    <w:p w14:paraId="0E4A8BED" w14:textId="77777777" w:rsidR="00000000" w:rsidRDefault="0068293C">
      <w:pPr>
        <w:jc w:val="both"/>
        <w:rPr>
          <w:rFonts w:eastAsia="Times New Roman"/>
        </w:rPr>
      </w:pPr>
      <w:r>
        <w:rPr>
          <w:rFonts w:eastAsia="Times New Roman"/>
          <w:color w:val="000000"/>
          <w:sz w:val="20"/>
          <w:szCs w:val="20"/>
        </w:rPr>
        <w:t>NCR Corporation (“NCR”, the “Company”, “we” or “us”) was originally incorporated in 1884 and is a software- and services-led enterprise technology provider</w:t>
      </w:r>
      <w:r>
        <w:rPr>
          <w:rFonts w:eastAsia="Times New Roman"/>
          <w:color w:val="000000"/>
          <w:sz w:val="20"/>
          <w:szCs w:val="20"/>
        </w:rPr>
        <w:t xml:space="preserve"> that runs stores, restaurants and self-directed banking for our customers, which includes businesses of all sizes. NCR is a global company that is headquartered in Atlanta, Georgia. Our software platform, which runs in the cloud and includes microservices</w:t>
      </w:r>
      <w:r>
        <w:rPr>
          <w:rFonts w:eastAsia="Times New Roman"/>
          <w:color w:val="000000"/>
          <w:sz w:val="20"/>
          <w:szCs w:val="20"/>
        </w:rPr>
        <w:t xml:space="preserve"> and APIs that integrate with our customers' systems, and our NCR-as-a-Service solutions bring together all of the capabilities and competencies of NCR to power the technology to run our customers’ operations. Our portfolio includes digital first software </w:t>
      </w:r>
      <w:r>
        <w:rPr>
          <w:rFonts w:eastAsia="Times New Roman"/>
          <w:color w:val="000000"/>
          <w:sz w:val="20"/>
          <w:szCs w:val="20"/>
        </w:rPr>
        <w:t>and services offerings for banking, retailers and restaurants, as well as payments processing and networks, multi-vendor connected device services, automated teller machines (“ATMs”), self-checkout (“SCO”), point of sale (“POS”) terminals and other self-se</w:t>
      </w:r>
      <w:r>
        <w:rPr>
          <w:rFonts w:eastAsia="Times New Roman"/>
          <w:color w:val="000000"/>
          <w:sz w:val="20"/>
          <w:szCs w:val="20"/>
        </w:rPr>
        <w:t>rvice technologies. We also resell third-party networking products and provide related service offerings in the telecommunications and technology sector. Our solutions are designed to support our transition to becoming a software platform and payments comp</w:t>
      </w:r>
      <w:r>
        <w:rPr>
          <w:rFonts w:eastAsia="Times New Roman"/>
          <w:color w:val="000000"/>
          <w:sz w:val="20"/>
          <w:szCs w:val="20"/>
        </w:rPr>
        <w:t>any.</w:t>
      </w:r>
    </w:p>
    <w:p w14:paraId="5CE6AEA1" w14:textId="77777777" w:rsidR="00000000" w:rsidRDefault="0068293C">
      <w:pPr>
        <w:jc w:val="both"/>
        <w:rPr>
          <w:rFonts w:eastAsia="Times New Roman"/>
        </w:rPr>
      </w:pPr>
    </w:p>
    <w:p w14:paraId="18C644C9" w14:textId="77777777" w:rsidR="00000000" w:rsidRDefault="0068293C">
      <w:pPr>
        <w:jc w:val="both"/>
        <w:rPr>
          <w:rFonts w:eastAsia="Times New Roman"/>
        </w:rPr>
      </w:pPr>
      <w:r>
        <w:rPr>
          <w:rFonts w:eastAsia="Times New Roman"/>
          <w:color w:val="000000"/>
          <w:sz w:val="20"/>
          <w:szCs w:val="20"/>
        </w:rPr>
        <w:t>Effective January 1, 2022, the Company realigned its reportable segments to correspond with changes to its operating model, management structure and organizational responsibilities. The reportable segments effective January 1, 2022 include: Payments</w:t>
      </w:r>
      <w:r>
        <w:rPr>
          <w:rFonts w:eastAsia="Times New Roman"/>
          <w:color w:val="000000"/>
          <w:sz w:val="20"/>
          <w:szCs w:val="20"/>
        </w:rPr>
        <w:t xml:space="preserve"> &amp; Network, Digital Banking, Self-Service Banking, Retail, and Hospitality.</w:t>
      </w:r>
    </w:p>
    <w:p w14:paraId="094994E3" w14:textId="77777777" w:rsidR="00000000" w:rsidRDefault="0068293C">
      <w:pPr>
        <w:jc w:val="both"/>
        <w:rPr>
          <w:rFonts w:eastAsia="Times New Roman"/>
        </w:rPr>
      </w:pPr>
    </w:p>
    <w:p w14:paraId="66E16EFA" w14:textId="77777777" w:rsidR="00000000" w:rsidRDefault="0068293C">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cost-effective way for financial institutions, fintechs, and neobanks to reach and serve their customers through our network of automated telle</w:t>
      </w:r>
      <w:r>
        <w:rPr>
          <w:rFonts w:eastAsia="Times New Roman"/>
          <w:color w:val="0E101A"/>
          <w:sz w:val="20"/>
          <w:szCs w:val="20"/>
        </w:rPr>
        <w:t xml:space="preserve">r machines ("ATMs") and multi-functioning financial services kiosks. </w:t>
      </w:r>
      <w:r>
        <w:rPr>
          <w:rFonts w:eastAsia="Times New Roman"/>
          <w:color w:val="000000"/>
          <w:sz w:val="20"/>
          <w:szCs w:val="20"/>
        </w:rPr>
        <w:t>We offer credit unions, banks, digital banks, fintechs, stored-value debit card issuers, and other consumer financial services providers access to our Allpoint retail-based ATM network, p</w:t>
      </w:r>
      <w:r>
        <w:rPr>
          <w:rFonts w:eastAsia="Times New Roman"/>
          <w:color w:val="000000"/>
          <w:sz w:val="20"/>
          <w:szCs w:val="20"/>
        </w:rPr>
        <w:t>roviding convenient and fee-free cash withdrawal and deposit access to their customers and cardholders as well as</w:t>
      </w:r>
      <w:r>
        <w:rPr>
          <w:rFonts w:eastAsia="Times New Roman"/>
          <w:color w:val="0E101A"/>
          <w:sz w:val="20"/>
          <w:szCs w:val="20"/>
        </w:rPr>
        <w:t xml:space="preserve"> the ability to convert a digital value to cash, or vice versa, via NCRPay360. We also provide ATM branding, management and services to financi</w:t>
      </w:r>
      <w:r>
        <w:rPr>
          <w:rFonts w:eastAsia="Times New Roman"/>
          <w:color w:val="0E101A"/>
          <w:sz w:val="20"/>
          <w:szCs w:val="20"/>
        </w:rPr>
        <w:t xml:space="preserve">al institutions and businesses. </w:t>
      </w:r>
    </w:p>
    <w:p w14:paraId="716B5498" w14:textId="77777777" w:rsidR="00000000" w:rsidRDefault="0068293C">
      <w:pPr>
        <w:jc w:val="both"/>
        <w:rPr>
          <w:rFonts w:eastAsia="Times New Roman"/>
        </w:rPr>
      </w:pPr>
    </w:p>
    <w:p w14:paraId="3D993B03" w14:textId="77777777" w:rsidR="00000000" w:rsidRDefault="0068293C">
      <w:pPr>
        <w:ind w:hanging="360"/>
        <w:jc w:val="both"/>
        <w:rPr>
          <w:rFonts w:eastAsia="Times New Roman"/>
        </w:rPr>
      </w:pPr>
      <w:r>
        <w:rPr>
          <w:rFonts w:eastAsia="Times New Roman"/>
          <w:color w:val="0E101A"/>
          <w:sz w:val="20"/>
          <w:szCs w:val="20"/>
        </w:rPr>
        <w:t>•</w:t>
      </w:r>
      <w:r>
        <w:rPr>
          <w:rFonts w:eastAsia="Times New Roman"/>
          <w:i/>
          <w:iCs/>
          <w:color w:val="000000"/>
          <w:sz w:val="20"/>
          <w:szCs w:val="20"/>
        </w:rPr>
        <w:t>Digital Banking</w:t>
      </w:r>
      <w:r>
        <w:rPr>
          <w:rFonts w:eastAsia="Times New Roman"/>
          <w:color w:val="000000"/>
          <w:sz w:val="20"/>
          <w:szCs w:val="20"/>
        </w:rPr>
        <w:t xml:space="preserve"> - NCR Digital Banking helps financial institutions implement their digital-first platform strategy by providing solutions for account opening, account management, transaction processing, imaging, and bran</w:t>
      </w:r>
      <w:r>
        <w:rPr>
          <w:rFonts w:eastAsia="Times New Roman"/>
          <w:color w:val="000000"/>
          <w:sz w:val="20"/>
          <w:szCs w:val="20"/>
        </w:rPr>
        <w:t xml:space="preserve">ch services to enable financial institutions to offer a compelling customer experience. </w:t>
      </w:r>
    </w:p>
    <w:p w14:paraId="3A79BC3B" w14:textId="77777777" w:rsidR="00000000" w:rsidRDefault="0068293C">
      <w:pPr>
        <w:jc w:val="both"/>
        <w:rPr>
          <w:rFonts w:eastAsia="Times New Roman"/>
        </w:rPr>
      </w:pPr>
    </w:p>
    <w:p w14:paraId="6B36EA9D"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Self-Service Banking</w:t>
      </w:r>
      <w:r>
        <w:rPr>
          <w:rFonts w:eastAsia="Times New Roman"/>
          <w:color w:val="000000"/>
          <w:sz w:val="20"/>
          <w:szCs w:val="20"/>
        </w:rPr>
        <w:t xml:space="preserve"> </w:t>
      </w:r>
      <w:r>
        <w:rPr>
          <w:rFonts w:eastAsia="Times New Roman"/>
          <w:color w:val="000000"/>
          <w:sz w:val="20"/>
          <w:szCs w:val="20"/>
        </w:rPr>
        <w:t>- We offer solutions to enable customers in the financial services industry to reduce costs, generate new revenue streams and enhance customer loyalty. These solutions include a comprehensive line of ATM hardware and software, and related installation, mai</w:t>
      </w:r>
      <w:r>
        <w:rPr>
          <w:rFonts w:eastAsia="Times New Roman"/>
          <w:color w:val="000000"/>
          <w:sz w:val="20"/>
          <w:szCs w:val="20"/>
        </w:rPr>
        <w:t xml:space="preserve">ntenance, and managed and professional services. </w:t>
      </w:r>
    </w:p>
    <w:p w14:paraId="34D3784E" w14:textId="77777777" w:rsidR="00000000" w:rsidRDefault="0068293C">
      <w:pPr>
        <w:jc w:val="center"/>
        <w:divId w:val="850070770"/>
        <w:rPr>
          <w:rFonts w:eastAsia="Times New Roman"/>
        </w:rPr>
      </w:pPr>
      <w:r>
        <w:rPr>
          <w:rFonts w:eastAsia="Times New Roman"/>
          <w:color w:val="000000"/>
          <w:sz w:val="20"/>
          <w:szCs w:val="20"/>
        </w:rPr>
        <w:t>35</w:t>
      </w:r>
    </w:p>
    <w:p w14:paraId="2FBB1823" w14:textId="77777777" w:rsidR="00000000" w:rsidRDefault="0068293C">
      <w:pPr>
        <w:rPr>
          <w:rFonts w:eastAsia="Times New Roman"/>
        </w:rPr>
      </w:pPr>
      <w:r>
        <w:rPr>
          <w:rFonts w:eastAsia="Times New Roman"/>
        </w:rPr>
        <w:pict w14:anchorId="37C1950F">
          <v:rect id="_x0000_i1060" style="width:0;height:1.5pt" o:hralign="center" o:hrstd="t" o:hr="t" fillcolor="#a0a0a0" stroked="f"/>
        </w:pict>
      </w:r>
    </w:p>
    <w:p w14:paraId="3799BB5A" w14:textId="77777777" w:rsidR="00000000" w:rsidRDefault="0068293C">
      <w:pPr>
        <w:divId w:val="1883050458"/>
        <w:rPr>
          <w:rFonts w:eastAsia="Times New Roman"/>
        </w:rPr>
      </w:pPr>
      <w:hyperlink w:anchor="i78484f3d0d8e4e36a7c87ddd6ea9d725_7" w:history="1">
        <w:r>
          <w:rPr>
            <w:rStyle w:val="a3"/>
            <w:rFonts w:eastAsia="Times New Roman"/>
            <w:sz w:val="16"/>
            <w:szCs w:val="16"/>
          </w:rPr>
          <w:t>Table of Contents</w:t>
        </w:r>
      </w:hyperlink>
    </w:p>
    <w:p w14:paraId="1FB52DDC" w14:textId="77777777" w:rsidR="00000000" w:rsidRDefault="0068293C">
      <w:pPr>
        <w:jc w:val="both"/>
        <w:rPr>
          <w:rFonts w:eastAsia="Times New Roman"/>
        </w:rPr>
      </w:pPr>
    </w:p>
    <w:p w14:paraId="04AD1350"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Retail</w:t>
      </w:r>
      <w:r>
        <w:rPr>
          <w:rFonts w:eastAsia="Times New Roman"/>
          <w:color w:val="000000"/>
          <w:sz w:val="20"/>
          <w:szCs w:val="20"/>
        </w:rPr>
        <w:t xml:space="preserve"> </w:t>
      </w:r>
      <w:r>
        <w:rPr>
          <w:rFonts w:eastAsia="Times New Roman"/>
          <w:color w:val="000000"/>
          <w:sz w:val="20"/>
          <w:szCs w:val="20"/>
        </w:rPr>
        <w:t>- We offer software-led solutions to customers in the retail industry, leading with digital to connect retail operations end to end to integrate all aspects of a customer’s operations in indoor and outdoor settings from POS, to payments, inventory manageme</w:t>
      </w:r>
      <w:r>
        <w:rPr>
          <w:rFonts w:eastAsia="Times New Roman"/>
          <w:color w:val="000000"/>
          <w:sz w:val="20"/>
          <w:szCs w:val="20"/>
        </w:rPr>
        <w:t>nt, fraud and loss prevention applications, loyalty and consumer engagement. These solutions include retail-oriented technologies such as comprehensive API-point of sale retail software platforms and applications, hardware terminals, self-service kiosks in</w:t>
      </w:r>
      <w:r>
        <w:rPr>
          <w:rFonts w:eastAsia="Times New Roman"/>
          <w:color w:val="000000"/>
          <w:sz w:val="20"/>
          <w:szCs w:val="20"/>
        </w:rPr>
        <w:t>cluding self-checkout ("SCO"), payment processing solutions, and bar-code scanners.</w:t>
      </w:r>
    </w:p>
    <w:p w14:paraId="7ECA94FD" w14:textId="77777777" w:rsidR="00000000" w:rsidRDefault="0068293C">
      <w:pPr>
        <w:jc w:val="both"/>
        <w:rPr>
          <w:rFonts w:eastAsia="Times New Roman"/>
        </w:rPr>
      </w:pPr>
    </w:p>
    <w:p w14:paraId="3CC29F34" w14:textId="77777777" w:rsidR="00000000" w:rsidRDefault="0068293C">
      <w:pPr>
        <w:ind w:hanging="360"/>
        <w:jc w:val="both"/>
        <w:rPr>
          <w:rFonts w:eastAsia="Times New Roman"/>
        </w:rPr>
      </w:pPr>
      <w:r>
        <w:rPr>
          <w:rFonts w:eastAsia="Times New Roman"/>
          <w:color w:val="000000"/>
          <w:sz w:val="20"/>
          <w:szCs w:val="20"/>
        </w:rPr>
        <w:t>•</w:t>
      </w:r>
      <w:r>
        <w:rPr>
          <w:rFonts w:eastAsia="Times New Roman"/>
          <w:i/>
          <w:iCs/>
          <w:color w:val="000000"/>
          <w:sz w:val="20"/>
          <w:szCs w:val="20"/>
        </w:rPr>
        <w:t>Hospitality</w:t>
      </w:r>
      <w:r>
        <w:rPr>
          <w:rFonts w:eastAsia="Times New Roman"/>
          <w:color w:val="000000"/>
          <w:sz w:val="20"/>
          <w:szCs w:val="20"/>
        </w:rPr>
        <w:t xml:space="preserve"> - We offer technology solutions to customers in the hospitality industry, including table-service, quick-service and fast casual restaurants of all sizes, th</w:t>
      </w:r>
      <w:r>
        <w:rPr>
          <w:rFonts w:eastAsia="Times New Roman"/>
          <w:color w:val="000000"/>
          <w:sz w:val="20"/>
          <w:szCs w:val="20"/>
        </w:rPr>
        <w:t>at are designed to improve operational efficiency, increase customer satisfaction, streamline order and transaction processing and reduce operating costs. Our solutions include POS hardware and software solutions, installation, maintenance, managed and pro</w:t>
      </w:r>
      <w:r>
        <w:rPr>
          <w:rFonts w:eastAsia="Times New Roman"/>
          <w:color w:val="000000"/>
          <w:sz w:val="20"/>
          <w:szCs w:val="20"/>
        </w:rPr>
        <w:t>fessional services as well as payment processing solutions.</w:t>
      </w:r>
    </w:p>
    <w:p w14:paraId="116259F2" w14:textId="77777777" w:rsidR="00000000" w:rsidRDefault="0068293C">
      <w:pPr>
        <w:jc w:val="both"/>
        <w:rPr>
          <w:rFonts w:eastAsia="Times New Roman"/>
        </w:rPr>
      </w:pPr>
    </w:p>
    <w:p w14:paraId="05215A68" w14:textId="77777777" w:rsidR="00000000" w:rsidRDefault="0068293C">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immaterial operating seg</w:t>
      </w:r>
      <w:r>
        <w:rPr>
          <w:rFonts w:eastAsia="Times New Roman"/>
          <w:color w:val="000000"/>
          <w:sz w:val="20"/>
          <w:szCs w:val="20"/>
        </w:rPr>
        <w:t>ment(s).</w:t>
      </w:r>
    </w:p>
    <w:p w14:paraId="6B95F1D0" w14:textId="77777777" w:rsidR="00000000" w:rsidRDefault="0068293C">
      <w:pPr>
        <w:jc w:val="both"/>
        <w:rPr>
          <w:rFonts w:eastAsia="Times New Roman"/>
        </w:rPr>
      </w:pPr>
    </w:p>
    <w:p w14:paraId="726AB4F1" w14:textId="77777777" w:rsidR="00000000" w:rsidRDefault="0068293C">
      <w:pPr>
        <w:jc w:val="both"/>
        <w:rPr>
          <w:rFonts w:eastAsia="Times New Roman"/>
        </w:rPr>
      </w:pPr>
      <w:r>
        <w:rPr>
          <w:rFonts w:eastAsia="Times New Roman"/>
          <w:color w:val="000000"/>
          <w:sz w:val="20"/>
          <w:szCs w:val="20"/>
        </w:rPr>
        <w:t>Eliminations includes revenues from contracts with customers and the related costs that are reported in the Payments &amp; Network segment as well as in the Retail or Hospitality segments, including merchant acquiring services that are monetized via</w:t>
      </w:r>
      <w:r>
        <w:rPr>
          <w:rFonts w:eastAsia="Times New Roman"/>
          <w:color w:val="000000"/>
          <w:sz w:val="20"/>
          <w:szCs w:val="20"/>
        </w:rPr>
        <w:t xml:space="preserve"> payments.</w:t>
      </w:r>
    </w:p>
    <w:p w14:paraId="02AC6F7A" w14:textId="77777777" w:rsidR="00000000" w:rsidRDefault="0068293C">
      <w:pPr>
        <w:jc w:val="both"/>
        <w:rPr>
          <w:rFonts w:eastAsia="Times New Roman"/>
        </w:rPr>
      </w:pPr>
    </w:p>
    <w:p w14:paraId="2C3D3A6B" w14:textId="77777777" w:rsidR="00000000" w:rsidRDefault="0068293C">
      <w:pPr>
        <w:jc w:val="both"/>
        <w:rPr>
          <w:rFonts w:eastAsia="Times New Roman"/>
        </w:rPr>
      </w:pPr>
      <w:r>
        <w:rPr>
          <w:rFonts w:eastAsia="Times New Roman"/>
          <w:color w:val="000000"/>
          <w:sz w:val="20"/>
          <w:szCs w:val="20"/>
        </w:rPr>
        <w:t>NCR’s reputation is founded upon over 137 years of providing quality products, services and solutions to our customers. At the heart of our customer and other business relationships is a commitment to acting responsibly, ethically and with the</w:t>
      </w:r>
      <w:r>
        <w:rPr>
          <w:rFonts w:eastAsia="Times New Roman"/>
          <w:color w:val="000000"/>
          <w:sz w:val="20"/>
          <w:szCs w:val="20"/>
        </w:rPr>
        <w:t xml:space="preserve"> highest level of integrity. This commitment is reflected in NCR’s Code of Conduct, which is available on the Corporate Governance page of our website.</w:t>
      </w:r>
    </w:p>
    <w:p w14:paraId="43F6DCF6" w14:textId="77777777" w:rsidR="00000000" w:rsidRDefault="0068293C">
      <w:pPr>
        <w:jc w:val="both"/>
        <w:rPr>
          <w:rFonts w:eastAsia="Times New Roman"/>
        </w:rPr>
      </w:pPr>
      <w:r>
        <w:rPr>
          <w:rFonts w:eastAsia="Times New Roman"/>
          <w:b/>
          <w:bCs/>
          <w:i/>
          <w:iCs/>
          <w:color w:val="000000"/>
          <w:sz w:val="20"/>
          <w:szCs w:val="20"/>
        </w:rPr>
        <w:t>SIGNIFICANT THEMES AND EVENTS</w:t>
      </w:r>
    </w:p>
    <w:p w14:paraId="70879BC9" w14:textId="77777777" w:rsidR="00000000" w:rsidRDefault="0068293C">
      <w:pPr>
        <w:jc w:val="both"/>
        <w:rPr>
          <w:rFonts w:eastAsia="Times New Roman"/>
        </w:rPr>
      </w:pPr>
    </w:p>
    <w:p w14:paraId="1D7066BB" w14:textId="77777777" w:rsidR="00000000" w:rsidRDefault="0068293C">
      <w:pPr>
        <w:jc w:val="both"/>
        <w:rPr>
          <w:rFonts w:eastAsia="Times New Roman"/>
        </w:rPr>
      </w:pPr>
      <w:r>
        <w:rPr>
          <w:rFonts w:eastAsia="Times New Roman"/>
          <w:color w:val="000000"/>
          <w:sz w:val="20"/>
          <w:szCs w:val="20"/>
        </w:rPr>
        <w:t>As more fully discussed in later sections of this MD&amp;A, the following we</w:t>
      </w:r>
      <w:r>
        <w:rPr>
          <w:rFonts w:eastAsia="Times New Roman"/>
          <w:color w:val="000000"/>
          <w:sz w:val="20"/>
          <w:szCs w:val="20"/>
        </w:rPr>
        <w:t>re significant themes and events for the first quarter of 2022.</w:t>
      </w:r>
    </w:p>
    <w:p w14:paraId="7C21DF62" w14:textId="77777777" w:rsidR="00000000" w:rsidRDefault="0068293C">
      <w:pPr>
        <w:jc w:val="both"/>
        <w:rPr>
          <w:rFonts w:eastAsia="Times New Roman"/>
        </w:rPr>
      </w:pPr>
    </w:p>
    <w:p w14:paraId="3A83AF6F" w14:textId="77777777" w:rsidR="00000000" w:rsidRDefault="0068293C">
      <w:pPr>
        <w:ind w:hanging="360"/>
        <w:jc w:val="both"/>
        <w:rPr>
          <w:rFonts w:eastAsia="Times New Roman"/>
        </w:rPr>
      </w:pPr>
      <w:r>
        <w:rPr>
          <w:rFonts w:eastAsia="Times New Roman"/>
          <w:color w:val="000000"/>
          <w:sz w:val="20"/>
          <w:szCs w:val="20"/>
        </w:rPr>
        <w:t xml:space="preserve">•Revenue of $1,866 million, up 21% </w:t>
      </w:r>
    </w:p>
    <w:p w14:paraId="68EE007A" w14:textId="77777777" w:rsidR="00000000" w:rsidRDefault="0068293C">
      <w:pPr>
        <w:ind w:hanging="360"/>
        <w:jc w:val="both"/>
        <w:rPr>
          <w:rFonts w:eastAsia="Times New Roman"/>
        </w:rPr>
      </w:pPr>
      <w:r>
        <w:rPr>
          <w:rFonts w:eastAsia="Times New Roman"/>
          <w:color w:val="000000"/>
          <w:sz w:val="20"/>
          <w:szCs w:val="20"/>
        </w:rPr>
        <w:t>•Cash flow from operations of $38 million; Free cash outflow of $10 million</w:t>
      </w:r>
    </w:p>
    <w:p w14:paraId="0D952948" w14:textId="77777777" w:rsidR="00000000" w:rsidRDefault="0068293C">
      <w:pPr>
        <w:ind w:hanging="360"/>
        <w:jc w:val="both"/>
        <w:rPr>
          <w:rFonts w:eastAsia="Times New Roman"/>
        </w:rPr>
      </w:pPr>
      <w:r>
        <w:rPr>
          <w:rFonts w:eastAsia="Times New Roman"/>
          <w:color w:val="000000"/>
          <w:sz w:val="20"/>
          <w:szCs w:val="20"/>
        </w:rPr>
        <w:t>•Completed acquisition of LibertyX on January 5, 2022, a leading cryptocurrenc</w:t>
      </w:r>
      <w:r>
        <w:rPr>
          <w:rFonts w:eastAsia="Times New Roman"/>
          <w:color w:val="000000"/>
          <w:sz w:val="20"/>
          <w:szCs w:val="20"/>
        </w:rPr>
        <w:t>y software provider</w:t>
      </w:r>
    </w:p>
    <w:p w14:paraId="2E5D6448" w14:textId="77777777" w:rsidR="00000000" w:rsidRDefault="0068293C">
      <w:pPr>
        <w:ind w:hanging="360"/>
        <w:jc w:val="both"/>
        <w:rPr>
          <w:rFonts w:eastAsia="Times New Roman"/>
        </w:rPr>
      </w:pPr>
      <w:r>
        <w:rPr>
          <w:rFonts w:eastAsia="Times New Roman"/>
          <w:color w:val="000000"/>
          <w:sz w:val="20"/>
          <w:szCs w:val="20"/>
        </w:rPr>
        <w:t>•Numerous external macro factors impacted quarterly results</w:t>
      </w:r>
    </w:p>
    <w:p w14:paraId="4FDCEFAD" w14:textId="77777777" w:rsidR="00000000" w:rsidRDefault="0068293C">
      <w:pPr>
        <w:jc w:val="both"/>
        <w:divId w:val="1745640587"/>
        <w:rPr>
          <w:rFonts w:eastAsia="Times New Roman"/>
        </w:rPr>
      </w:pPr>
    </w:p>
    <w:p w14:paraId="69E3B1A9" w14:textId="77777777" w:rsidR="00000000" w:rsidRDefault="0068293C">
      <w:pPr>
        <w:jc w:val="both"/>
        <w:rPr>
          <w:rFonts w:eastAsia="Times New Roman"/>
        </w:rPr>
      </w:pPr>
      <w:r>
        <w:rPr>
          <w:rFonts w:eastAsia="Times New Roman"/>
          <w:b/>
          <w:bCs/>
          <w:i/>
          <w:iCs/>
          <w:color w:val="000000"/>
          <w:sz w:val="20"/>
          <w:szCs w:val="20"/>
        </w:rPr>
        <w:t>STRATEGIC INITIATIVES AND TRENDS</w:t>
      </w:r>
    </w:p>
    <w:p w14:paraId="5F239D39" w14:textId="77777777" w:rsidR="00000000" w:rsidRDefault="0068293C">
      <w:pPr>
        <w:jc w:val="both"/>
        <w:rPr>
          <w:rFonts w:eastAsia="Times New Roman"/>
        </w:rPr>
      </w:pPr>
    </w:p>
    <w:p w14:paraId="74538512" w14:textId="77777777" w:rsidR="00000000" w:rsidRDefault="0068293C">
      <w:pPr>
        <w:jc w:val="both"/>
        <w:rPr>
          <w:rFonts w:eastAsia="Times New Roman"/>
        </w:rPr>
      </w:pPr>
      <w:r>
        <w:rPr>
          <w:rFonts w:eastAsia="Times New Roman"/>
          <w:color w:val="000000"/>
          <w:sz w:val="20"/>
          <w:szCs w:val="20"/>
        </w:rPr>
        <w:t>In order to provide long-term value to all our stakeholders, we set complementary business goals and financial strategies. NCR is continuin</w:t>
      </w:r>
      <w:r>
        <w:rPr>
          <w:rFonts w:eastAsia="Times New Roman"/>
          <w:color w:val="000000"/>
          <w:sz w:val="20"/>
          <w:szCs w:val="20"/>
        </w:rPr>
        <w:t>g its transition to become a software platform and payments company with a shift to a higher level of recurring revenue. Our business goal is to be a leading enterprise technology provider that runs stores, restaurants and self-directed banking through our</w:t>
      </w:r>
      <w:r>
        <w:rPr>
          <w:rFonts w:eastAsia="Times New Roman"/>
          <w:color w:val="000000"/>
          <w:sz w:val="20"/>
          <w:szCs w:val="20"/>
        </w:rPr>
        <w:t xml:space="preserve"> software platform and our NCR-as-a-Service solutions. In late 2021, we established aspirational five-year financial goals for 2026, which include annual recurring revenue of 80 percent by 2026, annual earnings per share (non-GAAP EPS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growth of 15 perc</w:t>
      </w:r>
      <w:r>
        <w:rPr>
          <w:rFonts w:eastAsia="Times New Roman"/>
          <w:color w:val="000000"/>
          <w:sz w:val="20"/>
          <w:szCs w:val="20"/>
        </w:rPr>
        <w:t>ent, and annual non-GAAP free cash flo</w:t>
      </w:r>
      <w:r>
        <w:rPr>
          <w:rFonts w:eastAsia="Times New Roman"/>
          <w:color w:val="000000"/>
          <w:sz w:val="20"/>
          <w:szCs w:val="20"/>
        </w:rPr>
        <w:t>w</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of $1 billion in 2026. Execution of our goals and strategy is driven by the following key pillars: (i) focus on our customers; (ii) take care of our employees; (iii) bring high-quality, innovative products to mark</w:t>
      </w:r>
      <w:r>
        <w:rPr>
          <w:rFonts w:eastAsia="Times New Roman"/>
          <w:color w:val="000000"/>
          <w:sz w:val="20"/>
          <w:szCs w:val="20"/>
        </w:rPr>
        <w:t>et; and (iv) leverage our brand.</w:t>
      </w:r>
    </w:p>
    <w:p w14:paraId="4324FCEC" w14:textId="77777777" w:rsidR="00000000" w:rsidRDefault="0068293C">
      <w:pPr>
        <w:jc w:val="both"/>
        <w:rPr>
          <w:rFonts w:eastAsia="Times New Roman"/>
        </w:rPr>
      </w:pPr>
    </w:p>
    <w:p w14:paraId="7D07CD76" w14:textId="77777777" w:rsidR="00000000" w:rsidRDefault="0068293C">
      <w:pPr>
        <w:jc w:val="both"/>
        <w:rPr>
          <w:rFonts w:eastAsia="Times New Roman"/>
        </w:rPr>
      </w:pPr>
      <w:r>
        <w:rPr>
          <w:rFonts w:eastAsia="Times New Roman"/>
          <w:color w:val="000000"/>
          <w:sz w:val="20"/>
          <w:szCs w:val="20"/>
        </w:rPr>
        <w:t>As we strive to achieve these aspirational five-year goals, we plan to capitalize on opportunities presented by the acquisitions of Cardtronics and LibertyX to accelerate our Payments &amp; Network business as we go to market with a more robust offering in thi</w:t>
      </w:r>
      <w:r>
        <w:rPr>
          <w:rFonts w:eastAsia="Times New Roman"/>
          <w:color w:val="000000"/>
          <w:sz w:val="20"/>
          <w:szCs w:val="20"/>
        </w:rPr>
        <w:t>s segment. We also plan to continue to improve our execution to drive solid returns and to transform our business to drive a re-rate of our valuation.</w:t>
      </w:r>
    </w:p>
    <w:p w14:paraId="2F621F01" w14:textId="77777777" w:rsidR="00000000" w:rsidRDefault="0068293C">
      <w:pPr>
        <w:jc w:val="both"/>
        <w:rPr>
          <w:rFonts w:eastAsia="Times New Roman"/>
        </w:rPr>
      </w:pPr>
    </w:p>
    <w:p w14:paraId="624C3C02" w14:textId="77777777" w:rsidR="00000000" w:rsidRDefault="0068293C">
      <w:pPr>
        <w:jc w:val="both"/>
        <w:rPr>
          <w:rFonts w:eastAsia="Times New Roman"/>
        </w:rPr>
      </w:pPr>
    </w:p>
    <w:p w14:paraId="21A6FFFB" w14:textId="77777777" w:rsidR="00000000" w:rsidRDefault="0068293C">
      <w:pPr>
        <w:jc w:val="both"/>
        <w:rPr>
          <w:rFonts w:eastAsia="Times New Roman"/>
        </w:rPr>
      </w:pPr>
    </w:p>
    <w:p w14:paraId="1EB6FF33" w14:textId="77777777" w:rsidR="00000000" w:rsidRDefault="0068293C">
      <w:pPr>
        <w:jc w:val="both"/>
        <w:rPr>
          <w:rFonts w:eastAsia="Times New Roman"/>
        </w:rPr>
      </w:pPr>
      <w:r>
        <w:rPr>
          <w:rFonts w:eastAsia="Times New Roman"/>
          <w:color w:val="000000"/>
          <w:sz w:val="16"/>
          <w:szCs w:val="16"/>
        </w:rPr>
        <w:t>(1) With respect to our goals of free cash flow and non-GAAP EPS growth, we are not providing a rec</w:t>
      </w:r>
      <w:r>
        <w:rPr>
          <w:rFonts w:eastAsia="Times New Roman"/>
          <w:color w:val="000000"/>
          <w:sz w:val="16"/>
          <w:szCs w:val="16"/>
        </w:rPr>
        <w:t>onciliation to the respective GAAP measure because we are unable to predict with reasonable certainty the reconciling items that may affect GAAP EPS and Cash flow from operations without unreasonable effort. For our definition of free cash flow, see the Fi</w:t>
      </w:r>
      <w:r>
        <w:rPr>
          <w:rFonts w:eastAsia="Times New Roman"/>
          <w:color w:val="000000"/>
          <w:sz w:val="16"/>
          <w:szCs w:val="16"/>
        </w:rPr>
        <w:t>nancial Condition, Liquidity and Capital Resources section within MD&amp;A. For our definition of non-GAAP EPS and our use of the term annual recurring revenue, see the Key Strategic Financial Metrics section within MD&amp;A.</w:t>
      </w:r>
    </w:p>
    <w:p w14:paraId="6D691826" w14:textId="77777777" w:rsidR="00000000" w:rsidRDefault="0068293C">
      <w:pPr>
        <w:jc w:val="both"/>
        <w:rPr>
          <w:rFonts w:eastAsia="Times New Roman"/>
        </w:rPr>
      </w:pPr>
    </w:p>
    <w:p w14:paraId="73D054B9" w14:textId="77777777" w:rsidR="00000000" w:rsidRDefault="0068293C">
      <w:pPr>
        <w:jc w:val="center"/>
        <w:divId w:val="1374042621"/>
        <w:rPr>
          <w:rFonts w:eastAsia="Times New Roman"/>
        </w:rPr>
      </w:pPr>
      <w:r>
        <w:rPr>
          <w:rFonts w:eastAsia="Times New Roman"/>
          <w:color w:val="000000"/>
          <w:sz w:val="20"/>
          <w:szCs w:val="20"/>
        </w:rPr>
        <w:t>36</w:t>
      </w:r>
    </w:p>
    <w:p w14:paraId="1A4F4534" w14:textId="77777777" w:rsidR="00000000" w:rsidRDefault="0068293C">
      <w:pPr>
        <w:rPr>
          <w:rFonts w:eastAsia="Times New Roman"/>
        </w:rPr>
      </w:pPr>
      <w:r>
        <w:rPr>
          <w:rFonts w:eastAsia="Times New Roman"/>
        </w:rPr>
        <w:pict w14:anchorId="188038CB">
          <v:rect id="_x0000_i1061" style="width:0;height:1.5pt" o:hralign="center" o:hrstd="t" o:hr="t" fillcolor="#a0a0a0" stroked="f"/>
        </w:pict>
      </w:r>
    </w:p>
    <w:p w14:paraId="6E1EA970" w14:textId="77777777" w:rsidR="00000000" w:rsidRDefault="0068293C">
      <w:pPr>
        <w:divId w:val="1102142135"/>
        <w:rPr>
          <w:rFonts w:eastAsia="Times New Roman"/>
        </w:rPr>
      </w:pPr>
      <w:hyperlink w:anchor="i78484f3d0d8e4e36a7c87ddd6ea9d725_7" w:history="1">
        <w:r>
          <w:rPr>
            <w:rStyle w:val="a3"/>
            <w:rFonts w:eastAsia="Times New Roman"/>
            <w:sz w:val="16"/>
            <w:szCs w:val="16"/>
          </w:rPr>
          <w:t>Table of Contents</w:t>
        </w:r>
      </w:hyperlink>
    </w:p>
    <w:p w14:paraId="29572DD1" w14:textId="77777777" w:rsidR="00000000" w:rsidRDefault="0068293C">
      <w:pPr>
        <w:jc w:val="both"/>
        <w:rPr>
          <w:rFonts w:eastAsia="Times New Roman"/>
        </w:rPr>
      </w:pPr>
      <w:r>
        <w:rPr>
          <w:rFonts w:eastAsia="Times New Roman"/>
          <w:color w:val="000000"/>
          <w:sz w:val="20"/>
          <w:szCs w:val="20"/>
        </w:rPr>
        <w:t xml:space="preserve">On February 8, 2022, NCR announced that its Board of Directors unanimously approved commencing a comprehensive strategic review, with the assistance of outside advisors, which </w:t>
      </w:r>
      <w:r>
        <w:rPr>
          <w:rFonts w:eastAsia="Times New Roman"/>
          <w:color w:val="000000"/>
          <w:sz w:val="20"/>
          <w:szCs w:val="20"/>
        </w:rPr>
        <w:t>will evaluate a full range of strategic alternatives available to NCR to enhance value for all shareholders. Those strategic alternatives could include a disposition of a material business or assets of the Company, a spin-off, merger or sale of the Company</w:t>
      </w:r>
      <w:r>
        <w:rPr>
          <w:rFonts w:eastAsia="Times New Roman"/>
          <w:color w:val="000000"/>
          <w:sz w:val="20"/>
          <w:szCs w:val="20"/>
        </w:rPr>
        <w:t>, other structural changes, changes to branding or geographic footprint, or other transactions or alternatives. The Board has not set a timetable for the conclusion of its review of strategic alternatives. NCR does not intend to comment further on the stra</w:t>
      </w:r>
      <w:r>
        <w:rPr>
          <w:rFonts w:eastAsia="Times New Roman"/>
          <w:color w:val="000000"/>
          <w:sz w:val="20"/>
          <w:szCs w:val="20"/>
        </w:rPr>
        <w:t>tegic review process unless and until NCR has determined that further disclosure is beneficial or required by law. Shareholders are advised that there can be no certainty that the strategic review will result in a transaction, or if a transaction is pursue</w:t>
      </w:r>
      <w:r>
        <w:rPr>
          <w:rFonts w:eastAsia="Times New Roman"/>
          <w:color w:val="000000"/>
          <w:sz w:val="20"/>
          <w:szCs w:val="20"/>
        </w:rPr>
        <w:t>d that such a transaction will be completed.</w:t>
      </w:r>
    </w:p>
    <w:p w14:paraId="108575C8" w14:textId="77777777" w:rsidR="00000000" w:rsidRDefault="0068293C">
      <w:pPr>
        <w:jc w:val="both"/>
        <w:rPr>
          <w:rFonts w:eastAsia="Times New Roman"/>
        </w:rPr>
      </w:pPr>
    </w:p>
    <w:p w14:paraId="6B043EBD" w14:textId="77777777" w:rsidR="00000000" w:rsidRDefault="0068293C">
      <w:pPr>
        <w:jc w:val="both"/>
        <w:rPr>
          <w:rFonts w:eastAsia="Times New Roman"/>
        </w:rPr>
      </w:pPr>
      <w:r>
        <w:rPr>
          <w:rFonts w:eastAsia="Times New Roman"/>
          <w:i/>
          <w:iCs/>
          <w:color w:val="000000"/>
          <w:sz w:val="20"/>
          <w:szCs w:val="20"/>
        </w:rPr>
        <w:t>Cybersecurity Risk Management</w:t>
      </w:r>
    </w:p>
    <w:p w14:paraId="1CE7C4A2" w14:textId="77777777" w:rsidR="00000000" w:rsidRDefault="0068293C">
      <w:pPr>
        <w:jc w:val="both"/>
        <w:rPr>
          <w:rFonts w:eastAsia="Times New Roman"/>
        </w:rPr>
      </w:pPr>
    </w:p>
    <w:p w14:paraId="026F4AF4" w14:textId="77777777" w:rsidR="00000000" w:rsidRDefault="0068293C">
      <w:pPr>
        <w:jc w:val="both"/>
        <w:rPr>
          <w:rFonts w:eastAsia="Times New Roman"/>
        </w:rPr>
      </w:pPr>
      <w:r>
        <w:rPr>
          <w:rFonts w:eastAsia="Times New Roman"/>
          <w:color w:val="000000"/>
          <w:sz w:val="20"/>
          <w:szCs w:val="20"/>
        </w:rPr>
        <w:t>Similar to most companies, NCR and its customers are subject to more frequent and increasingly sophisticated cybersecurity attacks. The Company maintains cybersecurity risk management policies and procedures including disclosure controls, which it regularl</w:t>
      </w:r>
      <w:r>
        <w:rPr>
          <w:rFonts w:eastAsia="Times New Roman"/>
          <w:color w:val="000000"/>
          <w:sz w:val="20"/>
          <w:szCs w:val="20"/>
        </w:rPr>
        <w:t>y evaluates for updates, for handling and responding to cybersecurity events. These policies and procedures include internal notifications and engagements and, as necessary, cooperation with law enforcement. Personnel involved in handling and responding to</w:t>
      </w:r>
      <w:r>
        <w:rPr>
          <w:rFonts w:eastAsia="Times New Roman"/>
          <w:color w:val="000000"/>
          <w:sz w:val="20"/>
          <w:szCs w:val="20"/>
        </w:rPr>
        <w:t xml:space="preserve"> cybersecurity events periodically undertake tabletop exercises to simulate an event. Our internal notification procedures include notifying the applicable Company attorneys, which, depending on the level of severity assigned to the event, may include dire</w:t>
      </w:r>
      <w:r>
        <w:rPr>
          <w:rFonts w:eastAsia="Times New Roman"/>
          <w:color w:val="000000"/>
          <w:sz w:val="20"/>
          <w:szCs w:val="20"/>
        </w:rPr>
        <w:t>ct notice to, among others, the Company’s General Counsel, Ethics &amp; Compliance Officer, and Chief Privacy Officer. Company attorneys support efforts to evaluate the materiality of any incidents, determine whether notice to third parties such as customers o</w:t>
      </w:r>
      <w:r>
        <w:rPr>
          <w:rFonts w:eastAsia="Times New Roman"/>
          <w:color w:val="000000"/>
          <w:sz w:val="20"/>
          <w:szCs w:val="20"/>
        </w:rPr>
        <w:t>r vendors is required, determine whether any prohibition on insider trading is appropriate, and assess whether disclosure to stockholders or governmental filings, including with the SEC, are required. Our internal notification procedures also include notif</w:t>
      </w:r>
      <w:r>
        <w:rPr>
          <w:rFonts w:eastAsia="Times New Roman"/>
          <w:color w:val="000000"/>
          <w:sz w:val="20"/>
          <w:szCs w:val="20"/>
        </w:rPr>
        <w:t>ying various NCR Information Technology Services managers, subject matter experts in the Company’s software department and Company leadership, depending on the level of severity assigned to the event.</w:t>
      </w:r>
    </w:p>
    <w:p w14:paraId="029B2CCA" w14:textId="77777777" w:rsidR="00000000" w:rsidRDefault="0068293C">
      <w:pPr>
        <w:jc w:val="both"/>
        <w:rPr>
          <w:rFonts w:eastAsia="Times New Roman"/>
        </w:rPr>
      </w:pPr>
    </w:p>
    <w:p w14:paraId="1611F311" w14:textId="77777777" w:rsidR="00000000" w:rsidRDefault="0068293C">
      <w:pPr>
        <w:divId w:val="934478204"/>
        <w:rPr>
          <w:rFonts w:eastAsia="Times New Roman"/>
        </w:rPr>
      </w:pPr>
      <w:r>
        <w:rPr>
          <w:rFonts w:eastAsia="Times New Roman"/>
          <w:b/>
          <w:bCs/>
          <w:i/>
          <w:iCs/>
          <w:color w:val="000000"/>
          <w:sz w:val="20"/>
          <w:szCs w:val="20"/>
        </w:rPr>
        <w:t>Impacts from Geopolitical, Macroeconomic, and COVID-1</w:t>
      </w:r>
      <w:r>
        <w:rPr>
          <w:rFonts w:eastAsia="Times New Roman"/>
          <w:b/>
          <w:bCs/>
          <w:i/>
          <w:iCs/>
          <w:color w:val="000000"/>
          <w:sz w:val="20"/>
          <w:szCs w:val="20"/>
        </w:rPr>
        <w:t>9 Challenges    </w:t>
      </w:r>
    </w:p>
    <w:p w14:paraId="49A687B2" w14:textId="77777777" w:rsidR="00000000" w:rsidRDefault="0068293C">
      <w:pPr>
        <w:divId w:val="195705717"/>
        <w:rPr>
          <w:rFonts w:eastAsia="Times New Roman"/>
        </w:rPr>
      </w:pPr>
    </w:p>
    <w:p w14:paraId="14B0968C" w14:textId="77777777" w:rsidR="00000000" w:rsidRDefault="0068293C">
      <w:pPr>
        <w:jc w:val="both"/>
        <w:rPr>
          <w:rFonts w:eastAsia="Times New Roman"/>
        </w:rPr>
      </w:pPr>
      <w:r>
        <w:rPr>
          <w:rFonts w:eastAsia="Times New Roman"/>
          <w:color w:val="000000"/>
          <w:sz w:val="20"/>
          <w:szCs w:val="20"/>
        </w:rPr>
        <w:t xml:space="preserve">We continue to be exposed to macroeconomic pressures as a result of the lingering impacts of the COVID-19 pandemic, supply chain challenges, and spikes in commodity and energy prices as a result of geopolitical challenges, including the </w:t>
      </w:r>
      <w:r>
        <w:rPr>
          <w:rFonts w:eastAsia="Times New Roman"/>
          <w:color w:val="000000"/>
          <w:sz w:val="20"/>
          <w:szCs w:val="20"/>
        </w:rPr>
        <w:t>war in Eastern Europe. We continue to navigate through these challenges with a sharp focus on and goal of safeguarding our employees, helping our customers and managing impacts on our supply chain. Despite the unprecedented environment, our teams are execu</w:t>
      </w:r>
      <w:r>
        <w:rPr>
          <w:rFonts w:eastAsia="Times New Roman"/>
          <w:color w:val="000000"/>
          <w:sz w:val="20"/>
          <w:szCs w:val="20"/>
        </w:rPr>
        <w:t>ting at a high level and we are advancing our strategy.</w:t>
      </w:r>
    </w:p>
    <w:p w14:paraId="558C22D1" w14:textId="77777777" w:rsidR="00000000" w:rsidRDefault="0068293C">
      <w:pPr>
        <w:jc w:val="both"/>
        <w:rPr>
          <w:rFonts w:eastAsia="Times New Roman"/>
        </w:rPr>
      </w:pPr>
    </w:p>
    <w:p w14:paraId="7C20A156" w14:textId="77777777" w:rsidR="00000000" w:rsidRDefault="0068293C">
      <w:pPr>
        <w:jc w:val="both"/>
        <w:rPr>
          <w:rFonts w:eastAsia="Times New Roman"/>
        </w:rPr>
      </w:pPr>
      <w:r>
        <w:rPr>
          <w:rFonts w:eastAsia="Times New Roman"/>
          <w:color w:val="000000"/>
          <w:sz w:val="20"/>
          <w:szCs w:val="20"/>
        </w:rPr>
        <w:t>The COVID-19 pandemic is complex and continues to evolve. While it is difficult to project the long-term impact of the pandemic, we expect it will negatively impact our business at least in the shor</w:t>
      </w:r>
      <w:r>
        <w:rPr>
          <w:rFonts w:eastAsia="Times New Roman"/>
          <w:color w:val="000000"/>
          <w:sz w:val="20"/>
          <w:szCs w:val="20"/>
        </w:rPr>
        <w:t>t-term. The ultimate impact on our overall financial condition and operating results will depend on the currently unknowable duration and severity of the pandemic, supply chain challenges and cost escalations including materials, labor and freight, and any</w:t>
      </w:r>
      <w:r>
        <w:rPr>
          <w:rFonts w:eastAsia="Times New Roman"/>
          <w:color w:val="000000"/>
          <w:sz w:val="20"/>
          <w:szCs w:val="20"/>
        </w:rPr>
        <w:t xml:space="preserve"> additional governmental and public actions taken in response.</w:t>
      </w:r>
    </w:p>
    <w:p w14:paraId="0ADA5249" w14:textId="77777777" w:rsidR="00000000" w:rsidRDefault="0068293C">
      <w:pPr>
        <w:jc w:val="both"/>
        <w:rPr>
          <w:rFonts w:eastAsia="Times New Roman"/>
        </w:rPr>
      </w:pPr>
    </w:p>
    <w:p w14:paraId="74937FAD" w14:textId="77777777" w:rsidR="00000000" w:rsidRDefault="0068293C">
      <w:pPr>
        <w:jc w:val="both"/>
        <w:rPr>
          <w:rFonts w:eastAsia="Times New Roman"/>
        </w:rPr>
      </w:pPr>
      <w:r>
        <w:rPr>
          <w:rFonts w:eastAsia="Times New Roman"/>
          <w:color w:val="000000"/>
          <w:sz w:val="20"/>
          <w:szCs w:val="20"/>
        </w:rPr>
        <w:t>The war in Eastern Europe and related sanctions imposed on Russia and related actors have resulted in interest rate acceleration and inflation, including, but not limited to, a significant in</w:t>
      </w:r>
      <w:r>
        <w:rPr>
          <w:rFonts w:eastAsia="Times New Roman"/>
          <w:color w:val="000000"/>
          <w:sz w:val="20"/>
          <w:szCs w:val="20"/>
        </w:rPr>
        <w:t xml:space="preserve">crease in the price of energy around the world, particularly in regions such as Europe that are significantly dependent on Russia for their energy needs, and continued commodity price increases due to disruption in the mining industry in Ukraine and other </w:t>
      </w:r>
      <w:r>
        <w:rPr>
          <w:rFonts w:eastAsia="Times New Roman"/>
          <w:color w:val="000000"/>
          <w:sz w:val="20"/>
          <w:szCs w:val="20"/>
        </w:rPr>
        <w:t>factors. The war in Eastern Europe has also contributed to further disruption in logistics due to the shipping difficulties in and around the Black Sea and its ports, which have resulted in the rerouting of traffic to other ports and further logistics chal</w:t>
      </w:r>
      <w:r>
        <w:rPr>
          <w:rFonts w:eastAsia="Times New Roman"/>
          <w:color w:val="000000"/>
          <w:sz w:val="20"/>
          <w:szCs w:val="20"/>
        </w:rPr>
        <w:t xml:space="preserve">lenges. </w:t>
      </w:r>
    </w:p>
    <w:p w14:paraId="599602C9" w14:textId="77777777" w:rsidR="00000000" w:rsidRDefault="0068293C">
      <w:pPr>
        <w:jc w:val="both"/>
        <w:rPr>
          <w:rFonts w:eastAsia="Times New Roman"/>
        </w:rPr>
      </w:pPr>
    </w:p>
    <w:p w14:paraId="6AF5CB6F" w14:textId="77777777" w:rsidR="00000000" w:rsidRDefault="0068293C">
      <w:pPr>
        <w:jc w:val="both"/>
        <w:rPr>
          <w:rFonts w:eastAsia="Times New Roman"/>
        </w:rPr>
      </w:pPr>
      <w:r>
        <w:rPr>
          <w:rFonts w:eastAsia="Times New Roman"/>
          <w:color w:val="000000"/>
          <w:sz w:val="20"/>
          <w:szCs w:val="20"/>
        </w:rPr>
        <w:t>We expect that these factors will continue to negatively impact our business at least in the short-term. The ultimate impact on our overall financial condition and operating results will depend on the currently unknowable duration and severity o</w:t>
      </w:r>
      <w:r>
        <w:rPr>
          <w:rFonts w:eastAsia="Times New Roman"/>
          <w:color w:val="000000"/>
          <w:sz w:val="20"/>
          <w:szCs w:val="20"/>
        </w:rPr>
        <w:t xml:space="preserve">f these activities. We continue to evaluate the long-term impact that these may have on our business model, however there can be no assurance that the measures we have taken or will take will completely offset the negative impact. </w:t>
      </w:r>
    </w:p>
    <w:p w14:paraId="728A492C" w14:textId="77777777" w:rsidR="00000000" w:rsidRDefault="0068293C">
      <w:pPr>
        <w:jc w:val="both"/>
        <w:rPr>
          <w:rFonts w:eastAsia="Times New Roman"/>
        </w:rPr>
      </w:pPr>
    </w:p>
    <w:p w14:paraId="3E2613E5" w14:textId="77777777" w:rsidR="00000000" w:rsidRDefault="0068293C">
      <w:pPr>
        <w:jc w:val="both"/>
        <w:rPr>
          <w:rFonts w:eastAsia="Times New Roman"/>
        </w:rPr>
      </w:pPr>
      <w:r>
        <w:rPr>
          <w:rFonts w:eastAsia="Times New Roman"/>
          <w:color w:val="000000"/>
          <w:sz w:val="20"/>
          <w:szCs w:val="20"/>
        </w:rPr>
        <w:t>For further informatio</w:t>
      </w:r>
      <w:r>
        <w:rPr>
          <w:rFonts w:eastAsia="Times New Roman"/>
          <w:color w:val="000000"/>
          <w:sz w:val="20"/>
          <w:szCs w:val="20"/>
        </w:rPr>
        <w:t xml:space="preserve">n on the risks posed to our business from the COVID-19 pandemic, refer to Part I, Item 1A, “Risk Factors”, of the Company's 2021 Form 10-K. </w:t>
      </w:r>
    </w:p>
    <w:p w14:paraId="55D61C38" w14:textId="77777777" w:rsidR="00000000" w:rsidRDefault="0068293C">
      <w:pPr>
        <w:jc w:val="both"/>
        <w:rPr>
          <w:rFonts w:eastAsia="Times New Roman"/>
        </w:rPr>
      </w:pPr>
    </w:p>
    <w:p w14:paraId="12057CFE" w14:textId="77777777" w:rsidR="00000000" w:rsidRDefault="0068293C">
      <w:pPr>
        <w:jc w:val="center"/>
        <w:divId w:val="162860135"/>
        <w:rPr>
          <w:rFonts w:eastAsia="Times New Roman"/>
        </w:rPr>
      </w:pPr>
      <w:r>
        <w:rPr>
          <w:rFonts w:eastAsia="Times New Roman"/>
          <w:color w:val="000000"/>
          <w:sz w:val="20"/>
          <w:szCs w:val="20"/>
        </w:rPr>
        <w:t>37</w:t>
      </w:r>
    </w:p>
    <w:p w14:paraId="7798DE48" w14:textId="77777777" w:rsidR="00000000" w:rsidRDefault="0068293C">
      <w:pPr>
        <w:rPr>
          <w:rFonts w:eastAsia="Times New Roman"/>
        </w:rPr>
      </w:pPr>
      <w:r>
        <w:rPr>
          <w:rFonts w:eastAsia="Times New Roman"/>
        </w:rPr>
        <w:pict w14:anchorId="0A0F7D25">
          <v:rect id="_x0000_i1062" style="width:0;height:1.5pt" o:hralign="center" o:hrstd="t" o:hr="t" fillcolor="#a0a0a0" stroked="f"/>
        </w:pict>
      </w:r>
    </w:p>
    <w:p w14:paraId="3E947155" w14:textId="77777777" w:rsidR="00000000" w:rsidRDefault="0068293C">
      <w:pPr>
        <w:divId w:val="1320769526"/>
        <w:rPr>
          <w:rFonts w:eastAsia="Times New Roman"/>
        </w:rPr>
      </w:pPr>
      <w:hyperlink w:anchor="i78484f3d0d8e4e36a7c87ddd6ea9d725_7" w:history="1">
        <w:r>
          <w:rPr>
            <w:rStyle w:val="a3"/>
            <w:rFonts w:eastAsia="Times New Roman"/>
            <w:sz w:val="16"/>
            <w:szCs w:val="16"/>
          </w:rPr>
          <w:t>Table of Contents</w:t>
        </w:r>
      </w:hyperlink>
    </w:p>
    <w:p w14:paraId="5FCCA969" w14:textId="77777777" w:rsidR="00000000" w:rsidRDefault="0068293C">
      <w:pPr>
        <w:divId w:val="1964342122"/>
        <w:rPr>
          <w:rFonts w:eastAsia="Times New Roman"/>
        </w:rPr>
      </w:pPr>
      <w:r>
        <w:rPr>
          <w:rFonts w:eastAsia="Times New Roman"/>
          <w:b/>
          <w:bCs/>
          <w:i/>
          <w:iCs/>
          <w:color w:val="000000"/>
          <w:sz w:val="20"/>
          <w:szCs w:val="20"/>
        </w:rPr>
        <w:t>Results from Operations</w:t>
      </w:r>
    </w:p>
    <w:p w14:paraId="498C11B0" w14:textId="77777777" w:rsidR="00000000" w:rsidRDefault="0068293C">
      <w:pPr>
        <w:ind w:firstLine="225"/>
        <w:divId w:val="1018507034"/>
        <w:rPr>
          <w:rFonts w:eastAsia="Times New Roman"/>
        </w:rPr>
      </w:pPr>
    </w:p>
    <w:p w14:paraId="1D8F6009" w14:textId="77777777" w:rsidR="00000000" w:rsidRDefault="0068293C">
      <w:pPr>
        <w:divId w:val="349986310"/>
        <w:rPr>
          <w:rFonts w:eastAsia="Times New Roman"/>
        </w:rPr>
      </w:pPr>
      <w:r>
        <w:rPr>
          <w:rFonts w:eastAsia="Times New Roman"/>
          <w:b/>
          <w:bCs/>
          <w:i/>
          <w:iCs/>
          <w:color w:val="000000"/>
          <w:sz w:val="20"/>
          <w:szCs w:val="20"/>
        </w:rPr>
        <w:t xml:space="preserve">For the three months ended March 31, 2022 compared to the three months ended March 31, 2021 </w:t>
      </w:r>
    </w:p>
    <w:p w14:paraId="2063FD9B" w14:textId="77777777" w:rsidR="00000000" w:rsidRDefault="0068293C">
      <w:pPr>
        <w:divId w:val="1010987316"/>
        <w:rPr>
          <w:rFonts w:eastAsia="Times New Roman"/>
        </w:rPr>
      </w:pPr>
    </w:p>
    <w:p w14:paraId="3704EFF6" w14:textId="77777777" w:rsidR="00000000" w:rsidRDefault="0068293C">
      <w:pPr>
        <w:divId w:val="2081173223"/>
        <w:rPr>
          <w:rFonts w:eastAsia="Times New Roman"/>
        </w:rPr>
      </w:pPr>
      <w:r>
        <w:rPr>
          <w:rFonts w:eastAsia="Times New Roman"/>
          <w:b/>
          <w:bCs/>
          <w:color w:val="000000"/>
          <w:sz w:val="20"/>
          <w:szCs w:val="20"/>
        </w:rPr>
        <w:t>Key Strategic Financial</w:t>
      </w:r>
      <w:r>
        <w:rPr>
          <w:rFonts w:eastAsia="Times New Roman"/>
          <w:b/>
          <w:bCs/>
          <w:color w:val="000000"/>
          <w:sz w:val="20"/>
          <w:szCs w:val="20"/>
        </w:rPr>
        <w:t xml:space="preserve"> Metrics</w:t>
      </w:r>
    </w:p>
    <w:p w14:paraId="5376833D" w14:textId="77777777" w:rsidR="00000000" w:rsidRDefault="0068293C">
      <w:pPr>
        <w:divId w:val="1711608662"/>
        <w:rPr>
          <w:rFonts w:eastAsia="Times New Roman"/>
        </w:rPr>
      </w:pPr>
    </w:p>
    <w:p w14:paraId="049590F5" w14:textId="77777777" w:rsidR="00000000" w:rsidRDefault="0068293C">
      <w:pPr>
        <w:jc w:val="both"/>
        <w:rPr>
          <w:rFonts w:eastAsia="Times New Roman"/>
        </w:rPr>
      </w:pPr>
      <w:r>
        <w:rPr>
          <w:rFonts w:eastAsia="Times New Roman"/>
          <w:color w:val="000000"/>
          <w:sz w:val="20"/>
          <w:szCs w:val="20"/>
        </w:rPr>
        <w:t xml:space="preserve">The following tables show our key strategic financial metrics for the three months ended March 31, the relative percentage that those amounts represent to total revenue, and the change in those amounts year-over-year. </w:t>
      </w:r>
    </w:p>
    <w:p w14:paraId="78E6B9A7" w14:textId="77777777" w:rsidR="00000000" w:rsidRDefault="0068293C">
      <w:pPr>
        <w:divId w:val="1350251210"/>
        <w:rPr>
          <w:rFonts w:eastAsia="Times New Roman"/>
        </w:rPr>
      </w:pPr>
    </w:p>
    <w:p w14:paraId="466D33C7" w14:textId="77777777" w:rsidR="00000000" w:rsidRDefault="0068293C">
      <w:pPr>
        <w:ind w:hanging="360"/>
        <w:jc w:val="both"/>
        <w:rPr>
          <w:rFonts w:eastAsia="Times New Roman"/>
        </w:rPr>
      </w:pPr>
      <w:r>
        <w:rPr>
          <w:rFonts w:eastAsia="Times New Roman"/>
          <w:b/>
          <w:bCs/>
          <w:i/>
          <w:iCs/>
          <w:color w:val="000000"/>
          <w:sz w:val="20"/>
          <w:szCs w:val="20"/>
        </w:rPr>
        <w:t>Recurring revenue as a p</w:t>
      </w:r>
      <w:r>
        <w:rPr>
          <w:rFonts w:eastAsia="Times New Roman"/>
          <w:b/>
          <w:bCs/>
          <w:i/>
          <w:iCs/>
          <w:color w:val="000000"/>
          <w:sz w:val="20"/>
          <w:szCs w:val="20"/>
        </w:rPr>
        <w:t xml:space="preserve">ercentage of total revenue </w:t>
      </w:r>
    </w:p>
    <w:p w14:paraId="666839B9" w14:textId="77777777" w:rsidR="00000000" w:rsidRDefault="0068293C">
      <w:pPr>
        <w:divId w:val="71239898"/>
        <w:rPr>
          <w:rFonts w:eastAsia="Times New Roman"/>
        </w:rPr>
      </w:pPr>
    </w:p>
    <w:p w14:paraId="477B65A5" w14:textId="77777777" w:rsidR="00000000" w:rsidRDefault="0068293C">
      <w:pPr>
        <w:divId w:val="25356128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69"/>
        <w:gridCol w:w="36"/>
        <w:gridCol w:w="36"/>
        <w:gridCol w:w="36"/>
        <w:gridCol w:w="36"/>
        <w:gridCol w:w="120"/>
        <w:gridCol w:w="776"/>
        <w:gridCol w:w="36"/>
        <w:gridCol w:w="36"/>
        <w:gridCol w:w="36"/>
        <w:gridCol w:w="36"/>
        <w:gridCol w:w="120"/>
        <w:gridCol w:w="776"/>
        <w:gridCol w:w="36"/>
        <w:gridCol w:w="36"/>
        <w:gridCol w:w="36"/>
        <w:gridCol w:w="36"/>
        <w:gridCol w:w="45"/>
        <w:gridCol w:w="712"/>
        <w:gridCol w:w="221"/>
        <w:gridCol w:w="37"/>
        <w:gridCol w:w="37"/>
        <w:gridCol w:w="36"/>
        <w:gridCol w:w="46"/>
        <w:gridCol w:w="700"/>
        <w:gridCol w:w="187"/>
        <w:gridCol w:w="36"/>
        <w:gridCol w:w="36"/>
        <w:gridCol w:w="36"/>
        <w:gridCol w:w="65"/>
        <w:gridCol w:w="694"/>
        <w:gridCol w:w="187"/>
      </w:tblGrid>
      <w:tr w:rsidR="00000000" w14:paraId="6A6B8F33" w14:textId="77777777">
        <w:trPr>
          <w:divId w:val="1756704547"/>
        </w:trPr>
        <w:tc>
          <w:tcPr>
            <w:tcW w:w="50" w:type="pct"/>
            <w:vAlign w:val="center"/>
            <w:hideMark/>
          </w:tcPr>
          <w:p w14:paraId="63F732F2" w14:textId="77777777" w:rsidR="00000000" w:rsidRDefault="0068293C">
            <w:pPr>
              <w:rPr>
                <w:rFonts w:eastAsia="Times New Roman"/>
              </w:rPr>
            </w:pPr>
          </w:p>
        </w:tc>
        <w:tc>
          <w:tcPr>
            <w:tcW w:w="1882" w:type="pct"/>
            <w:vAlign w:val="center"/>
            <w:hideMark/>
          </w:tcPr>
          <w:p w14:paraId="1D6A5D1C" w14:textId="77777777" w:rsidR="00000000" w:rsidRDefault="0068293C">
            <w:pPr>
              <w:spacing w:after="100"/>
              <w:rPr>
                <w:rFonts w:eastAsia="Times New Roman"/>
                <w:sz w:val="20"/>
                <w:szCs w:val="20"/>
              </w:rPr>
            </w:pPr>
          </w:p>
        </w:tc>
        <w:tc>
          <w:tcPr>
            <w:tcW w:w="5" w:type="pct"/>
            <w:vAlign w:val="center"/>
            <w:hideMark/>
          </w:tcPr>
          <w:p w14:paraId="1482C3EE" w14:textId="77777777" w:rsidR="00000000" w:rsidRDefault="0068293C">
            <w:pPr>
              <w:spacing w:after="100"/>
              <w:rPr>
                <w:rFonts w:eastAsia="Times New Roman"/>
                <w:sz w:val="20"/>
                <w:szCs w:val="20"/>
              </w:rPr>
            </w:pPr>
          </w:p>
        </w:tc>
        <w:tc>
          <w:tcPr>
            <w:tcW w:w="5" w:type="pct"/>
            <w:vAlign w:val="center"/>
            <w:hideMark/>
          </w:tcPr>
          <w:p w14:paraId="77A3433F" w14:textId="77777777" w:rsidR="00000000" w:rsidRDefault="0068293C">
            <w:pPr>
              <w:spacing w:after="100"/>
              <w:rPr>
                <w:rFonts w:eastAsia="Times New Roman"/>
                <w:sz w:val="20"/>
                <w:szCs w:val="20"/>
              </w:rPr>
            </w:pPr>
          </w:p>
        </w:tc>
        <w:tc>
          <w:tcPr>
            <w:tcW w:w="19" w:type="pct"/>
            <w:vAlign w:val="center"/>
            <w:hideMark/>
          </w:tcPr>
          <w:p w14:paraId="4D57B428" w14:textId="77777777" w:rsidR="00000000" w:rsidRDefault="0068293C">
            <w:pPr>
              <w:spacing w:after="100"/>
              <w:rPr>
                <w:rFonts w:eastAsia="Times New Roman"/>
                <w:sz w:val="20"/>
                <w:szCs w:val="20"/>
              </w:rPr>
            </w:pPr>
          </w:p>
        </w:tc>
        <w:tc>
          <w:tcPr>
            <w:tcW w:w="5" w:type="pct"/>
            <w:vAlign w:val="center"/>
            <w:hideMark/>
          </w:tcPr>
          <w:p w14:paraId="38A74E81" w14:textId="77777777" w:rsidR="00000000" w:rsidRDefault="0068293C">
            <w:pPr>
              <w:spacing w:after="100"/>
              <w:rPr>
                <w:rFonts w:eastAsia="Times New Roman"/>
                <w:sz w:val="20"/>
                <w:szCs w:val="20"/>
              </w:rPr>
            </w:pPr>
          </w:p>
        </w:tc>
        <w:tc>
          <w:tcPr>
            <w:tcW w:w="50" w:type="pct"/>
            <w:vAlign w:val="center"/>
            <w:hideMark/>
          </w:tcPr>
          <w:p w14:paraId="057B7AE4" w14:textId="77777777" w:rsidR="00000000" w:rsidRDefault="0068293C">
            <w:pPr>
              <w:spacing w:after="100"/>
              <w:rPr>
                <w:rFonts w:eastAsia="Times New Roman"/>
                <w:sz w:val="20"/>
                <w:szCs w:val="20"/>
              </w:rPr>
            </w:pPr>
          </w:p>
        </w:tc>
        <w:tc>
          <w:tcPr>
            <w:tcW w:w="529" w:type="pct"/>
            <w:vAlign w:val="center"/>
            <w:hideMark/>
          </w:tcPr>
          <w:p w14:paraId="6D263000" w14:textId="77777777" w:rsidR="00000000" w:rsidRDefault="0068293C">
            <w:pPr>
              <w:spacing w:after="100"/>
              <w:rPr>
                <w:rFonts w:eastAsia="Times New Roman"/>
                <w:sz w:val="20"/>
                <w:szCs w:val="20"/>
              </w:rPr>
            </w:pPr>
          </w:p>
        </w:tc>
        <w:tc>
          <w:tcPr>
            <w:tcW w:w="5" w:type="pct"/>
            <w:vAlign w:val="center"/>
            <w:hideMark/>
          </w:tcPr>
          <w:p w14:paraId="6D0C7286" w14:textId="77777777" w:rsidR="00000000" w:rsidRDefault="0068293C">
            <w:pPr>
              <w:spacing w:after="100"/>
              <w:rPr>
                <w:rFonts w:eastAsia="Times New Roman"/>
                <w:sz w:val="20"/>
                <w:szCs w:val="20"/>
              </w:rPr>
            </w:pPr>
          </w:p>
        </w:tc>
        <w:tc>
          <w:tcPr>
            <w:tcW w:w="5" w:type="pct"/>
            <w:vAlign w:val="center"/>
            <w:hideMark/>
          </w:tcPr>
          <w:p w14:paraId="119268B5" w14:textId="77777777" w:rsidR="00000000" w:rsidRDefault="0068293C">
            <w:pPr>
              <w:spacing w:after="100"/>
              <w:rPr>
                <w:rFonts w:eastAsia="Times New Roman"/>
                <w:sz w:val="20"/>
                <w:szCs w:val="20"/>
              </w:rPr>
            </w:pPr>
          </w:p>
        </w:tc>
        <w:tc>
          <w:tcPr>
            <w:tcW w:w="19" w:type="pct"/>
            <w:vAlign w:val="center"/>
            <w:hideMark/>
          </w:tcPr>
          <w:p w14:paraId="38C79C21" w14:textId="77777777" w:rsidR="00000000" w:rsidRDefault="0068293C">
            <w:pPr>
              <w:spacing w:after="100"/>
              <w:rPr>
                <w:rFonts w:eastAsia="Times New Roman"/>
                <w:sz w:val="20"/>
                <w:szCs w:val="20"/>
              </w:rPr>
            </w:pPr>
          </w:p>
        </w:tc>
        <w:tc>
          <w:tcPr>
            <w:tcW w:w="5" w:type="pct"/>
            <w:vAlign w:val="center"/>
            <w:hideMark/>
          </w:tcPr>
          <w:p w14:paraId="5CBD768D" w14:textId="77777777" w:rsidR="00000000" w:rsidRDefault="0068293C">
            <w:pPr>
              <w:spacing w:after="100"/>
              <w:rPr>
                <w:rFonts w:eastAsia="Times New Roman"/>
                <w:sz w:val="20"/>
                <w:szCs w:val="20"/>
              </w:rPr>
            </w:pPr>
          </w:p>
        </w:tc>
        <w:tc>
          <w:tcPr>
            <w:tcW w:w="50" w:type="pct"/>
            <w:vAlign w:val="center"/>
            <w:hideMark/>
          </w:tcPr>
          <w:p w14:paraId="6B79F3E2" w14:textId="77777777" w:rsidR="00000000" w:rsidRDefault="0068293C">
            <w:pPr>
              <w:spacing w:after="100"/>
              <w:rPr>
                <w:rFonts w:eastAsia="Times New Roman"/>
                <w:sz w:val="20"/>
                <w:szCs w:val="20"/>
              </w:rPr>
            </w:pPr>
          </w:p>
        </w:tc>
        <w:tc>
          <w:tcPr>
            <w:tcW w:w="529" w:type="pct"/>
            <w:vAlign w:val="center"/>
            <w:hideMark/>
          </w:tcPr>
          <w:p w14:paraId="408E1E30" w14:textId="77777777" w:rsidR="00000000" w:rsidRDefault="0068293C">
            <w:pPr>
              <w:spacing w:after="100"/>
              <w:rPr>
                <w:rFonts w:eastAsia="Times New Roman"/>
                <w:sz w:val="20"/>
                <w:szCs w:val="20"/>
              </w:rPr>
            </w:pPr>
          </w:p>
        </w:tc>
        <w:tc>
          <w:tcPr>
            <w:tcW w:w="5" w:type="pct"/>
            <w:vAlign w:val="center"/>
            <w:hideMark/>
          </w:tcPr>
          <w:p w14:paraId="2728DF4C" w14:textId="77777777" w:rsidR="00000000" w:rsidRDefault="0068293C">
            <w:pPr>
              <w:spacing w:after="100"/>
              <w:rPr>
                <w:rFonts w:eastAsia="Times New Roman"/>
                <w:sz w:val="20"/>
                <w:szCs w:val="20"/>
              </w:rPr>
            </w:pPr>
          </w:p>
        </w:tc>
        <w:tc>
          <w:tcPr>
            <w:tcW w:w="5" w:type="pct"/>
            <w:vAlign w:val="center"/>
            <w:hideMark/>
          </w:tcPr>
          <w:p w14:paraId="660B2180" w14:textId="77777777" w:rsidR="00000000" w:rsidRDefault="0068293C">
            <w:pPr>
              <w:spacing w:after="100"/>
              <w:rPr>
                <w:rFonts w:eastAsia="Times New Roman"/>
                <w:sz w:val="20"/>
                <w:szCs w:val="20"/>
              </w:rPr>
            </w:pPr>
          </w:p>
        </w:tc>
        <w:tc>
          <w:tcPr>
            <w:tcW w:w="19" w:type="pct"/>
            <w:vAlign w:val="center"/>
            <w:hideMark/>
          </w:tcPr>
          <w:p w14:paraId="541122DC" w14:textId="77777777" w:rsidR="00000000" w:rsidRDefault="0068293C">
            <w:pPr>
              <w:spacing w:after="100"/>
              <w:rPr>
                <w:rFonts w:eastAsia="Times New Roman"/>
                <w:sz w:val="20"/>
                <w:szCs w:val="20"/>
              </w:rPr>
            </w:pPr>
          </w:p>
        </w:tc>
        <w:tc>
          <w:tcPr>
            <w:tcW w:w="5" w:type="pct"/>
            <w:vAlign w:val="center"/>
            <w:hideMark/>
          </w:tcPr>
          <w:p w14:paraId="30733953" w14:textId="77777777" w:rsidR="00000000" w:rsidRDefault="0068293C">
            <w:pPr>
              <w:spacing w:after="100"/>
              <w:rPr>
                <w:rFonts w:eastAsia="Times New Roman"/>
                <w:sz w:val="20"/>
                <w:szCs w:val="20"/>
              </w:rPr>
            </w:pPr>
          </w:p>
        </w:tc>
        <w:tc>
          <w:tcPr>
            <w:tcW w:w="50" w:type="pct"/>
            <w:vAlign w:val="center"/>
            <w:hideMark/>
          </w:tcPr>
          <w:p w14:paraId="4F6AF21A" w14:textId="77777777" w:rsidR="00000000" w:rsidRDefault="0068293C">
            <w:pPr>
              <w:spacing w:after="100"/>
              <w:rPr>
                <w:rFonts w:eastAsia="Times New Roman"/>
                <w:sz w:val="20"/>
                <w:szCs w:val="20"/>
              </w:rPr>
            </w:pPr>
          </w:p>
        </w:tc>
        <w:tc>
          <w:tcPr>
            <w:tcW w:w="529" w:type="pct"/>
            <w:vAlign w:val="center"/>
            <w:hideMark/>
          </w:tcPr>
          <w:p w14:paraId="54D6BE30" w14:textId="77777777" w:rsidR="00000000" w:rsidRDefault="0068293C">
            <w:pPr>
              <w:spacing w:after="100"/>
              <w:rPr>
                <w:rFonts w:eastAsia="Times New Roman"/>
                <w:sz w:val="20"/>
                <w:szCs w:val="20"/>
              </w:rPr>
            </w:pPr>
          </w:p>
        </w:tc>
        <w:tc>
          <w:tcPr>
            <w:tcW w:w="5" w:type="pct"/>
            <w:vAlign w:val="center"/>
            <w:hideMark/>
          </w:tcPr>
          <w:p w14:paraId="4D4B231C" w14:textId="77777777" w:rsidR="00000000" w:rsidRDefault="0068293C">
            <w:pPr>
              <w:spacing w:after="100"/>
              <w:rPr>
                <w:rFonts w:eastAsia="Times New Roman"/>
                <w:sz w:val="20"/>
                <w:szCs w:val="20"/>
              </w:rPr>
            </w:pPr>
          </w:p>
        </w:tc>
        <w:tc>
          <w:tcPr>
            <w:tcW w:w="5" w:type="pct"/>
            <w:vAlign w:val="center"/>
            <w:hideMark/>
          </w:tcPr>
          <w:p w14:paraId="568EC3AF" w14:textId="77777777" w:rsidR="00000000" w:rsidRDefault="0068293C">
            <w:pPr>
              <w:spacing w:after="100"/>
              <w:rPr>
                <w:rFonts w:eastAsia="Times New Roman"/>
                <w:sz w:val="20"/>
                <w:szCs w:val="20"/>
              </w:rPr>
            </w:pPr>
          </w:p>
        </w:tc>
        <w:tc>
          <w:tcPr>
            <w:tcW w:w="19" w:type="pct"/>
            <w:vAlign w:val="center"/>
            <w:hideMark/>
          </w:tcPr>
          <w:p w14:paraId="3DF5FA99" w14:textId="77777777" w:rsidR="00000000" w:rsidRDefault="0068293C">
            <w:pPr>
              <w:spacing w:after="100"/>
              <w:rPr>
                <w:rFonts w:eastAsia="Times New Roman"/>
                <w:sz w:val="20"/>
                <w:szCs w:val="20"/>
              </w:rPr>
            </w:pPr>
          </w:p>
        </w:tc>
        <w:tc>
          <w:tcPr>
            <w:tcW w:w="5" w:type="pct"/>
            <w:vAlign w:val="center"/>
            <w:hideMark/>
          </w:tcPr>
          <w:p w14:paraId="209B9A3F" w14:textId="77777777" w:rsidR="00000000" w:rsidRDefault="0068293C">
            <w:pPr>
              <w:spacing w:after="100"/>
              <w:rPr>
                <w:rFonts w:eastAsia="Times New Roman"/>
                <w:sz w:val="20"/>
                <w:szCs w:val="20"/>
              </w:rPr>
            </w:pPr>
          </w:p>
        </w:tc>
        <w:tc>
          <w:tcPr>
            <w:tcW w:w="50" w:type="pct"/>
            <w:vAlign w:val="center"/>
            <w:hideMark/>
          </w:tcPr>
          <w:p w14:paraId="0C79347D" w14:textId="77777777" w:rsidR="00000000" w:rsidRDefault="0068293C">
            <w:pPr>
              <w:spacing w:after="100"/>
              <w:rPr>
                <w:rFonts w:eastAsia="Times New Roman"/>
                <w:sz w:val="20"/>
                <w:szCs w:val="20"/>
              </w:rPr>
            </w:pPr>
          </w:p>
        </w:tc>
        <w:tc>
          <w:tcPr>
            <w:tcW w:w="522" w:type="pct"/>
            <w:vAlign w:val="center"/>
            <w:hideMark/>
          </w:tcPr>
          <w:p w14:paraId="20DF4B78" w14:textId="77777777" w:rsidR="00000000" w:rsidRDefault="0068293C">
            <w:pPr>
              <w:spacing w:after="100"/>
              <w:rPr>
                <w:rFonts w:eastAsia="Times New Roman"/>
                <w:sz w:val="20"/>
                <w:szCs w:val="20"/>
              </w:rPr>
            </w:pPr>
          </w:p>
        </w:tc>
        <w:tc>
          <w:tcPr>
            <w:tcW w:w="5" w:type="pct"/>
            <w:vAlign w:val="center"/>
            <w:hideMark/>
          </w:tcPr>
          <w:p w14:paraId="315F0CF1" w14:textId="77777777" w:rsidR="00000000" w:rsidRDefault="0068293C">
            <w:pPr>
              <w:spacing w:after="100"/>
              <w:rPr>
                <w:rFonts w:eastAsia="Times New Roman"/>
                <w:sz w:val="20"/>
                <w:szCs w:val="20"/>
              </w:rPr>
            </w:pPr>
          </w:p>
        </w:tc>
        <w:tc>
          <w:tcPr>
            <w:tcW w:w="5" w:type="pct"/>
            <w:vAlign w:val="center"/>
            <w:hideMark/>
          </w:tcPr>
          <w:p w14:paraId="268044EE" w14:textId="77777777" w:rsidR="00000000" w:rsidRDefault="0068293C">
            <w:pPr>
              <w:spacing w:after="100"/>
              <w:rPr>
                <w:rFonts w:eastAsia="Times New Roman"/>
                <w:sz w:val="20"/>
                <w:szCs w:val="20"/>
              </w:rPr>
            </w:pPr>
          </w:p>
        </w:tc>
        <w:tc>
          <w:tcPr>
            <w:tcW w:w="19" w:type="pct"/>
            <w:vAlign w:val="center"/>
            <w:hideMark/>
          </w:tcPr>
          <w:p w14:paraId="21E12DF6" w14:textId="77777777" w:rsidR="00000000" w:rsidRDefault="0068293C">
            <w:pPr>
              <w:spacing w:after="100"/>
              <w:rPr>
                <w:rFonts w:eastAsia="Times New Roman"/>
                <w:sz w:val="20"/>
                <w:szCs w:val="20"/>
              </w:rPr>
            </w:pPr>
          </w:p>
        </w:tc>
        <w:tc>
          <w:tcPr>
            <w:tcW w:w="5" w:type="pct"/>
            <w:vAlign w:val="center"/>
            <w:hideMark/>
          </w:tcPr>
          <w:p w14:paraId="56AD057E" w14:textId="77777777" w:rsidR="00000000" w:rsidRDefault="0068293C">
            <w:pPr>
              <w:spacing w:after="100"/>
              <w:rPr>
                <w:rFonts w:eastAsia="Times New Roman"/>
                <w:sz w:val="20"/>
                <w:szCs w:val="20"/>
              </w:rPr>
            </w:pPr>
          </w:p>
        </w:tc>
        <w:tc>
          <w:tcPr>
            <w:tcW w:w="50" w:type="pct"/>
            <w:vAlign w:val="center"/>
            <w:hideMark/>
          </w:tcPr>
          <w:p w14:paraId="46B8856B" w14:textId="77777777" w:rsidR="00000000" w:rsidRDefault="0068293C">
            <w:pPr>
              <w:spacing w:after="100"/>
              <w:rPr>
                <w:rFonts w:eastAsia="Times New Roman"/>
                <w:sz w:val="20"/>
                <w:szCs w:val="20"/>
              </w:rPr>
            </w:pPr>
          </w:p>
        </w:tc>
        <w:tc>
          <w:tcPr>
            <w:tcW w:w="530" w:type="pct"/>
            <w:vAlign w:val="center"/>
            <w:hideMark/>
          </w:tcPr>
          <w:p w14:paraId="2FE34120" w14:textId="77777777" w:rsidR="00000000" w:rsidRDefault="0068293C">
            <w:pPr>
              <w:spacing w:after="100"/>
              <w:rPr>
                <w:rFonts w:eastAsia="Times New Roman"/>
                <w:sz w:val="20"/>
                <w:szCs w:val="20"/>
              </w:rPr>
            </w:pPr>
          </w:p>
        </w:tc>
        <w:tc>
          <w:tcPr>
            <w:tcW w:w="5" w:type="pct"/>
            <w:vAlign w:val="center"/>
            <w:hideMark/>
          </w:tcPr>
          <w:p w14:paraId="3C4627A4" w14:textId="77777777" w:rsidR="00000000" w:rsidRDefault="0068293C">
            <w:pPr>
              <w:spacing w:after="100"/>
              <w:rPr>
                <w:rFonts w:eastAsia="Times New Roman"/>
                <w:sz w:val="20"/>
                <w:szCs w:val="20"/>
              </w:rPr>
            </w:pPr>
          </w:p>
        </w:tc>
      </w:tr>
      <w:tr w:rsidR="00000000" w14:paraId="10C49DA5" w14:textId="77777777">
        <w:trPr>
          <w:divId w:val="1756704547"/>
        </w:trPr>
        <w:tc>
          <w:tcPr>
            <w:tcW w:w="0" w:type="auto"/>
            <w:gridSpan w:val="3"/>
            <w:tcMar>
              <w:top w:w="0" w:type="dxa"/>
              <w:left w:w="20" w:type="dxa"/>
              <w:bottom w:w="0" w:type="dxa"/>
              <w:right w:w="20" w:type="dxa"/>
            </w:tcMar>
            <w:vAlign w:val="center"/>
            <w:hideMark/>
          </w:tcPr>
          <w:p w14:paraId="3B61827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D65756"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7E144C1"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681750AA" w14:textId="77777777" w:rsidR="00000000" w:rsidRDefault="0068293C">
            <w:pPr>
              <w:spacing w:after="100"/>
              <w:jc w:val="center"/>
              <w:rPr>
                <w:rFonts w:eastAsia="Times New Roman"/>
              </w:rPr>
            </w:pPr>
          </w:p>
        </w:tc>
        <w:tc>
          <w:tcPr>
            <w:tcW w:w="0" w:type="auto"/>
            <w:gridSpan w:val="12"/>
            <w:tcMar>
              <w:top w:w="30" w:type="dxa"/>
              <w:left w:w="20" w:type="dxa"/>
              <w:bottom w:w="30" w:type="dxa"/>
              <w:right w:w="20" w:type="dxa"/>
            </w:tcMar>
            <w:vAlign w:val="bottom"/>
            <w:hideMark/>
          </w:tcPr>
          <w:p w14:paraId="617E7E92" w14:textId="77777777" w:rsidR="00000000" w:rsidRDefault="0068293C">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14:paraId="4CCA87B2"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7B8368F2" w14:textId="77777777">
        <w:trPr>
          <w:divId w:val="1756704547"/>
        </w:trPr>
        <w:tc>
          <w:tcPr>
            <w:tcW w:w="0" w:type="auto"/>
            <w:gridSpan w:val="3"/>
            <w:tcMar>
              <w:top w:w="30" w:type="dxa"/>
              <w:left w:w="20" w:type="dxa"/>
              <w:bottom w:w="30" w:type="dxa"/>
              <w:right w:w="20" w:type="dxa"/>
            </w:tcMar>
            <w:vAlign w:val="bottom"/>
            <w:hideMark/>
          </w:tcPr>
          <w:p w14:paraId="61E07E95"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7C650A71"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4E9BF8"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1C249F2"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9B7C04"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8F17AA6"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FAF9EF"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153388B"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ACE37E"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3A03F0E"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9FB8DB" w14:textId="77777777" w:rsidR="00000000" w:rsidRDefault="0068293C">
            <w:pPr>
              <w:spacing w:after="100"/>
              <w:jc w:val="center"/>
              <w:rPr>
                <w:rFonts w:eastAsia="Times New Roman"/>
              </w:rPr>
            </w:pPr>
            <w:r>
              <w:rPr>
                <w:rFonts w:eastAsia="Times New Roman"/>
                <w:b/>
                <w:bCs/>
                <w:color w:val="000000"/>
                <w:sz w:val="16"/>
                <w:szCs w:val="16"/>
              </w:rPr>
              <w:t>2022 v 2021</w:t>
            </w:r>
          </w:p>
        </w:tc>
      </w:tr>
      <w:tr w:rsidR="00000000" w14:paraId="6E960269" w14:textId="77777777">
        <w:trPr>
          <w:divId w:val="1756704547"/>
        </w:trPr>
        <w:tc>
          <w:tcPr>
            <w:tcW w:w="0" w:type="auto"/>
            <w:gridSpan w:val="3"/>
            <w:shd w:val="clear" w:color="auto" w:fill="CCEEFF"/>
            <w:tcMar>
              <w:top w:w="30" w:type="dxa"/>
              <w:left w:w="20" w:type="dxa"/>
              <w:bottom w:w="30" w:type="dxa"/>
              <w:right w:w="20" w:type="dxa"/>
            </w:tcMar>
            <w:vAlign w:val="bottom"/>
            <w:hideMark/>
          </w:tcPr>
          <w:p w14:paraId="7B5DFF60" w14:textId="77777777" w:rsidR="00000000" w:rsidRDefault="0068293C">
            <w:pPr>
              <w:spacing w:after="100"/>
              <w:divId w:val="1680767643"/>
              <w:rPr>
                <w:rFonts w:eastAsia="Times New Roman"/>
              </w:rPr>
            </w:pPr>
            <w:r>
              <w:rPr>
                <w:rFonts w:eastAsia="Times New Roman"/>
                <w:color w:val="000000"/>
                <w:sz w:val="20"/>
                <w:szCs w:val="20"/>
              </w:rPr>
              <w:t>     </w:t>
            </w: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01B02A1"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40C4F7"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D0EF7A" w14:textId="77777777" w:rsidR="00000000" w:rsidRDefault="0068293C">
            <w:pPr>
              <w:spacing w:after="100"/>
              <w:jc w:val="right"/>
              <w:rPr>
                <w:rFonts w:eastAsia="Times New Roman"/>
              </w:rPr>
            </w:pPr>
            <w:r>
              <w:rPr>
                <w:rFonts w:eastAsia="Times New Roman"/>
                <w:b/>
                <w:bCs/>
                <w:color w:val="000000"/>
                <w:sz w:val="20"/>
                <w:szCs w:val="20"/>
              </w:rPr>
              <w:t>1,179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7FFA8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BEE4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B01731"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769C13" w14:textId="77777777" w:rsidR="00000000" w:rsidRDefault="0068293C">
            <w:pPr>
              <w:spacing w:after="100"/>
              <w:jc w:val="right"/>
              <w:rPr>
                <w:rFonts w:eastAsia="Times New Roman"/>
              </w:rPr>
            </w:pPr>
            <w:r>
              <w:rPr>
                <w:rFonts w:eastAsia="Times New Roman"/>
                <w:color w:val="000000"/>
                <w:sz w:val="20"/>
                <w:szCs w:val="20"/>
              </w:rPr>
              <w:t>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4E669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3431F"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F2A493" w14:textId="77777777" w:rsidR="00000000" w:rsidRDefault="0068293C">
            <w:pPr>
              <w:spacing w:after="100"/>
              <w:jc w:val="right"/>
              <w:rPr>
                <w:rFonts w:eastAsia="Times New Roman"/>
              </w:rPr>
            </w:pPr>
            <w:r>
              <w:rPr>
                <w:rFonts w:eastAsia="Times New Roman"/>
                <w:b/>
                <w:bCs/>
                <w:color w:val="000000"/>
                <w:sz w:val="20"/>
                <w:szCs w:val="20"/>
              </w:rPr>
              <w:t>63.2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A06A99"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6266F90"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92A415" w14:textId="77777777" w:rsidR="00000000" w:rsidRDefault="0068293C">
            <w:pPr>
              <w:spacing w:after="100"/>
              <w:jc w:val="right"/>
              <w:rPr>
                <w:rFonts w:eastAsia="Times New Roman"/>
              </w:rPr>
            </w:pPr>
            <w:r>
              <w:rPr>
                <w:rFonts w:eastAsia="Times New Roman"/>
                <w:color w:val="000000"/>
                <w:sz w:val="20"/>
                <w:szCs w:val="20"/>
              </w:rPr>
              <w:t>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AD7905"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10881EB"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6CEAB0" w14:textId="77777777" w:rsidR="00000000" w:rsidRDefault="0068293C">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74455F" w14:textId="77777777" w:rsidR="00000000" w:rsidRDefault="0068293C">
            <w:pPr>
              <w:spacing w:after="100"/>
              <w:jc w:val="right"/>
              <w:rPr>
                <w:rFonts w:eastAsia="Times New Roman"/>
              </w:rPr>
            </w:pPr>
            <w:r>
              <w:rPr>
                <w:rFonts w:eastAsia="Times New Roman"/>
                <w:color w:val="000000"/>
                <w:sz w:val="20"/>
                <w:szCs w:val="20"/>
              </w:rPr>
              <w:t>%</w:t>
            </w:r>
          </w:p>
        </w:tc>
      </w:tr>
      <w:tr w:rsidR="00000000" w14:paraId="48AD4B50" w14:textId="77777777">
        <w:trPr>
          <w:divId w:val="1756704547"/>
        </w:trPr>
        <w:tc>
          <w:tcPr>
            <w:tcW w:w="0" w:type="auto"/>
            <w:gridSpan w:val="3"/>
            <w:shd w:val="clear" w:color="auto" w:fill="FFFFFF"/>
            <w:tcMar>
              <w:top w:w="30" w:type="dxa"/>
              <w:left w:w="20" w:type="dxa"/>
              <w:bottom w:w="30" w:type="dxa"/>
              <w:right w:w="20" w:type="dxa"/>
            </w:tcMar>
            <w:vAlign w:val="bottom"/>
            <w:hideMark/>
          </w:tcPr>
          <w:p w14:paraId="0BE75921" w14:textId="77777777" w:rsidR="00000000" w:rsidRDefault="0068293C">
            <w:pPr>
              <w:spacing w:after="100"/>
              <w:rPr>
                <w:rFonts w:eastAsia="Times New Roman"/>
              </w:rPr>
            </w:pPr>
            <w:r>
              <w:rPr>
                <w:rFonts w:eastAsia="Times New Roman"/>
                <w:color w:val="000000"/>
                <w:sz w:val="20"/>
                <w:szCs w:val="20"/>
              </w:rPr>
              <w:t>     All other products and services</w:t>
            </w:r>
          </w:p>
        </w:tc>
        <w:tc>
          <w:tcPr>
            <w:tcW w:w="0" w:type="auto"/>
            <w:gridSpan w:val="3"/>
            <w:shd w:val="clear" w:color="auto" w:fill="FFFFFF"/>
            <w:tcMar>
              <w:top w:w="0" w:type="dxa"/>
              <w:left w:w="20" w:type="dxa"/>
              <w:bottom w:w="0" w:type="dxa"/>
              <w:right w:w="20" w:type="dxa"/>
            </w:tcMar>
            <w:vAlign w:val="center"/>
            <w:hideMark/>
          </w:tcPr>
          <w:p w14:paraId="4552F884"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14BC44" w14:textId="77777777" w:rsidR="00000000" w:rsidRDefault="0068293C">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874E27"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DF2A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E2CB42" w14:textId="77777777" w:rsidR="00000000" w:rsidRDefault="0068293C">
            <w:pPr>
              <w:spacing w:after="100"/>
              <w:jc w:val="right"/>
              <w:rPr>
                <w:rFonts w:eastAsia="Times New Roman"/>
              </w:rPr>
            </w:pPr>
            <w:r>
              <w:rPr>
                <w:rFonts w:eastAsia="Times New Roman"/>
                <w:color w:val="000000"/>
                <w:sz w:val="20"/>
                <w:szCs w:val="20"/>
              </w:rPr>
              <w:t>670 </w:t>
            </w:r>
          </w:p>
        </w:tc>
        <w:tc>
          <w:tcPr>
            <w:tcW w:w="0" w:type="auto"/>
            <w:shd w:val="clear" w:color="auto" w:fill="FFFFFF"/>
            <w:tcMar>
              <w:top w:w="30" w:type="dxa"/>
              <w:left w:w="0" w:type="dxa"/>
              <w:bottom w:w="30" w:type="dxa"/>
              <w:right w:w="20" w:type="dxa"/>
            </w:tcMar>
            <w:vAlign w:val="bottom"/>
            <w:hideMark/>
          </w:tcPr>
          <w:p w14:paraId="149C6D9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5A9D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F1E22B" w14:textId="77777777" w:rsidR="00000000" w:rsidRDefault="0068293C">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7E5A86"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363846C"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DBF07C" w14:textId="77777777" w:rsidR="00000000" w:rsidRDefault="0068293C">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14:paraId="1FA5A94E"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15CCA29"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C462E8" w14:textId="77777777" w:rsidR="00000000" w:rsidRDefault="0068293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3C133A38" w14:textId="77777777" w:rsidR="00000000" w:rsidRDefault="0068293C">
            <w:pPr>
              <w:spacing w:after="100"/>
              <w:jc w:val="right"/>
              <w:rPr>
                <w:rFonts w:eastAsia="Times New Roman"/>
              </w:rPr>
            </w:pPr>
            <w:r>
              <w:rPr>
                <w:rFonts w:eastAsia="Times New Roman"/>
                <w:color w:val="000000"/>
                <w:sz w:val="20"/>
                <w:szCs w:val="20"/>
              </w:rPr>
              <w:t>%</w:t>
            </w:r>
          </w:p>
        </w:tc>
      </w:tr>
      <w:tr w:rsidR="00000000" w14:paraId="5086E151" w14:textId="77777777">
        <w:trPr>
          <w:divId w:val="1756704547"/>
        </w:trPr>
        <w:tc>
          <w:tcPr>
            <w:tcW w:w="0" w:type="auto"/>
            <w:gridSpan w:val="3"/>
            <w:shd w:val="clear" w:color="auto" w:fill="CCEEFF"/>
            <w:tcMar>
              <w:top w:w="30" w:type="dxa"/>
              <w:left w:w="20" w:type="dxa"/>
              <w:bottom w:w="30" w:type="dxa"/>
              <w:right w:w="20" w:type="dxa"/>
            </w:tcMar>
            <w:vAlign w:val="bottom"/>
            <w:hideMark/>
          </w:tcPr>
          <w:p w14:paraId="3B2F1527" w14:textId="77777777" w:rsidR="00000000" w:rsidRDefault="0068293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184B51E3" w14:textId="77777777" w:rsidR="00000000" w:rsidRDefault="0068293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912757"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9EFF17"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ACB79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C42CB"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6B5A42"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728133"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D3589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A9B9B" w14:textId="77777777" w:rsidR="00000000" w:rsidRDefault="006829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3061B9" w14:textId="77777777" w:rsidR="00000000" w:rsidRDefault="0068293C">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21DCEF"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F2597DD"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3FC75D" w14:textId="77777777" w:rsidR="00000000" w:rsidRDefault="0068293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CFF89A"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81002A"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F02B64" w14:textId="77777777" w:rsidR="00000000" w:rsidRDefault="0068293C">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BD76E5" w14:textId="77777777" w:rsidR="00000000" w:rsidRDefault="0068293C">
            <w:pPr>
              <w:spacing w:after="100"/>
              <w:jc w:val="right"/>
              <w:rPr>
                <w:rFonts w:eastAsia="Times New Roman"/>
              </w:rPr>
            </w:pPr>
            <w:r>
              <w:rPr>
                <w:rFonts w:eastAsia="Times New Roman"/>
                <w:color w:val="000000"/>
                <w:sz w:val="20"/>
                <w:szCs w:val="20"/>
              </w:rPr>
              <w:t>%</w:t>
            </w:r>
          </w:p>
        </w:tc>
      </w:tr>
    </w:tbl>
    <w:p w14:paraId="617ECE1E" w14:textId="77777777" w:rsidR="00000000" w:rsidRDefault="0068293C">
      <w:pPr>
        <w:divId w:val="1828742452"/>
        <w:rPr>
          <w:rFonts w:eastAsia="Times New Roman"/>
        </w:rPr>
      </w:pPr>
    </w:p>
    <w:p w14:paraId="58B6521A" w14:textId="77777777" w:rsidR="00000000" w:rsidRDefault="0068293C">
      <w:pPr>
        <w:ind w:hanging="270"/>
        <w:jc w:val="both"/>
        <w:rPr>
          <w:rFonts w:eastAsia="Times New Roman"/>
        </w:rPr>
      </w:pPr>
      <w:r>
        <w:rPr>
          <w:rFonts w:eastAsia="Times New Roman"/>
          <w:color w:val="000000"/>
          <w:sz w:val="12"/>
          <w:szCs w:val="12"/>
        </w:rPr>
        <w:t>(1)</w:t>
      </w:r>
      <w:r>
        <w:rPr>
          <w:rFonts w:eastAsia="Times New Roman"/>
          <w:color w:val="000000"/>
          <w:sz w:val="12"/>
          <w:szCs w:val="12"/>
        </w:rPr>
        <w:t xml:space="preserve"> </w:t>
      </w:r>
      <w:r>
        <w:rPr>
          <w:rFonts w:eastAsia="Times New Roman"/>
          <w:color w:val="000000"/>
          <w:sz w:val="18"/>
          <w:szCs w:val="18"/>
        </w:rPr>
        <w:t>Recurring rev</w:t>
      </w:r>
      <w:r>
        <w:rPr>
          <w:rFonts w:eastAsia="Times New Roman"/>
          <w:color w:val="000000"/>
          <w:sz w:val="18"/>
          <w:szCs w:val="18"/>
        </w:rPr>
        <w:t>enue includes all revenue streams from contracts where there is a predictable revenue pattern that will occur at regular intervals with a relatively high degree of certainty. This includes hardware and software maintenance revenue, cloud revenue, payment p</w:t>
      </w:r>
      <w:r>
        <w:rPr>
          <w:rFonts w:eastAsia="Times New Roman"/>
          <w:color w:val="000000"/>
          <w:sz w:val="18"/>
          <w:szCs w:val="18"/>
        </w:rPr>
        <w:t>rocessing revenue, interchange and network revenue, and certain professional services arrangements as well as term-based software license arrangements that include customer termination rights.</w:t>
      </w:r>
    </w:p>
    <w:p w14:paraId="65789D4A" w14:textId="77777777" w:rsidR="00000000" w:rsidRDefault="0068293C">
      <w:pPr>
        <w:ind w:hanging="270"/>
        <w:jc w:val="both"/>
        <w:rPr>
          <w:rFonts w:eastAsia="Times New Roman"/>
        </w:rPr>
      </w:pPr>
    </w:p>
    <w:p w14:paraId="5F3704A9" w14:textId="77777777" w:rsidR="00000000" w:rsidRDefault="0068293C">
      <w:pPr>
        <w:ind w:hanging="360"/>
        <w:jc w:val="both"/>
        <w:rPr>
          <w:rFonts w:eastAsia="Times New Roman"/>
        </w:rPr>
      </w:pPr>
      <w:r>
        <w:rPr>
          <w:rFonts w:eastAsia="Times New Roman"/>
          <w:b/>
          <w:bCs/>
          <w:i/>
          <w:iCs/>
          <w:color w:val="000000"/>
          <w:sz w:val="20"/>
          <w:szCs w:val="20"/>
        </w:rPr>
        <w:t>Net income (loss) from continuing operations and Adjusted EBI</w:t>
      </w:r>
      <w:r>
        <w:rPr>
          <w:rFonts w:eastAsia="Times New Roman"/>
          <w:b/>
          <w:bCs/>
          <w:i/>
          <w:iCs/>
          <w:color w:val="000000"/>
          <w:sz w:val="20"/>
          <w:szCs w:val="20"/>
        </w:rPr>
        <w:t>TD</w:t>
      </w:r>
      <w:r>
        <w:rPr>
          <w:rFonts w:eastAsia="Times New Roman"/>
          <w:b/>
          <w:bCs/>
          <w:i/>
          <w:iCs/>
          <w:color w:val="000000"/>
          <w:sz w:val="20"/>
          <w:szCs w:val="20"/>
        </w:rPr>
        <w:t>A</w:t>
      </w:r>
      <w:r>
        <w:rPr>
          <w:rFonts w:eastAsia="Times New Roman"/>
          <w:b/>
          <w:bCs/>
          <w:i/>
          <w:iCs/>
          <w:color w:val="000000"/>
          <w:sz w:val="13"/>
          <w:szCs w:val="13"/>
        </w:rPr>
        <w:t xml:space="preserve"> </w:t>
      </w:r>
      <w:r>
        <w:rPr>
          <w:rFonts w:eastAsia="Times New Roman"/>
          <w:b/>
          <w:bCs/>
          <w:i/>
          <w:iCs/>
          <w:color w:val="000000"/>
          <w:sz w:val="20"/>
          <w:szCs w:val="20"/>
        </w:rPr>
        <w:t>as a percentage of total revenue</w:t>
      </w:r>
    </w:p>
    <w:p w14:paraId="5CBAACFF" w14:textId="77777777" w:rsidR="00000000" w:rsidRDefault="0068293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30"/>
        <w:gridCol w:w="36"/>
        <w:gridCol w:w="36"/>
        <w:gridCol w:w="36"/>
        <w:gridCol w:w="36"/>
        <w:gridCol w:w="120"/>
        <w:gridCol w:w="789"/>
        <w:gridCol w:w="36"/>
        <w:gridCol w:w="36"/>
        <w:gridCol w:w="36"/>
        <w:gridCol w:w="36"/>
        <w:gridCol w:w="120"/>
        <w:gridCol w:w="790"/>
        <w:gridCol w:w="36"/>
        <w:gridCol w:w="36"/>
        <w:gridCol w:w="36"/>
        <w:gridCol w:w="36"/>
        <w:gridCol w:w="39"/>
        <w:gridCol w:w="719"/>
        <w:gridCol w:w="221"/>
        <w:gridCol w:w="37"/>
        <w:gridCol w:w="36"/>
        <w:gridCol w:w="36"/>
        <w:gridCol w:w="37"/>
        <w:gridCol w:w="721"/>
        <w:gridCol w:w="187"/>
        <w:gridCol w:w="36"/>
        <w:gridCol w:w="36"/>
        <w:gridCol w:w="36"/>
        <w:gridCol w:w="65"/>
        <w:gridCol w:w="694"/>
        <w:gridCol w:w="187"/>
      </w:tblGrid>
      <w:tr w:rsidR="00000000" w14:paraId="5A0ACABA" w14:textId="77777777">
        <w:tc>
          <w:tcPr>
            <w:tcW w:w="50" w:type="pct"/>
            <w:vAlign w:val="center"/>
            <w:hideMark/>
          </w:tcPr>
          <w:p w14:paraId="008B982B" w14:textId="77777777" w:rsidR="00000000" w:rsidRDefault="0068293C">
            <w:pPr>
              <w:jc w:val="both"/>
              <w:rPr>
                <w:rFonts w:eastAsia="Times New Roman"/>
              </w:rPr>
            </w:pPr>
          </w:p>
        </w:tc>
        <w:tc>
          <w:tcPr>
            <w:tcW w:w="1860" w:type="pct"/>
            <w:vAlign w:val="center"/>
            <w:hideMark/>
          </w:tcPr>
          <w:p w14:paraId="065961D2" w14:textId="77777777" w:rsidR="00000000" w:rsidRDefault="0068293C">
            <w:pPr>
              <w:spacing w:after="100"/>
              <w:rPr>
                <w:rFonts w:eastAsia="Times New Roman"/>
                <w:sz w:val="20"/>
                <w:szCs w:val="20"/>
              </w:rPr>
            </w:pPr>
          </w:p>
        </w:tc>
        <w:tc>
          <w:tcPr>
            <w:tcW w:w="5" w:type="pct"/>
            <w:vAlign w:val="center"/>
            <w:hideMark/>
          </w:tcPr>
          <w:p w14:paraId="2E0A719C" w14:textId="77777777" w:rsidR="00000000" w:rsidRDefault="0068293C">
            <w:pPr>
              <w:spacing w:after="100"/>
              <w:rPr>
                <w:rFonts w:eastAsia="Times New Roman"/>
                <w:sz w:val="20"/>
                <w:szCs w:val="20"/>
              </w:rPr>
            </w:pPr>
          </w:p>
        </w:tc>
        <w:tc>
          <w:tcPr>
            <w:tcW w:w="5" w:type="pct"/>
            <w:vAlign w:val="center"/>
            <w:hideMark/>
          </w:tcPr>
          <w:p w14:paraId="61B5351C" w14:textId="77777777" w:rsidR="00000000" w:rsidRDefault="0068293C">
            <w:pPr>
              <w:spacing w:after="100"/>
              <w:rPr>
                <w:rFonts w:eastAsia="Times New Roman"/>
                <w:sz w:val="20"/>
                <w:szCs w:val="20"/>
              </w:rPr>
            </w:pPr>
          </w:p>
        </w:tc>
        <w:tc>
          <w:tcPr>
            <w:tcW w:w="19" w:type="pct"/>
            <w:vAlign w:val="center"/>
            <w:hideMark/>
          </w:tcPr>
          <w:p w14:paraId="7FC36000" w14:textId="77777777" w:rsidR="00000000" w:rsidRDefault="0068293C">
            <w:pPr>
              <w:spacing w:after="100"/>
              <w:rPr>
                <w:rFonts w:eastAsia="Times New Roman"/>
                <w:sz w:val="20"/>
                <w:szCs w:val="20"/>
              </w:rPr>
            </w:pPr>
          </w:p>
        </w:tc>
        <w:tc>
          <w:tcPr>
            <w:tcW w:w="5" w:type="pct"/>
            <w:vAlign w:val="center"/>
            <w:hideMark/>
          </w:tcPr>
          <w:p w14:paraId="0546ED05" w14:textId="77777777" w:rsidR="00000000" w:rsidRDefault="0068293C">
            <w:pPr>
              <w:spacing w:after="100"/>
              <w:rPr>
                <w:rFonts w:eastAsia="Times New Roman"/>
                <w:sz w:val="20"/>
                <w:szCs w:val="20"/>
              </w:rPr>
            </w:pPr>
          </w:p>
        </w:tc>
        <w:tc>
          <w:tcPr>
            <w:tcW w:w="50" w:type="pct"/>
            <w:vAlign w:val="center"/>
            <w:hideMark/>
          </w:tcPr>
          <w:p w14:paraId="0CFF869A" w14:textId="77777777" w:rsidR="00000000" w:rsidRDefault="0068293C">
            <w:pPr>
              <w:spacing w:after="100"/>
              <w:rPr>
                <w:rFonts w:eastAsia="Times New Roman"/>
                <w:sz w:val="20"/>
                <w:szCs w:val="20"/>
              </w:rPr>
            </w:pPr>
          </w:p>
        </w:tc>
        <w:tc>
          <w:tcPr>
            <w:tcW w:w="537" w:type="pct"/>
            <w:vAlign w:val="center"/>
            <w:hideMark/>
          </w:tcPr>
          <w:p w14:paraId="41DB74BF" w14:textId="77777777" w:rsidR="00000000" w:rsidRDefault="0068293C">
            <w:pPr>
              <w:spacing w:after="100"/>
              <w:rPr>
                <w:rFonts w:eastAsia="Times New Roman"/>
                <w:sz w:val="20"/>
                <w:szCs w:val="20"/>
              </w:rPr>
            </w:pPr>
          </w:p>
        </w:tc>
        <w:tc>
          <w:tcPr>
            <w:tcW w:w="5" w:type="pct"/>
            <w:vAlign w:val="center"/>
            <w:hideMark/>
          </w:tcPr>
          <w:p w14:paraId="1B1AA313" w14:textId="77777777" w:rsidR="00000000" w:rsidRDefault="0068293C">
            <w:pPr>
              <w:spacing w:after="100"/>
              <w:rPr>
                <w:rFonts w:eastAsia="Times New Roman"/>
                <w:sz w:val="20"/>
                <w:szCs w:val="20"/>
              </w:rPr>
            </w:pPr>
          </w:p>
        </w:tc>
        <w:tc>
          <w:tcPr>
            <w:tcW w:w="5" w:type="pct"/>
            <w:vAlign w:val="center"/>
            <w:hideMark/>
          </w:tcPr>
          <w:p w14:paraId="67EEC1A7" w14:textId="77777777" w:rsidR="00000000" w:rsidRDefault="0068293C">
            <w:pPr>
              <w:spacing w:after="100"/>
              <w:rPr>
                <w:rFonts w:eastAsia="Times New Roman"/>
                <w:sz w:val="20"/>
                <w:szCs w:val="20"/>
              </w:rPr>
            </w:pPr>
          </w:p>
        </w:tc>
        <w:tc>
          <w:tcPr>
            <w:tcW w:w="19" w:type="pct"/>
            <w:vAlign w:val="center"/>
            <w:hideMark/>
          </w:tcPr>
          <w:p w14:paraId="4D8814E2" w14:textId="77777777" w:rsidR="00000000" w:rsidRDefault="0068293C">
            <w:pPr>
              <w:spacing w:after="100"/>
              <w:rPr>
                <w:rFonts w:eastAsia="Times New Roman"/>
                <w:sz w:val="20"/>
                <w:szCs w:val="20"/>
              </w:rPr>
            </w:pPr>
          </w:p>
        </w:tc>
        <w:tc>
          <w:tcPr>
            <w:tcW w:w="5" w:type="pct"/>
            <w:vAlign w:val="center"/>
            <w:hideMark/>
          </w:tcPr>
          <w:p w14:paraId="78960D8C" w14:textId="77777777" w:rsidR="00000000" w:rsidRDefault="0068293C">
            <w:pPr>
              <w:spacing w:after="100"/>
              <w:rPr>
                <w:rFonts w:eastAsia="Times New Roman"/>
                <w:sz w:val="20"/>
                <w:szCs w:val="20"/>
              </w:rPr>
            </w:pPr>
          </w:p>
        </w:tc>
        <w:tc>
          <w:tcPr>
            <w:tcW w:w="50" w:type="pct"/>
            <w:vAlign w:val="center"/>
            <w:hideMark/>
          </w:tcPr>
          <w:p w14:paraId="2F929FD5" w14:textId="77777777" w:rsidR="00000000" w:rsidRDefault="0068293C">
            <w:pPr>
              <w:spacing w:after="100"/>
              <w:rPr>
                <w:rFonts w:eastAsia="Times New Roman"/>
                <w:sz w:val="20"/>
                <w:szCs w:val="20"/>
              </w:rPr>
            </w:pPr>
          </w:p>
        </w:tc>
        <w:tc>
          <w:tcPr>
            <w:tcW w:w="537" w:type="pct"/>
            <w:vAlign w:val="center"/>
            <w:hideMark/>
          </w:tcPr>
          <w:p w14:paraId="270A7E7B" w14:textId="77777777" w:rsidR="00000000" w:rsidRDefault="0068293C">
            <w:pPr>
              <w:spacing w:after="100"/>
              <w:rPr>
                <w:rFonts w:eastAsia="Times New Roman"/>
                <w:sz w:val="20"/>
                <w:szCs w:val="20"/>
              </w:rPr>
            </w:pPr>
          </w:p>
        </w:tc>
        <w:tc>
          <w:tcPr>
            <w:tcW w:w="5" w:type="pct"/>
            <w:vAlign w:val="center"/>
            <w:hideMark/>
          </w:tcPr>
          <w:p w14:paraId="58A2EED4" w14:textId="77777777" w:rsidR="00000000" w:rsidRDefault="0068293C">
            <w:pPr>
              <w:spacing w:after="100"/>
              <w:rPr>
                <w:rFonts w:eastAsia="Times New Roman"/>
                <w:sz w:val="20"/>
                <w:szCs w:val="20"/>
              </w:rPr>
            </w:pPr>
          </w:p>
        </w:tc>
        <w:tc>
          <w:tcPr>
            <w:tcW w:w="5" w:type="pct"/>
            <w:vAlign w:val="center"/>
            <w:hideMark/>
          </w:tcPr>
          <w:p w14:paraId="7DB1130E" w14:textId="77777777" w:rsidR="00000000" w:rsidRDefault="0068293C">
            <w:pPr>
              <w:spacing w:after="100"/>
              <w:rPr>
                <w:rFonts w:eastAsia="Times New Roman"/>
                <w:sz w:val="20"/>
                <w:szCs w:val="20"/>
              </w:rPr>
            </w:pPr>
          </w:p>
        </w:tc>
        <w:tc>
          <w:tcPr>
            <w:tcW w:w="19" w:type="pct"/>
            <w:vAlign w:val="center"/>
            <w:hideMark/>
          </w:tcPr>
          <w:p w14:paraId="0D34EA56" w14:textId="77777777" w:rsidR="00000000" w:rsidRDefault="0068293C">
            <w:pPr>
              <w:spacing w:after="100"/>
              <w:rPr>
                <w:rFonts w:eastAsia="Times New Roman"/>
                <w:sz w:val="20"/>
                <w:szCs w:val="20"/>
              </w:rPr>
            </w:pPr>
          </w:p>
        </w:tc>
        <w:tc>
          <w:tcPr>
            <w:tcW w:w="5" w:type="pct"/>
            <w:vAlign w:val="center"/>
            <w:hideMark/>
          </w:tcPr>
          <w:p w14:paraId="420EAE99" w14:textId="77777777" w:rsidR="00000000" w:rsidRDefault="0068293C">
            <w:pPr>
              <w:spacing w:after="100"/>
              <w:rPr>
                <w:rFonts w:eastAsia="Times New Roman"/>
                <w:sz w:val="20"/>
                <w:szCs w:val="20"/>
              </w:rPr>
            </w:pPr>
          </w:p>
        </w:tc>
        <w:tc>
          <w:tcPr>
            <w:tcW w:w="50" w:type="pct"/>
            <w:vAlign w:val="center"/>
            <w:hideMark/>
          </w:tcPr>
          <w:p w14:paraId="484CF6C1" w14:textId="77777777" w:rsidR="00000000" w:rsidRDefault="0068293C">
            <w:pPr>
              <w:spacing w:after="100"/>
              <w:rPr>
                <w:rFonts w:eastAsia="Times New Roman"/>
                <w:sz w:val="20"/>
                <w:szCs w:val="20"/>
              </w:rPr>
            </w:pPr>
          </w:p>
        </w:tc>
        <w:tc>
          <w:tcPr>
            <w:tcW w:w="529" w:type="pct"/>
            <w:vAlign w:val="center"/>
            <w:hideMark/>
          </w:tcPr>
          <w:p w14:paraId="4BA3156A" w14:textId="77777777" w:rsidR="00000000" w:rsidRDefault="0068293C">
            <w:pPr>
              <w:spacing w:after="100"/>
              <w:rPr>
                <w:rFonts w:eastAsia="Times New Roman"/>
                <w:sz w:val="20"/>
                <w:szCs w:val="20"/>
              </w:rPr>
            </w:pPr>
          </w:p>
        </w:tc>
        <w:tc>
          <w:tcPr>
            <w:tcW w:w="5" w:type="pct"/>
            <w:vAlign w:val="center"/>
            <w:hideMark/>
          </w:tcPr>
          <w:p w14:paraId="4A797267" w14:textId="77777777" w:rsidR="00000000" w:rsidRDefault="0068293C">
            <w:pPr>
              <w:spacing w:after="100"/>
              <w:rPr>
                <w:rFonts w:eastAsia="Times New Roman"/>
                <w:sz w:val="20"/>
                <w:szCs w:val="20"/>
              </w:rPr>
            </w:pPr>
          </w:p>
        </w:tc>
        <w:tc>
          <w:tcPr>
            <w:tcW w:w="5" w:type="pct"/>
            <w:vAlign w:val="center"/>
            <w:hideMark/>
          </w:tcPr>
          <w:p w14:paraId="3026ACAA" w14:textId="77777777" w:rsidR="00000000" w:rsidRDefault="0068293C">
            <w:pPr>
              <w:spacing w:after="100"/>
              <w:rPr>
                <w:rFonts w:eastAsia="Times New Roman"/>
                <w:sz w:val="20"/>
                <w:szCs w:val="20"/>
              </w:rPr>
            </w:pPr>
          </w:p>
        </w:tc>
        <w:tc>
          <w:tcPr>
            <w:tcW w:w="19" w:type="pct"/>
            <w:vAlign w:val="center"/>
            <w:hideMark/>
          </w:tcPr>
          <w:p w14:paraId="56BAC807" w14:textId="77777777" w:rsidR="00000000" w:rsidRDefault="0068293C">
            <w:pPr>
              <w:spacing w:after="100"/>
              <w:rPr>
                <w:rFonts w:eastAsia="Times New Roman"/>
                <w:sz w:val="20"/>
                <w:szCs w:val="20"/>
              </w:rPr>
            </w:pPr>
          </w:p>
        </w:tc>
        <w:tc>
          <w:tcPr>
            <w:tcW w:w="5" w:type="pct"/>
            <w:vAlign w:val="center"/>
            <w:hideMark/>
          </w:tcPr>
          <w:p w14:paraId="56989F51" w14:textId="77777777" w:rsidR="00000000" w:rsidRDefault="0068293C">
            <w:pPr>
              <w:spacing w:after="100"/>
              <w:rPr>
                <w:rFonts w:eastAsia="Times New Roman"/>
                <w:sz w:val="20"/>
                <w:szCs w:val="20"/>
              </w:rPr>
            </w:pPr>
          </w:p>
        </w:tc>
        <w:tc>
          <w:tcPr>
            <w:tcW w:w="50" w:type="pct"/>
            <w:vAlign w:val="center"/>
            <w:hideMark/>
          </w:tcPr>
          <w:p w14:paraId="3824BA0C" w14:textId="77777777" w:rsidR="00000000" w:rsidRDefault="0068293C">
            <w:pPr>
              <w:spacing w:after="100"/>
              <w:rPr>
                <w:rFonts w:eastAsia="Times New Roman"/>
                <w:sz w:val="20"/>
                <w:szCs w:val="20"/>
              </w:rPr>
            </w:pPr>
          </w:p>
        </w:tc>
        <w:tc>
          <w:tcPr>
            <w:tcW w:w="529" w:type="pct"/>
            <w:vAlign w:val="center"/>
            <w:hideMark/>
          </w:tcPr>
          <w:p w14:paraId="74022D1B" w14:textId="77777777" w:rsidR="00000000" w:rsidRDefault="0068293C">
            <w:pPr>
              <w:spacing w:after="100"/>
              <w:rPr>
                <w:rFonts w:eastAsia="Times New Roman"/>
                <w:sz w:val="20"/>
                <w:szCs w:val="20"/>
              </w:rPr>
            </w:pPr>
          </w:p>
        </w:tc>
        <w:tc>
          <w:tcPr>
            <w:tcW w:w="5" w:type="pct"/>
            <w:vAlign w:val="center"/>
            <w:hideMark/>
          </w:tcPr>
          <w:p w14:paraId="12896158" w14:textId="77777777" w:rsidR="00000000" w:rsidRDefault="0068293C">
            <w:pPr>
              <w:spacing w:after="100"/>
              <w:rPr>
                <w:rFonts w:eastAsia="Times New Roman"/>
                <w:sz w:val="20"/>
                <w:szCs w:val="20"/>
              </w:rPr>
            </w:pPr>
          </w:p>
        </w:tc>
        <w:tc>
          <w:tcPr>
            <w:tcW w:w="5" w:type="pct"/>
            <w:vAlign w:val="center"/>
            <w:hideMark/>
          </w:tcPr>
          <w:p w14:paraId="3B681C40" w14:textId="77777777" w:rsidR="00000000" w:rsidRDefault="0068293C">
            <w:pPr>
              <w:spacing w:after="100"/>
              <w:rPr>
                <w:rFonts w:eastAsia="Times New Roman"/>
                <w:sz w:val="20"/>
                <w:szCs w:val="20"/>
              </w:rPr>
            </w:pPr>
          </w:p>
        </w:tc>
        <w:tc>
          <w:tcPr>
            <w:tcW w:w="19" w:type="pct"/>
            <w:vAlign w:val="center"/>
            <w:hideMark/>
          </w:tcPr>
          <w:p w14:paraId="24108E55" w14:textId="77777777" w:rsidR="00000000" w:rsidRDefault="0068293C">
            <w:pPr>
              <w:spacing w:after="100"/>
              <w:rPr>
                <w:rFonts w:eastAsia="Times New Roman"/>
                <w:sz w:val="20"/>
                <w:szCs w:val="20"/>
              </w:rPr>
            </w:pPr>
          </w:p>
        </w:tc>
        <w:tc>
          <w:tcPr>
            <w:tcW w:w="5" w:type="pct"/>
            <w:vAlign w:val="center"/>
            <w:hideMark/>
          </w:tcPr>
          <w:p w14:paraId="2A310682" w14:textId="77777777" w:rsidR="00000000" w:rsidRDefault="0068293C">
            <w:pPr>
              <w:spacing w:after="100"/>
              <w:rPr>
                <w:rFonts w:eastAsia="Times New Roman"/>
                <w:sz w:val="20"/>
                <w:szCs w:val="20"/>
              </w:rPr>
            </w:pPr>
          </w:p>
        </w:tc>
        <w:tc>
          <w:tcPr>
            <w:tcW w:w="50" w:type="pct"/>
            <w:vAlign w:val="center"/>
            <w:hideMark/>
          </w:tcPr>
          <w:p w14:paraId="35D36279" w14:textId="77777777" w:rsidR="00000000" w:rsidRDefault="0068293C">
            <w:pPr>
              <w:spacing w:after="100"/>
              <w:rPr>
                <w:rFonts w:eastAsia="Times New Roman"/>
                <w:sz w:val="20"/>
                <w:szCs w:val="20"/>
              </w:rPr>
            </w:pPr>
          </w:p>
        </w:tc>
        <w:tc>
          <w:tcPr>
            <w:tcW w:w="530" w:type="pct"/>
            <w:vAlign w:val="center"/>
            <w:hideMark/>
          </w:tcPr>
          <w:p w14:paraId="09758D1C" w14:textId="77777777" w:rsidR="00000000" w:rsidRDefault="0068293C">
            <w:pPr>
              <w:spacing w:after="100"/>
              <w:rPr>
                <w:rFonts w:eastAsia="Times New Roman"/>
                <w:sz w:val="20"/>
                <w:szCs w:val="20"/>
              </w:rPr>
            </w:pPr>
          </w:p>
        </w:tc>
        <w:tc>
          <w:tcPr>
            <w:tcW w:w="5" w:type="pct"/>
            <w:vAlign w:val="center"/>
            <w:hideMark/>
          </w:tcPr>
          <w:p w14:paraId="7DB313C8" w14:textId="77777777" w:rsidR="00000000" w:rsidRDefault="0068293C">
            <w:pPr>
              <w:spacing w:after="100"/>
              <w:rPr>
                <w:rFonts w:eastAsia="Times New Roman"/>
                <w:sz w:val="20"/>
                <w:szCs w:val="20"/>
              </w:rPr>
            </w:pPr>
          </w:p>
        </w:tc>
      </w:tr>
      <w:tr w:rsidR="00000000" w14:paraId="0DB9B24C" w14:textId="77777777">
        <w:tc>
          <w:tcPr>
            <w:tcW w:w="0" w:type="auto"/>
            <w:gridSpan w:val="3"/>
            <w:tcMar>
              <w:top w:w="0" w:type="dxa"/>
              <w:left w:w="20" w:type="dxa"/>
              <w:bottom w:w="0" w:type="dxa"/>
              <w:right w:w="20" w:type="dxa"/>
            </w:tcMar>
            <w:vAlign w:val="center"/>
            <w:hideMark/>
          </w:tcPr>
          <w:p w14:paraId="6B103123"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39F74F"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5D18B9C"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42E5A774" w14:textId="77777777" w:rsidR="00000000" w:rsidRDefault="0068293C">
            <w:pPr>
              <w:spacing w:after="100"/>
              <w:jc w:val="center"/>
              <w:rPr>
                <w:rFonts w:eastAsia="Times New Roman"/>
              </w:rPr>
            </w:pPr>
          </w:p>
        </w:tc>
        <w:tc>
          <w:tcPr>
            <w:tcW w:w="0" w:type="auto"/>
            <w:gridSpan w:val="12"/>
            <w:tcMar>
              <w:top w:w="30" w:type="dxa"/>
              <w:left w:w="20" w:type="dxa"/>
              <w:bottom w:w="30" w:type="dxa"/>
              <w:right w:w="20" w:type="dxa"/>
            </w:tcMar>
            <w:vAlign w:val="bottom"/>
            <w:hideMark/>
          </w:tcPr>
          <w:p w14:paraId="7F55E76D" w14:textId="77777777" w:rsidR="00000000" w:rsidRDefault="0068293C">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14:paraId="1D9C3C15"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60F308DF" w14:textId="77777777">
        <w:tc>
          <w:tcPr>
            <w:tcW w:w="0" w:type="auto"/>
            <w:gridSpan w:val="3"/>
            <w:tcMar>
              <w:top w:w="30" w:type="dxa"/>
              <w:left w:w="20" w:type="dxa"/>
              <w:bottom w:w="30" w:type="dxa"/>
              <w:right w:w="20" w:type="dxa"/>
            </w:tcMar>
            <w:vAlign w:val="bottom"/>
            <w:hideMark/>
          </w:tcPr>
          <w:p w14:paraId="27F9B7B9"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3209EAD5"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82B0D1"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DC607AF"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21A289"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2653311"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64F016"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E5B5ED3"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518E88"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DD5D4F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58E918" w14:textId="77777777" w:rsidR="00000000" w:rsidRDefault="0068293C">
            <w:pPr>
              <w:spacing w:after="100"/>
              <w:jc w:val="center"/>
              <w:rPr>
                <w:rFonts w:eastAsia="Times New Roman"/>
              </w:rPr>
            </w:pPr>
            <w:r>
              <w:rPr>
                <w:rFonts w:eastAsia="Times New Roman"/>
                <w:b/>
                <w:bCs/>
                <w:color w:val="000000"/>
                <w:sz w:val="16"/>
                <w:szCs w:val="16"/>
              </w:rPr>
              <w:t>2022 v 2021</w:t>
            </w:r>
          </w:p>
        </w:tc>
      </w:tr>
      <w:tr w:rsidR="00000000" w14:paraId="5D0DA17F" w14:textId="77777777">
        <w:tc>
          <w:tcPr>
            <w:tcW w:w="0" w:type="auto"/>
            <w:gridSpan w:val="3"/>
            <w:shd w:val="clear" w:color="auto" w:fill="CCEEFF"/>
            <w:tcMar>
              <w:top w:w="30" w:type="dxa"/>
              <w:left w:w="245" w:type="dxa"/>
              <w:bottom w:w="30" w:type="dxa"/>
              <w:right w:w="20" w:type="dxa"/>
            </w:tcMar>
            <w:vAlign w:val="bottom"/>
            <w:hideMark/>
          </w:tcPr>
          <w:p w14:paraId="66A833F8" w14:textId="77777777" w:rsidR="00000000" w:rsidRDefault="0068293C">
            <w:pPr>
              <w:spacing w:after="100"/>
              <w:rPr>
                <w:rFonts w:eastAsia="Times New Roman"/>
              </w:rPr>
            </w:pPr>
            <w:r>
              <w:rPr>
                <w:rFonts w:eastAsia="Times New Roman"/>
                <w:color w:val="000000"/>
                <w:sz w:val="20"/>
                <w:szCs w:val="20"/>
              </w:rPr>
              <w:t>Net income (loss) from continuing operations attributable to NCR</w:t>
            </w:r>
          </w:p>
        </w:tc>
        <w:tc>
          <w:tcPr>
            <w:tcW w:w="0" w:type="auto"/>
            <w:gridSpan w:val="3"/>
            <w:shd w:val="clear" w:color="auto" w:fill="CCEEFF"/>
            <w:tcMar>
              <w:top w:w="0" w:type="dxa"/>
              <w:left w:w="20" w:type="dxa"/>
              <w:bottom w:w="0" w:type="dxa"/>
              <w:right w:w="20" w:type="dxa"/>
            </w:tcMar>
            <w:vAlign w:val="center"/>
            <w:hideMark/>
          </w:tcPr>
          <w:p w14:paraId="5DDE8C94"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C401A7"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802F1F" w14:textId="77777777" w:rsidR="00000000" w:rsidRDefault="0068293C">
            <w:pPr>
              <w:spacing w:after="100"/>
              <w:jc w:val="right"/>
              <w:rPr>
                <w:rFonts w:eastAsia="Times New Roman"/>
              </w:rPr>
            </w:pPr>
            <w:r>
              <w:rPr>
                <w:rFonts w:eastAsia="Times New Roman"/>
                <w:b/>
                <w:bCs/>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9C8EB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C66F0"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A5D836"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644CFB" w14:textId="77777777" w:rsidR="00000000" w:rsidRDefault="0068293C">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EA305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C8C4A"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AEA5E9" w14:textId="77777777" w:rsidR="00000000" w:rsidRDefault="0068293C">
            <w:pPr>
              <w:spacing w:after="100"/>
              <w:jc w:val="right"/>
              <w:rPr>
                <w:rFonts w:eastAsia="Times New Roman"/>
              </w:rPr>
            </w:pPr>
            <w:r>
              <w:rPr>
                <w:rFonts w:eastAsia="Times New Roman"/>
                <w:b/>
                <w:bCs/>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1FA9DE"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C49BC3"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987A2E" w14:textId="77777777" w:rsidR="00000000" w:rsidRDefault="0068293C">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941799"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659F6BD"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5B864D" w14:textId="77777777" w:rsidR="00000000" w:rsidRDefault="0068293C">
            <w:pPr>
              <w:spacing w:after="100"/>
              <w:jc w:val="right"/>
              <w:rPr>
                <w:rFonts w:eastAsia="Times New Roman"/>
              </w:rPr>
            </w:pPr>
            <w:r>
              <w:rPr>
                <w:rFonts w:eastAsia="Times New Roman"/>
                <w:color w:val="000000"/>
                <w:sz w:val="20"/>
                <w:szCs w:val="20"/>
              </w:rPr>
              <w:t>(210)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3C296A" w14:textId="77777777" w:rsidR="00000000" w:rsidRDefault="0068293C">
            <w:pPr>
              <w:spacing w:after="100"/>
              <w:jc w:val="right"/>
              <w:rPr>
                <w:rFonts w:eastAsia="Times New Roman"/>
              </w:rPr>
            </w:pPr>
            <w:r>
              <w:rPr>
                <w:rFonts w:eastAsia="Times New Roman"/>
                <w:color w:val="000000"/>
                <w:sz w:val="20"/>
                <w:szCs w:val="20"/>
              </w:rPr>
              <w:t>%</w:t>
            </w:r>
          </w:p>
        </w:tc>
      </w:tr>
      <w:tr w:rsidR="00000000" w14:paraId="0733DFB3" w14:textId="77777777">
        <w:tc>
          <w:tcPr>
            <w:tcW w:w="0" w:type="auto"/>
            <w:gridSpan w:val="3"/>
            <w:shd w:val="clear" w:color="auto" w:fill="FFFFFF"/>
            <w:tcMar>
              <w:top w:w="30" w:type="dxa"/>
              <w:left w:w="245" w:type="dxa"/>
              <w:bottom w:w="30" w:type="dxa"/>
              <w:right w:w="20" w:type="dxa"/>
            </w:tcMar>
            <w:vAlign w:val="bottom"/>
            <w:hideMark/>
          </w:tcPr>
          <w:p w14:paraId="6EF964BE" w14:textId="77777777" w:rsidR="00000000" w:rsidRDefault="0068293C">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14:paraId="709AC488"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C728AD1"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144660A" w14:textId="77777777" w:rsidR="00000000" w:rsidRDefault="0068293C">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0B800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C3435"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ABCC04"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5BE8B8B" w14:textId="77777777" w:rsidR="00000000" w:rsidRDefault="0068293C">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14:paraId="09FC486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1BF3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1F5ED" w14:textId="77777777" w:rsidR="00000000" w:rsidRDefault="0068293C">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04677B"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C02A01D"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C56EDA" w14:textId="77777777" w:rsidR="00000000" w:rsidRDefault="0068293C">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303A4D7B"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BB2892"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104E6A" w14:textId="77777777" w:rsidR="00000000" w:rsidRDefault="0068293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69D2F7E" w14:textId="77777777" w:rsidR="00000000" w:rsidRDefault="0068293C">
            <w:pPr>
              <w:spacing w:after="100"/>
              <w:jc w:val="right"/>
              <w:rPr>
                <w:rFonts w:eastAsia="Times New Roman"/>
              </w:rPr>
            </w:pPr>
            <w:r>
              <w:rPr>
                <w:rFonts w:eastAsia="Times New Roman"/>
                <w:color w:val="000000"/>
                <w:sz w:val="20"/>
                <w:szCs w:val="20"/>
              </w:rPr>
              <w:t>%</w:t>
            </w:r>
          </w:p>
        </w:tc>
      </w:tr>
    </w:tbl>
    <w:p w14:paraId="6C19914B" w14:textId="77777777" w:rsidR="00000000" w:rsidRDefault="0068293C">
      <w:pPr>
        <w:ind w:hanging="270"/>
        <w:jc w:val="both"/>
        <w:rPr>
          <w:rFonts w:eastAsia="Times New Roman"/>
        </w:rPr>
      </w:pPr>
    </w:p>
    <w:p w14:paraId="2BE7DE16" w14:textId="77777777" w:rsidR="00000000" w:rsidRDefault="0068293C">
      <w:pPr>
        <w:jc w:val="both"/>
        <w:rPr>
          <w:rFonts w:eastAsia="Times New Roman"/>
        </w:rPr>
      </w:pPr>
    </w:p>
    <w:p w14:paraId="793FC4EF" w14:textId="77777777" w:rsidR="00000000" w:rsidRDefault="0068293C">
      <w:pPr>
        <w:jc w:val="both"/>
        <w:rPr>
          <w:rFonts w:eastAsia="Times New Roman"/>
        </w:rPr>
      </w:pPr>
    </w:p>
    <w:p w14:paraId="1E7307F3" w14:textId="77777777" w:rsidR="00000000" w:rsidRDefault="0068293C">
      <w:pPr>
        <w:jc w:val="both"/>
        <w:rPr>
          <w:rFonts w:eastAsia="Times New Roman"/>
        </w:rPr>
      </w:pPr>
      <w:r>
        <w:rPr>
          <w:rFonts w:eastAsia="Times New Roman"/>
          <w:b/>
          <w:bCs/>
          <w:color w:val="000000"/>
          <w:sz w:val="20"/>
          <w:szCs w:val="20"/>
          <w:u w:val="single"/>
        </w:rPr>
        <w:t>Non-GAAP Financial Measures and Use of Certain Terms:</w:t>
      </w:r>
    </w:p>
    <w:p w14:paraId="3E04CA52" w14:textId="77777777" w:rsidR="00000000" w:rsidRDefault="0068293C">
      <w:pPr>
        <w:jc w:val="both"/>
        <w:rPr>
          <w:rFonts w:eastAsia="Times New Roman"/>
        </w:rPr>
      </w:pPr>
    </w:p>
    <w:p w14:paraId="58D28BD9" w14:textId="77777777" w:rsidR="00000000" w:rsidRDefault="0068293C">
      <w:pPr>
        <w:jc w:val="both"/>
        <w:divId w:val="304241547"/>
        <w:rPr>
          <w:rFonts w:eastAsia="Times New Roman"/>
        </w:rPr>
      </w:pPr>
      <w:r>
        <w:rPr>
          <w:rFonts w:eastAsia="Times New Roman"/>
          <w:color w:val="000000"/>
          <w:sz w:val="20"/>
          <w:szCs w:val="20"/>
        </w:rPr>
        <w:t xml:space="preserve">The term “annual recurring revenue” </w:t>
      </w:r>
      <w:r>
        <w:rPr>
          <w:rFonts w:eastAsia="Times New Roman"/>
          <w:color w:val="000000"/>
          <w:sz w:val="20"/>
          <w:szCs w:val="20"/>
        </w:rPr>
        <w:t>is recurring revenue, excluding software license sold as a subscription, for the last three months times four, plus the rolling four quarters for term-based software license arrangements that include customer termination rights.</w:t>
      </w:r>
    </w:p>
    <w:p w14:paraId="204BD86E" w14:textId="77777777" w:rsidR="00000000" w:rsidRDefault="0068293C">
      <w:pPr>
        <w:jc w:val="both"/>
        <w:rPr>
          <w:rFonts w:eastAsia="Times New Roman"/>
        </w:rPr>
      </w:pPr>
    </w:p>
    <w:p w14:paraId="18BAAA36" w14:textId="77777777" w:rsidR="00000000" w:rsidRDefault="0068293C">
      <w:pPr>
        <w:jc w:val="both"/>
        <w:rPr>
          <w:rFonts w:eastAsia="Times New Roman"/>
        </w:rPr>
      </w:pPr>
      <w:r>
        <w:rPr>
          <w:rFonts w:eastAsia="Times New Roman"/>
          <w:i/>
          <w:iCs/>
          <w:color w:val="000000"/>
          <w:sz w:val="20"/>
          <w:szCs w:val="20"/>
        </w:rPr>
        <w:t>Non-GAAP Earnings per Sha</w:t>
      </w:r>
      <w:r>
        <w:rPr>
          <w:rFonts w:eastAsia="Times New Roman"/>
          <w:i/>
          <w:iCs/>
          <w:color w:val="000000"/>
          <w:sz w:val="20"/>
          <w:szCs w:val="20"/>
        </w:rPr>
        <w:t>re (“Non-GAAP EPS”)</w:t>
      </w:r>
      <w:r>
        <w:rPr>
          <w:rFonts w:eastAsia="Times New Roman"/>
          <w:color w:val="000000"/>
          <w:sz w:val="20"/>
          <w:szCs w:val="20"/>
        </w:rPr>
        <w:t xml:space="preserve"> NCR’</w:t>
      </w:r>
      <w:r>
        <w:rPr>
          <w:rFonts w:eastAsia="Times New Roman"/>
          <w:color w:val="000000"/>
          <w:sz w:val="20"/>
          <w:szCs w:val="20"/>
        </w:rPr>
        <w:t xml:space="preserve">s non-GAAP EPS is determined by excluding, as applicable, pension mark-to-market adjustments, pension settlements, pension curtailments and pension special termination benefits, as well as other special items, including amortization of acquisition related </w:t>
      </w:r>
      <w:r>
        <w:rPr>
          <w:rFonts w:eastAsia="Times New Roman"/>
          <w:color w:val="000000"/>
          <w:sz w:val="20"/>
          <w:szCs w:val="20"/>
        </w:rPr>
        <w:t>intangibles and transformation and restructuring activities, from NCR’s GAAP earnings per share. Due to the non-operational nature of these pension and other special items, NCR's management uses this non-GAAP measure to evaluate year-over-year operating pe</w:t>
      </w:r>
      <w:r>
        <w:rPr>
          <w:rFonts w:eastAsia="Times New Roman"/>
          <w:color w:val="000000"/>
          <w:sz w:val="20"/>
          <w:szCs w:val="20"/>
        </w:rPr>
        <w:t>rformance. NCR believes this measure is useful for investors because it provides a more complete understanding of NCR's underlying operational performance, as well as consistency and comparability with NCR's past reports of financial results.</w:t>
      </w:r>
    </w:p>
    <w:p w14:paraId="4C20A093" w14:textId="77777777" w:rsidR="00000000" w:rsidRDefault="0068293C">
      <w:pPr>
        <w:jc w:val="both"/>
        <w:rPr>
          <w:rFonts w:eastAsia="Times New Roman"/>
        </w:rPr>
      </w:pPr>
    </w:p>
    <w:p w14:paraId="1ABD01C5" w14:textId="77777777" w:rsidR="00000000" w:rsidRDefault="0068293C">
      <w:pPr>
        <w:jc w:val="both"/>
        <w:rPr>
          <w:rFonts w:eastAsia="Times New Roman"/>
        </w:rPr>
      </w:pPr>
      <w:r>
        <w:rPr>
          <w:rFonts w:eastAsia="Times New Roman"/>
          <w:i/>
          <w:iCs/>
          <w:color w:val="000000"/>
          <w:sz w:val="20"/>
          <w:szCs w:val="20"/>
        </w:rPr>
        <w:t>Adjusted Ea</w:t>
      </w:r>
      <w:r>
        <w:rPr>
          <w:rFonts w:eastAsia="Times New Roman"/>
          <w:i/>
          <w:iCs/>
          <w:color w:val="000000"/>
          <w:sz w:val="20"/>
          <w:szCs w:val="20"/>
        </w:rPr>
        <w:t xml:space="preserve">rnings Before Interest, Taxes, Depreciation and Amortization (“Adjusted EBITDA”) </w:t>
      </w:r>
      <w:r>
        <w:rPr>
          <w:rFonts w:eastAsia="Times New Roman"/>
          <w:color w:val="000000"/>
          <w:sz w:val="20"/>
          <w:szCs w:val="20"/>
        </w:rPr>
        <w:t>NCR's management uses the non-GAAP measure Adjusted EBITDA because it provides useful information to investors as an indicator of strength and performance of the Company's ong</w:t>
      </w:r>
      <w:r>
        <w:rPr>
          <w:rFonts w:eastAsia="Times New Roman"/>
          <w:color w:val="000000"/>
          <w:sz w:val="20"/>
          <w:szCs w:val="20"/>
        </w:rPr>
        <w:t>oing business operations, including funding discretionary spending such as capital expenditures, strategic acquisitions, and other investments. NCR determines Adjusted EBITDA based on GAAP net income (loss) from continuing operations attributable to NCR pl</w:t>
      </w:r>
      <w:r>
        <w:rPr>
          <w:rFonts w:eastAsia="Times New Roman"/>
          <w:color w:val="000000"/>
          <w:sz w:val="20"/>
          <w:szCs w:val="20"/>
        </w:rPr>
        <w:t>us interest expense, net; plus income tax expense (benefit); plus depreciation and amortization; plus stock-based compensation expense; plus other income (expense); plus pension mark-to-market adjustments, pension settlements, pension curtailments and pens</w:t>
      </w:r>
      <w:r>
        <w:rPr>
          <w:rFonts w:eastAsia="Times New Roman"/>
          <w:color w:val="000000"/>
          <w:sz w:val="20"/>
          <w:szCs w:val="20"/>
        </w:rPr>
        <w:t xml:space="preserve">ion special termination benefits and other special items, </w:t>
      </w:r>
    </w:p>
    <w:p w14:paraId="5FF9984A" w14:textId="77777777" w:rsidR="00000000" w:rsidRDefault="0068293C">
      <w:pPr>
        <w:jc w:val="center"/>
        <w:divId w:val="80030165"/>
        <w:rPr>
          <w:rFonts w:eastAsia="Times New Roman"/>
        </w:rPr>
      </w:pPr>
      <w:r>
        <w:rPr>
          <w:rFonts w:eastAsia="Times New Roman"/>
          <w:color w:val="000000"/>
          <w:sz w:val="20"/>
          <w:szCs w:val="20"/>
        </w:rPr>
        <w:t>38</w:t>
      </w:r>
    </w:p>
    <w:p w14:paraId="055431CB" w14:textId="77777777" w:rsidR="00000000" w:rsidRDefault="0068293C">
      <w:pPr>
        <w:rPr>
          <w:rFonts w:eastAsia="Times New Roman"/>
        </w:rPr>
      </w:pPr>
      <w:r>
        <w:rPr>
          <w:rFonts w:eastAsia="Times New Roman"/>
        </w:rPr>
        <w:pict w14:anchorId="0F40AD2A">
          <v:rect id="_x0000_i1063" style="width:0;height:1.5pt" o:hralign="center" o:hrstd="t" o:hr="t" fillcolor="#a0a0a0" stroked="f"/>
        </w:pict>
      </w:r>
    </w:p>
    <w:p w14:paraId="0A06E33C" w14:textId="77777777" w:rsidR="00000000" w:rsidRDefault="0068293C">
      <w:pPr>
        <w:divId w:val="726144043"/>
        <w:rPr>
          <w:rFonts w:eastAsia="Times New Roman"/>
        </w:rPr>
      </w:pPr>
      <w:hyperlink w:anchor="i78484f3d0d8e4e36a7c87ddd6ea9d725_7" w:history="1">
        <w:r>
          <w:rPr>
            <w:rStyle w:val="a3"/>
            <w:rFonts w:eastAsia="Times New Roman"/>
            <w:sz w:val="16"/>
            <w:szCs w:val="16"/>
          </w:rPr>
          <w:t>Table of Contents</w:t>
        </w:r>
      </w:hyperlink>
    </w:p>
    <w:p w14:paraId="454827E6" w14:textId="77777777" w:rsidR="00000000" w:rsidRDefault="0068293C">
      <w:pPr>
        <w:jc w:val="both"/>
        <w:rPr>
          <w:rFonts w:eastAsia="Times New Roman"/>
        </w:rPr>
      </w:pPr>
      <w:r>
        <w:rPr>
          <w:rFonts w:eastAsia="Times New Roman"/>
          <w:color w:val="000000"/>
          <w:sz w:val="20"/>
          <w:szCs w:val="20"/>
        </w:rPr>
        <w:t>including amortization of acquisition-related intangibles and restructuring charge</w:t>
      </w:r>
      <w:r>
        <w:rPr>
          <w:rFonts w:eastAsia="Times New Roman"/>
          <w:color w:val="000000"/>
          <w:sz w:val="20"/>
          <w:szCs w:val="20"/>
        </w:rPr>
        <w:t>s, among others. Refer to the table below for the reconciliations of net income (loss) from continuing operations (GAAP) to Adjusted EBITDA (non-GAAP).</w:t>
      </w:r>
    </w:p>
    <w:p w14:paraId="7C2F77BF" w14:textId="77777777" w:rsidR="00000000" w:rsidRDefault="0068293C">
      <w:pPr>
        <w:jc w:val="both"/>
        <w:rPr>
          <w:rFonts w:eastAsia="Times New Roman"/>
        </w:rPr>
      </w:pPr>
    </w:p>
    <w:p w14:paraId="4411C862" w14:textId="77777777" w:rsidR="00000000" w:rsidRDefault="0068293C">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Eastern Europe and related sanctions imposed on Russia and r</w:t>
      </w:r>
      <w:r>
        <w:rPr>
          <w:rFonts w:eastAsia="Times New Roman"/>
          <w:color w:val="000000"/>
          <w:sz w:val="20"/>
          <w:szCs w:val="20"/>
        </w:rPr>
        <w:t>elated actors by the United States and other jurisdictions required the orderly wind down of our operations in Russia beginning in the first quarter of 2022. As a result, for the three months ending March 31, 2022, our non-GAAP presentation of the measures</w:t>
      </w:r>
      <w:r>
        <w:rPr>
          <w:rFonts w:eastAsia="Times New Roman"/>
          <w:color w:val="000000"/>
          <w:sz w:val="20"/>
          <w:szCs w:val="20"/>
        </w:rPr>
        <w:t xml:space="preserve"> described above exclude the impact of our operating results in Russia, as well as the impact of impairments taken to write down the carrying value of assets and liabilities, severance charges, and the assessment of collectability on revenue recognition. W</w:t>
      </w:r>
      <w:r>
        <w:rPr>
          <w:rFonts w:eastAsia="Times New Roman"/>
          <w:color w:val="000000"/>
          <w:sz w:val="20"/>
          <w:szCs w:val="20"/>
        </w:rPr>
        <w:t>e consider this to be a special item and management has reviewed the results of its business segments excluding these impacts.</w:t>
      </w:r>
    </w:p>
    <w:p w14:paraId="794123F3" w14:textId="77777777" w:rsidR="00000000" w:rsidRDefault="0068293C">
      <w:pPr>
        <w:jc w:val="both"/>
        <w:rPr>
          <w:rFonts w:eastAsia="Times New Roman"/>
        </w:rPr>
      </w:pPr>
    </w:p>
    <w:p w14:paraId="530D2500" w14:textId="77777777" w:rsidR="00000000" w:rsidRDefault="0068293C">
      <w:pPr>
        <w:jc w:val="both"/>
        <w:rPr>
          <w:rFonts w:eastAsia="Times New Roman"/>
        </w:rPr>
      </w:pPr>
      <w:r>
        <w:rPr>
          <w:rFonts w:eastAsia="Times New Roman"/>
          <w:color w:val="000000"/>
          <w:sz w:val="20"/>
          <w:szCs w:val="20"/>
        </w:rPr>
        <w:t>NCR's definitions and calculations of these non-GAAP measures may differ from similarly-titled measures reported by other compa</w:t>
      </w:r>
      <w:r>
        <w:rPr>
          <w:rFonts w:eastAsia="Times New Roman"/>
          <w:color w:val="000000"/>
          <w:sz w:val="20"/>
          <w:szCs w:val="20"/>
        </w:rPr>
        <w:t>nies and cannot, therefore, be compared with similarly-titled measures of other companies. These non-GAAP measures should not be considered as substitutes for, or superior to, results determined in accordance with GAAP.</w:t>
      </w:r>
    </w:p>
    <w:tbl>
      <w:tblPr>
        <w:tblW w:w="5000" w:type="pct"/>
        <w:tblCellMar>
          <w:top w:w="15" w:type="dxa"/>
          <w:left w:w="15" w:type="dxa"/>
          <w:bottom w:w="15" w:type="dxa"/>
          <w:right w:w="15" w:type="dxa"/>
        </w:tblCellMar>
        <w:tblLook w:val="04A0" w:firstRow="1" w:lastRow="0" w:firstColumn="1" w:lastColumn="0" w:noHBand="0" w:noVBand="1"/>
      </w:tblPr>
      <w:tblGrid>
        <w:gridCol w:w="39"/>
        <w:gridCol w:w="5130"/>
        <w:gridCol w:w="37"/>
        <w:gridCol w:w="120"/>
        <w:gridCol w:w="1215"/>
        <w:gridCol w:w="36"/>
        <w:gridCol w:w="36"/>
        <w:gridCol w:w="36"/>
        <w:gridCol w:w="36"/>
        <w:gridCol w:w="120"/>
        <w:gridCol w:w="1177"/>
        <w:gridCol w:w="36"/>
        <w:gridCol w:w="36"/>
        <w:gridCol w:w="36"/>
        <w:gridCol w:w="36"/>
        <w:gridCol w:w="36"/>
        <w:gridCol w:w="36"/>
        <w:gridCol w:w="36"/>
        <w:gridCol w:w="36"/>
        <w:gridCol w:w="36"/>
      </w:tblGrid>
      <w:tr w:rsidR="00000000" w14:paraId="75F10A60" w14:textId="77777777">
        <w:tc>
          <w:tcPr>
            <w:tcW w:w="50" w:type="pct"/>
            <w:vAlign w:val="center"/>
            <w:hideMark/>
          </w:tcPr>
          <w:p w14:paraId="3A51576D" w14:textId="77777777" w:rsidR="00000000" w:rsidRDefault="0068293C">
            <w:pPr>
              <w:jc w:val="both"/>
              <w:rPr>
                <w:rFonts w:eastAsia="Times New Roman"/>
              </w:rPr>
            </w:pPr>
          </w:p>
        </w:tc>
        <w:tc>
          <w:tcPr>
            <w:tcW w:w="3227" w:type="pct"/>
            <w:vAlign w:val="center"/>
            <w:hideMark/>
          </w:tcPr>
          <w:p w14:paraId="5D93D60D" w14:textId="77777777" w:rsidR="00000000" w:rsidRDefault="0068293C">
            <w:pPr>
              <w:spacing w:after="100"/>
              <w:rPr>
                <w:rFonts w:eastAsia="Times New Roman"/>
                <w:sz w:val="20"/>
                <w:szCs w:val="20"/>
              </w:rPr>
            </w:pPr>
          </w:p>
        </w:tc>
        <w:tc>
          <w:tcPr>
            <w:tcW w:w="5" w:type="pct"/>
            <w:vAlign w:val="center"/>
            <w:hideMark/>
          </w:tcPr>
          <w:p w14:paraId="0B878851" w14:textId="77777777" w:rsidR="00000000" w:rsidRDefault="0068293C">
            <w:pPr>
              <w:spacing w:after="100"/>
              <w:rPr>
                <w:rFonts w:eastAsia="Times New Roman"/>
                <w:sz w:val="20"/>
                <w:szCs w:val="20"/>
              </w:rPr>
            </w:pPr>
          </w:p>
        </w:tc>
        <w:tc>
          <w:tcPr>
            <w:tcW w:w="50" w:type="pct"/>
            <w:vAlign w:val="center"/>
            <w:hideMark/>
          </w:tcPr>
          <w:p w14:paraId="69854BDD" w14:textId="77777777" w:rsidR="00000000" w:rsidRDefault="0068293C">
            <w:pPr>
              <w:spacing w:after="100"/>
              <w:rPr>
                <w:rFonts w:eastAsia="Times New Roman"/>
                <w:sz w:val="20"/>
                <w:szCs w:val="20"/>
              </w:rPr>
            </w:pPr>
          </w:p>
        </w:tc>
        <w:tc>
          <w:tcPr>
            <w:tcW w:w="785" w:type="pct"/>
            <w:vAlign w:val="center"/>
            <w:hideMark/>
          </w:tcPr>
          <w:p w14:paraId="39BC3F38" w14:textId="77777777" w:rsidR="00000000" w:rsidRDefault="0068293C">
            <w:pPr>
              <w:spacing w:after="100"/>
              <w:rPr>
                <w:rFonts w:eastAsia="Times New Roman"/>
                <w:sz w:val="20"/>
                <w:szCs w:val="20"/>
              </w:rPr>
            </w:pPr>
          </w:p>
        </w:tc>
        <w:tc>
          <w:tcPr>
            <w:tcW w:w="5" w:type="pct"/>
            <w:vAlign w:val="center"/>
            <w:hideMark/>
          </w:tcPr>
          <w:p w14:paraId="05D20A55" w14:textId="77777777" w:rsidR="00000000" w:rsidRDefault="0068293C">
            <w:pPr>
              <w:spacing w:after="100"/>
              <w:rPr>
                <w:rFonts w:eastAsia="Times New Roman"/>
                <w:sz w:val="20"/>
                <w:szCs w:val="20"/>
              </w:rPr>
            </w:pPr>
          </w:p>
        </w:tc>
        <w:tc>
          <w:tcPr>
            <w:tcW w:w="5" w:type="pct"/>
            <w:vAlign w:val="center"/>
            <w:hideMark/>
          </w:tcPr>
          <w:p w14:paraId="65E32130" w14:textId="77777777" w:rsidR="00000000" w:rsidRDefault="0068293C">
            <w:pPr>
              <w:spacing w:after="100"/>
              <w:rPr>
                <w:rFonts w:eastAsia="Times New Roman"/>
                <w:sz w:val="20"/>
                <w:szCs w:val="20"/>
              </w:rPr>
            </w:pPr>
          </w:p>
        </w:tc>
        <w:tc>
          <w:tcPr>
            <w:tcW w:w="26" w:type="pct"/>
            <w:vAlign w:val="center"/>
            <w:hideMark/>
          </w:tcPr>
          <w:p w14:paraId="557D251F" w14:textId="77777777" w:rsidR="00000000" w:rsidRDefault="0068293C">
            <w:pPr>
              <w:spacing w:after="100"/>
              <w:rPr>
                <w:rFonts w:eastAsia="Times New Roman"/>
                <w:sz w:val="20"/>
                <w:szCs w:val="20"/>
              </w:rPr>
            </w:pPr>
          </w:p>
        </w:tc>
        <w:tc>
          <w:tcPr>
            <w:tcW w:w="5" w:type="pct"/>
            <w:vAlign w:val="center"/>
            <w:hideMark/>
          </w:tcPr>
          <w:p w14:paraId="3D060BAD" w14:textId="77777777" w:rsidR="00000000" w:rsidRDefault="0068293C">
            <w:pPr>
              <w:spacing w:after="100"/>
              <w:rPr>
                <w:rFonts w:eastAsia="Times New Roman"/>
                <w:sz w:val="20"/>
                <w:szCs w:val="20"/>
              </w:rPr>
            </w:pPr>
          </w:p>
        </w:tc>
        <w:tc>
          <w:tcPr>
            <w:tcW w:w="50" w:type="pct"/>
            <w:vAlign w:val="center"/>
            <w:hideMark/>
          </w:tcPr>
          <w:p w14:paraId="2BFAB787" w14:textId="77777777" w:rsidR="00000000" w:rsidRDefault="0068293C">
            <w:pPr>
              <w:spacing w:after="100"/>
              <w:rPr>
                <w:rFonts w:eastAsia="Times New Roman"/>
                <w:sz w:val="20"/>
                <w:szCs w:val="20"/>
              </w:rPr>
            </w:pPr>
          </w:p>
        </w:tc>
        <w:tc>
          <w:tcPr>
            <w:tcW w:w="785" w:type="pct"/>
            <w:vAlign w:val="center"/>
            <w:hideMark/>
          </w:tcPr>
          <w:p w14:paraId="4C5F7B0D" w14:textId="77777777" w:rsidR="00000000" w:rsidRDefault="0068293C">
            <w:pPr>
              <w:spacing w:after="100"/>
              <w:rPr>
                <w:rFonts w:eastAsia="Times New Roman"/>
                <w:sz w:val="20"/>
                <w:szCs w:val="20"/>
              </w:rPr>
            </w:pPr>
          </w:p>
        </w:tc>
        <w:tc>
          <w:tcPr>
            <w:tcW w:w="5" w:type="pct"/>
            <w:vAlign w:val="center"/>
            <w:hideMark/>
          </w:tcPr>
          <w:p w14:paraId="060086BB" w14:textId="77777777" w:rsidR="00000000" w:rsidRDefault="0068293C">
            <w:pPr>
              <w:spacing w:after="100"/>
              <w:rPr>
                <w:rFonts w:eastAsia="Times New Roman"/>
                <w:sz w:val="20"/>
                <w:szCs w:val="20"/>
              </w:rPr>
            </w:pPr>
          </w:p>
        </w:tc>
        <w:tc>
          <w:tcPr>
            <w:tcW w:w="0" w:type="auto"/>
            <w:vAlign w:val="center"/>
            <w:hideMark/>
          </w:tcPr>
          <w:p w14:paraId="5D3D61B7" w14:textId="77777777" w:rsidR="00000000" w:rsidRDefault="0068293C">
            <w:pPr>
              <w:spacing w:after="100"/>
              <w:rPr>
                <w:rFonts w:eastAsia="Times New Roman"/>
                <w:sz w:val="20"/>
                <w:szCs w:val="20"/>
              </w:rPr>
            </w:pPr>
          </w:p>
        </w:tc>
        <w:tc>
          <w:tcPr>
            <w:tcW w:w="0" w:type="auto"/>
            <w:vAlign w:val="center"/>
            <w:hideMark/>
          </w:tcPr>
          <w:p w14:paraId="16DA82A6" w14:textId="77777777" w:rsidR="00000000" w:rsidRDefault="0068293C">
            <w:pPr>
              <w:spacing w:after="100"/>
              <w:rPr>
                <w:rFonts w:eastAsia="Times New Roman"/>
                <w:sz w:val="20"/>
                <w:szCs w:val="20"/>
              </w:rPr>
            </w:pPr>
          </w:p>
        </w:tc>
        <w:tc>
          <w:tcPr>
            <w:tcW w:w="0" w:type="auto"/>
            <w:gridSpan w:val="3"/>
            <w:vAlign w:val="center"/>
            <w:hideMark/>
          </w:tcPr>
          <w:p w14:paraId="57D2D3A0" w14:textId="77777777" w:rsidR="00000000" w:rsidRDefault="0068293C">
            <w:pPr>
              <w:spacing w:after="100"/>
              <w:rPr>
                <w:rFonts w:eastAsia="Times New Roman"/>
                <w:sz w:val="20"/>
                <w:szCs w:val="20"/>
              </w:rPr>
            </w:pPr>
          </w:p>
        </w:tc>
        <w:tc>
          <w:tcPr>
            <w:tcW w:w="0" w:type="auto"/>
            <w:gridSpan w:val="3"/>
            <w:vAlign w:val="center"/>
            <w:hideMark/>
          </w:tcPr>
          <w:p w14:paraId="4E0D793D" w14:textId="77777777" w:rsidR="00000000" w:rsidRDefault="0068293C">
            <w:pPr>
              <w:spacing w:after="100"/>
              <w:rPr>
                <w:rFonts w:eastAsia="Times New Roman"/>
                <w:sz w:val="20"/>
                <w:szCs w:val="20"/>
              </w:rPr>
            </w:pPr>
          </w:p>
        </w:tc>
      </w:tr>
      <w:tr w:rsidR="00000000" w14:paraId="2D155171" w14:textId="77777777">
        <w:tc>
          <w:tcPr>
            <w:tcW w:w="0" w:type="auto"/>
            <w:gridSpan w:val="3"/>
            <w:tcMar>
              <w:top w:w="0" w:type="dxa"/>
              <w:left w:w="20" w:type="dxa"/>
              <w:bottom w:w="0" w:type="dxa"/>
              <w:right w:w="20" w:type="dxa"/>
            </w:tcMar>
            <w:vAlign w:val="center"/>
            <w:hideMark/>
          </w:tcPr>
          <w:p w14:paraId="3B27F053"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063B65EA"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FC1799B" w14:textId="77777777" w:rsidR="00000000" w:rsidRDefault="0068293C">
            <w:pPr>
              <w:spacing w:after="100"/>
              <w:jc w:val="center"/>
              <w:rPr>
                <w:rFonts w:eastAsia="Times New Roman"/>
              </w:rPr>
            </w:pPr>
          </w:p>
        </w:tc>
        <w:tc>
          <w:tcPr>
            <w:tcW w:w="0" w:type="auto"/>
            <w:vAlign w:val="center"/>
            <w:hideMark/>
          </w:tcPr>
          <w:p w14:paraId="2C63009B" w14:textId="77777777" w:rsidR="00000000" w:rsidRDefault="0068293C">
            <w:pPr>
              <w:spacing w:after="100"/>
              <w:rPr>
                <w:rFonts w:eastAsia="Times New Roman"/>
                <w:sz w:val="20"/>
                <w:szCs w:val="20"/>
              </w:rPr>
            </w:pPr>
          </w:p>
        </w:tc>
        <w:tc>
          <w:tcPr>
            <w:tcW w:w="0" w:type="auto"/>
            <w:vAlign w:val="center"/>
            <w:hideMark/>
          </w:tcPr>
          <w:p w14:paraId="6D1B1738" w14:textId="77777777" w:rsidR="00000000" w:rsidRDefault="0068293C">
            <w:pPr>
              <w:spacing w:after="100"/>
              <w:rPr>
                <w:rFonts w:eastAsia="Times New Roman"/>
                <w:sz w:val="20"/>
                <w:szCs w:val="20"/>
              </w:rPr>
            </w:pPr>
          </w:p>
        </w:tc>
        <w:tc>
          <w:tcPr>
            <w:tcW w:w="0" w:type="auto"/>
            <w:vAlign w:val="center"/>
            <w:hideMark/>
          </w:tcPr>
          <w:p w14:paraId="4356A22D" w14:textId="77777777" w:rsidR="00000000" w:rsidRDefault="0068293C">
            <w:pPr>
              <w:spacing w:after="100"/>
              <w:rPr>
                <w:rFonts w:eastAsia="Times New Roman"/>
                <w:sz w:val="20"/>
                <w:szCs w:val="20"/>
              </w:rPr>
            </w:pPr>
          </w:p>
        </w:tc>
        <w:tc>
          <w:tcPr>
            <w:tcW w:w="0" w:type="auto"/>
            <w:vAlign w:val="center"/>
            <w:hideMark/>
          </w:tcPr>
          <w:p w14:paraId="6D98624D" w14:textId="77777777" w:rsidR="00000000" w:rsidRDefault="0068293C">
            <w:pPr>
              <w:spacing w:after="100"/>
              <w:rPr>
                <w:rFonts w:eastAsia="Times New Roman"/>
                <w:sz w:val="20"/>
                <w:szCs w:val="20"/>
              </w:rPr>
            </w:pPr>
          </w:p>
        </w:tc>
        <w:tc>
          <w:tcPr>
            <w:tcW w:w="0" w:type="auto"/>
            <w:vAlign w:val="center"/>
            <w:hideMark/>
          </w:tcPr>
          <w:p w14:paraId="0A000888" w14:textId="77777777" w:rsidR="00000000" w:rsidRDefault="0068293C">
            <w:pPr>
              <w:spacing w:after="100"/>
              <w:rPr>
                <w:rFonts w:eastAsia="Times New Roman"/>
                <w:sz w:val="20"/>
                <w:szCs w:val="20"/>
              </w:rPr>
            </w:pPr>
          </w:p>
        </w:tc>
        <w:tc>
          <w:tcPr>
            <w:tcW w:w="0" w:type="auto"/>
            <w:vAlign w:val="center"/>
            <w:hideMark/>
          </w:tcPr>
          <w:p w14:paraId="3E53F3E4" w14:textId="77777777" w:rsidR="00000000" w:rsidRDefault="0068293C">
            <w:pPr>
              <w:spacing w:after="100"/>
              <w:rPr>
                <w:rFonts w:eastAsia="Times New Roman"/>
                <w:sz w:val="20"/>
                <w:szCs w:val="20"/>
              </w:rPr>
            </w:pPr>
          </w:p>
        </w:tc>
        <w:tc>
          <w:tcPr>
            <w:tcW w:w="0" w:type="auto"/>
            <w:vAlign w:val="center"/>
            <w:hideMark/>
          </w:tcPr>
          <w:p w14:paraId="35C04B4B" w14:textId="77777777" w:rsidR="00000000" w:rsidRDefault="0068293C">
            <w:pPr>
              <w:spacing w:after="100"/>
              <w:rPr>
                <w:rFonts w:eastAsia="Times New Roman"/>
                <w:sz w:val="20"/>
                <w:szCs w:val="20"/>
              </w:rPr>
            </w:pPr>
          </w:p>
        </w:tc>
      </w:tr>
      <w:tr w:rsidR="00000000" w14:paraId="67A96DC1" w14:textId="77777777">
        <w:tc>
          <w:tcPr>
            <w:tcW w:w="0" w:type="auto"/>
            <w:gridSpan w:val="3"/>
            <w:tcMar>
              <w:top w:w="30" w:type="dxa"/>
              <w:left w:w="20" w:type="dxa"/>
              <w:bottom w:w="30" w:type="dxa"/>
              <w:right w:w="20" w:type="dxa"/>
            </w:tcMar>
            <w:vAlign w:val="bottom"/>
            <w:hideMark/>
          </w:tcPr>
          <w:p w14:paraId="25E223AF"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F7FBCEC"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27FAD76"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2E47EE"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vAlign w:val="center"/>
            <w:hideMark/>
          </w:tcPr>
          <w:p w14:paraId="558A5AEA" w14:textId="77777777" w:rsidR="00000000" w:rsidRDefault="0068293C">
            <w:pPr>
              <w:spacing w:after="100"/>
              <w:jc w:val="center"/>
              <w:rPr>
                <w:rFonts w:eastAsia="Times New Roman"/>
              </w:rPr>
            </w:pPr>
          </w:p>
        </w:tc>
        <w:tc>
          <w:tcPr>
            <w:tcW w:w="0" w:type="auto"/>
            <w:vAlign w:val="center"/>
            <w:hideMark/>
          </w:tcPr>
          <w:p w14:paraId="37CE9A9A" w14:textId="77777777" w:rsidR="00000000" w:rsidRDefault="0068293C">
            <w:pPr>
              <w:spacing w:after="100"/>
              <w:rPr>
                <w:rFonts w:eastAsia="Times New Roman"/>
                <w:sz w:val="20"/>
                <w:szCs w:val="20"/>
              </w:rPr>
            </w:pPr>
          </w:p>
        </w:tc>
        <w:tc>
          <w:tcPr>
            <w:tcW w:w="0" w:type="auto"/>
            <w:gridSpan w:val="3"/>
            <w:vAlign w:val="center"/>
            <w:hideMark/>
          </w:tcPr>
          <w:p w14:paraId="0C0DC663" w14:textId="77777777" w:rsidR="00000000" w:rsidRDefault="0068293C">
            <w:pPr>
              <w:spacing w:after="100"/>
              <w:rPr>
                <w:rFonts w:eastAsia="Times New Roman"/>
                <w:sz w:val="20"/>
                <w:szCs w:val="20"/>
              </w:rPr>
            </w:pPr>
          </w:p>
        </w:tc>
        <w:tc>
          <w:tcPr>
            <w:tcW w:w="0" w:type="auto"/>
            <w:gridSpan w:val="3"/>
            <w:vAlign w:val="center"/>
            <w:hideMark/>
          </w:tcPr>
          <w:p w14:paraId="07807F89" w14:textId="77777777" w:rsidR="00000000" w:rsidRDefault="0068293C">
            <w:pPr>
              <w:spacing w:after="100"/>
              <w:rPr>
                <w:rFonts w:eastAsia="Times New Roman"/>
                <w:sz w:val="20"/>
                <w:szCs w:val="20"/>
              </w:rPr>
            </w:pPr>
          </w:p>
        </w:tc>
      </w:tr>
      <w:tr w:rsidR="00000000" w14:paraId="255E8D81" w14:textId="77777777">
        <w:tc>
          <w:tcPr>
            <w:tcW w:w="0" w:type="auto"/>
            <w:gridSpan w:val="3"/>
            <w:shd w:val="clear" w:color="auto" w:fill="CCEEFF"/>
            <w:tcMar>
              <w:top w:w="30" w:type="dxa"/>
              <w:left w:w="20" w:type="dxa"/>
              <w:bottom w:w="30" w:type="dxa"/>
              <w:right w:w="20" w:type="dxa"/>
            </w:tcMar>
            <w:hideMark/>
          </w:tcPr>
          <w:p w14:paraId="69E46DC9" w14:textId="77777777" w:rsidR="00000000" w:rsidRDefault="0068293C">
            <w:pPr>
              <w:spacing w:after="100"/>
              <w:rPr>
                <w:rFonts w:eastAsia="Times New Roman"/>
              </w:rPr>
            </w:pPr>
            <w:r>
              <w:rPr>
                <w:rFonts w:eastAsia="Times New Roman"/>
                <w:b/>
                <w:bCs/>
                <w:color w:val="000000"/>
                <w:sz w:val="20"/>
                <w:szCs w:val="20"/>
              </w:rPr>
              <w:t>Net income (loss) from continuing operations attributable to NCR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54AEB4"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BF24CD" w14:textId="77777777" w:rsidR="00000000" w:rsidRDefault="0068293C">
            <w:pPr>
              <w:spacing w:after="100"/>
              <w:jc w:val="right"/>
              <w:rPr>
                <w:rFonts w:eastAsia="Times New Roman"/>
              </w:rPr>
            </w:pPr>
            <w:r>
              <w:rPr>
                <w:rFonts w:eastAsia="Times New Roman"/>
                <w:b/>
                <w:bCs/>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F3BE9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372E8"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BC1623"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A9E6BF" w14:textId="77777777" w:rsidR="00000000" w:rsidRDefault="0068293C">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0629C5" w14:textId="77777777" w:rsidR="00000000" w:rsidRDefault="0068293C">
            <w:pPr>
              <w:spacing w:after="100"/>
              <w:jc w:val="right"/>
              <w:rPr>
                <w:rFonts w:eastAsia="Times New Roman"/>
              </w:rPr>
            </w:pPr>
          </w:p>
        </w:tc>
        <w:tc>
          <w:tcPr>
            <w:tcW w:w="0" w:type="auto"/>
            <w:vAlign w:val="center"/>
            <w:hideMark/>
          </w:tcPr>
          <w:p w14:paraId="6C7D321F" w14:textId="77777777" w:rsidR="00000000" w:rsidRDefault="0068293C">
            <w:pPr>
              <w:spacing w:after="100"/>
              <w:jc w:val="right"/>
              <w:rPr>
                <w:rFonts w:eastAsia="Times New Roman"/>
                <w:sz w:val="20"/>
                <w:szCs w:val="20"/>
              </w:rPr>
            </w:pPr>
          </w:p>
        </w:tc>
        <w:tc>
          <w:tcPr>
            <w:tcW w:w="0" w:type="auto"/>
            <w:vAlign w:val="center"/>
            <w:hideMark/>
          </w:tcPr>
          <w:p w14:paraId="19F8BB03" w14:textId="77777777" w:rsidR="00000000" w:rsidRDefault="0068293C">
            <w:pPr>
              <w:spacing w:after="100"/>
              <w:rPr>
                <w:rFonts w:eastAsia="Times New Roman"/>
                <w:sz w:val="20"/>
                <w:szCs w:val="20"/>
              </w:rPr>
            </w:pPr>
          </w:p>
        </w:tc>
        <w:tc>
          <w:tcPr>
            <w:tcW w:w="0" w:type="auto"/>
            <w:gridSpan w:val="3"/>
            <w:vAlign w:val="center"/>
            <w:hideMark/>
          </w:tcPr>
          <w:p w14:paraId="762B1D5B" w14:textId="77777777" w:rsidR="00000000" w:rsidRDefault="0068293C">
            <w:pPr>
              <w:spacing w:after="100"/>
              <w:rPr>
                <w:rFonts w:eastAsia="Times New Roman"/>
                <w:sz w:val="20"/>
                <w:szCs w:val="20"/>
              </w:rPr>
            </w:pPr>
          </w:p>
        </w:tc>
        <w:tc>
          <w:tcPr>
            <w:tcW w:w="0" w:type="auto"/>
            <w:gridSpan w:val="3"/>
            <w:vAlign w:val="center"/>
            <w:hideMark/>
          </w:tcPr>
          <w:p w14:paraId="6F121FE5" w14:textId="77777777" w:rsidR="00000000" w:rsidRDefault="0068293C">
            <w:pPr>
              <w:spacing w:after="100"/>
              <w:rPr>
                <w:rFonts w:eastAsia="Times New Roman"/>
                <w:sz w:val="20"/>
                <w:szCs w:val="20"/>
              </w:rPr>
            </w:pPr>
          </w:p>
        </w:tc>
      </w:tr>
      <w:tr w:rsidR="00000000" w14:paraId="506BFFFC" w14:textId="77777777">
        <w:tc>
          <w:tcPr>
            <w:tcW w:w="0" w:type="auto"/>
            <w:gridSpan w:val="3"/>
            <w:vAlign w:val="center"/>
            <w:hideMark/>
          </w:tcPr>
          <w:p w14:paraId="37674456" w14:textId="77777777" w:rsidR="00000000" w:rsidRDefault="0068293C">
            <w:pPr>
              <w:spacing w:after="100"/>
              <w:rPr>
                <w:rFonts w:eastAsia="Times New Roman"/>
                <w:sz w:val="20"/>
                <w:szCs w:val="20"/>
              </w:rPr>
            </w:pPr>
          </w:p>
        </w:tc>
        <w:tc>
          <w:tcPr>
            <w:tcW w:w="0" w:type="auto"/>
            <w:gridSpan w:val="3"/>
            <w:vAlign w:val="center"/>
            <w:hideMark/>
          </w:tcPr>
          <w:p w14:paraId="0FB5731C" w14:textId="77777777" w:rsidR="00000000" w:rsidRDefault="0068293C">
            <w:pPr>
              <w:spacing w:after="100"/>
              <w:rPr>
                <w:rFonts w:eastAsia="Times New Roman"/>
                <w:sz w:val="20"/>
                <w:szCs w:val="20"/>
              </w:rPr>
            </w:pPr>
          </w:p>
        </w:tc>
        <w:tc>
          <w:tcPr>
            <w:tcW w:w="0" w:type="auto"/>
            <w:gridSpan w:val="3"/>
            <w:vAlign w:val="center"/>
            <w:hideMark/>
          </w:tcPr>
          <w:p w14:paraId="3F0DA0CF" w14:textId="77777777" w:rsidR="00000000" w:rsidRDefault="0068293C">
            <w:pPr>
              <w:spacing w:after="100"/>
              <w:rPr>
                <w:rFonts w:eastAsia="Times New Roman"/>
                <w:sz w:val="20"/>
                <w:szCs w:val="20"/>
              </w:rPr>
            </w:pPr>
          </w:p>
        </w:tc>
        <w:tc>
          <w:tcPr>
            <w:tcW w:w="0" w:type="auto"/>
            <w:gridSpan w:val="3"/>
            <w:vAlign w:val="center"/>
            <w:hideMark/>
          </w:tcPr>
          <w:p w14:paraId="08DF026A" w14:textId="77777777" w:rsidR="00000000" w:rsidRDefault="0068293C">
            <w:pPr>
              <w:spacing w:after="100"/>
              <w:rPr>
                <w:rFonts w:eastAsia="Times New Roman"/>
                <w:sz w:val="20"/>
                <w:szCs w:val="20"/>
              </w:rPr>
            </w:pPr>
          </w:p>
        </w:tc>
        <w:tc>
          <w:tcPr>
            <w:tcW w:w="0" w:type="auto"/>
            <w:vAlign w:val="center"/>
            <w:hideMark/>
          </w:tcPr>
          <w:p w14:paraId="6E6C4E7C" w14:textId="77777777" w:rsidR="00000000" w:rsidRDefault="0068293C">
            <w:pPr>
              <w:spacing w:after="100"/>
              <w:rPr>
                <w:rFonts w:eastAsia="Times New Roman"/>
                <w:sz w:val="20"/>
                <w:szCs w:val="20"/>
              </w:rPr>
            </w:pPr>
          </w:p>
        </w:tc>
        <w:tc>
          <w:tcPr>
            <w:tcW w:w="0" w:type="auto"/>
            <w:vAlign w:val="center"/>
            <w:hideMark/>
          </w:tcPr>
          <w:p w14:paraId="4C0BCACE" w14:textId="77777777" w:rsidR="00000000" w:rsidRDefault="0068293C">
            <w:pPr>
              <w:spacing w:after="100"/>
              <w:rPr>
                <w:rFonts w:eastAsia="Times New Roman"/>
                <w:sz w:val="20"/>
                <w:szCs w:val="20"/>
              </w:rPr>
            </w:pPr>
          </w:p>
        </w:tc>
        <w:tc>
          <w:tcPr>
            <w:tcW w:w="0" w:type="auto"/>
            <w:gridSpan w:val="3"/>
            <w:vAlign w:val="center"/>
            <w:hideMark/>
          </w:tcPr>
          <w:p w14:paraId="7B702011" w14:textId="77777777" w:rsidR="00000000" w:rsidRDefault="0068293C">
            <w:pPr>
              <w:spacing w:after="100"/>
              <w:rPr>
                <w:rFonts w:eastAsia="Times New Roman"/>
                <w:sz w:val="20"/>
                <w:szCs w:val="20"/>
              </w:rPr>
            </w:pPr>
          </w:p>
        </w:tc>
        <w:tc>
          <w:tcPr>
            <w:tcW w:w="0" w:type="auto"/>
            <w:gridSpan w:val="3"/>
            <w:vAlign w:val="center"/>
            <w:hideMark/>
          </w:tcPr>
          <w:p w14:paraId="178B2736" w14:textId="77777777" w:rsidR="00000000" w:rsidRDefault="0068293C">
            <w:pPr>
              <w:spacing w:after="100"/>
              <w:rPr>
                <w:rFonts w:eastAsia="Times New Roman"/>
                <w:sz w:val="20"/>
                <w:szCs w:val="20"/>
              </w:rPr>
            </w:pPr>
          </w:p>
        </w:tc>
      </w:tr>
      <w:tr w:rsidR="00000000" w14:paraId="71E69AB2" w14:textId="77777777">
        <w:tc>
          <w:tcPr>
            <w:tcW w:w="0" w:type="auto"/>
            <w:gridSpan w:val="3"/>
            <w:shd w:val="clear" w:color="auto" w:fill="FFFFFF"/>
            <w:tcMar>
              <w:top w:w="30" w:type="dxa"/>
              <w:left w:w="20" w:type="dxa"/>
              <w:bottom w:w="30" w:type="dxa"/>
              <w:right w:w="20" w:type="dxa"/>
            </w:tcMar>
            <w:hideMark/>
          </w:tcPr>
          <w:p w14:paraId="5A483751" w14:textId="77777777" w:rsidR="00000000" w:rsidRDefault="0068293C">
            <w:pPr>
              <w:spacing w:after="100"/>
              <w:rPr>
                <w:rFonts w:eastAsia="Times New Roman"/>
              </w:rPr>
            </w:pPr>
            <w:r>
              <w:rPr>
                <w:rFonts w:eastAsia="Times New Roman"/>
                <w:color w:val="000000"/>
                <w:sz w:val="20"/>
                <w:szCs w:val="20"/>
              </w:rPr>
              <w:t>Transformation and restructuring costs</w:t>
            </w:r>
          </w:p>
        </w:tc>
        <w:tc>
          <w:tcPr>
            <w:tcW w:w="0" w:type="auto"/>
            <w:gridSpan w:val="2"/>
            <w:shd w:val="clear" w:color="auto" w:fill="FFFFFF"/>
            <w:tcMar>
              <w:top w:w="30" w:type="dxa"/>
              <w:left w:w="20" w:type="dxa"/>
              <w:bottom w:w="30" w:type="dxa"/>
              <w:right w:w="0" w:type="dxa"/>
            </w:tcMar>
            <w:vAlign w:val="bottom"/>
            <w:hideMark/>
          </w:tcPr>
          <w:p w14:paraId="1F7F174A" w14:textId="77777777" w:rsidR="00000000" w:rsidRDefault="0068293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AD24D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6AED0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12E8E0" w14:textId="77777777" w:rsidR="00000000" w:rsidRDefault="0068293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2F7CA4FB" w14:textId="77777777" w:rsidR="00000000" w:rsidRDefault="0068293C">
            <w:pPr>
              <w:spacing w:after="100"/>
              <w:jc w:val="right"/>
              <w:rPr>
                <w:rFonts w:eastAsia="Times New Roman"/>
              </w:rPr>
            </w:pPr>
          </w:p>
        </w:tc>
        <w:tc>
          <w:tcPr>
            <w:tcW w:w="0" w:type="auto"/>
            <w:vAlign w:val="center"/>
            <w:hideMark/>
          </w:tcPr>
          <w:p w14:paraId="5BD1EF39" w14:textId="77777777" w:rsidR="00000000" w:rsidRDefault="0068293C">
            <w:pPr>
              <w:spacing w:after="100"/>
              <w:jc w:val="right"/>
              <w:rPr>
                <w:rFonts w:eastAsia="Times New Roman"/>
                <w:sz w:val="20"/>
                <w:szCs w:val="20"/>
              </w:rPr>
            </w:pPr>
          </w:p>
        </w:tc>
        <w:tc>
          <w:tcPr>
            <w:tcW w:w="0" w:type="auto"/>
            <w:vAlign w:val="center"/>
            <w:hideMark/>
          </w:tcPr>
          <w:p w14:paraId="1FD346D5" w14:textId="77777777" w:rsidR="00000000" w:rsidRDefault="0068293C">
            <w:pPr>
              <w:spacing w:after="100"/>
              <w:rPr>
                <w:rFonts w:eastAsia="Times New Roman"/>
                <w:sz w:val="20"/>
                <w:szCs w:val="20"/>
              </w:rPr>
            </w:pPr>
          </w:p>
        </w:tc>
        <w:tc>
          <w:tcPr>
            <w:tcW w:w="0" w:type="auto"/>
            <w:gridSpan w:val="3"/>
            <w:vAlign w:val="center"/>
            <w:hideMark/>
          </w:tcPr>
          <w:p w14:paraId="07512D27" w14:textId="77777777" w:rsidR="00000000" w:rsidRDefault="0068293C">
            <w:pPr>
              <w:spacing w:after="100"/>
              <w:rPr>
                <w:rFonts w:eastAsia="Times New Roman"/>
                <w:sz w:val="20"/>
                <w:szCs w:val="20"/>
              </w:rPr>
            </w:pPr>
          </w:p>
        </w:tc>
        <w:tc>
          <w:tcPr>
            <w:tcW w:w="0" w:type="auto"/>
            <w:gridSpan w:val="3"/>
            <w:vAlign w:val="center"/>
            <w:hideMark/>
          </w:tcPr>
          <w:p w14:paraId="503DE77E" w14:textId="77777777" w:rsidR="00000000" w:rsidRDefault="0068293C">
            <w:pPr>
              <w:spacing w:after="100"/>
              <w:rPr>
                <w:rFonts w:eastAsia="Times New Roman"/>
                <w:sz w:val="20"/>
                <w:szCs w:val="20"/>
              </w:rPr>
            </w:pPr>
          </w:p>
        </w:tc>
      </w:tr>
      <w:tr w:rsidR="00000000" w14:paraId="20BEEE36" w14:textId="77777777">
        <w:tc>
          <w:tcPr>
            <w:tcW w:w="0" w:type="auto"/>
            <w:gridSpan w:val="3"/>
            <w:shd w:val="clear" w:color="auto" w:fill="CCEEFF"/>
            <w:tcMar>
              <w:top w:w="30" w:type="dxa"/>
              <w:left w:w="20" w:type="dxa"/>
              <w:bottom w:w="30" w:type="dxa"/>
              <w:right w:w="20" w:type="dxa"/>
            </w:tcMar>
            <w:hideMark/>
          </w:tcPr>
          <w:p w14:paraId="36C99B45" w14:textId="77777777" w:rsidR="00000000" w:rsidRDefault="0068293C">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CCEEFF"/>
            <w:tcMar>
              <w:top w:w="30" w:type="dxa"/>
              <w:left w:w="20" w:type="dxa"/>
              <w:bottom w:w="30" w:type="dxa"/>
              <w:right w:w="0" w:type="dxa"/>
            </w:tcMar>
            <w:vAlign w:val="bottom"/>
            <w:hideMark/>
          </w:tcPr>
          <w:p w14:paraId="6F56829A" w14:textId="77777777" w:rsidR="00000000" w:rsidRDefault="0068293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DD344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C263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C4022C" w14:textId="77777777" w:rsidR="00000000" w:rsidRDefault="0068293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4F94302B" w14:textId="77777777" w:rsidR="00000000" w:rsidRDefault="0068293C">
            <w:pPr>
              <w:spacing w:after="100"/>
              <w:jc w:val="right"/>
              <w:rPr>
                <w:rFonts w:eastAsia="Times New Roman"/>
              </w:rPr>
            </w:pPr>
          </w:p>
        </w:tc>
        <w:tc>
          <w:tcPr>
            <w:tcW w:w="0" w:type="auto"/>
            <w:vAlign w:val="center"/>
            <w:hideMark/>
          </w:tcPr>
          <w:p w14:paraId="0308C7D4" w14:textId="77777777" w:rsidR="00000000" w:rsidRDefault="0068293C">
            <w:pPr>
              <w:spacing w:after="100"/>
              <w:jc w:val="right"/>
              <w:rPr>
                <w:rFonts w:eastAsia="Times New Roman"/>
                <w:sz w:val="20"/>
                <w:szCs w:val="20"/>
              </w:rPr>
            </w:pPr>
          </w:p>
        </w:tc>
        <w:tc>
          <w:tcPr>
            <w:tcW w:w="0" w:type="auto"/>
            <w:vAlign w:val="center"/>
            <w:hideMark/>
          </w:tcPr>
          <w:p w14:paraId="02E6BA34" w14:textId="77777777" w:rsidR="00000000" w:rsidRDefault="0068293C">
            <w:pPr>
              <w:spacing w:after="100"/>
              <w:rPr>
                <w:rFonts w:eastAsia="Times New Roman"/>
                <w:sz w:val="20"/>
                <w:szCs w:val="20"/>
              </w:rPr>
            </w:pPr>
          </w:p>
        </w:tc>
        <w:tc>
          <w:tcPr>
            <w:tcW w:w="0" w:type="auto"/>
            <w:gridSpan w:val="3"/>
            <w:vAlign w:val="center"/>
            <w:hideMark/>
          </w:tcPr>
          <w:p w14:paraId="68821A7B" w14:textId="77777777" w:rsidR="00000000" w:rsidRDefault="0068293C">
            <w:pPr>
              <w:spacing w:after="100"/>
              <w:rPr>
                <w:rFonts w:eastAsia="Times New Roman"/>
                <w:sz w:val="20"/>
                <w:szCs w:val="20"/>
              </w:rPr>
            </w:pPr>
          </w:p>
        </w:tc>
        <w:tc>
          <w:tcPr>
            <w:tcW w:w="0" w:type="auto"/>
            <w:gridSpan w:val="3"/>
            <w:vAlign w:val="center"/>
            <w:hideMark/>
          </w:tcPr>
          <w:p w14:paraId="623EDD5C" w14:textId="77777777" w:rsidR="00000000" w:rsidRDefault="0068293C">
            <w:pPr>
              <w:spacing w:after="100"/>
              <w:rPr>
                <w:rFonts w:eastAsia="Times New Roman"/>
                <w:sz w:val="20"/>
                <w:szCs w:val="20"/>
              </w:rPr>
            </w:pPr>
          </w:p>
        </w:tc>
      </w:tr>
      <w:tr w:rsidR="00000000" w14:paraId="4D34EE2C" w14:textId="77777777">
        <w:tc>
          <w:tcPr>
            <w:tcW w:w="0" w:type="auto"/>
            <w:gridSpan w:val="3"/>
            <w:shd w:val="clear" w:color="auto" w:fill="FFFFFF"/>
            <w:tcMar>
              <w:top w:w="30" w:type="dxa"/>
              <w:left w:w="20" w:type="dxa"/>
              <w:bottom w:w="30" w:type="dxa"/>
              <w:right w:w="20" w:type="dxa"/>
            </w:tcMar>
            <w:hideMark/>
          </w:tcPr>
          <w:p w14:paraId="57C554A6" w14:textId="77777777" w:rsidR="00000000" w:rsidRDefault="0068293C">
            <w:pPr>
              <w:spacing w:after="100"/>
              <w:rPr>
                <w:rFonts w:eastAsia="Times New Roman"/>
              </w:rPr>
            </w:pPr>
            <w:r>
              <w:rPr>
                <w:rFonts w:eastAsia="Times New Roman"/>
                <w:color w:val="000000"/>
                <w:sz w:val="20"/>
                <w:szCs w:val="20"/>
              </w:rPr>
              <w:t>Acquisition-related costs</w:t>
            </w:r>
          </w:p>
        </w:tc>
        <w:tc>
          <w:tcPr>
            <w:tcW w:w="0" w:type="auto"/>
            <w:gridSpan w:val="2"/>
            <w:shd w:val="clear" w:color="auto" w:fill="FFFFFF"/>
            <w:tcMar>
              <w:top w:w="30" w:type="dxa"/>
              <w:left w:w="20" w:type="dxa"/>
              <w:bottom w:w="30" w:type="dxa"/>
              <w:right w:w="0" w:type="dxa"/>
            </w:tcMar>
            <w:vAlign w:val="bottom"/>
            <w:hideMark/>
          </w:tcPr>
          <w:p w14:paraId="484D45A3" w14:textId="77777777" w:rsidR="00000000" w:rsidRDefault="0068293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75562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805F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AAE99" w14:textId="77777777" w:rsidR="00000000" w:rsidRDefault="0068293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21590ECE" w14:textId="77777777" w:rsidR="00000000" w:rsidRDefault="0068293C">
            <w:pPr>
              <w:spacing w:after="100"/>
              <w:jc w:val="right"/>
              <w:rPr>
                <w:rFonts w:eastAsia="Times New Roman"/>
              </w:rPr>
            </w:pPr>
          </w:p>
        </w:tc>
        <w:tc>
          <w:tcPr>
            <w:tcW w:w="0" w:type="auto"/>
            <w:vAlign w:val="center"/>
            <w:hideMark/>
          </w:tcPr>
          <w:p w14:paraId="7099CBE6" w14:textId="77777777" w:rsidR="00000000" w:rsidRDefault="0068293C">
            <w:pPr>
              <w:spacing w:after="100"/>
              <w:jc w:val="right"/>
              <w:rPr>
                <w:rFonts w:eastAsia="Times New Roman"/>
                <w:sz w:val="20"/>
                <w:szCs w:val="20"/>
              </w:rPr>
            </w:pPr>
          </w:p>
        </w:tc>
        <w:tc>
          <w:tcPr>
            <w:tcW w:w="0" w:type="auto"/>
            <w:vAlign w:val="center"/>
            <w:hideMark/>
          </w:tcPr>
          <w:p w14:paraId="5730394E" w14:textId="77777777" w:rsidR="00000000" w:rsidRDefault="0068293C">
            <w:pPr>
              <w:spacing w:after="100"/>
              <w:rPr>
                <w:rFonts w:eastAsia="Times New Roman"/>
                <w:sz w:val="20"/>
                <w:szCs w:val="20"/>
              </w:rPr>
            </w:pPr>
          </w:p>
        </w:tc>
        <w:tc>
          <w:tcPr>
            <w:tcW w:w="0" w:type="auto"/>
            <w:gridSpan w:val="3"/>
            <w:vAlign w:val="center"/>
            <w:hideMark/>
          </w:tcPr>
          <w:p w14:paraId="70133DD3" w14:textId="77777777" w:rsidR="00000000" w:rsidRDefault="0068293C">
            <w:pPr>
              <w:spacing w:after="100"/>
              <w:rPr>
                <w:rFonts w:eastAsia="Times New Roman"/>
                <w:sz w:val="20"/>
                <w:szCs w:val="20"/>
              </w:rPr>
            </w:pPr>
          </w:p>
        </w:tc>
        <w:tc>
          <w:tcPr>
            <w:tcW w:w="0" w:type="auto"/>
            <w:gridSpan w:val="3"/>
            <w:vAlign w:val="center"/>
            <w:hideMark/>
          </w:tcPr>
          <w:p w14:paraId="2D37B559" w14:textId="77777777" w:rsidR="00000000" w:rsidRDefault="0068293C">
            <w:pPr>
              <w:spacing w:after="100"/>
              <w:rPr>
                <w:rFonts w:eastAsia="Times New Roman"/>
                <w:sz w:val="20"/>
                <w:szCs w:val="20"/>
              </w:rPr>
            </w:pPr>
          </w:p>
        </w:tc>
      </w:tr>
      <w:tr w:rsidR="00000000" w14:paraId="1258806D" w14:textId="77777777">
        <w:tc>
          <w:tcPr>
            <w:tcW w:w="0" w:type="auto"/>
            <w:gridSpan w:val="3"/>
            <w:vAlign w:val="center"/>
            <w:hideMark/>
          </w:tcPr>
          <w:p w14:paraId="02A1FBD5" w14:textId="77777777" w:rsidR="00000000" w:rsidRDefault="0068293C">
            <w:pPr>
              <w:spacing w:after="100"/>
              <w:rPr>
                <w:rFonts w:eastAsia="Times New Roman"/>
                <w:sz w:val="20"/>
                <w:szCs w:val="20"/>
              </w:rPr>
            </w:pPr>
          </w:p>
        </w:tc>
        <w:tc>
          <w:tcPr>
            <w:tcW w:w="0" w:type="auto"/>
            <w:gridSpan w:val="3"/>
            <w:vAlign w:val="center"/>
            <w:hideMark/>
          </w:tcPr>
          <w:p w14:paraId="1B46D8CC" w14:textId="77777777" w:rsidR="00000000" w:rsidRDefault="0068293C">
            <w:pPr>
              <w:spacing w:after="100"/>
              <w:rPr>
                <w:rFonts w:eastAsia="Times New Roman"/>
                <w:sz w:val="20"/>
                <w:szCs w:val="20"/>
              </w:rPr>
            </w:pPr>
          </w:p>
        </w:tc>
        <w:tc>
          <w:tcPr>
            <w:tcW w:w="0" w:type="auto"/>
            <w:gridSpan w:val="3"/>
            <w:vAlign w:val="center"/>
            <w:hideMark/>
          </w:tcPr>
          <w:p w14:paraId="07F7C95B" w14:textId="77777777" w:rsidR="00000000" w:rsidRDefault="0068293C">
            <w:pPr>
              <w:spacing w:after="100"/>
              <w:rPr>
                <w:rFonts w:eastAsia="Times New Roman"/>
                <w:sz w:val="20"/>
                <w:szCs w:val="20"/>
              </w:rPr>
            </w:pPr>
          </w:p>
        </w:tc>
        <w:tc>
          <w:tcPr>
            <w:tcW w:w="0" w:type="auto"/>
            <w:gridSpan w:val="3"/>
            <w:vAlign w:val="center"/>
            <w:hideMark/>
          </w:tcPr>
          <w:p w14:paraId="47F457DD" w14:textId="77777777" w:rsidR="00000000" w:rsidRDefault="0068293C">
            <w:pPr>
              <w:spacing w:after="100"/>
              <w:rPr>
                <w:rFonts w:eastAsia="Times New Roman"/>
                <w:sz w:val="20"/>
                <w:szCs w:val="20"/>
              </w:rPr>
            </w:pPr>
          </w:p>
        </w:tc>
        <w:tc>
          <w:tcPr>
            <w:tcW w:w="0" w:type="auto"/>
            <w:vAlign w:val="center"/>
            <w:hideMark/>
          </w:tcPr>
          <w:p w14:paraId="03DB8EC8" w14:textId="77777777" w:rsidR="00000000" w:rsidRDefault="0068293C">
            <w:pPr>
              <w:spacing w:after="100"/>
              <w:rPr>
                <w:rFonts w:eastAsia="Times New Roman"/>
                <w:sz w:val="20"/>
                <w:szCs w:val="20"/>
              </w:rPr>
            </w:pPr>
          </w:p>
        </w:tc>
        <w:tc>
          <w:tcPr>
            <w:tcW w:w="0" w:type="auto"/>
            <w:vAlign w:val="center"/>
            <w:hideMark/>
          </w:tcPr>
          <w:p w14:paraId="19014BCD" w14:textId="77777777" w:rsidR="00000000" w:rsidRDefault="0068293C">
            <w:pPr>
              <w:spacing w:after="100"/>
              <w:rPr>
                <w:rFonts w:eastAsia="Times New Roman"/>
                <w:sz w:val="20"/>
                <w:szCs w:val="20"/>
              </w:rPr>
            </w:pPr>
          </w:p>
        </w:tc>
        <w:tc>
          <w:tcPr>
            <w:tcW w:w="0" w:type="auto"/>
            <w:gridSpan w:val="3"/>
            <w:vAlign w:val="center"/>
            <w:hideMark/>
          </w:tcPr>
          <w:p w14:paraId="61C5B357" w14:textId="77777777" w:rsidR="00000000" w:rsidRDefault="0068293C">
            <w:pPr>
              <w:spacing w:after="100"/>
              <w:rPr>
                <w:rFonts w:eastAsia="Times New Roman"/>
                <w:sz w:val="20"/>
                <w:szCs w:val="20"/>
              </w:rPr>
            </w:pPr>
          </w:p>
        </w:tc>
        <w:tc>
          <w:tcPr>
            <w:tcW w:w="0" w:type="auto"/>
            <w:gridSpan w:val="3"/>
            <w:vAlign w:val="center"/>
            <w:hideMark/>
          </w:tcPr>
          <w:p w14:paraId="787DEF76" w14:textId="77777777" w:rsidR="00000000" w:rsidRDefault="0068293C">
            <w:pPr>
              <w:spacing w:after="100"/>
              <w:rPr>
                <w:rFonts w:eastAsia="Times New Roman"/>
                <w:sz w:val="20"/>
                <w:szCs w:val="20"/>
              </w:rPr>
            </w:pPr>
          </w:p>
        </w:tc>
      </w:tr>
      <w:tr w:rsidR="00000000" w14:paraId="53C114E9" w14:textId="77777777">
        <w:tc>
          <w:tcPr>
            <w:tcW w:w="0" w:type="auto"/>
            <w:gridSpan w:val="3"/>
            <w:vAlign w:val="center"/>
            <w:hideMark/>
          </w:tcPr>
          <w:p w14:paraId="68438121" w14:textId="77777777" w:rsidR="00000000" w:rsidRDefault="0068293C">
            <w:pPr>
              <w:spacing w:after="100"/>
              <w:rPr>
                <w:rFonts w:eastAsia="Times New Roman"/>
                <w:sz w:val="20"/>
                <w:szCs w:val="20"/>
              </w:rPr>
            </w:pPr>
          </w:p>
        </w:tc>
        <w:tc>
          <w:tcPr>
            <w:tcW w:w="0" w:type="auto"/>
            <w:gridSpan w:val="3"/>
            <w:vAlign w:val="center"/>
            <w:hideMark/>
          </w:tcPr>
          <w:p w14:paraId="00BDBD49" w14:textId="77777777" w:rsidR="00000000" w:rsidRDefault="0068293C">
            <w:pPr>
              <w:spacing w:after="100"/>
              <w:rPr>
                <w:rFonts w:eastAsia="Times New Roman"/>
                <w:sz w:val="20"/>
                <w:szCs w:val="20"/>
              </w:rPr>
            </w:pPr>
          </w:p>
        </w:tc>
        <w:tc>
          <w:tcPr>
            <w:tcW w:w="0" w:type="auto"/>
            <w:gridSpan w:val="3"/>
            <w:vAlign w:val="center"/>
            <w:hideMark/>
          </w:tcPr>
          <w:p w14:paraId="0A135B63" w14:textId="77777777" w:rsidR="00000000" w:rsidRDefault="0068293C">
            <w:pPr>
              <w:spacing w:after="100"/>
              <w:rPr>
                <w:rFonts w:eastAsia="Times New Roman"/>
                <w:sz w:val="20"/>
                <w:szCs w:val="20"/>
              </w:rPr>
            </w:pPr>
          </w:p>
        </w:tc>
        <w:tc>
          <w:tcPr>
            <w:tcW w:w="0" w:type="auto"/>
            <w:gridSpan w:val="3"/>
            <w:vAlign w:val="center"/>
            <w:hideMark/>
          </w:tcPr>
          <w:p w14:paraId="23A58B7B" w14:textId="77777777" w:rsidR="00000000" w:rsidRDefault="0068293C">
            <w:pPr>
              <w:spacing w:after="100"/>
              <w:rPr>
                <w:rFonts w:eastAsia="Times New Roman"/>
                <w:sz w:val="20"/>
                <w:szCs w:val="20"/>
              </w:rPr>
            </w:pPr>
          </w:p>
        </w:tc>
        <w:tc>
          <w:tcPr>
            <w:tcW w:w="0" w:type="auto"/>
            <w:vAlign w:val="center"/>
            <w:hideMark/>
          </w:tcPr>
          <w:p w14:paraId="20E4BA9A" w14:textId="77777777" w:rsidR="00000000" w:rsidRDefault="0068293C">
            <w:pPr>
              <w:spacing w:after="100"/>
              <w:rPr>
                <w:rFonts w:eastAsia="Times New Roman"/>
                <w:sz w:val="20"/>
                <w:szCs w:val="20"/>
              </w:rPr>
            </w:pPr>
          </w:p>
        </w:tc>
        <w:tc>
          <w:tcPr>
            <w:tcW w:w="0" w:type="auto"/>
            <w:vAlign w:val="center"/>
            <w:hideMark/>
          </w:tcPr>
          <w:p w14:paraId="01D757AA" w14:textId="77777777" w:rsidR="00000000" w:rsidRDefault="0068293C">
            <w:pPr>
              <w:spacing w:after="100"/>
              <w:rPr>
                <w:rFonts w:eastAsia="Times New Roman"/>
                <w:sz w:val="20"/>
                <w:szCs w:val="20"/>
              </w:rPr>
            </w:pPr>
          </w:p>
        </w:tc>
        <w:tc>
          <w:tcPr>
            <w:tcW w:w="0" w:type="auto"/>
            <w:gridSpan w:val="3"/>
            <w:vAlign w:val="center"/>
            <w:hideMark/>
          </w:tcPr>
          <w:p w14:paraId="3D4AC8F2" w14:textId="77777777" w:rsidR="00000000" w:rsidRDefault="0068293C">
            <w:pPr>
              <w:spacing w:after="100"/>
              <w:rPr>
                <w:rFonts w:eastAsia="Times New Roman"/>
                <w:sz w:val="20"/>
                <w:szCs w:val="20"/>
              </w:rPr>
            </w:pPr>
          </w:p>
        </w:tc>
        <w:tc>
          <w:tcPr>
            <w:tcW w:w="0" w:type="auto"/>
            <w:gridSpan w:val="3"/>
            <w:vAlign w:val="center"/>
            <w:hideMark/>
          </w:tcPr>
          <w:p w14:paraId="790BC63D" w14:textId="77777777" w:rsidR="00000000" w:rsidRDefault="0068293C">
            <w:pPr>
              <w:spacing w:after="100"/>
              <w:rPr>
                <w:rFonts w:eastAsia="Times New Roman"/>
                <w:sz w:val="20"/>
                <w:szCs w:val="20"/>
              </w:rPr>
            </w:pPr>
          </w:p>
        </w:tc>
      </w:tr>
      <w:tr w:rsidR="00000000" w14:paraId="56989FAF" w14:textId="77777777">
        <w:tc>
          <w:tcPr>
            <w:tcW w:w="0" w:type="auto"/>
            <w:gridSpan w:val="3"/>
            <w:vAlign w:val="center"/>
            <w:hideMark/>
          </w:tcPr>
          <w:p w14:paraId="314C0723" w14:textId="77777777" w:rsidR="00000000" w:rsidRDefault="0068293C">
            <w:pPr>
              <w:spacing w:after="100"/>
              <w:rPr>
                <w:rFonts w:eastAsia="Times New Roman"/>
                <w:sz w:val="20"/>
                <w:szCs w:val="20"/>
              </w:rPr>
            </w:pPr>
          </w:p>
        </w:tc>
        <w:tc>
          <w:tcPr>
            <w:tcW w:w="0" w:type="auto"/>
            <w:gridSpan w:val="3"/>
            <w:vAlign w:val="center"/>
            <w:hideMark/>
          </w:tcPr>
          <w:p w14:paraId="4CBA910C" w14:textId="77777777" w:rsidR="00000000" w:rsidRDefault="0068293C">
            <w:pPr>
              <w:spacing w:after="100"/>
              <w:rPr>
                <w:rFonts w:eastAsia="Times New Roman"/>
                <w:sz w:val="20"/>
                <w:szCs w:val="20"/>
              </w:rPr>
            </w:pPr>
          </w:p>
        </w:tc>
        <w:tc>
          <w:tcPr>
            <w:tcW w:w="0" w:type="auto"/>
            <w:gridSpan w:val="3"/>
            <w:vAlign w:val="center"/>
            <w:hideMark/>
          </w:tcPr>
          <w:p w14:paraId="2C5B5034" w14:textId="77777777" w:rsidR="00000000" w:rsidRDefault="0068293C">
            <w:pPr>
              <w:spacing w:after="100"/>
              <w:rPr>
                <w:rFonts w:eastAsia="Times New Roman"/>
                <w:sz w:val="20"/>
                <w:szCs w:val="20"/>
              </w:rPr>
            </w:pPr>
          </w:p>
        </w:tc>
        <w:tc>
          <w:tcPr>
            <w:tcW w:w="0" w:type="auto"/>
            <w:gridSpan w:val="3"/>
            <w:vAlign w:val="center"/>
            <w:hideMark/>
          </w:tcPr>
          <w:p w14:paraId="4620A25F" w14:textId="77777777" w:rsidR="00000000" w:rsidRDefault="0068293C">
            <w:pPr>
              <w:spacing w:after="100"/>
              <w:rPr>
                <w:rFonts w:eastAsia="Times New Roman"/>
                <w:sz w:val="20"/>
                <w:szCs w:val="20"/>
              </w:rPr>
            </w:pPr>
          </w:p>
        </w:tc>
        <w:tc>
          <w:tcPr>
            <w:tcW w:w="0" w:type="auto"/>
            <w:vAlign w:val="center"/>
            <w:hideMark/>
          </w:tcPr>
          <w:p w14:paraId="6D01FB4A" w14:textId="77777777" w:rsidR="00000000" w:rsidRDefault="0068293C">
            <w:pPr>
              <w:spacing w:after="100"/>
              <w:rPr>
                <w:rFonts w:eastAsia="Times New Roman"/>
                <w:sz w:val="20"/>
                <w:szCs w:val="20"/>
              </w:rPr>
            </w:pPr>
          </w:p>
        </w:tc>
        <w:tc>
          <w:tcPr>
            <w:tcW w:w="0" w:type="auto"/>
            <w:vAlign w:val="center"/>
            <w:hideMark/>
          </w:tcPr>
          <w:p w14:paraId="00122B7D" w14:textId="77777777" w:rsidR="00000000" w:rsidRDefault="0068293C">
            <w:pPr>
              <w:spacing w:after="100"/>
              <w:rPr>
                <w:rFonts w:eastAsia="Times New Roman"/>
                <w:sz w:val="20"/>
                <w:szCs w:val="20"/>
              </w:rPr>
            </w:pPr>
          </w:p>
        </w:tc>
        <w:tc>
          <w:tcPr>
            <w:tcW w:w="0" w:type="auto"/>
            <w:gridSpan w:val="3"/>
            <w:vAlign w:val="center"/>
            <w:hideMark/>
          </w:tcPr>
          <w:p w14:paraId="541B1993" w14:textId="77777777" w:rsidR="00000000" w:rsidRDefault="0068293C">
            <w:pPr>
              <w:spacing w:after="100"/>
              <w:rPr>
                <w:rFonts w:eastAsia="Times New Roman"/>
                <w:sz w:val="20"/>
                <w:szCs w:val="20"/>
              </w:rPr>
            </w:pPr>
          </w:p>
        </w:tc>
        <w:tc>
          <w:tcPr>
            <w:tcW w:w="0" w:type="auto"/>
            <w:gridSpan w:val="3"/>
            <w:vAlign w:val="center"/>
            <w:hideMark/>
          </w:tcPr>
          <w:p w14:paraId="2EB0FAF7" w14:textId="77777777" w:rsidR="00000000" w:rsidRDefault="0068293C">
            <w:pPr>
              <w:spacing w:after="100"/>
              <w:rPr>
                <w:rFonts w:eastAsia="Times New Roman"/>
                <w:sz w:val="20"/>
                <w:szCs w:val="20"/>
              </w:rPr>
            </w:pPr>
          </w:p>
        </w:tc>
      </w:tr>
      <w:tr w:rsidR="00000000" w14:paraId="25A29231" w14:textId="77777777">
        <w:tc>
          <w:tcPr>
            <w:tcW w:w="0" w:type="auto"/>
            <w:gridSpan w:val="3"/>
            <w:shd w:val="clear" w:color="auto" w:fill="CCEEFF"/>
            <w:tcMar>
              <w:top w:w="30" w:type="dxa"/>
              <w:left w:w="20" w:type="dxa"/>
              <w:bottom w:w="30" w:type="dxa"/>
              <w:right w:w="20" w:type="dxa"/>
            </w:tcMar>
            <w:vAlign w:val="bottom"/>
            <w:hideMark/>
          </w:tcPr>
          <w:p w14:paraId="3832E121" w14:textId="77777777" w:rsidR="00000000" w:rsidRDefault="0068293C">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12F37FB0" w14:textId="77777777" w:rsidR="00000000" w:rsidRDefault="0068293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764E7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D08A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324F01" w14:textId="77777777" w:rsidR="00000000" w:rsidRDefault="0068293C">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510DACC2" w14:textId="77777777" w:rsidR="00000000" w:rsidRDefault="0068293C">
            <w:pPr>
              <w:spacing w:after="100"/>
              <w:jc w:val="right"/>
              <w:rPr>
                <w:rFonts w:eastAsia="Times New Roman"/>
              </w:rPr>
            </w:pPr>
          </w:p>
        </w:tc>
        <w:tc>
          <w:tcPr>
            <w:tcW w:w="0" w:type="auto"/>
            <w:vAlign w:val="center"/>
            <w:hideMark/>
          </w:tcPr>
          <w:p w14:paraId="14A96EB0" w14:textId="77777777" w:rsidR="00000000" w:rsidRDefault="0068293C">
            <w:pPr>
              <w:spacing w:after="100"/>
              <w:jc w:val="right"/>
              <w:rPr>
                <w:rFonts w:eastAsia="Times New Roman"/>
                <w:sz w:val="20"/>
                <w:szCs w:val="20"/>
              </w:rPr>
            </w:pPr>
          </w:p>
        </w:tc>
        <w:tc>
          <w:tcPr>
            <w:tcW w:w="0" w:type="auto"/>
            <w:vAlign w:val="center"/>
            <w:hideMark/>
          </w:tcPr>
          <w:p w14:paraId="4308121B" w14:textId="77777777" w:rsidR="00000000" w:rsidRDefault="0068293C">
            <w:pPr>
              <w:spacing w:after="100"/>
              <w:rPr>
                <w:rFonts w:eastAsia="Times New Roman"/>
                <w:sz w:val="20"/>
                <w:szCs w:val="20"/>
              </w:rPr>
            </w:pPr>
          </w:p>
        </w:tc>
        <w:tc>
          <w:tcPr>
            <w:tcW w:w="0" w:type="auto"/>
            <w:gridSpan w:val="3"/>
            <w:vAlign w:val="center"/>
            <w:hideMark/>
          </w:tcPr>
          <w:p w14:paraId="27AB6A2E" w14:textId="77777777" w:rsidR="00000000" w:rsidRDefault="0068293C">
            <w:pPr>
              <w:spacing w:after="100"/>
              <w:rPr>
                <w:rFonts w:eastAsia="Times New Roman"/>
                <w:sz w:val="20"/>
                <w:szCs w:val="20"/>
              </w:rPr>
            </w:pPr>
          </w:p>
        </w:tc>
        <w:tc>
          <w:tcPr>
            <w:tcW w:w="0" w:type="auto"/>
            <w:gridSpan w:val="3"/>
            <w:vAlign w:val="center"/>
            <w:hideMark/>
          </w:tcPr>
          <w:p w14:paraId="76152E6A" w14:textId="77777777" w:rsidR="00000000" w:rsidRDefault="0068293C">
            <w:pPr>
              <w:spacing w:after="100"/>
              <w:rPr>
                <w:rFonts w:eastAsia="Times New Roman"/>
                <w:sz w:val="20"/>
                <w:szCs w:val="20"/>
              </w:rPr>
            </w:pPr>
          </w:p>
        </w:tc>
      </w:tr>
      <w:tr w:rsidR="00000000" w14:paraId="4CACF262" w14:textId="77777777">
        <w:tc>
          <w:tcPr>
            <w:tcW w:w="0" w:type="auto"/>
            <w:gridSpan w:val="3"/>
            <w:shd w:val="clear" w:color="auto" w:fill="FFFFFF"/>
            <w:tcMar>
              <w:top w:w="30" w:type="dxa"/>
              <w:left w:w="20" w:type="dxa"/>
              <w:bottom w:w="30" w:type="dxa"/>
              <w:right w:w="20" w:type="dxa"/>
            </w:tcMar>
            <w:vAlign w:val="bottom"/>
            <w:hideMark/>
          </w:tcPr>
          <w:p w14:paraId="68CF3B0A" w14:textId="77777777" w:rsidR="00000000" w:rsidRDefault="0068293C">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7118D548"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60BB258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B044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FF2083" w14:textId="77777777" w:rsidR="00000000" w:rsidRDefault="0068293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6D8EEE78" w14:textId="77777777" w:rsidR="00000000" w:rsidRDefault="0068293C">
            <w:pPr>
              <w:spacing w:after="100"/>
              <w:jc w:val="right"/>
              <w:rPr>
                <w:rFonts w:eastAsia="Times New Roman"/>
              </w:rPr>
            </w:pPr>
          </w:p>
        </w:tc>
        <w:tc>
          <w:tcPr>
            <w:tcW w:w="0" w:type="auto"/>
            <w:vAlign w:val="center"/>
            <w:hideMark/>
          </w:tcPr>
          <w:p w14:paraId="1F5F6A3B" w14:textId="77777777" w:rsidR="00000000" w:rsidRDefault="0068293C">
            <w:pPr>
              <w:spacing w:after="100"/>
              <w:jc w:val="right"/>
              <w:rPr>
                <w:rFonts w:eastAsia="Times New Roman"/>
                <w:sz w:val="20"/>
                <w:szCs w:val="20"/>
              </w:rPr>
            </w:pPr>
          </w:p>
        </w:tc>
        <w:tc>
          <w:tcPr>
            <w:tcW w:w="0" w:type="auto"/>
            <w:vAlign w:val="center"/>
            <w:hideMark/>
          </w:tcPr>
          <w:p w14:paraId="2A7B1DFF" w14:textId="77777777" w:rsidR="00000000" w:rsidRDefault="0068293C">
            <w:pPr>
              <w:spacing w:after="100"/>
              <w:rPr>
                <w:rFonts w:eastAsia="Times New Roman"/>
                <w:sz w:val="20"/>
                <w:szCs w:val="20"/>
              </w:rPr>
            </w:pPr>
          </w:p>
        </w:tc>
        <w:tc>
          <w:tcPr>
            <w:tcW w:w="0" w:type="auto"/>
            <w:gridSpan w:val="3"/>
            <w:vAlign w:val="center"/>
            <w:hideMark/>
          </w:tcPr>
          <w:p w14:paraId="503A7AD4" w14:textId="77777777" w:rsidR="00000000" w:rsidRDefault="0068293C">
            <w:pPr>
              <w:spacing w:after="100"/>
              <w:rPr>
                <w:rFonts w:eastAsia="Times New Roman"/>
                <w:sz w:val="20"/>
                <w:szCs w:val="20"/>
              </w:rPr>
            </w:pPr>
          </w:p>
        </w:tc>
        <w:tc>
          <w:tcPr>
            <w:tcW w:w="0" w:type="auto"/>
            <w:gridSpan w:val="3"/>
            <w:vAlign w:val="center"/>
            <w:hideMark/>
          </w:tcPr>
          <w:p w14:paraId="6E8703E2" w14:textId="77777777" w:rsidR="00000000" w:rsidRDefault="0068293C">
            <w:pPr>
              <w:spacing w:after="100"/>
              <w:rPr>
                <w:rFonts w:eastAsia="Times New Roman"/>
                <w:sz w:val="20"/>
                <w:szCs w:val="20"/>
              </w:rPr>
            </w:pPr>
          </w:p>
        </w:tc>
      </w:tr>
      <w:tr w:rsidR="00000000" w14:paraId="6B7D5B94" w14:textId="77777777">
        <w:tc>
          <w:tcPr>
            <w:tcW w:w="0" w:type="auto"/>
            <w:gridSpan w:val="3"/>
            <w:shd w:val="clear" w:color="auto" w:fill="CCEEFF"/>
            <w:tcMar>
              <w:top w:w="30" w:type="dxa"/>
              <w:left w:w="20" w:type="dxa"/>
              <w:bottom w:w="30" w:type="dxa"/>
              <w:right w:w="20" w:type="dxa"/>
            </w:tcMar>
            <w:hideMark/>
          </w:tcPr>
          <w:p w14:paraId="21DB680E" w14:textId="77777777" w:rsidR="00000000" w:rsidRDefault="0068293C">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2"/>
            <w:shd w:val="clear" w:color="auto" w:fill="CCEEFF"/>
            <w:tcMar>
              <w:top w:w="30" w:type="dxa"/>
              <w:left w:w="20" w:type="dxa"/>
              <w:bottom w:w="30" w:type="dxa"/>
              <w:right w:w="0" w:type="dxa"/>
            </w:tcMar>
            <w:vAlign w:val="bottom"/>
            <w:hideMark/>
          </w:tcPr>
          <w:p w14:paraId="79339B61" w14:textId="77777777" w:rsidR="00000000" w:rsidRDefault="0068293C">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DCBE3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A260F"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304BC" w14:textId="77777777" w:rsidR="00000000" w:rsidRDefault="0068293C">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77A980BA" w14:textId="77777777" w:rsidR="00000000" w:rsidRDefault="0068293C">
            <w:pPr>
              <w:spacing w:after="100"/>
              <w:jc w:val="right"/>
              <w:rPr>
                <w:rFonts w:eastAsia="Times New Roman"/>
              </w:rPr>
            </w:pPr>
          </w:p>
        </w:tc>
        <w:tc>
          <w:tcPr>
            <w:tcW w:w="0" w:type="auto"/>
            <w:vAlign w:val="center"/>
            <w:hideMark/>
          </w:tcPr>
          <w:p w14:paraId="3CBC5702" w14:textId="77777777" w:rsidR="00000000" w:rsidRDefault="0068293C">
            <w:pPr>
              <w:spacing w:after="100"/>
              <w:jc w:val="right"/>
              <w:rPr>
                <w:rFonts w:eastAsia="Times New Roman"/>
                <w:sz w:val="20"/>
                <w:szCs w:val="20"/>
              </w:rPr>
            </w:pPr>
          </w:p>
        </w:tc>
        <w:tc>
          <w:tcPr>
            <w:tcW w:w="0" w:type="auto"/>
            <w:vAlign w:val="center"/>
            <w:hideMark/>
          </w:tcPr>
          <w:p w14:paraId="2062AFE2" w14:textId="77777777" w:rsidR="00000000" w:rsidRDefault="0068293C">
            <w:pPr>
              <w:spacing w:after="100"/>
              <w:rPr>
                <w:rFonts w:eastAsia="Times New Roman"/>
                <w:sz w:val="20"/>
                <w:szCs w:val="20"/>
              </w:rPr>
            </w:pPr>
          </w:p>
        </w:tc>
        <w:tc>
          <w:tcPr>
            <w:tcW w:w="0" w:type="auto"/>
            <w:gridSpan w:val="3"/>
            <w:vAlign w:val="center"/>
            <w:hideMark/>
          </w:tcPr>
          <w:p w14:paraId="050247DF" w14:textId="77777777" w:rsidR="00000000" w:rsidRDefault="0068293C">
            <w:pPr>
              <w:spacing w:after="100"/>
              <w:rPr>
                <w:rFonts w:eastAsia="Times New Roman"/>
                <w:sz w:val="20"/>
                <w:szCs w:val="20"/>
              </w:rPr>
            </w:pPr>
          </w:p>
        </w:tc>
        <w:tc>
          <w:tcPr>
            <w:tcW w:w="0" w:type="auto"/>
            <w:gridSpan w:val="3"/>
            <w:vAlign w:val="center"/>
            <w:hideMark/>
          </w:tcPr>
          <w:p w14:paraId="438BF686" w14:textId="77777777" w:rsidR="00000000" w:rsidRDefault="0068293C">
            <w:pPr>
              <w:spacing w:after="100"/>
              <w:rPr>
                <w:rFonts w:eastAsia="Times New Roman"/>
                <w:sz w:val="20"/>
                <w:szCs w:val="20"/>
              </w:rPr>
            </w:pPr>
          </w:p>
        </w:tc>
      </w:tr>
      <w:tr w:rsidR="00000000" w14:paraId="5AABC63D" w14:textId="77777777">
        <w:tc>
          <w:tcPr>
            <w:tcW w:w="0" w:type="auto"/>
            <w:gridSpan w:val="3"/>
            <w:shd w:val="clear" w:color="auto" w:fill="FFFFFF"/>
            <w:tcMar>
              <w:top w:w="30" w:type="dxa"/>
              <w:left w:w="20" w:type="dxa"/>
              <w:bottom w:w="30" w:type="dxa"/>
              <w:right w:w="20" w:type="dxa"/>
            </w:tcMar>
            <w:hideMark/>
          </w:tcPr>
          <w:p w14:paraId="432F21FE" w14:textId="77777777" w:rsidR="00000000" w:rsidRDefault="0068293C">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0237F667"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F47AD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8CD5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A678A" w14:textId="77777777" w:rsidR="00000000" w:rsidRDefault="0068293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63B2BFF2" w14:textId="77777777" w:rsidR="00000000" w:rsidRDefault="0068293C">
            <w:pPr>
              <w:spacing w:after="100"/>
              <w:jc w:val="right"/>
              <w:rPr>
                <w:rFonts w:eastAsia="Times New Roman"/>
              </w:rPr>
            </w:pPr>
          </w:p>
        </w:tc>
        <w:tc>
          <w:tcPr>
            <w:tcW w:w="0" w:type="auto"/>
            <w:vAlign w:val="center"/>
            <w:hideMark/>
          </w:tcPr>
          <w:p w14:paraId="5B7A8433" w14:textId="77777777" w:rsidR="00000000" w:rsidRDefault="0068293C">
            <w:pPr>
              <w:spacing w:after="100"/>
              <w:jc w:val="right"/>
              <w:rPr>
                <w:rFonts w:eastAsia="Times New Roman"/>
                <w:sz w:val="20"/>
                <w:szCs w:val="20"/>
              </w:rPr>
            </w:pPr>
          </w:p>
        </w:tc>
        <w:tc>
          <w:tcPr>
            <w:tcW w:w="0" w:type="auto"/>
            <w:vAlign w:val="center"/>
            <w:hideMark/>
          </w:tcPr>
          <w:p w14:paraId="062E77D7" w14:textId="77777777" w:rsidR="00000000" w:rsidRDefault="0068293C">
            <w:pPr>
              <w:spacing w:after="100"/>
              <w:rPr>
                <w:rFonts w:eastAsia="Times New Roman"/>
                <w:sz w:val="20"/>
                <w:szCs w:val="20"/>
              </w:rPr>
            </w:pPr>
          </w:p>
        </w:tc>
        <w:tc>
          <w:tcPr>
            <w:tcW w:w="0" w:type="auto"/>
            <w:gridSpan w:val="3"/>
            <w:vAlign w:val="center"/>
            <w:hideMark/>
          </w:tcPr>
          <w:p w14:paraId="3FB82861" w14:textId="77777777" w:rsidR="00000000" w:rsidRDefault="0068293C">
            <w:pPr>
              <w:spacing w:after="100"/>
              <w:rPr>
                <w:rFonts w:eastAsia="Times New Roman"/>
                <w:sz w:val="20"/>
                <w:szCs w:val="20"/>
              </w:rPr>
            </w:pPr>
          </w:p>
        </w:tc>
        <w:tc>
          <w:tcPr>
            <w:tcW w:w="0" w:type="auto"/>
            <w:gridSpan w:val="3"/>
            <w:vAlign w:val="center"/>
            <w:hideMark/>
          </w:tcPr>
          <w:p w14:paraId="16F1F0B3" w14:textId="77777777" w:rsidR="00000000" w:rsidRDefault="0068293C">
            <w:pPr>
              <w:spacing w:after="100"/>
              <w:rPr>
                <w:rFonts w:eastAsia="Times New Roman"/>
                <w:sz w:val="20"/>
                <w:szCs w:val="20"/>
              </w:rPr>
            </w:pPr>
          </w:p>
        </w:tc>
      </w:tr>
      <w:tr w:rsidR="00000000" w14:paraId="2B6355D4" w14:textId="77777777">
        <w:tc>
          <w:tcPr>
            <w:tcW w:w="0" w:type="auto"/>
            <w:gridSpan w:val="3"/>
            <w:shd w:val="clear" w:color="auto" w:fill="CCEEFF"/>
            <w:tcMar>
              <w:top w:w="30" w:type="dxa"/>
              <w:left w:w="20" w:type="dxa"/>
              <w:bottom w:w="30" w:type="dxa"/>
              <w:right w:w="20" w:type="dxa"/>
            </w:tcMar>
            <w:hideMark/>
          </w:tcPr>
          <w:p w14:paraId="0AE0E961" w14:textId="77777777" w:rsidR="00000000" w:rsidRDefault="0068293C">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7165F232" w14:textId="77777777" w:rsidR="00000000" w:rsidRDefault="0068293C">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095EB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2E0A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1489A" w14:textId="77777777" w:rsidR="00000000" w:rsidRDefault="0068293C">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7B7AFEEE" w14:textId="77777777" w:rsidR="00000000" w:rsidRDefault="0068293C">
            <w:pPr>
              <w:spacing w:after="100"/>
              <w:jc w:val="right"/>
              <w:rPr>
                <w:rFonts w:eastAsia="Times New Roman"/>
              </w:rPr>
            </w:pPr>
          </w:p>
        </w:tc>
        <w:tc>
          <w:tcPr>
            <w:tcW w:w="0" w:type="auto"/>
            <w:vAlign w:val="center"/>
            <w:hideMark/>
          </w:tcPr>
          <w:p w14:paraId="3892D923" w14:textId="77777777" w:rsidR="00000000" w:rsidRDefault="0068293C">
            <w:pPr>
              <w:spacing w:after="100"/>
              <w:jc w:val="right"/>
              <w:rPr>
                <w:rFonts w:eastAsia="Times New Roman"/>
                <w:sz w:val="20"/>
                <w:szCs w:val="20"/>
              </w:rPr>
            </w:pPr>
          </w:p>
        </w:tc>
        <w:tc>
          <w:tcPr>
            <w:tcW w:w="0" w:type="auto"/>
            <w:vAlign w:val="center"/>
            <w:hideMark/>
          </w:tcPr>
          <w:p w14:paraId="74A0E41C" w14:textId="77777777" w:rsidR="00000000" w:rsidRDefault="0068293C">
            <w:pPr>
              <w:spacing w:after="100"/>
              <w:rPr>
                <w:rFonts w:eastAsia="Times New Roman"/>
                <w:sz w:val="20"/>
                <w:szCs w:val="20"/>
              </w:rPr>
            </w:pPr>
          </w:p>
        </w:tc>
        <w:tc>
          <w:tcPr>
            <w:tcW w:w="0" w:type="auto"/>
            <w:gridSpan w:val="3"/>
            <w:vAlign w:val="center"/>
            <w:hideMark/>
          </w:tcPr>
          <w:p w14:paraId="5B5C028D" w14:textId="77777777" w:rsidR="00000000" w:rsidRDefault="0068293C">
            <w:pPr>
              <w:spacing w:after="100"/>
              <w:rPr>
                <w:rFonts w:eastAsia="Times New Roman"/>
                <w:sz w:val="20"/>
                <w:szCs w:val="20"/>
              </w:rPr>
            </w:pPr>
          </w:p>
        </w:tc>
        <w:tc>
          <w:tcPr>
            <w:tcW w:w="0" w:type="auto"/>
            <w:gridSpan w:val="3"/>
            <w:vAlign w:val="center"/>
            <w:hideMark/>
          </w:tcPr>
          <w:p w14:paraId="73DAC924" w14:textId="77777777" w:rsidR="00000000" w:rsidRDefault="0068293C">
            <w:pPr>
              <w:spacing w:after="100"/>
              <w:rPr>
                <w:rFonts w:eastAsia="Times New Roman"/>
                <w:sz w:val="20"/>
                <w:szCs w:val="20"/>
              </w:rPr>
            </w:pPr>
          </w:p>
        </w:tc>
      </w:tr>
      <w:tr w:rsidR="00000000" w14:paraId="4B46C228" w14:textId="77777777">
        <w:tc>
          <w:tcPr>
            <w:tcW w:w="0" w:type="auto"/>
            <w:gridSpan w:val="3"/>
            <w:shd w:val="clear" w:color="auto" w:fill="FFFFFF"/>
            <w:tcMar>
              <w:top w:w="30" w:type="dxa"/>
              <w:left w:w="20" w:type="dxa"/>
              <w:bottom w:w="30" w:type="dxa"/>
              <w:right w:w="20" w:type="dxa"/>
            </w:tcMar>
            <w:hideMark/>
          </w:tcPr>
          <w:p w14:paraId="1CE06149" w14:textId="77777777" w:rsidR="00000000" w:rsidRDefault="0068293C">
            <w:pPr>
              <w:spacing w:after="100"/>
              <w:rPr>
                <w:rFonts w:eastAsia="Times New Roman"/>
              </w:rPr>
            </w:pPr>
            <w:r>
              <w:rPr>
                <w:rFonts w:eastAsia="Times New Roman"/>
                <w:color w:val="000000"/>
                <w:sz w:val="20"/>
                <w:szCs w:val="20"/>
              </w:rPr>
              <w:t>Russia</w:t>
            </w:r>
          </w:p>
        </w:tc>
        <w:tc>
          <w:tcPr>
            <w:tcW w:w="0" w:type="auto"/>
            <w:gridSpan w:val="2"/>
            <w:shd w:val="clear" w:color="auto" w:fill="FFFFFF"/>
            <w:tcMar>
              <w:top w:w="30" w:type="dxa"/>
              <w:left w:w="20" w:type="dxa"/>
              <w:bottom w:w="30" w:type="dxa"/>
              <w:right w:w="0" w:type="dxa"/>
            </w:tcMar>
            <w:vAlign w:val="bottom"/>
            <w:hideMark/>
          </w:tcPr>
          <w:p w14:paraId="6700FAFE" w14:textId="77777777" w:rsidR="00000000" w:rsidRDefault="0068293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A9DB6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4002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968EF0"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F684ED" w14:textId="77777777" w:rsidR="00000000" w:rsidRDefault="0068293C">
            <w:pPr>
              <w:spacing w:after="100"/>
              <w:jc w:val="right"/>
              <w:rPr>
                <w:rFonts w:eastAsia="Times New Roman"/>
              </w:rPr>
            </w:pPr>
          </w:p>
        </w:tc>
        <w:tc>
          <w:tcPr>
            <w:tcW w:w="0" w:type="auto"/>
            <w:vAlign w:val="center"/>
            <w:hideMark/>
          </w:tcPr>
          <w:p w14:paraId="2D56359E" w14:textId="77777777" w:rsidR="00000000" w:rsidRDefault="0068293C">
            <w:pPr>
              <w:spacing w:after="100"/>
              <w:jc w:val="right"/>
              <w:rPr>
                <w:rFonts w:eastAsia="Times New Roman"/>
                <w:sz w:val="20"/>
                <w:szCs w:val="20"/>
              </w:rPr>
            </w:pPr>
          </w:p>
        </w:tc>
        <w:tc>
          <w:tcPr>
            <w:tcW w:w="0" w:type="auto"/>
            <w:vAlign w:val="center"/>
            <w:hideMark/>
          </w:tcPr>
          <w:p w14:paraId="5F53A6BE" w14:textId="77777777" w:rsidR="00000000" w:rsidRDefault="0068293C">
            <w:pPr>
              <w:spacing w:after="100"/>
              <w:rPr>
                <w:rFonts w:eastAsia="Times New Roman"/>
                <w:sz w:val="20"/>
                <w:szCs w:val="20"/>
              </w:rPr>
            </w:pPr>
          </w:p>
        </w:tc>
        <w:tc>
          <w:tcPr>
            <w:tcW w:w="0" w:type="auto"/>
            <w:gridSpan w:val="3"/>
            <w:vAlign w:val="center"/>
            <w:hideMark/>
          </w:tcPr>
          <w:p w14:paraId="2730B7A4" w14:textId="77777777" w:rsidR="00000000" w:rsidRDefault="0068293C">
            <w:pPr>
              <w:spacing w:after="100"/>
              <w:rPr>
                <w:rFonts w:eastAsia="Times New Roman"/>
                <w:sz w:val="20"/>
                <w:szCs w:val="20"/>
              </w:rPr>
            </w:pPr>
          </w:p>
        </w:tc>
        <w:tc>
          <w:tcPr>
            <w:tcW w:w="0" w:type="auto"/>
            <w:gridSpan w:val="3"/>
            <w:vAlign w:val="center"/>
            <w:hideMark/>
          </w:tcPr>
          <w:p w14:paraId="1301E8A5" w14:textId="77777777" w:rsidR="00000000" w:rsidRDefault="0068293C">
            <w:pPr>
              <w:spacing w:after="100"/>
              <w:rPr>
                <w:rFonts w:eastAsia="Times New Roman"/>
                <w:sz w:val="20"/>
                <w:szCs w:val="20"/>
              </w:rPr>
            </w:pPr>
          </w:p>
        </w:tc>
      </w:tr>
      <w:tr w:rsidR="00000000" w14:paraId="6ABA3756" w14:textId="77777777">
        <w:tc>
          <w:tcPr>
            <w:tcW w:w="0" w:type="auto"/>
            <w:gridSpan w:val="3"/>
            <w:shd w:val="clear" w:color="auto" w:fill="CCEEFF"/>
            <w:tcMar>
              <w:top w:w="30" w:type="dxa"/>
              <w:left w:w="20" w:type="dxa"/>
              <w:bottom w:w="30" w:type="dxa"/>
              <w:right w:w="20" w:type="dxa"/>
            </w:tcMar>
            <w:hideMark/>
          </w:tcPr>
          <w:p w14:paraId="7493458E" w14:textId="77777777" w:rsidR="00000000" w:rsidRDefault="0068293C">
            <w:pPr>
              <w:spacing w:after="100"/>
              <w:rPr>
                <w:rFonts w:eastAsia="Times New Roman"/>
              </w:rPr>
            </w:pPr>
            <w:r>
              <w:rPr>
                <w:rFonts w:eastAsia="Times New Roman"/>
                <w:b/>
                <w:bCs/>
                <w:color w:val="000000"/>
                <w:sz w:val="20"/>
                <w:szCs w:val="20"/>
              </w:rPr>
              <w:t>Adjusted EBITDA (non-GAAP)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E04E4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28A13C" w14:textId="77777777" w:rsidR="00000000" w:rsidRDefault="0068293C">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BE5CA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5550C"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CC9A28"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42C07C" w14:textId="77777777" w:rsidR="00000000" w:rsidRDefault="0068293C">
            <w:pPr>
              <w:spacing w:after="100"/>
              <w:jc w:val="right"/>
              <w:rPr>
                <w:rFonts w:eastAsia="Times New Roman"/>
              </w:rPr>
            </w:pPr>
            <w:r>
              <w:rPr>
                <w:rFonts w:eastAsia="Times New Roman"/>
                <w:color w:val="000000"/>
                <w:sz w:val="20"/>
                <w:szCs w:val="20"/>
              </w:rPr>
              <w:t>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DF0141" w14:textId="77777777" w:rsidR="00000000" w:rsidRDefault="0068293C">
            <w:pPr>
              <w:spacing w:after="100"/>
              <w:jc w:val="right"/>
              <w:rPr>
                <w:rFonts w:eastAsia="Times New Roman"/>
              </w:rPr>
            </w:pPr>
          </w:p>
        </w:tc>
        <w:tc>
          <w:tcPr>
            <w:tcW w:w="0" w:type="auto"/>
            <w:vAlign w:val="center"/>
            <w:hideMark/>
          </w:tcPr>
          <w:p w14:paraId="653FFAE5" w14:textId="77777777" w:rsidR="00000000" w:rsidRDefault="0068293C">
            <w:pPr>
              <w:spacing w:after="100"/>
              <w:jc w:val="right"/>
              <w:rPr>
                <w:rFonts w:eastAsia="Times New Roman"/>
                <w:sz w:val="20"/>
                <w:szCs w:val="20"/>
              </w:rPr>
            </w:pPr>
          </w:p>
        </w:tc>
        <w:tc>
          <w:tcPr>
            <w:tcW w:w="0" w:type="auto"/>
            <w:vAlign w:val="center"/>
            <w:hideMark/>
          </w:tcPr>
          <w:p w14:paraId="62890CC3" w14:textId="77777777" w:rsidR="00000000" w:rsidRDefault="0068293C">
            <w:pPr>
              <w:spacing w:after="100"/>
              <w:rPr>
                <w:rFonts w:eastAsia="Times New Roman"/>
                <w:sz w:val="20"/>
                <w:szCs w:val="20"/>
              </w:rPr>
            </w:pPr>
          </w:p>
        </w:tc>
        <w:tc>
          <w:tcPr>
            <w:tcW w:w="0" w:type="auto"/>
            <w:gridSpan w:val="3"/>
            <w:vAlign w:val="center"/>
            <w:hideMark/>
          </w:tcPr>
          <w:p w14:paraId="3EBB926C" w14:textId="77777777" w:rsidR="00000000" w:rsidRDefault="0068293C">
            <w:pPr>
              <w:spacing w:after="100"/>
              <w:rPr>
                <w:rFonts w:eastAsia="Times New Roman"/>
                <w:sz w:val="20"/>
                <w:szCs w:val="20"/>
              </w:rPr>
            </w:pPr>
          </w:p>
        </w:tc>
        <w:tc>
          <w:tcPr>
            <w:tcW w:w="0" w:type="auto"/>
            <w:gridSpan w:val="3"/>
            <w:vAlign w:val="center"/>
            <w:hideMark/>
          </w:tcPr>
          <w:p w14:paraId="3CECFD32" w14:textId="77777777" w:rsidR="00000000" w:rsidRDefault="0068293C">
            <w:pPr>
              <w:spacing w:after="100"/>
              <w:rPr>
                <w:rFonts w:eastAsia="Times New Roman"/>
                <w:sz w:val="20"/>
                <w:szCs w:val="20"/>
              </w:rPr>
            </w:pPr>
          </w:p>
        </w:tc>
      </w:tr>
    </w:tbl>
    <w:p w14:paraId="04E9C5B9" w14:textId="77777777" w:rsidR="00000000" w:rsidRDefault="0068293C">
      <w:pPr>
        <w:jc w:val="both"/>
        <w:rPr>
          <w:rFonts w:eastAsia="Times New Roman"/>
        </w:rPr>
      </w:pPr>
    </w:p>
    <w:p w14:paraId="1752F7C4" w14:textId="77777777" w:rsidR="00000000" w:rsidRDefault="0068293C">
      <w:pPr>
        <w:jc w:val="both"/>
        <w:rPr>
          <w:rFonts w:eastAsia="Times New Roman"/>
        </w:rPr>
      </w:pPr>
    </w:p>
    <w:p w14:paraId="64F7DE76" w14:textId="77777777" w:rsidR="00000000" w:rsidRDefault="0068293C">
      <w:pPr>
        <w:divId w:val="692847945"/>
        <w:rPr>
          <w:rFonts w:eastAsia="Times New Roman"/>
        </w:rPr>
      </w:pPr>
      <w:r>
        <w:rPr>
          <w:rFonts w:eastAsia="Times New Roman"/>
          <w:b/>
          <w:bCs/>
          <w:color w:val="000000"/>
          <w:sz w:val="20"/>
          <w:szCs w:val="20"/>
        </w:rPr>
        <w:t>Consolidated Results</w:t>
      </w:r>
    </w:p>
    <w:p w14:paraId="141E40EB" w14:textId="77777777" w:rsidR="00000000" w:rsidRDefault="0068293C">
      <w:pPr>
        <w:divId w:val="1047535873"/>
        <w:rPr>
          <w:rFonts w:eastAsia="Times New Roman"/>
        </w:rPr>
      </w:pPr>
    </w:p>
    <w:p w14:paraId="67AD27FF" w14:textId="77777777" w:rsidR="00000000" w:rsidRDefault="0068293C">
      <w:pPr>
        <w:divId w:val="695930200"/>
        <w:rPr>
          <w:rFonts w:eastAsia="Times New Roman"/>
        </w:rPr>
      </w:pPr>
      <w:r>
        <w:rPr>
          <w:rFonts w:eastAsia="Times New Roman"/>
          <w:color w:val="000000"/>
          <w:sz w:val="20"/>
          <w:szCs w:val="20"/>
        </w:rPr>
        <w:t xml:space="preserve">The following table shows our results for the three months ended March 31, the relative percentage that those amounts represent to revenue, and the change in those amounts year-over-year. </w:t>
      </w:r>
    </w:p>
    <w:p w14:paraId="78E45D6A" w14:textId="77777777" w:rsidR="00000000" w:rsidRDefault="0068293C">
      <w:pPr>
        <w:divId w:val="195397859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913"/>
        <w:gridCol w:w="38"/>
        <w:gridCol w:w="36"/>
        <w:gridCol w:w="36"/>
        <w:gridCol w:w="36"/>
        <w:gridCol w:w="121"/>
        <w:gridCol w:w="786"/>
        <w:gridCol w:w="36"/>
        <w:gridCol w:w="36"/>
        <w:gridCol w:w="36"/>
        <w:gridCol w:w="36"/>
        <w:gridCol w:w="121"/>
        <w:gridCol w:w="750"/>
        <w:gridCol w:w="36"/>
        <w:gridCol w:w="36"/>
        <w:gridCol w:w="36"/>
        <w:gridCol w:w="36"/>
        <w:gridCol w:w="45"/>
        <w:gridCol w:w="731"/>
        <w:gridCol w:w="221"/>
        <w:gridCol w:w="37"/>
        <w:gridCol w:w="36"/>
        <w:gridCol w:w="36"/>
        <w:gridCol w:w="45"/>
        <w:gridCol w:w="731"/>
        <w:gridCol w:w="187"/>
        <w:gridCol w:w="36"/>
        <w:gridCol w:w="36"/>
        <w:gridCol w:w="36"/>
        <w:gridCol w:w="65"/>
        <w:gridCol w:w="713"/>
        <w:gridCol w:w="187"/>
      </w:tblGrid>
      <w:tr w:rsidR="00000000" w14:paraId="790E01DC" w14:textId="77777777">
        <w:trPr>
          <w:divId w:val="34891251"/>
        </w:trPr>
        <w:tc>
          <w:tcPr>
            <w:tcW w:w="50" w:type="pct"/>
            <w:vAlign w:val="center"/>
            <w:hideMark/>
          </w:tcPr>
          <w:p w14:paraId="6BE0AE68" w14:textId="77777777" w:rsidR="00000000" w:rsidRDefault="0068293C">
            <w:pPr>
              <w:rPr>
                <w:rFonts w:eastAsia="Times New Roman"/>
              </w:rPr>
            </w:pPr>
          </w:p>
        </w:tc>
        <w:tc>
          <w:tcPr>
            <w:tcW w:w="1838" w:type="pct"/>
            <w:vAlign w:val="center"/>
            <w:hideMark/>
          </w:tcPr>
          <w:p w14:paraId="258FB236" w14:textId="77777777" w:rsidR="00000000" w:rsidRDefault="0068293C">
            <w:pPr>
              <w:spacing w:after="100"/>
              <w:rPr>
                <w:rFonts w:eastAsia="Times New Roman"/>
                <w:sz w:val="20"/>
                <w:szCs w:val="20"/>
              </w:rPr>
            </w:pPr>
          </w:p>
        </w:tc>
        <w:tc>
          <w:tcPr>
            <w:tcW w:w="5" w:type="pct"/>
            <w:vAlign w:val="center"/>
            <w:hideMark/>
          </w:tcPr>
          <w:p w14:paraId="14B480C9" w14:textId="77777777" w:rsidR="00000000" w:rsidRDefault="0068293C">
            <w:pPr>
              <w:spacing w:after="100"/>
              <w:rPr>
                <w:rFonts w:eastAsia="Times New Roman"/>
                <w:sz w:val="20"/>
                <w:szCs w:val="20"/>
              </w:rPr>
            </w:pPr>
          </w:p>
        </w:tc>
        <w:tc>
          <w:tcPr>
            <w:tcW w:w="5" w:type="pct"/>
            <w:vAlign w:val="center"/>
            <w:hideMark/>
          </w:tcPr>
          <w:p w14:paraId="6BBD5737" w14:textId="77777777" w:rsidR="00000000" w:rsidRDefault="0068293C">
            <w:pPr>
              <w:spacing w:after="100"/>
              <w:rPr>
                <w:rFonts w:eastAsia="Times New Roman"/>
                <w:sz w:val="20"/>
                <w:szCs w:val="20"/>
              </w:rPr>
            </w:pPr>
          </w:p>
        </w:tc>
        <w:tc>
          <w:tcPr>
            <w:tcW w:w="19" w:type="pct"/>
            <w:vAlign w:val="center"/>
            <w:hideMark/>
          </w:tcPr>
          <w:p w14:paraId="59C7BBA9" w14:textId="77777777" w:rsidR="00000000" w:rsidRDefault="0068293C">
            <w:pPr>
              <w:spacing w:after="100"/>
              <w:rPr>
                <w:rFonts w:eastAsia="Times New Roman"/>
                <w:sz w:val="20"/>
                <w:szCs w:val="20"/>
              </w:rPr>
            </w:pPr>
          </w:p>
        </w:tc>
        <w:tc>
          <w:tcPr>
            <w:tcW w:w="5" w:type="pct"/>
            <w:vAlign w:val="center"/>
            <w:hideMark/>
          </w:tcPr>
          <w:p w14:paraId="5E7724C6" w14:textId="77777777" w:rsidR="00000000" w:rsidRDefault="0068293C">
            <w:pPr>
              <w:spacing w:after="100"/>
              <w:rPr>
                <w:rFonts w:eastAsia="Times New Roman"/>
                <w:sz w:val="20"/>
                <w:szCs w:val="20"/>
              </w:rPr>
            </w:pPr>
          </w:p>
        </w:tc>
        <w:tc>
          <w:tcPr>
            <w:tcW w:w="50" w:type="pct"/>
            <w:vAlign w:val="center"/>
            <w:hideMark/>
          </w:tcPr>
          <w:p w14:paraId="1BCAACBA" w14:textId="77777777" w:rsidR="00000000" w:rsidRDefault="0068293C">
            <w:pPr>
              <w:spacing w:after="100"/>
              <w:rPr>
                <w:rFonts w:eastAsia="Times New Roman"/>
                <w:sz w:val="20"/>
                <w:szCs w:val="20"/>
              </w:rPr>
            </w:pPr>
          </w:p>
        </w:tc>
        <w:tc>
          <w:tcPr>
            <w:tcW w:w="529" w:type="pct"/>
            <w:vAlign w:val="center"/>
            <w:hideMark/>
          </w:tcPr>
          <w:p w14:paraId="49512B85" w14:textId="77777777" w:rsidR="00000000" w:rsidRDefault="0068293C">
            <w:pPr>
              <w:spacing w:after="100"/>
              <w:rPr>
                <w:rFonts w:eastAsia="Times New Roman"/>
                <w:sz w:val="20"/>
                <w:szCs w:val="20"/>
              </w:rPr>
            </w:pPr>
          </w:p>
        </w:tc>
        <w:tc>
          <w:tcPr>
            <w:tcW w:w="5" w:type="pct"/>
            <w:vAlign w:val="center"/>
            <w:hideMark/>
          </w:tcPr>
          <w:p w14:paraId="49FF5FE3" w14:textId="77777777" w:rsidR="00000000" w:rsidRDefault="0068293C">
            <w:pPr>
              <w:spacing w:after="100"/>
              <w:rPr>
                <w:rFonts w:eastAsia="Times New Roman"/>
                <w:sz w:val="20"/>
                <w:szCs w:val="20"/>
              </w:rPr>
            </w:pPr>
          </w:p>
        </w:tc>
        <w:tc>
          <w:tcPr>
            <w:tcW w:w="5" w:type="pct"/>
            <w:vAlign w:val="center"/>
            <w:hideMark/>
          </w:tcPr>
          <w:p w14:paraId="650E67BF" w14:textId="77777777" w:rsidR="00000000" w:rsidRDefault="0068293C">
            <w:pPr>
              <w:spacing w:after="100"/>
              <w:rPr>
                <w:rFonts w:eastAsia="Times New Roman"/>
                <w:sz w:val="20"/>
                <w:szCs w:val="20"/>
              </w:rPr>
            </w:pPr>
          </w:p>
        </w:tc>
        <w:tc>
          <w:tcPr>
            <w:tcW w:w="26" w:type="pct"/>
            <w:vAlign w:val="center"/>
            <w:hideMark/>
          </w:tcPr>
          <w:p w14:paraId="74AEF3E2" w14:textId="77777777" w:rsidR="00000000" w:rsidRDefault="0068293C">
            <w:pPr>
              <w:spacing w:after="100"/>
              <w:rPr>
                <w:rFonts w:eastAsia="Times New Roman"/>
                <w:sz w:val="20"/>
                <w:szCs w:val="20"/>
              </w:rPr>
            </w:pPr>
          </w:p>
        </w:tc>
        <w:tc>
          <w:tcPr>
            <w:tcW w:w="5" w:type="pct"/>
            <w:vAlign w:val="center"/>
            <w:hideMark/>
          </w:tcPr>
          <w:p w14:paraId="76CF1BB6" w14:textId="77777777" w:rsidR="00000000" w:rsidRDefault="0068293C">
            <w:pPr>
              <w:spacing w:after="100"/>
              <w:rPr>
                <w:rFonts w:eastAsia="Times New Roman"/>
                <w:sz w:val="20"/>
                <w:szCs w:val="20"/>
              </w:rPr>
            </w:pPr>
          </w:p>
        </w:tc>
        <w:tc>
          <w:tcPr>
            <w:tcW w:w="50" w:type="pct"/>
            <w:vAlign w:val="center"/>
            <w:hideMark/>
          </w:tcPr>
          <w:p w14:paraId="026703A4" w14:textId="77777777" w:rsidR="00000000" w:rsidRDefault="0068293C">
            <w:pPr>
              <w:spacing w:after="100"/>
              <w:rPr>
                <w:rFonts w:eastAsia="Times New Roman"/>
                <w:sz w:val="20"/>
                <w:szCs w:val="20"/>
              </w:rPr>
            </w:pPr>
          </w:p>
        </w:tc>
        <w:tc>
          <w:tcPr>
            <w:tcW w:w="559" w:type="pct"/>
            <w:vAlign w:val="center"/>
            <w:hideMark/>
          </w:tcPr>
          <w:p w14:paraId="45035B0F" w14:textId="77777777" w:rsidR="00000000" w:rsidRDefault="0068293C">
            <w:pPr>
              <w:spacing w:after="100"/>
              <w:rPr>
                <w:rFonts w:eastAsia="Times New Roman"/>
                <w:sz w:val="20"/>
                <w:szCs w:val="20"/>
              </w:rPr>
            </w:pPr>
          </w:p>
        </w:tc>
        <w:tc>
          <w:tcPr>
            <w:tcW w:w="5" w:type="pct"/>
            <w:vAlign w:val="center"/>
            <w:hideMark/>
          </w:tcPr>
          <w:p w14:paraId="2CC915EF" w14:textId="77777777" w:rsidR="00000000" w:rsidRDefault="0068293C">
            <w:pPr>
              <w:spacing w:after="100"/>
              <w:rPr>
                <w:rFonts w:eastAsia="Times New Roman"/>
                <w:sz w:val="20"/>
                <w:szCs w:val="20"/>
              </w:rPr>
            </w:pPr>
          </w:p>
        </w:tc>
        <w:tc>
          <w:tcPr>
            <w:tcW w:w="5" w:type="pct"/>
            <w:vAlign w:val="center"/>
            <w:hideMark/>
          </w:tcPr>
          <w:p w14:paraId="395B473E" w14:textId="77777777" w:rsidR="00000000" w:rsidRDefault="0068293C">
            <w:pPr>
              <w:spacing w:after="100"/>
              <w:rPr>
                <w:rFonts w:eastAsia="Times New Roman"/>
                <w:sz w:val="20"/>
                <w:szCs w:val="20"/>
              </w:rPr>
            </w:pPr>
          </w:p>
        </w:tc>
        <w:tc>
          <w:tcPr>
            <w:tcW w:w="19" w:type="pct"/>
            <w:vAlign w:val="center"/>
            <w:hideMark/>
          </w:tcPr>
          <w:p w14:paraId="7DC8F20E" w14:textId="77777777" w:rsidR="00000000" w:rsidRDefault="0068293C">
            <w:pPr>
              <w:spacing w:after="100"/>
              <w:rPr>
                <w:rFonts w:eastAsia="Times New Roman"/>
                <w:sz w:val="20"/>
                <w:szCs w:val="20"/>
              </w:rPr>
            </w:pPr>
          </w:p>
        </w:tc>
        <w:tc>
          <w:tcPr>
            <w:tcW w:w="5" w:type="pct"/>
            <w:vAlign w:val="center"/>
            <w:hideMark/>
          </w:tcPr>
          <w:p w14:paraId="20FB0FCE" w14:textId="77777777" w:rsidR="00000000" w:rsidRDefault="0068293C">
            <w:pPr>
              <w:spacing w:after="100"/>
              <w:rPr>
                <w:rFonts w:eastAsia="Times New Roman"/>
                <w:sz w:val="20"/>
                <w:szCs w:val="20"/>
              </w:rPr>
            </w:pPr>
          </w:p>
        </w:tc>
        <w:tc>
          <w:tcPr>
            <w:tcW w:w="50" w:type="pct"/>
            <w:vAlign w:val="center"/>
            <w:hideMark/>
          </w:tcPr>
          <w:p w14:paraId="5A9A0A1B" w14:textId="77777777" w:rsidR="00000000" w:rsidRDefault="0068293C">
            <w:pPr>
              <w:spacing w:after="100"/>
              <w:rPr>
                <w:rFonts w:eastAsia="Times New Roman"/>
                <w:sz w:val="20"/>
                <w:szCs w:val="20"/>
              </w:rPr>
            </w:pPr>
          </w:p>
        </w:tc>
        <w:tc>
          <w:tcPr>
            <w:tcW w:w="529" w:type="pct"/>
            <w:vAlign w:val="center"/>
            <w:hideMark/>
          </w:tcPr>
          <w:p w14:paraId="62829775" w14:textId="77777777" w:rsidR="00000000" w:rsidRDefault="0068293C">
            <w:pPr>
              <w:spacing w:after="100"/>
              <w:rPr>
                <w:rFonts w:eastAsia="Times New Roman"/>
                <w:sz w:val="20"/>
                <w:szCs w:val="20"/>
              </w:rPr>
            </w:pPr>
          </w:p>
        </w:tc>
        <w:tc>
          <w:tcPr>
            <w:tcW w:w="5" w:type="pct"/>
            <w:vAlign w:val="center"/>
            <w:hideMark/>
          </w:tcPr>
          <w:p w14:paraId="46F941B0" w14:textId="77777777" w:rsidR="00000000" w:rsidRDefault="0068293C">
            <w:pPr>
              <w:spacing w:after="100"/>
              <w:rPr>
                <w:rFonts w:eastAsia="Times New Roman"/>
                <w:sz w:val="20"/>
                <w:szCs w:val="20"/>
              </w:rPr>
            </w:pPr>
          </w:p>
        </w:tc>
        <w:tc>
          <w:tcPr>
            <w:tcW w:w="5" w:type="pct"/>
            <w:vAlign w:val="center"/>
            <w:hideMark/>
          </w:tcPr>
          <w:p w14:paraId="6359E323" w14:textId="77777777" w:rsidR="00000000" w:rsidRDefault="0068293C">
            <w:pPr>
              <w:spacing w:after="100"/>
              <w:rPr>
                <w:rFonts w:eastAsia="Times New Roman"/>
                <w:sz w:val="20"/>
                <w:szCs w:val="20"/>
              </w:rPr>
            </w:pPr>
          </w:p>
        </w:tc>
        <w:tc>
          <w:tcPr>
            <w:tcW w:w="19" w:type="pct"/>
            <w:vAlign w:val="center"/>
            <w:hideMark/>
          </w:tcPr>
          <w:p w14:paraId="0A6BACA1" w14:textId="77777777" w:rsidR="00000000" w:rsidRDefault="0068293C">
            <w:pPr>
              <w:spacing w:after="100"/>
              <w:rPr>
                <w:rFonts w:eastAsia="Times New Roman"/>
                <w:sz w:val="20"/>
                <w:szCs w:val="20"/>
              </w:rPr>
            </w:pPr>
          </w:p>
        </w:tc>
        <w:tc>
          <w:tcPr>
            <w:tcW w:w="5" w:type="pct"/>
            <w:vAlign w:val="center"/>
            <w:hideMark/>
          </w:tcPr>
          <w:p w14:paraId="5FCA5A14" w14:textId="77777777" w:rsidR="00000000" w:rsidRDefault="0068293C">
            <w:pPr>
              <w:spacing w:after="100"/>
              <w:rPr>
                <w:rFonts w:eastAsia="Times New Roman"/>
                <w:sz w:val="20"/>
                <w:szCs w:val="20"/>
              </w:rPr>
            </w:pPr>
          </w:p>
        </w:tc>
        <w:tc>
          <w:tcPr>
            <w:tcW w:w="50" w:type="pct"/>
            <w:vAlign w:val="center"/>
            <w:hideMark/>
          </w:tcPr>
          <w:p w14:paraId="70EE96F1" w14:textId="77777777" w:rsidR="00000000" w:rsidRDefault="0068293C">
            <w:pPr>
              <w:spacing w:after="100"/>
              <w:rPr>
                <w:rFonts w:eastAsia="Times New Roman"/>
                <w:sz w:val="20"/>
                <w:szCs w:val="20"/>
              </w:rPr>
            </w:pPr>
          </w:p>
        </w:tc>
        <w:tc>
          <w:tcPr>
            <w:tcW w:w="529" w:type="pct"/>
            <w:vAlign w:val="center"/>
            <w:hideMark/>
          </w:tcPr>
          <w:p w14:paraId="0C21880D" w14:textId="77777777" w:rsidR="00000000" w:rsidRDefault="0068293C">
            <w:pPr>
              <w:spacing w:after="100"/>
              <w:rPr>
                <w:rFonts w:eastAsia="Times New Roman"/>
                <w:sz w:val="20"/>
                <w:szCs w:val="20"/>
              </w:rPr>
            </w:pPr>
          </w:p>
        </w:tc>
        <w:tc>
          <w:tcPr>
            <w:tcW w:w="5" w:type="pct"/>
            <w:vAlign w:val="center"/>
            <w:hideMark/>
          </w:tcPr>
          <w:p w14:paraId="7D6D0ECB" w14:textId="77777777" w:rsidR="00000000" w:rsidRDefault="0068293C">
            <w:pPr>
              <w:spacing w:after="100"/>
              <w:rPr>
                <w:rFonts w:eastAsia="Times New Roman"/>
                <w:sz w:val="20"/>
                <w:szCs w:val="20"/>
              </w:rPr>
            </w:pPr>
          </w:p>
        </w:tc>
        <w:tc>
          <w:tcPr>
            <w:tcW w:w="5" w:type="pct"/>
            <w:vAlign w:val="center"/>
            <w:hideMark/>
          </w:tcPr>
          <w:p w14:paraId="5BDD8B2A" w14:textId="77777777" w:rsidR="00000000" w:rsidRDefault="0068293C">
            <w:pPr>
              <w:spacing w:after="100"/>
              <w:rPr>
                <w:rFonts w:eastAsia="Times New Roman"/>
                <w:sz w:val="20"/>
                <w:szCs w:val="20"/>
              </w:rPr>
            </w:pPr>
          </w:p>
        </w:tc>
        <w:tc>
          <w:tcPr>
            <w:tcW w:w="19" w:type="pct"/>
            <w:vAlign w:val="center"/>
            <w:hideMark/>
          </w:tcPr>
          <w:p w14:paraId="5D30A931" w14:textId="77777777" w:rsidR="00000000" w:rsidRDefault="0068293C">
            <w:pPr>
              <w:spacing w:after="100"/>
              <w:rPr>
                <w:rFonts w:eastAsia="Times New Roman"/>
                <w:sz w:val="20"/>
                <w:szCs w:val="20"/>
              </w:rPr>
            </w:pPr>
          </w:p>
        </w:tc>
        <w:tc>
          <w:tcPr>
            <w:tcW w:w="5" w:type="pct"/>
            <w:vAlign w:val="center"/>
            <w:hideMark/>
          </w:tcPr>
          <w:p w14:paraId="2ED79BF6" w14:textId="77777777" w:rsidR="00000000" w:rsidRDefault="0068293C">
            <w:pPr>
              <w:spacing w:after="100"/>
              <w:rPr>
                <w:rFonts w:eastAsia="Times New Roman"/>
                <w:sz w:val="20"/>
                <w:szCs w:val="20"/>
              </w:rPr>
            </w:pPr>
          </w:p>
        </w:tc>
        <w:tc>
          <w:tcPr>
            <w:tcW w:w="50" w:type="pct"/>
            <w:vAlign w:val="center"/>
            <w:hideMark/>
          </w:tcPr>
          <w:p w14:paraId="2086FA12" w14:textId="77777777" w:rsidR="00000000" w:rsidRDefault="0068293C">
            <w:pPr>
              <w:spacing w:after="100"/>
              <w:rPr>
                <w:rFonts w:eastAsia="Times New Roman"/>
                <w:sz w:val="20"/>
                <w:szCs w:val="20"/>
              </w:rPr>
            </w:pPr>
          </w:p>
        </w:tc>
        <w:tc>
          <w:tcPr>
            <w:tcW w:w="530" w:type="pct"/>
            <w:vAlign w:val="center"/>
            <w:hideMark/>
          </w:tcPr>
          <w:p w14:paraId="753445E0" w14:textId="77777777" w:rsidR="00000000" w:rsidRDefault="0068293C">
            <w:pPr>
              <w:spacing w:after="100"/>
              <w:rPr>
                <w:rFonts w:eastAsia="Times New Roman"/>
                <w:sz w:val="20"/>
                <w:szCs w:val="20"/>
              </w:rPr>
            </w:pPr>
          </w:p>
        </w:tc>
        <w:tc>
          <w:tcPr>
            <w:tcW w:w="5" w:type="pct"/>
            <w:vAlign w:val="center"/>
            <w:hideMark/>
          </w:tcPr>
          <w:p w14:paraId="71698B32" w14:textId="77777777" w:rsidR="00000000" w:rsidRDefault="0068293C">
            <w:pPr>
              <w:spacing w:after="100"/>
              <w:rPr>
                <w:rFonts w:eastAsia="Times New Roman"/>
                <w:sz w:val="20"/>
                <w:szCs w:val="20"/>
              </w:rPr>
            </w:pPr>
          </w:p>
        </w:tc>
      </w:tr>
      <w:tr w:rsidR="00000000" w14:paraId="380622F8" w14:textId="77777777">
        <w:trPr>
          <w:divId w:val="34891251"/>
        </w:trPr>
        <w:tc>
          <w:tcPr>
            <w:tcW w:w="0" w:type="auto"/>
            <w:gridSpan w:val="3"/>
            <w:shd w:val="clear" w:color="auto" w:fill="FFFFFF"/>
            <w:tcMar>
              <w:top w:w="0" w:type="dxa"/>
              <w:left w:w="20" w:type="dxa"/>
              <w:bottom w:w="0" w:type="dxa"/>
              <w:right w:w="20" w:type="dxa"/>
            </w:tcMar>
            <w:vAlign w:val="center"/>
            <w:hideMark/>
          </w:tcPr>
          <w:p w14:paraId="296A4923"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49310"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120AB45E"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shd w:val="clear" w:color="auto" w:fill="FFFFFF"/>
            <w:tcMar>
              <w:top w:w="0" w:type="dxa"/>
              <w:left w:w="20" w:type="dxa"/>
              <w:bottom w:w="0" w:type="dxa"/>
              <w:right w:w="20" w:type="dxa"/>
            </w:tcMar>
            <w:vAlign w:val="center"/>
            <w:hideMark/>
          </w:tcPr>
          <w:p w14:paraId="3FB62ED3" w14:textId="77777777" w:rsidR="00000000" w:rsidRDefault="0068293C">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14:paraId="4B2F22BA" w14:textId="77777777" w:rsidR="00000000" w:rsidRDefault="0068293C">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14:paraId="6A541DBF"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4EF5B480" w14:textId="77777777">
        <w:trPr>
          <w:divId w:val="34891251"/>
        </w:trPr>
        <w:tc>
          <w:tcPr>
            <w:tcW w:w="0" w:type="auto"/>
            <w:gridSpan w:val="3"/>
            <w:tcMar>
              <w:top w:w="30" w:type="dxa"/>
              <w:left w:w="20" w:type="dxa"/>
              <w:bottom w:w="30" w:type="dxa"/>
              <w:right w:w="20" w:type="dxa"/>
            </w:tcMar>
            <w:vAlign w:val="bottom"/>
            <w:hideMark/>
          </w:tcPr>
          <w:p w14:paraId="5E78643A"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4BA9E0A2"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1B7F57"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CF11A4C"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8AD2D0"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0C6637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E35181"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CBAAA51"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24AC4E"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9F3261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094701" w14:textId="77777777" w:rsidR="00000000" w:rsidRDefault="0068293C">
            <w:pPr>
              <w:spacing w:after="100"/>
              <w:jc w:val="center"/>
              <w:rPr>
                <w:rFonts w:eastAsia="Times New Roman"/>
              </w:rPr>
            </w:pPr>
            <w:r>
              <w:rPr>
                <w:rFonts w:eastAsia="Times New Roman"/>
                <w:b/>
                <w:bCs/>
                <w:color w:val="000000"/>
                <w:sz w:val="16"/>
                <w:szCs w:val="16"/>
              </w:rPr>
              <w:t>2022 v 2021</w:t>
            </w:r>
          </w:p>
        </w:tc>
      </w:tr>
      <w:tr w:rsidR="00000000" w14:paraId="504A0D50" w14:textId="77777777">
        <w:trPr>
          <w:divId w:val="34891251"/>
        </w:trPr>
        <w:tc>
          <w:tcPr>
            <w:tcW w:w="0" w:type="auto"/>
            <w:gridSpan w:val="3"/>
            <w:shd w:val="clear" w:color="auto" w:fill="CCEEFF"/>
            <w:tcMar>
              <w:top w:w="30" w:type="dxa"/>
              <w:left w:w="20" w:type="dxa"/>
              <w:bottom w:w="30" w:type="dxa"/>
              <w:right w:w="20" w:type="dxa"/>
            </w:tcMar>
            <w:hideMark/>
          </w:tcPr>
          <w:p w14:paraId="431A62C0" w14:textId="77777777" w:rsidR="00000000" w:rsidRDefault="0068293C">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14:paraId="664B27D4"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43E62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E23759" w14:textId="77777777" w:rsidR="00000000" w:rsidRDefault="0068293C">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72137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2B185"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4138F9"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337377" w14:textId="77777777" w:rsidR="00000000" w:rsidRDefault="0068293C">
            <w:pPr>
              <w:spacing w:after="100"/>
              <w:jc w:val="right"/>
              <w:rPr>
                <w:rFonts w:eastAsia="Times New Roman"/>
              </w:rPr>
            </w:pPr>
            <w:r>
              <w:rPr>
                <w:rFonts w:eastAsia="Times New Roman"/>
                <w:color w:val="000000"/>
                <w:sz w:val="20"/>
                <w:szCs w:val="20"/>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E148E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61031"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981F02" w14:textId="77777777" w:rsidR="00000000" w:rsidRDefault="0068293C">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EA8F8F"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920FC8"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74334A" w14:textId="77777777" w:rsidR="00000000" w:rsidRDefault="0068293C">
            <w:pPr>
              <w:spacing w:after="100"/>
              <w:jc w:val="right"/>
              <w:rPr>
                <w:rFonts w:eastAsia="Times New Roman"/>
              </w:rPr>
            </w:pPr>
            <w:r>
              <w:rPr>
                <w:rFonts w:eastAsia="Times New Roman"/>
                <w:color w:val="000000"/>
                <w:sz w:val="20"/>
                <w:szCs w:val="20"/>
              </w:rPr>
              <w:t>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E06A3C"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585D29"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FAADD0" w14:textId="77777777" w:rsidR="00000000" w:rsidRDefault="0068293C">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EAB5B8" w14:textId="77777777" w:rsidR="00000000" w:rsidRDefault="0068293C">
            <w:pPr>
              <w:spacing w:after="100"/>
              <w:jc w:val="right"/>
              <w:rPr>
                <w:rFonts w:eastAsia="Times New Roman"/>
              </w:rPr>
            </w:pPr>
            <w:r>
              <w:rPr>
                <w:rFonts w:eastAsia="Times New Roman"/>
                <w:color w:val="000000"/>
                <w:sz w:val="20"/>
                <w:szCs w:val="20"/>
              </w:rPr>
              <w:t>%</w:t>
            </w:r>
          </w:p>
        </w:tc>
      </w:tr>
      <w:tr w:rsidR="00000000" w14:paraId="0A378206" w14:textId="77777777">
        <w:trPr>
          <w:divId w:val="34891251"/>
        </w:trPr>
        <w:tc>
          <w:tcPr>
            <w:tcW w:w="0" w:type="auto"/>
            <w:gridSpan w:val="3"/>
            <w:shd w:val="clear" w:color="auto" w:fill="FFFFFF"/>
            <w:tcMar>
              <w:top w:w="30" w:type="dxa"/>
              <w:left w:w="20" w:type="dxa"/>
              <w:bottom w:w="30" w:type="dxa"/>
              <w:right w:w="20" w:type="dxa"/>
            </w:tcMar>
            <w:hideMark/>
          </w:tcPr>
          <w:p w14:paraId="43ED9C1D" w14:textId="77777777" w:rsidR="00000000" w:rsidRDefault="0068293C">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14:paraId="0D8AED83"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C6806D" w14:textId="77777777" w:rsidR="00000000" w:rsidRDefault="0068293C">
            <w:pPr>
              <w:spacing w:after="100"/>
              <w:jc w:val="right"/>
              <w:rPr>
                <w:rFonts w:eastAsia="Times New Roman"/>
              </w:rPr>
            </w:pPr>
            <w:r>
              <w:rPr>
                <w:rFonts w:eastAsia="Times New Roman"/>
                <w:b/>
                <w:bCs/>
                <w:color w:val="000000"/>
                <w:sz w:val="20"/>
                <w:szCs w:val="20"/>
              </w:rPr>
              <w:t>1,350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39942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5DC6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66B9C" w14:textId="77777777" w:rsidR="00000000" w:rsidRDefault="0068293C">
            <w:pPr>
              <w:spacing w:after="100"/>
              <w:jc w:val="right"/>
              <w:rPr>
                <w:rFonts w:eastAsia="Times New Roman"/>
              </w:rPr>
            </w:pPr>
            <w:r>
              <w:rPr>
                <w:rFonts w:eastAsia="Times New Roman"/>
                <w:color w:val="000000"/>
                <w:sz w:val="20"/>
                <w:szCs w:val="20"/>
              </w:rPr>
              <w:t>1,062 </w:t>
            </w:r>
          </w:p>
        </w:tc>
        <w:tc>
          <w:tcPr>
            <w:tcW w:w="0" w:type="auto"/>
            <w:shd w:val="clear" w:color="auto" w:fill="FFFFFF"/>
            <w:tcMar>
              <w:top w:w="30" w:type="dxa"/>
              <w:left w:w="0" w:type="dxa"/>
              <w:bottom w:w="30" w:type="dxa"/>
              <w:right w:w="20" w:type="dxa"/>
            </w:tcMar>
            <w:vAlign w:val="bottom"/>
            <w:hideMark/>
          </w:tcPr>
          <w:p w14:paraId="082B1F0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33EB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98E7A4" w14:textId="77777777" w:rsidR="00000000" w:rsidRDefault="0068293C">
            <w:pPr>
              <w:spacing w:after="100"/>
              <w:jc w:val="right"/>
              <w:rPr>
                <w:rFonts w:eastAsia="Times New Roman"/>
              </w:rPr>
            </w:pPr>
            <w:r>
              <w:rPr>
                <w:rFonts w:eastAsia="Times New Roman"/>
                <w:b/>
                <w:bCs/>
                <w:color w:val="000000"/>
                <w:sz w:val="20"/>
                <w:szCs w:val="20"/>
              </w:rPr>
              <w:t>72.3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FB423D"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28F8D3"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DE8841" w14:textId="77777777" w:rsidR="00000000" w:rsidRDefault="0068293C">
            <w:pPr>
              <w:spacing w:after="100"/>
              <w:jc w:val="right"/>
              <w:rPr>
                <w:rFonts w:eastAsia="Times New Roman"/>
              </w:rPr>
            </w:pPr>
            <w:r>
              <w:rPr>
                <w:rFonts w:eastAsia="Times New Roman"/>
                <w:color w:val="000000"/>
                <w:sz w:val="20"/>
                <w:szCs w:val="20"/>
              </w:rPr>
              <w:t>68.8 </w:t>
            </w:r>
          </w:p>
        </w:tc>
        <w:tc>
          <w:tcPr>
            <w:tcW w:w="0" w:type="auto"/>
            <w:shd w:val="clear" w:color="auto" w:fill="FFFFFF"/>
            <w:tcMar>
              <w:top w:w="30" w:type="dxa"/>
              <w:left w:w="0" w:type="dxa"/>
              <w:bottom w:w="30" w:type="dxa"/>
              <w:right w:w="20" w:type="dxa"/>
            </w:tcMar>
            <w:vAlign w:val="bottom"/>
            <w:hideMark/>
          </w:tcPr>
          <w:p w14:paraId="391DD1AC"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0185D5"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7807C1" w14:textId="77777777" w:rsidR="00000000" w:rsidRDefault="0068293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00CE6CFB" w14:textId="77777777" w:rsidR="00000000" w:rsidRDefault="0068293C">
            <w:pPr>
              <w:spacing w:after="100"/>
              <w:jc w:val="right"/>
              <w:rPr>
                <w:rFonts w:eastAsia="Times New Roman"/>
              </w:rPr>
            </w:pPr>
            <w:r>
              <w:rPr>
                <w:rFonts w:eastAsia="Times New Roman"/>
                <w:color w:val="000000"/>
                <w:sz w:val="20"/>
                <w:szCs w:val="20"/>
              </w:rPr>
              <w:t>%</w:t>
            </w:r>
          </w:p>
        </w:tc>
      </w:tr>
      <w:tr w:rsidR="00000000" w14:paraId="1B08B1F7" w14:textId="77777777">
        <w:trPr>
          <w:divId w:val="34891251"/>
        </w:trPr>
        <w:tc>
          <w:tcPr>
            <w:tcW w:w="0" w:type="auto"/>
            <w:gridSpan w:val="3"/>
            <w:shd w:val="clear" w:color="auto" w:fill="CCEEFF"/>
            <w:tcMar>
              <w:top w:w="30" w:type="dxa"/>
              <w:left w:w="20" w:type="dxa"/>
              <w:bottom w:w="30" w:type="dxa"/>
              <w:right w:w="20" w:type="dxa"/>
            </w:tcMar>
            <w:hideMark/>
          </w:tcPr>
          <w:p w14:paraId="0E83D36F" w14:textId="77777777" w:rsidR="00000000" w:rsidRDefault="0068293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72531197" w14:textId="77777777" w:rsidR="00000000" w:rsidRDefault="0068293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D6C241"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E72B8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DB3E2"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6AB6C5"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F2A35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704F16"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96F813" w14:textId="77777777" w:rsidR="00000000" w:rsidRDefault="0068293C">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B7DF1F"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4F78984"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638478" w14:textId="77777777" w:rsidR="00000000" w:rsidRDefault="0068293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DD9835"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324EDF7"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C9E5DB" w14:textId="77777777" w:rsidR="00000000" w:rsidRDefault="0068293C">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840D8D" w14:textId="77777777" w:rsidR="00000000" w:rsidRDefault="0068293C">
            <w:pPr>
              <w:spacing w:after="100"/>
              <w:jc w:val="right"/>
              <w:rPr>
                <w:rFonts w:eastAsia="Times New Roman"/>
              </w:rPr>
            </w:pPr>
            <w:r>
              <w:rPr>
                <w:rFonts w:eastAsia="Times New Roman"/>
                <w:color w:val="000000"/>
                <w:sz w:val="20"/>
                <w:szCs w:val="20"/>
              </w:rPr>
              <w:t>%</w:t>
            </w:r>
          </w:p>
        </w:tc>
      </w:tr>
      <w:tr w:rsidR="00000000" w14:paraId="0A12FBF9" w14:textId="77777777">
        <w:trPr>
          <w:divId w:val="34891251"/>
        </w:trPr>
        <w:tc>
          <w:tcPr>
            <w:tcW w:w="0" w:type="auto"/>
            <w:gridSpan w:val="3"/>
            <w:shd w:val="clear" w:color="auto" w:fill="FFFFFF"/>
            <w:tcMar>
              <w:top w:w="30" w:type="dxa"/>
              <w:left w:w="20" w:type="dxa"/>
              <w:bottom w:w="30" w:type="dxa"/>
              <w:right w:w="20" w:type="dxa"/>
            </w:tcMar>
            <w:hideMark/>
          </w:tcPr>
          <w:p w14:paraId="37A01F1B" w14:textId="77777777" w:rsidR="00000000" w:rsidRDefault="0068293C">
            <w:pPr>
              <w:spacing w:after="100"/>
              <w:rPr>
                <w:rFonts w:eastAsia="Times New Roman"/>
              </w:rPr>
            </w:pPr>
            <w:r>
              <w:rPr>
                <w:rFonts w:eastAsia="Times New Roman"/>
                <w:color w:val="000000"/>
                <w:sz w:val="20"/>
                <w:szCs w:val="20"/>
              </w:rPr>
              <w:t>Product gross margin</w:t>
            </w:r>
          </w:p>
        </w:tc>
        <w:tc>
          <w:tcPr>
            <w:tcW w:w="0" w:type="auto"/>
            <w:gridSpan w:val="3"/>
            <w:shd w:val="clear" w:color="auto" w:fill="FFFFFF"/>
            <w:tcMar>
              <w:top w:w="0" w:type="dxa"/>
              <w:left w:w="20" w:type="dxa"/>
              <w:bottom w:w="0" w:type="dxa"/>
              <w:right w:w="20" w:type="dxa"/>
            </w:tcMar>
            <w:vAlign w:val="center"/>
            <w:hideMark/>
          </w:tcPr>
          <w:p w14:paraId="14D62880" w14:textId="77777777" w:rsidR="00000000" w:rsidRDefault="0068293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DC7A3B" w14:textId="77777777" w:rsidR="00000000" w:rsidRDefault="0068293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4A316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71683"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07795B" w14:textId="77777777" w:rsidR="00000000" w:rsidRDefault="0068293C">
            <w:pPr>
              <w:spacing w:after="100"/>
              <w:jc w:val="right"/>
              <w:rPr>
                <w:rFonts w:eastAsia="Times New Roman"/>
              </w:rPr>
            </w:pPr>
            <w:r>
              <w:rPr>
                <w:rFonts w:eastAsia="Times New Roman"/>
                <w:color w:val="000000"/>
                <w:sz w:val="20"/>
                <w:szCs w:val="20"/>
              </w:rPr>
              <w:t>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C779C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728A6"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FF36FB" w14:textId="77777777" w:rsidR="00000000" w:rsidRDefault="0068293C">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ED0A63"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AB42B37"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EAC01D" w14:textId="77777777" w:rsidR="00000000" w:rsidRDefault="0068293C">
            <w:pPr>
              <w:spacing w:after="100"/>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D8EEED"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152E47E"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14B348" w14:textId="77777777" w:rsidR="00000000" w:rsidRDefault="0068293C">
            <w:pPr>
              <w:spacing w:after="100"/>
              <w:jc w:val="right"/>
              <w:rPr>
                <w:rFonts w:eastAsia="Times New Roman"/>
              </w:rPr>
            </w:pPr>
            <w:r>
              <w:rPr>
                <w:rFonts w:eastAsia="Times New Roman"/>
                <w:color w:val="000000"/>
                <w:sz w:val="20"/>
                <w:szCs w:val="20"/>
              </w:rPr>
              <w:t>(68)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2E8E38" w14:textId="77777777" w:rsidR="00000000" w:rsidRDefault="0068293C">
            <w:pPr>
              <w:spacing w:after="100"/>
              <w:jc w:val="right"/>
              <w:rPr>
                <w:rFonts w:eastAsia="Times New Roman"/>
              </w:rPr>
            </w:pPr>
            <w:r>
              <w:rPr>
                <w:rFonts w:eastAsia="Times New Roman"/>
                <w:color w:val="000000"/>
                <w:sz w:val="20"/>
                <w:szCs w:val="20"/>
              </w:rPr>
              <w:t>%</w:t>
            </w:r>
          </w:p>
        </w:tc>
      </w:tr>
      <w:tr w:rsidR="00000000" w14:paraId="577EB968" w14:textId="77777777">
        <w:trPr>
          <w:divId w:val="34891251"/>
        </w:trPr>
        <w:tc>
          <w:tcPr>
            <w:tcW w:w="0" w:type="auto"/>
            <w:gridSpan w:val="3"/>
            <w:shd w:val="clear" w:color="auto" w:fill="CCEEFF"/>
            <w:tcMar>
              <w:top w:w="30" w:type="dxa"/>
              <w:left w:w="20" w:type="dxa"/>
              <w:bottom w:w="30" w:type="dxa"/>
              <w:right w:w="20" w:type="dxa"/>
            </w:tcMar>
            <w:hideMark/>
          </w:tcPr>
          <w:p w14:paraId="15593C3A" w14:textId="77777777" w:rsidR="00000000" w:rsidRDefault="0068293C">
            <w:pPr>
              <w:spacing w:after="100"/>
              <w:rPr>
                <w:rFonts w:eastAsia="Times New Roman"/>
              </w:rPr>
            </w:pPr>
            <w:r>
              <w:rPr>
                <w:rFonts w:eastAsia="Times New Roman"/>
                <w:color w:val="000000"/>
                <w:sz w:val="20"/>
                <w:szCs w:val="20"/>
              </w:rPr>
              <w:t>Service gross margin</w:t>
            </w:r>
          </w:p>
        </w:tc>
        <w:tc>
          <w:tcPr>
            <w:tcW w:w="0" w:type="auto"/>
            <w:gridSpan w:val="3"/>
            <w:shd w:val="clear" w:color="auto" w:fill="CCEEFF"/>
            <w:tcMar>
              <w:top w:w="0" w:type="dxa"/>
              <w:left w:w="20" w:type="dxa"/>
              <w:bottom w:w="0" w:type="dxa"/>
              <w:right w:w="20" w:type="dxa"/>
            </w:tcMar>
            <w:vAlign w:val="center"/>
            <w:hideMark/>
          </w:tcPr>
          <w:p w14:paraId="1B683C76"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E447F9" w14:textId="77777777" w:rsidR="00000000" w:rsidRDefault="0068293C">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A9CB6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D5E93"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208AB" w14:textId="77777777" w:rsidR="00000000" w:rsidRDefault="0068293C">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14:paraId="432344B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0DE7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3CF21" w14:textId="77777777" w:rsidR="00000000" w:rsidRDefault="0068293C">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9DF28B"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6E71E6"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144F42" w14:textId="77777777" w:rsidR="00000000" w:rsidRDefault="0068293C">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14:paraId="5B31747C"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34EAD44"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59B29D" w14:textId="77777777" w:rsidR="00000000" w:rsidRDefault="0068293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2826119F" w14:textId="77777777" w:rsidR="00000000" w:rsidRDefault="0068293C">
            <w:pPr>
              <w:spacing w:after="100"/>
              <w:jc w:val="right"/>
              <w:rPr>
                <w:rFonts w:eastAsia="Times New Roman"/>
              </w:rPr>
            </w:pPr>
            <w:r>
              <w:rPr>
                <w:rFonts w:eastAsia="Times New Roman"/>
                <w:color w:val="000000"/>
                <w:sz w:val="20"/>
                <w:szCs w:val="20"/>
              </w:rPr>
              <w:t>%</w:t>
            </w:r>
          </w:p>
        </w:tc>
      </w:tr>
      <w:tr w:rsidR="00000000" w14:paraId="30F532DE" w14:textId="77777777">
        <w:trPr>
          <w:divId w:val="34891251"/>
        </w:trPr>
        <w:tc>
          <w:tcPr>
            <w:tcW w:w="0" w:type="auto"/>
            <w:gridSpan w:val="3"/>
            <w:shd w:val="clear" w:color="auto" w:fill="FFFFFF"/>
            <w:tcMar>
              <w:top w:w="30" w:type="dxa"/>
              <w:left w:w="20" w:type="dxa"/>
              <w:bottom w:w="30" w:type="dxa"/>
              <w:right w:w="20" w:type="dxa"/>
            </w:tcMar>
            <w:hideMark/>
          </w:tcPr>
          <w:p w14:paraId="339BB0E9" w14:textId="77777777" w:rsidR="00000000" w:rsidRDefault="0068293C">
            <w:pPr>
              <w:spacing w:after="100"/>
              <w:rPr>
                <w:rFonts w:eastAsia="Times New Roman"/>
              </w:rPr>
            </w:pPr>
            <w:r>
              <w:rPr>
                <w:rFonts w:eastAsia="Times New Roman"/>
                <w:b/>
                <w:bCs/>
                <w:color w:val="000000"/>
                <w:sz w:val="20"/>
                <w:szCs w:val="20"/>
              </w:rPr>
              <w:t>Total gross margin</w:t>
            </w:r>
          </w:p>
        </w:tc>
        <w:tc>
          <w:tcPr>
            <w:tcW w:w="0" w:type="auto"/>
            <w:gridSpan w:val="3"/>
            <w:shd w:val="clear" w:color="auto" w:fill="FFFFFF"/>
            <w:tcMar>
              <w:top w:w="0" w:type="dxa"/>
              <w:left w:w="20" w:type="dxa"/>
              <w:bottom w:w="0" w:type="dxa"/>
              <w:right w:w="20" w:type="dxa"/>
            </w:tcMar>
            <w:vAlign w:val="center"/>
            <w:hideMark/>
          </w:tcPr>
          <w:p w14:paraId="76DEA439" w14:textId="77777777" w:rsidR="00000000" w:rsidRDefault="0068293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4F06C8" w14:textId="77777777" w:rsidR="00000000" w:rsidRDefault="0068293C">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C40C0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E85E4"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3366C1" w14:textId="77777777" w:rsidR="00000000" w:rsidRDefault="0068293C">
            <w:pPr>
              <w:spacing w:after="100"/>
              <w:jc w:val="right"/>
              <w:rPr>
                <w:rFonts w:eastAsia="Times New Roman"/>
              </w:rPr>
            </w:pPr>
            <w:r>
              <w:rPr>
                <w:rFonts w:eastAsia="Times New Roman"/>
                <w:color w:val="000000"/>
                <w:sz w:val="20"/>
                <w:szCs w:val="20"/>
              </w:rPr>
              <w:t>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F9B56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03E15"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4A5811" w14:textId="77777777" w:rsidR="00000000" w:rsidRDefault="0068293C">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212CA4"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ABA51DA"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E2CA35" w14:textId="77777777" w:rsidR="00000000" w:rsidRDefault="0068293C">
            <w:pPr>
              <w:spacing w:after="100"/>
              <w:jc w:val="right"/>
              <w:rPr>
                <w:rFonts w:eastAsia="Times New Roman"/>
              </w:rPr>
            </w:pPr>
            <w:r>
              <w:rPr>
                <w:rFonts w:eastAsia="Times New Roman"/>
                <w:color w:val="000000"/>
                <w:sz w:val="20"/>
                <w:szCs w:val="20"/>
              </w:rPr>
              <w:t>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7449AE"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B3B622B"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31C9D0"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180143" w14:textId="77777777" w:rsidR="00000000" w:rsidRDefault="0068293C">
            <w:pPr>
              <w:spacing w:after="100"/>
              <w:jc w:val="right"/>
              <w:rPr>
                <w:rFonts w:eastAsia="Times New Roman"/>
              </w:rPr>
            </w:pPr>
            <w:r>
              <w:rPr>
                <w:rFonts w:eastAsia="Times New Roman"/>
                <w:color w:val="000000"/>
                <w:sz w:val="20"/>
                <w:szCs w:val="20"/>
              </w:rPr>
              <w:t>%</w:t>
            </w:r>
          </w:p>
        </w:tc>
      </w:tr>
      <w:tr w:rsidR="00000000" w14:paraId="1AF1CD61" w14:textId="77777777">
        <w:trPr>
          <w:divId w:val="34891251"/>
        </w:trPr>
        <w:tc>
          <w:tcPr>
            <w:tcW w:w="0" w:type="auto"/>
            <w:gridSpan w:val="3"/>
            <w:shd w:val="clear" w:color="auto" w:fill="CCEEFF"/>
            <w:tcMar>
              <w:top w:w="30" w:type="dxa"/>
              <w:left w:w="20" w:type="dxa"/>
              <w:bottom w:w="30" w:type="dxa"/>
              <w:right w:w="20" w:type="dxa"/>
            </w:tcMar>
            <w:hideMark/>
          </w:tcPr>
          <w:p w14:paraId="49AD4C15" w14:textId="77777777" w:rsidR="00000000" w:rsidRDefault="0068293C">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184CAEE1"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DD9AC5" w14:textId="77777777" w:rsidR="00000000" w:rsidRDefault="0068293C">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8757C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F297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26683C" w14:textId="77777777" w:rsidR="00000000" w:rsidRDefault="0068293C">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14:paraId="0179B3D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61EF8"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0EE955" w14:textId="77777777" w:rsidR="00000000" w:rsidRDefault="0068293C">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1A5409"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1169983"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0C11ED" w14:textId="77777777" w:rsidR="00000000" w:rsidRDefault="0068293C">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14:paraId="49189B0C"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00EF34"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E5818B" w14:textId="77777777" w:rsidR="00000000" w:rsidRDefault="0068293C">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55A7A1AA" w14:textId="77777777" w:rsidR="00000000" w:rsidRDefault="0068293C">
            <w:pPr>
              <w:spacing w:after="100"/>
              <w:jc w:val="right"/>
              <w:rPr>
                <w:rFonts w:eastAsia="Times New Roman"/>
              </w:rPr>
            </w:pPr>
            <w:r>
              <w:rPr>
                <w:rFonts w:eastAsia="Times New Roman"/>
                <w:color w:val="000000"/>
                <w:sz w:val="20"/>
                <w:szCs w:val="20"/>
              </w:rPr>
              <w:t>%</w:t>
            </w:r>
          </w:p>
        </w:tc>
      </w:tr>
      <w:tr w:rsidR="00000000" w14:paraId="320118FE" w14:textId="77777777">
        <w:trPr>
          <w:divId w:val="34891251"/>
        </w:trPr>
        <w:tc>
          <w:tcPr>
            <w:tcW w:w="0" w:type="auto"/>
            <w:gridSpan w:val="3"/>
            <w:shd w:val="clear" w:color="auto" w:fill="FFFFFF"/>
            <w:tcMar>
              <w:top w:w="30" w:type="dxa"/>
              <w:left w:w="20" w:type="dxa"/>
              <w:bottom w:w="30" w:type="dxa"/>
              <w:right w:w="20" w:type="dxa"/>
            </w:tcMar>
            <w:hideMark/>
          </w:tcPr>
          <w:p w14:paraId="4960B4D1" w14:textId="77777777" w:rsidR="00000000" w:rsidRDefault="0068293C">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FFFFFF"/>
            <w:tcMar>
              <w:top w:w="0" w:type="dxa"/>
              <w:left w:w="20" w:type="dxa"/>
              <w:bottom w:w="0" w:type="dxa"/>
              <w:right w:w="20" w:type="dxa"/>
            </w:tcMar>
            <w:vAlign w:val="center"/>
            <w:hideMark/>
          </w:tcPr>
          <w:p w14:paraId="1E0580B5"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275DDE" w14:textId="77777777" w:rsidR="00000000" w:rsidRDefault="0068293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48FDBF"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B31A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ED708B" w14:textId="77777777" w:rsidR="00000000" w:rsidRDefault="0068293C">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61037543"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6735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3AEF0" w14:textId="77777777" w:rsidR="00000000" w:rsidRDefault="0068293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0B2154"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10A5BD3"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716BFF" w14:textId="77777777" w:rsidR="00000000" w:rsidRDefault="0068293C">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0B48CDE9"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31026EF"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B256A6" w14:textId="77777777" w:rsidR="00000000" w:rsidRDefault="0068293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DB2DE25" w14:textId="77777777" w:rsidR="00000000" w:rsidRDefault="0068293C">
            <w:pPr>
              <w:spacing w:after="100"/>
              <w:jc w:val="right"/>
              <w:rPr>
                <w:rFonts w:eastAsia="Times New Roman"/>
              </w:rPr>
            </w:pPr>
            <w:r>
              <w:rPr>
                <w:rFonts w:eastAsia="Times New Roman"/>
                <w:color w:val="000000"/>
                <w:sz w:val="20"/>
                <w:szCs w:val="20"/>
              </w:rPr>
              <w:t>%</w:t>
            </w:r>
          </w:p>
        </w:tc>
      </w:tr>
      <w:tr w:rsidR="00000000" w14:paraId="64888AFB" w14:textId="77777777">
        <w:trPr>
          <w:divId w:val="34891251"/>
        </w:trPr>
        <w:tc>
          <w:tcPr>
            <w:tcW w:w="0" w:type="auto"/>
            <w:gridSpan w:val="3"/>
            <w:vAlign w:val="center"/>
            <w:hideMark/>
          </w:tcPr>
          <w:p w14:paraId="6F28A329" w14:textId="77777777" w:rsidR="00000000" w:rsidRDefault="0068293C">
            <w:pPr>
              <w:spacing w:after="100"/>
              <w:jc w:val="right"/>
              <w:rPr>
                <w:rFonts w:eastAsia="Times New Roman"/>
              </w:rPr>
            </w:pPr>
          </w:p>
        </w:tc>
        <w:tc>
          <w:tcPr>
            <w:tcW w:w="0" w:type="auto"/>
            <w:gridSpan w:val="3"/>
            <w:vAlign w:val="center"/>
            <w:hideMark/>
          </w:tcPr>
          <w:p w14:paraId="05084266" w14:textId="77777777" w:rsidR="00000000" w:rsidRDefault="0068293C">
            <w:pPr>
              <w:spacing w:after="100"/>
              <w:rPr>
                <w:rFonts w:eastAsia="Times New Roman"/>
                <w:sz w:val="20"/>
                <w:szCs w:val="20"/>
              </w:rPr>
            </w:pPr>
          </w:p>
        </w:tc>
        <w:tc>
          <w:tcPr>
            <w:tcW w:w="0" w:type="auto"/>
            <w:gridSpan w:val="3"/>
            <w:vAlign w:val="center"/>
            <w:hideMark/>
          </w:tcPr>
          <w:p w14:paraId="28E8091D" w14:textId="77777777" w:rsidR="00000000" w:rsidRDefault="0068293C">
            <w:pPr>
              <w:spacing w:after="100"/>
              <w:rPr>
                <w:rFonts w:eastAsia="Times New Roman"/>
                <w:sz w:val="20"/>
                <w:szCs w:val="20"/>
              </w:rPr>
            </w:pPr>
          </w:p>
        </w:tc>
        <w:tc>
          <w:tcPr>
            <w:tcW w:w="0" w:type="auto"/>
            <w:gridSpan w:val="3"/>
            <w:vAlign w:val="center"/>
            <w:hideMark/>
          </w:tcPr>
          <w:p w14:paraId="68B27101" w14:textId="77777777" w:rsidR="00000000" w:rsidRDefault="0068293C">
            <w:pPr>
              <w:spacing w:after="100"/>
              <w:rPr>
                <w:rFonts w:eastAsia="Times New Roman"/>
                <w:sz w:val="20"/>
                <w:szCs w:val="20"/>
              </w:rPr>
            </w:pPr>
          </w:p>
        </w:tc>
        <w:tc>
          <w:tcPr>
            <w:tcW w:w="0" w:type="auto"/>
            <w:gridSpan w:val="3"/>
            <w:vAlign w:val="center"/>
            <w:hideMark/>
          </w:tcPr>
          <w:p w14:paraId="20A61A8B" w14:textId="77777777" w:rsidR="00000000" w:rsidRDefault="0068293C">
            <w:pPr>
              <w:spacing w:after="100"/>
              <w:rPr>
                <w:rFonts w:eastAsia="Times New Roman"/>
                <w:sz w:val="20"/>
                <w:szCs w:val="20"/>
              </w:rPr>
            </w:pPr>
          </w:p>
        </w:tc>
        <w:tc>
          <w:tcPr>
            <w:tcW w:w="0" w:type="auto"/>
            <w:gridSpan w:val="3"/>
            <w:vAlign w:val="center"/>
            <w:hideMark/>
          </w:tcPr>
          <w:p w14:paraId="1F54FE8B" w14:textId="77777777" w:rsidR="00000000" w:rsidRDefault="0068293C">
            <w:pPr>
              <w:spacing w:after="100"/>
              <w:rPr>
                <w:rFonts w:eastAsia="Times New Roman"/>
                <w:sz w:val="20"/>
                <w:szCs w:val="20"/>
              </w:rPr>
            </w:pPr>
          </w:p>
        </w:tc>
        <w:tc>
          <w:tcPr>
            <w:tcW w:w="0" w:type="auto"/>
            <w:gridSpan w:val="3"/>
            <w:vAlign w:val="center"/>
            <w:hideMark/>
          </w:tcPr>
          <w:p w14:paraId="1AB5EF3E" w14:textId="77777777" w:rsidR="00000000" w:rsidRDefault="0068293C">
            <w:pPr>
              <w:spacing w:after="100"/>
              <w:rPr>
                <w:rFonts w:eastAsia="Times New Roman"/>
                <w:sz w:val="20"/>
                <w:szCs w:val="20"/>
              </w:rPr>
            </w:pPr>
          </w:p>
        </w:tc>
        <w:tc>
          <w:tcPr>
            <w:tcW w:w="0" w:type="auto"/>
            <w:gridSpan w:val="3"/>
            <w:vAlign w:val="center"/>
            <w:hideMark/>
          </w:tcPr>
          <w:p w14:paraId="50A7E1B5" w14:textId="77777777" w:rsidR="00000000" w:rsidRDefault="0068293C">
            <w:pPr>
              <w:spacing w:after="100"/>
              <w:rPr>
                <w:rFonts w:eastAsia="Times New Roman"/>
                <w:sz w:val="20"/>
                <w:szCs w:val="20"/>
              </w:rPr>
            </w:pPr>
          </w:p>
        </w:tc>
        <w:tc>
          <w:tcPr>
            <w:tcW w:w="0" w:type="auto"/>
            <w:gridSpan w:val="3"/>
            <w:vAlign w:val="center"/>
            <w:hideMark/>
          </w:tcPr>
          <w:p w14:paraId="538AC1D5" w14:textId="77777777" w:rsidR="00000000" w:rsidRDefault="0068293C">
            <w:pPr>
              <w:spacing w:after="100"/>
              <w:rPr>
                <w:rFonts w:eastAsia="Times New Roman"/>
                <w:sz w:val="20"/>
                <w:szCs w:val="20"/>
              </w:rPr>
            </w:pPr>
          </w:p>
        </w:tc>
        <w:tc>
          <w:tcPr>
            <w:tcW w:w="0" w:type="auto"/>
            <w:gridSpan w:val="3"/>
            <w:vAlign w:val="center"/>
            <w:hideMark/>
          </w:tcPr>
          <w:p w14:paraId="0D3AE37F" w14:textId="77777777" w:rsidR="00000000" w:rsidRDefault="0068293C">
            <w:pPr>
              <w:spacing w:after="100"/>
              <w:rPr>
                <w:rFonts w:eastAsia="Times New Roman"/>
                <w:sz w:val="20"/>
                <w:szCs w:val="20"/>
              </w:rPr>
            </w:pPr>
          </w:p>
        </w:tc>
        <w:tc>
          <w:tcPr>
            <w:tcW w:w="0" w:type="auto"/>
            <w:gridSpan w:val="3"/>
            <w:vAlign w:val="center"/>
            <w:hideMark/>
          </w:tcPr>
          <w:p w14:paraId="27362DD2" w14:textId="77777777" w:rsidR="00000000" w:rsidRDefault="0068293C">
            <w:pPr>
              <w:spacing w:after="100"/>
              <w:rPr>
                <w:rFonts w:eastAsia="Times New Roman"/>
                <w:sz w:val="20"/>
                <w:szCs w:val="20"/>
              </w:rPr>
            </w:pPr>
          </w:p>
        </w:tc>
      </w:tr>
      <w:tr w:rsidR="00000000" w14:paraId="09E1CCA3" w14:textId="77777777">
        <w:trPr>
          <w:divId w:val="34891251"/>
        </w:trPr>
        <w:tc>
          <w:tcPr>
            <w:tcW w:w="0" w:type="auto"/>
            <w:gridSpan w:val="3"/>
            <w:shd w:val="clear" w:color="auto" w:fill="CCEEFF"/>
            <w:tcMar>
              <w:top w:w="30" w:type="dxa"/>
              <w:left w:w="20" w:type="dxa"/>
              <w:bottom w:w="30" w:type="dxa"/>
              <w:right w:w="20" w:type="dxa"/>
            </w:tcMar>
            <w:hideMark/>
          </w:tcPr>
          <w:p w14:paraId="6548BA24" w14:textId="77777777" w:rsidR="00000000" w:rsidRDefault="0068293C">
            <w:pPr>
              <w:spacing w:after="100"/>
              <w:rPr>
                <w:rFonts w:eastAsia="Times New Roman"/>
              </w:rPr>
            </w:pPr>
            <w:r>
              <w:rPr>
                <w:rFonts w:eastAsia="Times New Roman"/>
                <w:b/>
                <w:bCs/>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14:paraId="3219D3B1" w14:textId="77777777" w:rsidR="00000000" w:rsidRDefault="0068293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DAF443"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D96258" w14:textId="77777777" w:rsidR="00000000" w:rsidRDefault="0068293C">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9E7FB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58C34"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309E1A"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2E24FD" w14:textId="77777777" w:rsidR="00000000" w:rsidRDefault="0068293C">
            <w:pPr>
              <w:spacing w:after="100"/>
              <w:jc w:val="right"/>
              <w:rPr>
                <w:rFonts w:eastAsia="Times New Roman"/>
              </w:rPr>
            </w:pPr>
            <w:r>
              <w:rPr>
                <w:rFonts w:eastAsia="Times New Roman"/>
                <w:color w:val="000000"/>
                <w:sz w:val="20"/>
                <w:szCs w:val="20"/>
              </w:rPr>
              <w:t>110 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4DB3B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410A1" w14:textId="77777777" w:rsidR="00000000" w:rsidRDefault="006829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2EBD37" w14:textId="77777777" w:rsidR="00000000" w:rsidRDefault="0068293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1DC0D2"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7B09F7"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39FBC2" w14:textId="77777777" w:rsidR="00000000" w:rsidRDefault="0068293C">
            <w:pPr>
              <w:spacing w:after="100"/>
              <w:jc w:val="right"/>
              <w:rPr>
                <w:rFonts w:eastAsia="Times New Roman"/>
              </w:rPr>
            </w:pPr>
            <w:r>
              <w:rPr>
                <w:rFonts w:eastAsia="Times New Roman"/>
                <w:color w:val="000000"/>
                <w:sz w:val="20"/>
                <w:szCs w:val="20"/>
              </w:rPr>
              <w:t>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7C0FB4"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8733825"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3DAF6C" w14:textId="77777777" w:rsidR="00000000" w:rsidRDefault="0068293C">
            <w:pPr>
              <w:spacing w:after="100"/>
              <w:jc w:val="right"/>
              <w:rPr>
                <w:rFonts w:eastAsia="Times New Roman"/>
              </w:rPr>
            </w:pPr>
            <w:r>
              <w:rPr>
                <w:rFonts w:eastAsia="Times New Roman"/>
                <w:color w:val="000000"/>
                <w:sz w:val="20"/>
                <w:szCs w:val="20"/>
              </w:rPr>
              <w:t>(70)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7F7CC0" w14:textId="77777777" w:rsidR="00000000" w:rsidRDefault="0068293C">
            <w:pPr>
              <w:spacing w:after="100"/>
              <w:jc w:val="right"/>
              <w:rPr>
                <w:rFonts w:eastAsia="Times New Roman"/>
              </w:rPr>
            </w:pPr>
            <w:r>
              <w:rPr>
                <w:rFonts w:eastAsia="Times New Roman"/>
                <w:color w:val="000000"/>
                <w:sz w:val="20"/>
                <w:szCs w:val="20"/>
              </w:rPr>
              <w:t>%</w:t>
            </w:r>
          </w:p>
        </w:tc>
      </w:tr>
    </w:tbl>
    <w:p w14:paraId="3674387F" w14:textId="77777777" w:rsidR="00000000" w:rsidRDefault="0068293C">
      <w:pPr>
        <w:divId w:val="937786204"/>
        <w:rPr>
          <w:rFonts w:eastAsia="Times New Roman"/>
        </w:rPr>
      </w:pPr>
    </w:p>
    <w:p w14:paraId="23A82B38" w14:textId="77777777" w:rsidR="00000000" w:rsidRDefault="0068293C">
      <w:pPr>
        <w:divId w:val="920986348"/>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revenue is calculated for each line item divided by total revenue, except for product gross margin and service gross margin, which</w:t>
      </w:r>
      <w:r>
        <w:rPr>
          <w:rFonts w:eastAsia="Times New Roman"/>
          <w:color w:val="000000"/>
          <w:sz w:val="18"/>
          <w:szCs w:val="18"/>
        </w:rPr>
        <w:t xml:space="preserve"> are divided by the related component of revenue.</w:t>
      </w:r>
    </w:p>
    <w:p w14:paraId="058EB6F9" w14:textId="77777777" w:rsidR="00000000" w:rsidRDefault="0068293C">
      <w:pPr>
        <w:divId w:val="940067706"/>
        <w:rPr>
          <w:rFonts w:eastAsia="Times New Roman"/>
        </w:rPr>
      </w:pPr>
    </w:p>
    <w:p w14:paraId="4F0E27B4" w14:textId="77777777" w:rsidR="00000000" w:rsidRDefault="0068293C">
      <w:pPr>
        <w:divId w:val="507016034"/>
        <w:rPr>
          <w:rFonts w:eastAsia="Times New Roman"/>
        </w:rPr>
      </w:pPr>
    </w:p>
    <w:p w14:paraId="6D15F589" w14:textId="77777777" w:rsidR="00000000" w:rsidRDefault="0068293C">
      <w:pPr>
        <w:divId w:val="355077546"/>
        <w:rPr>
          <w:rFonts w:eastAsia="Times New Roman"/>
        </w:rPr>
      </w:pPr>
    </w:p>
    <w:p w14:paraId="7E797E1B" w14:textId="77777777" w:rsidR="00000000" w:rsidRDefault="0068293C">
      <w:pPr>
        <w:divId w:val="1165585522"/>
        <w:rPr>
          <w:rFonts w:eastAsia="Times New Roman"/>
        </w:rPr>
      </w:pPr>
    </w:p>
    <w:p w14:paraId="15E7BD09" w14:textId="77777777" w:rsidR="00000000" w:rsidRDefault="0068293C">
      <w:pPr>
        <w:jc w:val="center"/>
        <w:divId w:val="1911380149"/>
        <w:rPr>
          <w:rFonts w:eastAsia="Times New Roman"/>
        </w:rPr>
      </w:pPr>
      <w:r>
        <w:rPr>
          <w:rFonts w:eastAsia="Times New Roman"/>
          <w:color w:val="000000"/>
          <w:sz w:val="20"/>
          <w:szCs w:val="20"/>
        </w:rPr>
        <w:t>39</w:t>
      </w:r>
    </w:p>
    <w:p w14:paraId="764BB30B" w14:textId="77777777" w:rsidR="00000000" w:rsidRDefault="0068293C">
      <w:pPr>
        <w:rPr>
          <w:rFonts w:eastAsia="Times New Roman"/>
        </w:rPr>
      </w:pPr>
      <w:r>
        <w:rPr>
          <w:rFonts w:eastAsia="Times New Roman"/>
        </w:rPr>
        <w:pict w14:anchorId="3F3FEAFE">
          <v:rect id="_x0000_i1064" style="width:0;height:1.5pt" o:hralign="center" o:hrstd="t" o:hr="t" fillcolor="#a0a0a0" stroked="f"/>
        </w:pict>
      </w:r>
    </w:p>
    <w:p w14:paraId="5120B6B7" w14:textId="77777777" w:rsidR="00000000" w:rsidRDefault="0068293C">
      <w:pPr>
        <w:divId w:val="772744838"/>
        <w:rPr>
          <w:rFonts w:eastAsia="Times New Roman"/>
        </w:rPr>
      </w:pPr>
      <w:hyperlink w:anchor="i78484f3d0d8e4e36a7c87ddd6ea9d725_7" w:history="1">
        <w:r>
          <w:rPr>
            <w:rStyle w:val="a3"/>
            <w:rFonts w:eastAsia="Times New Roman"/>
            <w:sz w:val="16"/>
            <w:szCs w:val="16"/>
          </w:rPr>
          <w:t>Table of Contents</w:t>
        </w:r>
      </w:hyperlink>
    </w:p>
    <w:p w14:paraId="6F0E5EEC" w14:textId="77777777" w:rsidR="00000000" w:rsidRDefault="0068293C">
      <w:pPr>
        <w:jc w:val="both"/>
        <w:rPr>
          <w:rFonts w:eastAsia="Times New Roman"/>
        </w:rPr>
      </w:pPr>
      <w:r>
        <w:rPr>
          <w:rFonts w:eastAsia="Times New Roman"/>
          <w:b/>
          <w:bCs/>
          <w:color w:val="000000"/>
          <w:sz w:val="20"/>
          <w:szCs w:val="20"/>
        </w:rPr>
        <w:t>Revenue</w:t>
      </w:r>
    </w:p>
    <w:p w14:paraId="155C78C6" w14:textId="77777777" w:rsidR="00000000" w:rsidRDefault="0068293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5"/>
        <w:gridCol w:w="37"/>
        <w:gridCol w:w="36"/>
        <w:gridCol w:w="36"/>
        <w:gridCol w:w="36"/>
        <w:gridCol w:w="120"/>
        <w:gridCol w:w="787"/>
        <w:gridCol w:w="36"/>
        <w:gridCol w:w="36"/>
        <w:gridCol w:w="36"/>
        <w:gridCol w:w="36"/>
        <w:gridCol w:w="120"/>
        <w:gridCol w:w="751"/>
        <w:gridCol w:w="36"/>
        <w:gridCol w:w="36"/>
        <w:gridCol w:w="36"/>
        <w:gridCol w:w="36"/>
        <w:gridCol w:w="45"/>
        <w:gridCol w:w="732"/>
        <w:gridCol w:w="221"/>
        <w:gridCol w:w="37"/>
        <w:gridCol w:w="36"/>
        <w:gridCol w:w="36"/>
        <w:gridCol w:w="45"/>
        <w:gridCol w:w="732"/>
        <w:gridCol w:w="187"/>
        <w:gridCol w:w="36"/>
        <w:gridCol w:w="36"/>
        <w:gridCol w:w="36"/>
        <w:gridCol w:w="66"/>
        <w:gridCol w:w="700"/>
        <w:gridCol w:w="187"/>
      </w:tblGrid>
      <w:tr w:rsidR="00000000" w14:paraId="7A47A2DF" w14:textId="77777777">
        <w:tc>
          <w:tcPr>
            <w:tcW w:w="50" w:type="pct"/>
            <w:vAlign w:val="center"/>
            <w:hideMark/>
          </w:tcPr>
          <w:p w14:paraId="17921348" w14:textId="77777777" w:rsidR="00000000" w:rsidRDefault="0068293C">
            <w:pPr>
              <w:jc w:val="both"/>
              <w:rPr>
                <w:rFonts w:eastAsia="Times New Roman"/>
              </w:rPr>
            </w:pPr>
          </w:p>
        </w:tc>
        <w:tc>
          <w:tcPr>
            <w:tcW w:w="1845" w:type="pct"/>
            <w:vAlign w:val="center"/>
            <w:hideMark/>
          </w:tcPr>
          <w:p w14:paraId="59FA7258" w14:textId="77777777" w:rsidR="00000000" w:rsidRDefault="0068293C">
            <w:pPr>
              <w:spacing w:after="100"/>
              <w:rPr>
                <w:rFonts w:eastAsia="Times New Roman"/>
                <w:sz w:val="20"/>
                <w:szCs w:val="20"/>
              </w:rPr>
            </w:pPr>
          </w:p>
        </w:tc>
        <w:tc>
          <w:tcPr>
            <w:tcW w:w="5" w:type="pct"/>
            <w:vAlign w:val="center"/>
            <w:hideMark/>
          </w:tcPr>
          <w:p w14:paraId="780174DB" w14:textId="77777777" w:rsidR="00000000" w:rsidRDefault="0068293C">
            <w:pPr>
              <w:spacing w:after="100"/>
              <w:rPr>
                <w:rFonts w:eastAsia="Times New Roman"/>
                <w:sz w:val="20"/>
                <w:szCs w:val="20"/>
              </w:rPr>
            </w:pPr>
          </w:p>
        </w:tc>
        <w:tc>
          <w:tcPr>
            <w:tcW w:w="5" w:type="pct"/>
            <w:vAlign w:val="center"/>
            <w:hideMark/>
          </w:tcPr>
          <w:p w14:paraId="6AECDC0F" w14:textId="77777777" w:rsidR="00000000" w:rsidRDefault="0068293C">
            <w:pPr>
              <w:spacing w:after="100"/>
              <w:rPr>
                <w:rFonts w:eastAsia="Times New Roman"/>
                <w:sz w:val="20"/>
                <w:szCs w:val="20"/>
              </w:rPr>
            </w:pPr>
          </w:p>
        </w:tc>
        <w:tc>
          <w:tcPr>
            <w:tcW w:w="19" w:type="pct"/>
            <w:vAlign w:val="center"/>
            <w:hideMark/>
          </w:tcPr>
          <w:p w14:paraId="1BC317DF" w14:textId="77777777" w:rsidR="00000000" w:rsidRDefault="0068293C">
            <w:pPr>
              <w:spacing w:after="100"/>
              <w:rPr>
                <w:rFonts w:eastAsia="Times New Roman"/>
                <w:sz w:val="20"/>
                <w:szCs w:val="20"/>
              </w:rPr>
            </w:pPr>
          </w:p>
        </w:tc>
        <w:tc>
          <w:tcPr>
            <w:tcW w:w="5" w:type="pct"/>
            <w:vAlign w:val="center"/>
            <w:hideMark/>
          </w:tcPr>
          <w:p w14:paraId="2677998F" w14:textId="77777777" w:rsidR="00000000" w:rsidRDefault="0068293C">
            <w:pPr>
              <w:spacing w:after="100"/>
              <w:rPr>
                <w:rFonts w:eastAsia="Times New Roman"/>
                <w:sz w:val="20"/>
                <w:szCs w:val="20"/>
              </w:rPr>
            </w:pPr>
          </w:p>
        </w:tc>
        <w:tc>
          <w:tcPr>
            <w:tcW w:w="50" w:type="pct"/>
            <w:vAlign w:val="center"/>
            <w:hideMark/>
          </w:tcPr>
          <w:p w14:paraId="554ACABB" w14:textId="77777777" w:rsidR="00000000" w:rsidRDefault="0068293C">
            <w:pPr>
              <w:spacing w:after="100"/>
              <w:rPr>
                <w:rFonts w:eastAsia="Times New Roman"/>
                <w:sz w:val="20"/>
                <w:szCs w:val="20"/>
              </w:rPr>
            </w:pPr>
          </w:p>
        </w:tc>
        <w:tc>
          <w:tcPr>
            <w:tcW w:w="529" w:type="pct"/>
            <w:vAlign w:val="center"/>
            <w:hideMark/>
          </w:tcPr>
          <w:p w14:paraId="31504239" w14:textId="77777777" w:rsidR="00000000" w:rsidRDefault="0068293C">
            <w:pPr>
              <w:spacing w:after="100"/>
              <w:rPr>
                <w:rFonts w:eastAsia="Times New Roman"/>
                <w:sz w:val="20"/>
                <w:szCs w:val="20"/>
              </w:rPr>
            </w:pPr>
          </w:p>
        </w:tc>
        <w:tc>
          <w:tcPr>
            <w:tcW w:w="5" w:type="pct"/>
            <w:vAlign w:val="center"/>
            <w:hideMark/>
          </w:tcPr>
          <w:p w14:paraId="6F0959D3" w14:textId="77777777" w:rsidR="00000000" w:rsidRDefault="0068293C">
            <w:pPr>
              <w:spacing w:after="100"/>
              <w:rPr>
                <w:rFonts w:eastAsia="Times New Roman"/>
                <w:sz w:val="20"/>
                <w:szCs w:val="20"/>
              </w:rPr>
            </w:pPr>
          </w:p>
        </w:tc>
        <w:tc>
          <w:tcPr>
            <w:tcW w:w="5" w:type="pct"/>
            <w:vAlign w:val="center"/>
            <w:hideMark/>
          </w:tcPr>
          <w:p w14:paraId="54C7DAAE" w14:textId="77777777" w:rsidR="00000000" w:rsidRDefault="0068293C">
            <w:pPr>
              <w:spacing w:after="100"/>
              <w:rPr>
                <w:rFonts w:eastAsia="Times New Roman"/>
                <w:sz w:val="20"/>
                <w:szCs w:val="20"/>
              </w:rPr>
            </w:pPr>
          </w:p>
        </w:tc>
        <w:tc>
          <w:tcPr>
            <w:tcW w:w="26" w:type="pct"/>
            <w:vAlign w:val="center"/>
            <w:hideMark/>
          </w:tcPr>
          <w:p w14:paraId="121D15C3" w14:textId="77777777" w:rsidR="00000000" w:rsidRDefault="0068293C">
            <w:pPr>
              <w:spacing w:after="100"/>
              <w:rPr>
                <w:rFonts w:eastAsia="Times New Roman"/>
                <w:sz w:val="20"/>
                <w:szCs w:val="20"/>
              </w:rPr>
            </w:pPr>
          </w:p>
        </w:tc>
        <w:tc>
          <w:tcPr>
            <w:tcW w:w="5" w:type="pct"/>
            <w:vAlign w:val="center"/>
            <w:hideMark/>
          </w:tcPr>
          <w:p w14:paraId="00D8976F" w14:textId="77777777" w:rsidR="00000000" w:rsidRDefault="0068293C">
            <w:pPr>
              <w:spacing w:after="100"/>
              <w:rPr>
                <w:rFonts w:eastAsia="Times New Roman"/>
                <w:sz w:val="20"/>
                <w:szCs w:val="20"/>
              </w:rPr>
            </w:pPr>
          </w:p>
        </w:tc>
        <w:tc>
          <w:tcPr>
            <w:tcW w:w="50" w:type="pct"/>
            <w:vAlign w:val="center"/>
            <w:hideMark/>
          </w:tcPr>
          <w:p w14:paraId="10363CA4" w14:textId="77777777" w:rsidR="00000000" w:rsidRDefault="0068293C">
            <w:pPr>
              <w:spacing w:after="100"/>
              <w:rPr>
                <w:rFonts w:eastAsia="Times New Roman"/>
                <w:sz w:val="20"/>
                <w:szCs w:val="20"/>
              </w:rPr>
            </w:pPr>
          </w:p>
        </w:tc>
        <w:tc>
          <w:tcPr>
            <w:tcW w:w="559" w:type="pct"/>
            <w:vAlign w:val="center"/>
            <w:hideMark/>
          </w:tcPr>
          <w:p w14:paraId="0BC125B7" w14:textId="77777777" w:rsidR="00000000" w:rsidRDefault="0068293C">
            <w:pPr>
              <w:spacing w:after="100"/>
              <w:rPr>
                <w:rFonts w:eastAsia="Times New Roman"/>
                <w:sz w:val="20"/>
                <w:szCs w:val="20"/>
              </w:rPr>
            </w:pPr>
          </w:p>
        </w:tc>
        <w:tc>
          <w:tcPr>
            <w:tcW w:w="5" w:type="pct"/>
            <w:vAlign w:val="center"/>
            <w:hideMark/>
          </w:tcPr>
          <w:p w14:paraId="0BD09D10" w14:textId="77777777" w:rsidR="00000000" w:rsidRDefault="0068293C">
            <w:pPr>
              <w:spacing w:after="100"/>
              <w:rPr>
                <w:rFonts w:eastAsia="Times New Roman"/>
                <w:sz w:val="20"/>
                <w:szCs w:val="20"/>
              </w:rPr>
            </w:pPr>
          </w:p>
        </w:tc>
        <w:tc>
          <w:tcPr>
            <w:tcW w:w="5" w:type="pct"/>
            <w:vAlign w:val="center"/>
            <w:hideMark/>
          </w:tcPr>
          <w:p w14:paraId="5D2613CA" w14:textId="77777777" w:rsidR="00000000" w:rsidRDefault="0068293C">
            <w:pPr>
              <w:spacing w:after="100"/>
              <w:rPr>
                <w:rFonts w:eastAsia="Times New Roman"/>
                <w:sz w:val="20"/>
                <w:szCs w:val="20"/>
              </w:rPr>
            </w:pPr>
          </w:p>
        </w:tc>
        <w:tc>
          <w:tcPr>
            <w:tcW w:w="19" w:type="pct"/>
            <w:vAlign w:val="center"/>
            <w:hideMark/>
          </w:tcPr>
          <w:p w14:paraId="18D20B95" w14:textId="77777777" w:rsidR="00000000" w:rsidRDefault="0068293C">
            <w:pPr>
              <w:spacing w:after="100"/>
              <w:rPr>
                <w:rFonts w:eastAsia="Times New Roman"/>
                <w:sz w:val="20"/>
                <w:szCs w:val="20"/>
              </w:rPr>
            </w:pPr>
          </w:p>
        </w:tc>
        <w:tc>
          <w:tcPr>
            <w:tcW w:w="5" w:type="pct"/>
            <w:vAlign w:val="center"/>
            <w:hideMark/>
          </w:tcPr>
          <w:p w14:paraId="4D13112B" w14:textId="77777777" w:rsidR="00000000" w:rsidRDefault="0068293C">
            <w:pPr>
              <w:spacing w:after="100"/>
              <w:rPr>
                <w:rFonts w:eastAsia="Times New Roman"/>
                <w:sz w:val="20"/>
                <w:szCs w:val="20"/>
              </w:rPr>
            </w:pPr>
          </w:p>
        </w:tc>
        <w:tc>
          <w:tcPr>
            <w:tcW w:w="50" w:type="pct"/>
            <w:vAlign w:val="center"/>
            <w:hideMark/>
          </w:tcPr>
          <w:p w14:paraId="6F8687BE" w14:textId="77777777" w:rsidR="00000000" w:rsidRDefault="0068293C">
            <w:pPr>
              <w:spacing w:after="100"/>
              <w:rPr>
                <w:rFonts w:eastAsia="Times New Roman"/>
                <w:sz w:val="20"/>
                <w:szCs w:val="20"/>
              </w:rPr>
            </w:pPr>
          </w:p>
        </w:tc>
        <w:tc>
          <w:tcPr>
            <w:tcW w:w="529" w:type="pct"/>
            <w:vAlign w:val="center"/>
            <w:hideMark/>
          </w:tcPr>
          <w:p w14:paraId="17127E29" w14:textId="77777777" w:rsidR="00000000" w:rsidRDefault="0068293C">
            <w:pPr>
              <w:spacing w:after="100"/>
              <w:rPr>
                <w:rFonts w:eastAsia="Times New Roman"/>
                <w:sz w:val="20"/>
                <w:szCs w:val="20"/>
              </w:rPr>
            </w:pPr>
          </w:p>
        </w:tc>
        <w:tc>
          <w:tcPr>
            <w:tcW w:w="5" w:type="pct"/>
            <w:vAlign w:val="center"/>
            <w:hideMark/>
          </w:tcPr>
          <w:p w14:paraId="3B7EA15E" w14:textId="77777777" w:rsidR="00000000" w:rsidRDefault="0068293C">
            <w:pPr>
              <w:spacing w:after="100"/>
              <w:rPr>
                <w:rFonts w:eastAsia="Times New Roman"/>
                <w:sz w:val="20"/>
                <w:szCs w:val="20"/>
              </w:rPr>
            </w:pPr>
          </w:p>
        </w:tc>
        <w:tc>
          <w:tcPr>
            <w:tcW w:w="5" w:type="pct"/>
            <w:vAlign w:val="center"/>
            <w:hideMark/>
          </w:tcPr>
          <w:p w14:paraId="04016F04" w14:textId="77777777" w:rsidR="00000000" w:rsidRDefault="0068293C">
            <w:pPr>
              <w:spacing w:after="100"/>
              <w:rPr>
                <w:rFonts w:eastAsia="Times New Roman"/>
                <w:sz w:val="20"/>
                <w:szCs w:val="20"/>
              </w:rPr>
            </w:pPr>
          </w:p>
        </w:tc>
        <w:tc>
          <w:tcPr>
            <w:tcW w:w="19" w:type="pct"/>
            <w:vAlign w:val="center"/>
            <w:hideMark/>
          </w:tcPr>
          <w:p w14:paraId="460C9417" w14:textId="77777777" w:rsidR="00000000" w:rsidRDefault="0068293C">
            <w:pPr>
              <w:spacing w:after="100"/>
              <w:rPr>
                <w:rFonts w:eastAsia="Times New Roman"/>
                <w:sz w:val="20"/>
                <w:szCs w:val="20"/>
              </w:rPr>
            </w:pPr>
          </w:p>
        </w:tc>
        <w:tc>
          <w:tcPr>
            <w:tcW w:w="5" w:type="pct"/>
            <w:vAlign w:val="center"/>
            <w:hideMark/>
          </w:tcPr>
          <w:p w14:paraId="6B9A1390" w14:textId="77777777" w:rsidR="00000000" w:rsidRDefault="0068293C">
            <w:pPr>
              <w:spacing w:after="100"/>
              <w:rPr>
                <w:rFonts w:eastAsia="Times New Roman"/>
                <w:sz w:val="20"/>
                <w:szCs w:val="20"/>
              </w:rPr>
            </w:pPr>
          </w:p>
        </w:tc>
        <w:tc>
          <w:tcPr>
            <w:tcW w:w="50" w:type="pct"/>
            <w:vAlign w:val="center"/>
            <w:hideMark/>
          </w:tcPr>
          <w:p w14:paraId="10ED7A05" w14:textId="77777777" w:rsidR="00000000" w:rsidRDefault="0068293C">
            <w:pPr>
              <w:spacing w:after="100"/>
              <w:rPr>
                <w:rFonts w:eastAsia="Times New Roman"/>
                <w:sz w:val="20"/>
                <w:szCs w:val="20"/>
              </w:rPr>
            </w:pPr>
          </w:p>
        </w:tc>
        <w:tc>
          <w:tcPr>
            <w:tcW w:w="529" w:type="pct"/>
            <w:vAlign w:val="center"/>
            <w:hideMark/>
          </w:tcPr>
          <w:p w14:paraId="016ECB4A" w14:textId="77777777" w:rsidR="00000000" w:rsidRDefault="0068293C">
            <w:pPr>
              <w:spacing w:after="100"/>
              <w:rPr>
                <w:rFonts w:eastAsia="Times New Roman"/>
                <w:sz w:val="20"/>
                <w:szCs w:val="20"/>
              </w:rPr>
            </w:pPr>
          </w:p>
        </w:tc>
        <w:tc>
          <w:tcPr>
            <w:tcW w:w="5" w:type="pct"/>
            <w:vAlign w:val="center"/>
            <w:hideMark/>
          </w:tcPr>
          <w:p w14:paraId="12799593" w14:textId="77777777" w:rsidR="00000000" w:rsidRDefault="0068293C">
            <w:pPr>
              <w:spacing w:after="100"/>
              <w:rPr>
                <w:rFonts w:eastAsia="Times New Roman"/>
                <w:sz w:val="20"/>
                <w:szCs w:val="20"/>
              </w:rPr>
            </w:pPr>
          </w:p>
        </w:tc>
        <w:tc>
          <w:tcPr>
            <w:tcW w:w="5" w:type="pct"/>
            <w:vAlign w:val="center"/>
            <w:hideMark/>
          </w:tcPr>
          <w:p w14:paraId="5D6BEB03" w14:textId="77777777" w:rsidR="00000000" w:rsidRDefault="0068293C">
            <w:pPr>
              <w:spacing w:after="100"/>
              <w:rPr>
                <w:rFonts w:eastAsia="Times New Roman"/>
                <w:sz w:val="20"/>
                <w:szCs w:val="20"/>
              </w:rPr>
            </w:pPr>
          </w:p>
        </w:tc>
        <w:tc>
          <w:tcPr>
            <w:tcW w:w="19" w:type="pct"/>
            <w:vAlign w:val="center"/>
            <w:hideMark/>
          </w:tcPr>
          <w:p w14:paraId="1023C9CB" w14:textId="77777777" w:rsidR="00000000" w:rsidRDefault="0068293C">
            <w:pPr>
              <w:spacing w:after="100"/>
              <w:rPr>
                <w:rFonts w:eastAsia="Times New Roman"/>
                <w:sz w:val="20"/>
                <w:szCs w:val="20"/>
              </w:rPr>
            </w:pPr>
          </w:p>
        </w:tc>
        <w:tc>
          <w:tcPr>
            <w:tcW w:w="5" w:type="pct"/>
            <w:vAlign w:val="center"/>
            <w:hideMark/>
          </w:tcPr>
          <w:p w14:paraId="4801178F" w14:textId="77777777" w:rsidR="00000000" w:rsidRDefault="0068293C">
            <w:pPr>
              <w:spacing w:after="100"/>
              <w:rPr>
                <w:rFonts w:eastAsia="Times New Roman"/>
                <w:sz w:val="20"/>
                <w:szCs w:val="20"/>
              </w:rPr>
            </w:pPr>
          </w:p>
        </w:tc>
        <w:tc>
          <w:tcPr>
            <w:tcW w:w="50" w:type="pct"/>
            <w:vAlign w:val="center"/>
            <w:hideMark/>
          </w:tcPr>
          <w:p w14:paraId="6CF1A63C" w14:textId="77777777" w:rsidR="00000000" w:rsidRDefault="0068293C">
            <w:pPr>
              <w:spacing w:after="100"/>
              <w:rPr>
                <w:rFonts w:eastAsia="Times New Roman"/>
                <w:sz w:val="20"/>
                <w:szCs w:val="20"/>
              </w:rPr>
            </w:pPr>
          </w:p>
        </w:tc>
        <w:tc>
          <w:tcPr>
            <w:tcW w:w="522" w:type="pct"/>
            <w:vAlign w:val="center"/>
            <w:hideMark/>
          </w:tcPr>
          <w:p w14:paraId="0D832B1C" w14:textId="77777777" w:rsidR="00000000" w:rsidRDefault="0068293C">
            <w:pPr>
              <w:spacing w:after="100"/>
              <w:rPr>
                <w:rFonts w:eastAsia="Times New Roman"/>
                <w:sz w:val="20"/>
                <w:szCs w:val="20"/>
              </w:rPr>
            </w:pPr>
          </w:p>
        </w:tc>
        <w:tc>
          <w:tcPr>
            <w:tcW w:w="5" w:type="pct"/>
            <w:vAlign w:val="center"/>
            <w:hideMark/>
          </w:tcPr>
          <w:p w14:paraId="7C198671" w14:textId="77777777" w:rsidR="00000000" w:rsidRDefault="0068293C">
            <w:pPr>
              <w:spacing w:after="100"/>
              <w:rPr>
                <w:rFonts w:eastAsia="Times New Roman"/>
                <w:sz w:val="20"/>
                <w:szCs w:val="20"/>
              </w:rPr>
            </w:pPr>
          </w:p>
        </w:tc>
      </w:tr>
      <w:tr w:rsidR="00000000" w14:paraId="40FE8F30" w14:textId="77777777">
        <w:tc>
          <w:tcPr>
            <w:tcW w:w="0" w:type="auto"/>
            <w:gridSpan w:val="3"/>
            <w:shd w:val="clear" w:color="auto" w:fill="FFFFFF"/>
            <w:tcMar>
              <w:top w:w="0" w:type="dxa"/>
              <w:left w:w="20" w:type="dxa"/>
              <w:bottom w:w="0" w:type="dxa"/>
              <w:right w:w="20" w:type="dxa"/>
            </w:tcMar>
            <w:vAlign w:val="center"/>
            <w:hideMark/>
          </w:tcPr>
          <w:p w14:paraId="29402EBD"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DC787"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28EC48BB"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shd w:val="clear" w:color="auto" w:fill="FFFFFF"/>
            <w:tcMar>
              <w:top w:w="0" w:type="dxa"/>
              <w:left w:w="20" w:type="dxa"/>
              <w:bottom w:w="0" w:type="dxa"/>
              <w:right w:w="20" w:type="dxa"/>
            </w:tcMar>
            <w:vAlign w:val="center"/>
            <w:hideMark/>
          </w:tcPr>
          <w:p w14:paraId="0BAEFABD" w14:textId="77777777" w:rsidR="00000000" w:rsidRDefault="0068293C">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14:paraId="52D5DF1A" w14:textId="77777777" w:rsidR="00000000" w:rsidRDefault="0068293C">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14:paraId="71DCDC5B"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56411B8F" w14:textId="77777777">
        <w:tc>
          <w:tcPr>
            <w:tcW w:w="0" w:type="auto"/>
            <w:gridSpan w:val="3"/>
            <w:tcMar>
              <w:top w:w="30" w:type="dxa"/>
              <w:left w:w="20" w:type="dxa"/>
              <w:bottom w:w="30" w:type="dxa"/>
              <w:right w:w="20" w:type="dxa"/>
            </w:tcMar>
            <w:vAlign w:val="bottom"/>
            <w:hideMark/>
          </w:tcPr>
          <w:p w14:paraId="00C7EF4C"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1133D555"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8BE37E"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DA30DEF"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5A7204"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FD4B9C6"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E7D537"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EEB9B97"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BCA607"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33A40E6"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D86FAD" w14:textId="77777777" w:rsidR="00000000" w:rsidRDefault="0068293C">
            <w:pPr>
              <w:spacing w:after="100"/>
              <w:jc w:val="center"/>
              <w:rPr>
                <w:rFonts w:eastAsia="Times New Roman"/>
              </w:rPr>
            </w:pPr>
            <w:r>
              <w:rPr>
                <w:rFonts w:eastAsia="Times New Roman"/>
                <w:b/>
                <w:bCs/>
                <w:color w:val="000000"/>
                <w:sz w:val="16"/>
                <w:szCs w:val="16"/>
              </w:rPr>
              <w:t>2022 vs 2021</w:t>
            </w:r>
          </w:p>
        </w:tc>
      </w:tr>
      <w:tr w:rsidR="00000000" w14:paraId="47176958" w14:textId="77777777">
        <w:tc>
          <w:tcPr>
            <w:tcW w:w="0" w:type="auto"/>
            <w:gridSpan w:val="3"/>
            <w:shd w:val="clear" w:color="auto" w:fill="CCEEFF"/>
            <w:tcMar>
              <w:top w:w="30" w:type="dxa"/>
              <w:left w:w="20" w:type="dxa"/>
              <w:bottom w:w="30" w:type="dxa"/>
              <w:right w:w="20" w:type="dxa"/>
            </w:tcMar>
            <w:hideMark/>
          </w:tcPr>
          <w:p w14:paraId="1ACB2361" w14:textId="77777777" w:rsidR="00000000" w:rsidRDefault="0068293C">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14:paraId="7E18FF53"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08111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851FAF" w14:textId="77777777" w:rsidR="00000000" w:rsidRDefault="0068293C">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1D657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AB830"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08CC1F"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8BB46D" w14:textId="77777777" w:rsidR="00000000" w:rsidRDefault="0068293C">
            <w:pPr>
              <w:spacing w:after="100"/>
              <w:jc w:val="right"/>
              <w:rPr>
                <w:rFonts w:eastAsia="Times New Roman"/>
              </w:rPr>
            </w:pPr>
            <w:r>
              <w:rPr>
                <w:rFonts w:eastAsia="Times New Roman"/>
                <w:color w:val="000000"/>
                <w:sz w:val="20"/>
                <w:szCs w:val="20"/>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959A6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15554"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4377A5" w14:textId="77777777" w:rsidR="00000000" w:rsidRDefault="0068293C">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1BFA6"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131FA74"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6201FE" w14:textId="77777777" w:rsidR="00000000" w:rsidRDefault="0068293C">
            <w:pPr>
              <w:spacing w:after="100"/>
              <w:jc w:val="right"/>
              <w:rPr>
                <w:rFonts w:eastAsia="Times New Roman"/>
              </w:rPr>
            </w:pPr>
            <w:r>
              <w:rPr>
                <w:rFonts w:eastAsia="Times New Roman"/>
                <w:color w:val="000000"/>
                <w:sz w:val="20"/>
                <w:szCs w:val="20"/>
              </w:rPr>
              <w:t>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F33C8D"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D66A772"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327910" w14:textId="77777777" w:rsidR="00000000" w:rsidRDefault="0068293C">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5B1A94" w14:textId="77777777" w:rsidR="00000000" w:rsidRDefault="0068293C">
            <w:pPr>
              <w:spacing w:after="100"/>
              <w:jc w:val="right"/>
              <w:rPr>
                <w:rFonts w:eastAsia="Times New Roman"/>
              </w:rPr>
            </w:pPr>
            <w:r>
              <w:rPr>
                <w:rFonts w:eastAsia="Times New Roman"/>
                <w:color w:val="000000"/>
                <w:sz w:val="20"/>
                <w:szCs w:val="20"/>
              </w:rPr>
              <w:t>%</w:t>
            </w:r>
          </w:p>
        </w:tc>
      </w:tr>
      <w:tr w:rsidR="00000000" w14:paraId="62073DEF" w14:textId="77777777">
        <w:tc>
          <w:tcPr>
            <w:tcW w:w="0" w:type="auto"/>
            <w:gridSpan w:val="3"/>
            <w:shd w:val="clear" w:color="auto" w:fill="FFFFFF"/>
            <w:tcMar>
              <w:top w:w="30" w:type="dxa"/>
              <w:left w:w="20" w:type="dxa"/>
              <w:bottom w:w="30" w:type="dxa"/>
              <w:right w:w="20" w:type="dxa"/>
            </w:tcMar>
            <w:hideMark/>
          </w:tcPr>
          <w:p w14:paraId="68313D0B" w14:textId="77777777" w:rsidR="00000000" w:rsidRDefault="0068293C">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14:paraId="43FFB44D"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B4B7A1" w14:textId="77777777" w:rsidR="00000000" w:rsidRDefault="0068293C">
            <w:pPr>
              <w:spacing w:after="100"/>
              <w:jc w:val="right"/>
              <w:rPr>
                <w:rFonts w:eastAsia="Times New Roman"/>
              </w:rPr>
            </w:pPr>
            <w:r>
              <w:rPr>
                <w:rFonts w:eastAsia="Times New Roman"/>
                <w:b/>
                <w:bCs/>
                <w:color w:val="000000"/>
                <w:sz w:val="20"/>
                <w:szCs w:val="20"/>
              </w:rPr>
              <w:t>1,350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F5642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0A6CE"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BF6DE" w14:textId="77777777" w:rsidR="00000000" w:rsidRDefault="0068293C">
            <w:pPr>
              <w:spacing w:after="100"/>
              <w:jc w:val="right"/>
              <w:rPr>
                <w:rFonts w:eastAsia="Times New Roman"/>
              </w:rPr>
            </w:pPr>
            <w:r>
              <w:rPr>
                <w:rFonts w:eastAsia="Times New Roman"/>
                <w:color w:val="000000"/>
                <w:sz w:val="20"/>
                <w:szCs w:val="20"/>
              </w:rPr>
              <w:t>1,062 </w:t>
            </w:r>
          </w:p>
        </w:tc>
        <w:tc>
          <w:tcPr>
            <w:tcW w:w="0" w:type="auto"/>
            <w:shd w:val="clear" w:color="auto" w:fill="FFFFFF"/>
            <w:tcMar>
              <w:top w:w="30" w:type="dxa"/>
              <w:left w:w="0" w:type="dxa"/>
              <w:bottom w:w="30" w:type="dxa"/>
              <w:right w:w="20" w:type="dxa"/>
            </w:tcMar>
            <w:vAlign w:val="bottom"/>
            <w:hideMark/>
          </w:tcPr>
          <w:p w14:paraId="6D9A67C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D3CC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616A58" w14:textId="77777777" w:rsidR="00000000" w:rsidRDefault="0068293C">
            <w:pPr>
              <w:spacing w:after="100"/>
              <w:jc w:val="right"/>
              <w:rPr>
                <w:rFonts w:eastAsia="Times New Roman"/>
              </w:rPr>
            </w:pPr>
            <w:r>
              <w:rPr>
                <w:rFonts w:eastAsia="Times New Roman"/>
                <w:b/>
                <w:bCs/>
                <w:color w:val="000000"/>
                <w:sz w:val="20"/>
                <w:szCs w:val="20"/>
              </w:rPr>
              <w:t>72.3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3999D3"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CEDDB1"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1B7EF5" w14:textId="77777777" w:rsidR="00000000" w:rsidRDefault="0068293C">
            <w:pPr>
              <w:spacing w:after="100"/>
              <w:jc w:val="right"/>
              <w:rPr>
                <w:rFonts w:eastAsia="Times New Roman"/>
              </w:rPr>
            </w:pPr>
            <w:r>
              <w:rPr>
                <w:rFonts w:eastAsia="Times New Roman"/>
                <w:color w:val="000000"/>
                <w:sz w:val="20"/>
                <w:szCs w:val="20"/>
              </w:rPr>
              <w:t>68.8 </w:t>
            </w:r>
          </w:p>
        </w:tc>
        <w:tc>
          <w:tcPr>
            <w:tcW w:w="0" w:type="auto"/>
            <w:shd w:val="clear" w:color="auto" w:fill="FFFFFF"/>
            <w:tcMar>
              <w:top w:w="30" w:type="dxa"/>
              <w:left w:w="0" w:type="dxa"/>
              <w:bottom w:w="30" w:type="dxa"/>
              <w:right w:w="20" w:type="dxa"/>
            </w:tcMar>
            <w:vAlign w:val="bottom"/>
            <w:hideMark/>
          </w:tcPr>
          <w:p w14:paraId="08E24491"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B6D1932"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6C834B" w14:textId="77777777" w:rsidR="00000000" w:rsidRDefault="0068293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04F5BAAD" w14:textId="77777777" w:rsidR="00000000" w:rsidRDefault="0068293C">
            <w:pPr>
              <w:spacing w:after="100"/>
              <w:jc w:val="right"/>
              <w:rPr>
                <w:rFonts w:eastAsia="Times New Roman"/>
              </w:rPr>
            </w:pPr>
            <w:r>
              <w:rPr>
                <w:rFonts w:eastAsia="Times New Roman"/>
                <w:color w:val="000000"/>
                <w:sz w:val="20"/>
                <w:szCs w:val="20"/>
              </w:rPr>
              <w:t>%</w:t>
            </w:r>
          </w:p>
        </w:tc>
      </w:tr>
      <w:tr w:rsidR="00000000" w14:paraId="0C558DC1" w14:textId="77777777">
        <w:tc>
          <w:tcPr>
            <w:tcW w:w="0" w:type="auto"/>
            <w:gridSpan w:val="3"/>
            <w:shd w:val="clear" w:color="auto" w:fill="CCEEFF"/>
            <w:tcMar>
              <w:top w:w="30" w:type="dxa"/>
              <w:left w:w="20" w:type="dxa"/>
              <w:bottom w:w="30" w:type="dxa"/>
              <w:right w:w="20" w:type="dxa"/>
            </w:tcMar>
            <w:hideMark/>
          </w:tcPr>
          <w:p w14:paraId="4ADFF7C7" w14:textId="77777777" w:rsidR="00000000" w:rsidRDefault="0068293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0D317419" w14:textId="77777777" w:rsidR="00000000" w:rsidRDefault="0068293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3F9EA7"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B62FA7"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4F025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9BA4A"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0C9E4D"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219549"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68FCE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A9BE8" w14:textId="77777777" w:rsidR="00000000" w:rsidRDefault="006829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FBEE66" w14:textId="77777777" w:rsidR="00000000" w:rsidRDefault="0068293C">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F56DBD"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27FA55C"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F768A6" w14:textId="77777777" w:rsidR="00000000" w:rsidRDefault="0068293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76AB48"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95C730"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077B10" w14:textId="77777777" w:rsidR="00000000" w:rsidRDefault="0068293C">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09141E" w14:textId="77777777" w:rsidR="00000000" w:rsidRDefault="0068293C">
            <w:pPr>
              <w:spacing w:after="100"/>
              <w:jc w:val="right"/>
              <w:rPr>
                <w:rFonts w:eastAsia="Times New Roman"/>
              </w:rPr>
            </w:pPr>
            <w:r>
              <w:rPr>
                <w:rFonts w:eastAsia="Times New Roman"/>
                <w:color w:val="000000"/>
                <w:sz w:val="20"/>
                <w:szCs w:val="20"/>
              </w:rPr>
              <w:t>%</w:t>
            </w:r>
          </w:p>
        </w:tc>
      </w:tr>
    </w:tbl>
    <w:p w14:paraId="492BEA32" w14:textId="77777777" w:rsidR="00000000" w:rsidRDefault="0068293C">
      <w:pPr>
        <w:jc w:val="both"/>
        <w:rPr>
          <w:rFonts w:eastAsia="Times New Roman"/>
        </w:rPr>
      </w:pPr>
    </w:p>
    <w:p w14:paraId="34C46C23" w14:textId="77777777" w:rsidR="00000000" w:rsidRDefault="0068293C">
      <w:pPr>
        <w:jc w:val="both"/>
        <w:rPr>
          <w:rFonts w:eastAsia="Times New Roman"/>
        </w:rPr>
      </w:pPr>
    </w:p>
    <w:p w14:paraId="6E754ABC" w14:textId="77777777" w:rsidR="00000000" w:rsidRDefault="0068293C">
      <w:pPr>
        <w:jc w:val="both"/>
        <w:rPr>
          <w:rFonts w:eastAsia="Times New Roman"/>
        </w:rPr>
      </w:pPr>
      <w:r>
        <w:rPr>
          <w:rFonts w:eastAsia="Times New Roman"/>
          <w:color w:val="000000"/>
          <w:sz w:val="20"/>
          <w:szCs w:val="20"/>
        </w:rPr>
        <w:t>Product revenue in</w:t>
      </w:r>
      <w:r>
        <w:rPr>
          <w:rFonts w:eastAsia="Times New Roman"/>
          <w:color w:val="000000"/>
          <w:sz w:val="20"/>
          <w:szCs w:val="20"/>
        </w:rPr>
        <w:t>cludes our hardware and software license revenue streams. Service revenue includes hardware and software maintenance revenue, implementation services revenue, cloud revenue, payments processing revenue, interchange and network revenue, as well as professio</w:t>
      </w:r>
      <w:r>
        <w:rPr>
          <w:rFonts w:eastAsia="Times New Roman"/>
          <w:color w:val="000000"/>
          <w:sz w:val="20"/>
          <w:szCs w:val="20"/>
        </w:rPr>
        <w:t>nal services revenue.</w:t>
      </w:r>
    </w:p>
    <w:p w14:paraId="24C10E34" w14:textId="77777777" w:rsidR="00000000" w:rsidRDefault="0068293C">
      <w:pPr>
        <w:jc w:val="both"/>
        <w:rPr>
          <w:rFonts w:eastAsia="Times New Roman"/>
        </w:rPr>
      </w:pPr>
    </w:p>
    <w:p w14:paraId="1D4A96C4" w14:textId="77777777" w:rsidR="00000000" w:rsidRDefault="0068293C">
      <w:pPr>
        <w:jc w:val="both"/>
        <w:rPr>
          <w:rFonts w:eastAsia="Times New Roman"/>
        </w:rPr>
      </w:pPr>
      <w:r>
        <w:rPr>
          <w:rFonts w:eastAsia="Times New Roman"/>
          <w:i/>
          <w:iCs/>
          <w:color w:val="000000"/>
          <w:sz w:val="20"/>
          <w:szCs w:val="20"/>
        </w:rPr>
        <w:t>For</w:t>
      </w:r>
      <w:r>
        <w:rPr>
          <w:rFonts w:eastAsia="Times New Roman"/>
          <w:color w:val="000000"/>
          <w:sz w:val="20"/>
          <w:szCs w:val="20"/>
        </w:rPr>
        <w:t xml:space="preserve"> </w:t>
      </w:r>
      <w:r>
        <w:rPr>
          <w:rFonts w:eastAsia="Times New Roman"/>
          <w:i/>
          <w:iCs/>
          <w:color w:val="000000"/>
          <w:sz w:val="20"/>
          <w:szCs w:val="20"/>
        </w:rPr>
        <w:t>the three months ended March 31, 2022 compared to the three months ended March 31, 2021</w:t>
      </w:r>
    </w:p>
    <w:p w14:paraId="5186A7AE" w14:textId="77777777" w:rsidR="00000000" w:rsidRDefault="0068293C">
      <w:pPr>
        <w:jc w:val="both"/>
        <w:rPr>
          <w:rFonts w:eastAsia="Times New Roman"/>
        </w:rPr>
      </w:pPr>
    </w:p>
    <w:p w14:paraId="35DBAD2E" w14:textId="77777777" w:rsidR="00000000" w:rsidRDefault="0068293C">
      <w:pPr>
        <w:jc w:val="both"/>
        <w:rPr>
          <w:rFonts w:eastAsia="Times New Roman"/>
        </w:rPr>
      </w:pPr>
      <w:r>
        <w:rPr>
          <w:rFonts w:eastAsia="Times New Roman"/>
          <w:color w:val="000000"/>
          <w:sz w:val="20"/>
          <w:szCs w:val="20"/>
        </w:rPr>
        <w:t>Total revenue increased 21% for the three months ended March 31, 2022 compared to the three months ended March 31, 2021. Product revenue f</w:t>
      </w:r>
      <w:r>
        <w:rPr>
          <w:rFonts w:eastAsia="Times New Roman"/>
          <w:color w:val="000000"/>
          <w:sz w:val="20"/>
          <w:szCs w:val="20"/>
        </w:rPr>
        <w:t>or the three months ended March 31, 2022 increased 7% compared to the three months ended March 31, 2021 due to growth in SCO and POS revenue partially offset by a decline in ATM revenue. Service revenue for the three months ended March 31, 2022 increased 2</w:t>
      </w:r>
      <w:r>
        <w:rPr>
          <w:rFonts w:eastAsia="Times New Roman"/>
          <w:color w:val="000000"/>
          <w:sz w:val="20"/>
          <w:szCs w:val="20"/>
        </w:rPr>
        <w:t xml:space="preserve">7% due to growth in software related services, which includes the results of Cardtronics, and hardware maintenance. </w:t>
      </w:r>
    </w:p>
    <w:p w14:paraId="478F97ED" w14:textId="77777777" w:rsidR="00000000" w:rsidRDefault="0068293C">
      <w:pPr>
        <w:jc w:val="both"/>
        <w:rPr>
          <w:rFonts w:eastAsia="Times New Roman"/>
        </w:rPr>
      </w:pPr>
    </w:p>
    <w:p w14:paraId="6AC42D3F" w14:textId="77777777" w:rsidR="00000000" w:rsidRDefault="0068293C">
      <w:pPr>
        <w:jc w:val="both"/>
        <w:rPr>
          <w:rFonts w:eastAsia="Times New Roman"/>
        </w:rPr>
      </w:pPr>
    </w:p>
    <w:p w14:paraId="0308B50A" w14:textId="77777777" w:rsidR="00000000" w:rsidRDefault="0068293C">
      <w:pPr>
        <w:jc w:val="both"/>
        <w:rPr>
          <w:rFonts w:eastAsia="Times New Roman"/>
        </w:rPr>
      </w:pPr>
    </w:p>
    <w:p w14:paraId="0015EA5F" w14:textId="77777777" w:rsidR="00000000" w:rsidRDefault="0068293C">
      <w:pPr>
        <w:jc w:val="both"/>
        <w:rPr>
          <w:rFonts w:eastAsia="Times New Roman"/>
        </w:rPr>
      </w:pPr>
      <w:r>
        <w:rPr>
          <w:rFonts w:eastAsia="Times New Roman"/>
          <w:b/>
          <w:bCs/>
          <w:color w:val="000000"/>
          <w:sz w:val="20"/>
          <w:szCs w:val="20"/>
        </w:rPr>
        <w:t>Gross Margin</w:t>
      </w:r>
    </w:p>
    <w:tbl>
      <w:tblPr>
        <w:tblW w:w="4970" w:type="pct"/>
        <w:tblCellMar>
          <w:top w:w="15" w:type="dxa"/>
          <w:left w:w="15" w:type="dxa"/>
          <w:bottom w:w="15" w:type="dxa"/>
          <w:right w:w="15" w:type="dxa"/>
        </w:tblCellMar>
        <w:tblLook w:val="04A0" w:firstRow="1" w:lastRow="0" w:firstColumn="1" w:lastColumn="0" w:noHBand="0" w:noVBand="1"/>
      </w:tblPr>
      <w:tblGrid>
        <w:gridCol w:w="38"/>
        <w:gridCol w:w="2865"/>
        <w:gridCol w:w="37"/>
        <w:gridCol w:w="36"/>
        <w:gridCol w:w="36"/>
        <w:gridCol w:w="36"/>
        <w:gridCol w:w="120"/>
        <w:gridCol w:w="836"/>
        <w:gridCol w:w="36"/>
        <w:gridCol w:w="36"/>
        <w:gridCol w:w="36"/>
        <w:gridCol w:w="36"/>
        <w:gridCol w:w="120"/>
        <w:gridCol w:w="701"/>
        <w:gridCol w:w="36"/>
        <w:gridCol w:w="36"/>
        <w:gridCol w:w="36"/>
        <w:gridCol w:w="36"/>
        <w:gridCol w:w="38"/>
        <w:gridCol w:w="739"/>
        <w:gridCol w:w="221"/>
        <w:gridCol w:w="37"/>
        <w:gridCol w:w="36"/>
        <w:gridCol w:w="36"/>
        <w:gridCol w:w="37"/>
        <w:gridCol w:w="727"/>
        <w:gridCol w:w="187"/>
        <w:gridCol w:w="36"/>
        <w:gridCol w:w="36"/>
        <w:gridCol w:w="36"/>
        <w:gridCol w:w="64"/>
        <w:gridCol w:w="726"/>
        <w:gridCol w:w="187"/>
      </w:tblGrid>
      <w:tr w:rsidR="00000000" w14:paraId="7DB8FE36" w14:textId="77777777">
        <w:tc>
          <w:tcPr>
            <w:tcW w:w="50" w:type="pct"/>
            <w:vAlign w:val="center"/>
            <w:hideMark/>
          </w:tcPr>
          <w:p w14:paraId="63CCF8A8" w14:textId="77777777" w:rsidR="00000000" w:rsidRDefault="0068293C">
            <w:pPr>
              <w:jc w:val="both"/>
              <w:rPr>
                <w:rFonts w:eastAsia="Times New Roman"/>
              </w:rPr>
            </w:pPr>
          </w:p>
        </w:tc>
        <w:tc>
          <w:tcPr>
            <w:tcW w:w="1820" w:type="pct"/>
            <w:vAlign w:val="center"/>
            <w:hideMark/>
          </w:tcPr>
          <w:p w14:paraId="496C3412" w14:textId="77777777" w:rsidR="00000000" w:rsidRDefault="0068293C">
            <w:pPr>
              <w:spacing w:after="100"/>
              <w:rPr>
                <w:rFonts w:eastAsia="Times New Roman"/>
                <w:sz w:val="20"/>
                <w:szCs w:val="20"/>
              </w:rPr>
            </w:pPr>
          </w:p>
        </w:tc>
        <w:tc>
          <w:tcPr>
            <w:tcW w:w="5" w:type="pct"/>
            <w:vAlign w:val="center"/>
            <w:hideMark/>
          </w:tcPr>
          <w:p w14:paraId="571666C9" w14:textId="77777777" w:rsidR="00000000" w:rsidRDefault="0068293C">
            <w:pPr>
              <w:spacing w:after="100"/>
              <w:rPr>
                <w:rFonts w:eastAsia="Times New Roman"/>
                <w:sz w:val="20"/>
                <w:szCs w:val="20"/>
              </w:rPr>
            </w:pPr>
          </w:p>
        </w:tc>
        <w:tc>
          <w:tcPr>
            <w:tcW w:w="5" w:type="pct"/>
            <w:vAlign w:val="center"/>
            <w:hideMark/>
          </w:tcPr>
          <w:p w14:paraId="11721B78" w14:textId="77777777" w:rsidR="00000000" w:rsidRDefault="0068293C">
            <w:pPr>
              <w:spacing w:after="100"/>
              <w:rPr>
                <w:rFonts w:eastAsia="Times New Roman"/>
                <w:sz w:val="20"/>
                <w:szCs w:val="20"/>
              </w:rPr>
            </w:pPr>
          </w:p>
        </w:tc>
        <w:tc>
          <w:tcPr>
            <w:tcW w:w="19" w:type="pct"/>
            <w:vAlign w:val="center"/>
            <w:hideMark/>
          </w:tcPr>
          <w:p w14:paraId="61947407" w14:textId="77777777" w:rsidR="00000000" w:rsidRDefault="0068293C">
            <w:pPr>
              <w:spacing w:after="100"/>
              <w:rPr>
                <w:rFonts w:eastAsia="Times New Roman"/>
                <w:sz w:val="20"/>
                <w:szCs w:val="20"/>
              </w:rPr>
            </w:pPr>
          </w:p>
        </w:tc>
        <w:tc>
          <w:tcPr>
            <w:tcW w:w="5" w:type="pct"/>
            <w:vAlign w:val="center"/>
            <w:hideMark/>
          </w:tcPr>
          <w:p w14:paraId="17341B8B" w14:textId="77777777" w:rsidR="00000000" w:rsidRDefault="0068293C">
            <w:pPr>
              <w:spacing w:after="100"/>
              <w:rPr>
                <w:rFonts w:eastAsia="Times New Roman"/>
                <w:sz w:val="20"/>
                <w:szCs w:val="20"/>
              </w:rPr>
            </w:pPr>
          </w:p>
        </w:tc>
        <w:tc>
          <w:tcPr>
            <w:tcW w:w="50" w:type="pct"/>
            <w:vAlign w:val="center"/>
            <w:hideMark/>
          </w:tcPr>
          <w:p w14:paraId="451165A8" w14:textId="77777777" w:rsidR="00000000" w:rsidRDefault="0068293C">
            <w:pPr>
              <w:spacing w:after="100"/>
              <w:rPr>
                <w:rFonts w:eastAsia="Times New Roman"/>
                <w:sz w:val="20"/>
                <w:szCs w:val="20"/>
              </w:rPr>
            </w:pPr>
          </w:p>
        </w:tc>
        <w:tc>
          <w:tcPr>
            <w:tcW w:w="562" w:type="pct"/>
            <w:vAlign w:val="center"/>
            <w:hideMark/>
          </w:tcPr>
          <w:p w14:paraId="4775C6C8" w14:textId="77777777" w:rsidR="00000000" w:rsidRDefault="0068293C">
            <w:pPr>
              <w:spacing w:after="100"/>
              <w:rPr>
                <w:rFonts w:eastAsia="Times New Roman"/>
                <w:sz w:val="20"/>
                <w:szCs w:val="20"/>
              </w:rPr>
            </w:pPr>
          </w:p>
        </w:tc>
        <w:tc>
          <w:tcPr>
            <w:tcW w:w="5" w:type="pct"/>
            <w:vAlign w:val="center"/>
            <w:hideMark/>
          </w:tcPr>
          <w:p w14:paraId="0C57BDF4" w14:textId="77777777" w:rsidR="00000000" w:rsidRDefault="0068293C">
            <w:pPr>
              <w:spacing w:after="100"/>
              <w:rPr>
                <w:rFonts w:eastAsia="Times New Roman"/>
                <w:sz w:val="20"/>
                <w:szCs w:val="20"/>
              </w:rPr>
            </w:pPr>
          </w:p>
        </w:tc>
        <w:tc>
          <w:tcPr>
            <w:tcW w:w="5" w:type="pct"/>
            <w:vAlign w:val="center"/>
            <w:hideMark/>
          </w:tcPr>
          <w:p w14:paraId="1D1EDE35" w14:textId="77777777" w:rsidR="00000000" w:rsidRDefault="0068293C">
            <w:pPr>
              <w:spacing w:after="100"/>
              <w:rPr>
                <w:rFonts w:eastAsia="Times New Roman"/>
                <w:sz w:val="20"/>
                <w:szCs w:val="20"/>
              </w:rPr>
            </w:pPr>
          </w:p>
        </w:tc>
        <w:tc>
          <w:tcPr>
            <w:tcW w:w="26" w:type="pct"/>
            <w:vAlign w:val="center"/>
            <w:hideMark/>
          </w:tcPr>
          <w:p w14:paraId="443F634E" w14:textId="77777777" w:rsidR="00000000" w:rsidRDefault="0068293C">
            <w:pPr>
              <w:spacing w:after="100"/>
              <w:rPr>
                <w:rFonts w:eastAsia="Times New Roman"/>
                <w:sz w:val="20"/>
                <w:szCs w:val="20"/>
              </w:rPr>
            </w:pPr>
          </w:p>
        </w:tc>
        <w:tc>
          <w:tcPr>
            <w:tcW w:w="5" w:type="pct"/>
            <w:vAlign w:val="center"/>
            <w:hideMark/>
          </w:tcPr>
          <w:p w14:paraId="4ED18F30" w14:textId="77777777" w:rsidR="00000000" w:rsidRDefault="0068293C">
            <w:pPr>
              <w:spacing w:after="100"/>
              <w:rPr>
                <w:rFonts w:eastAsia="Times New Roman"/>
                <w:sz w:val="20"/>
                <w:szCs w:val="20"/>
              </w:rPr>
            </w:pPr>
          </w:p>
        </w:tc>
        <w:tc>
          <w:tcPr>
            <w:tcW w:w="50" w:type="pct"/>
            <w:vAlign w:val="center"/>
            <w:hideMark/>
          </w:tcPr>
          <w:p w14:paraId="586EF4D6" w14:textId="77777777" w:rsidR="00000000" w:rsidRDefault="0068293C">
            <w:pPr>
              <w:spacing w:after="100"/>
              <w:rPr>
                <w:rFonts w:eastAsia="Times New Roman"/>
                <w:sz w:val="20"/>
                <w:szCs w:val="20"/>
              </w:rPr>
            </w:pPr>
          </w:p>
        </w:tc>
        <w:tc>
          <w:tcPr>
            <w:tcW w:w="533" w:type="pct"/>
            <w:vAlign w:val="center"/>
            <w:hideMark/>
          </w:tcPr>
          <w:p w14:paraId="33B38BC3" w14:textId="77777777" w:rsidR="00000000" w:rsidRDefault="0068293C">
            <w:pPr>
              <w:spacing w:after="100"/>
              <w:rPr>
                <w:rFonts w:eastAsia="Times New Roman"/>
                <w:sz w:val="20"/>
                <w:szCs w:val="20"/>
              </w:rPr>
            </w:pPr>
          </w:p>
        </w:tc>
        <w:tc>
          <w:tcPr>
            <w:tcW w:w="5" w:type="pct"/>
            <w:vAlign w:val="center"/>
            <w:hideMark/>
          </w:tcPr>
          <w:p w14:paraId="0A057F66" w14:textId="77777777" w:rsidR="00000000" w:rsidRDefault="0068293C">
            <w:pPr>
              <w:spacing w:after="100"/>
              <w:rPr>
                <w:rFonts w:eastAsia="Times New Roman"/>
                <w:sz w:val="20"/>
                <w:szCs w:val="20"/>
              </w:rPr>
            </w:pPr>
          </w:p>
        </w:tc>
        <w:tc>
          <w:tcPr>
            <w:tcW w:w="5" w:type="pct"/>
            <w:vAlign w:val="center"/>
            <w:hideMark/>
          </w:tcPr>
          <w:p w14:paraId="0FF53171" w14:textId="77777777" w:rsidR="00000000" w:rsidRDefault="0068293C">
            <w:pPr>
              <w:spacing w:after="100"/>
              <w:rPr>
                <w:rFonts w:eastAsia="Times New Roman"/>
                <w:sz w:val="20"/>
                <w:szCs w:val="20"/>
              </w:rPr>
            </w:pPr>
          </w:p>
        </w:tc>
        <w:tc>
          <w:tcPr>
            <w:tcW w:w="19" w:type="pct"/>
            <w:vAlign w:val="center"/>
            <w:hideMark/>
          </w:tcPr>
          <w:p w14:paraId="4C76772B" w14:textId="77777777" w:rsidR="00000000" w:rsidRDefault="0068293C">
            <w:pPr>
              <w:spacing w:after="100"/>
              <w:rPr>
                <w:rFonts w:eastAsia="Times New Roman"/>
                <w:sz w:val="20"/>
                <w:szCs w:val="20"/>
              </w:rPr>
            </w:pPr>
          </w:p>
        </w:tc>
        <w:tc>
          <w:tcPr>
            <w:tcW w:w="5" w:type="pct"/>
            <w:vAlign w:val="center"/>
            <w:hideMark/>
          </w:tcPr>
          <w:p w14:paraId="77C69285" w14:textId="77777777" w:rsidR="00000000" w:rsidRDefault="0068293C">
            <w:pPr>
              <w:spacing w:after="100"/>
              <w:rPr>
                <w:rFonts w:eastAsia="Times New Roman"/>
                <w:sz w:val="20"/>
                <w:szCs w:val="20"/>
              </w:rPr>
            </w:pPr>
          </w:p>
        </w:tc>
        <w:tc>
          <w:tcPr>
            <w:tcW w:w="50" w:type="pct"/>
            <w:vAlign w:val="center"/>
            <w:hideMark/>
          </w:tcPr>
          <w:p w14:paraId="17EFF9B8" w14:textId="77777777" w:rsidR="00000000" w:rsidRDefault="0068293C">
            <w:pPr>
              <w:spacing w:after="100"/>
              <w:rPr>
                <w:rFonts w:eastAsia="Times New Roman"/>
                <w:sz w:val="20"/>
                <w:szCs w:val="20"/>
              </w:rPr>
            </w:pPr>
          </w:p>
        </w:tc>
        <w:tc>
          <w:tcPr>
            <w:tcW w:w="533" w:type="pct"/>
            <w:vAlign w:val="center"/>
            <w:hideMark/>
          </w:tcPr>
          <w:p w14:paraId="6C4BD5FE" w14:textId="77777777" w:rsidR="00000000" w:rsidRDefault="0068293C">
            <w:pPr>
              <w:spacing w:after="100"/>
              <w:rPr>
                <w:rFonts w:eastAsia="Times New Roman"/>
                <w:sz w:val="20"/>
                <w:szCs w:val="20"/>
              </w:rPr>
            </w:pPr>
          </w:p>
        </w:tc>
        <w:tc>
          <w:tcPr>
            <w:tcW w:w="5" w:type="pct"/>
            <w:vAlign w:val="center"/>
            <w:hideMark/>
          </w:tcPr>
          <w:p w14:paraId="345D5C6C" w14:textId="77777777" w:rsidR="00000000" w:rsidRDefault="0068293C">
            <w:pPr>
              <w:spacing w:after="100"/>
              <w:rPr>
                <w:rFonts w:eastAsia="Times New Roman"/>
                <w:sz w:val="20"/>
                <w:szCs w:val="20"/>
              </w:rPr>
            </w:pPr>
          </w:p>
        </w:tc>
        <w:tc>
          <w:tcPr>
            <w:tcW w:w="5" w:type="pct"/>
            <w:vAlign w:val="center"/>
            <w:hideMark/>
          </w:tcPr>
          <w:p w14:paraId="7CAF6B7B" w14:textId="77777777" w:rsidR="00000000" w:rsidRDefault="0068293C">
            <w:pPr>
              <w:spacing w:after="100"/>
              <w:rPr>
                <w:rFonts w:eastAsia="Times New Roman"/>
                <w:sz w:val="20"/>
                <w:szCs w:val="20"/>
              </w:rPr>
            </w:pPr>
          </w:p>
        </w:tc>
        <w:tc>
          <w:tcPr>
            <w:tcW w:w="19" w:type="pct"/>
            <w:vAlign w:val="center"/>
            <w:hideMark/>
          </w:tcPr>
          <w:p w14:paraId="70BB3C20" w14:textId="77777777" w:rsidR="00000000" w:rsidRDefault="0068293C">
            <w:pPr>
              <w:spacing w:after="100"/>
              <w:rPr>
                <w:rFonts w:eastAsia="Times New Roman"/>
                <w:sz w:val="20"/>
                <w:szCs w:val="20"/>
              </w:rPr>
            </w:pPr>
          </w:p>
        </w:tc>
        <w:tc>
          <w:tcPr>
            <w:tcW w:w="5" w:type="pct"/>
            <w:vAlign w:val="center"/>
            <w:hideMark/>
          </w:tcPr>
          <w:p w14:paraId="59FE8DEF" w14:textId="77777777" w:rsidR="00000000" w:rsidRDefault="0068293C">
            <w:pPr>
              <w:spacing w:after="100"/>
              <w:rPr>
                <w:rFonts w:eastAsia="Times New Roman"/>
                <w:sz w:val="20"/>
                <w:szCs w:val="20"/>
              </w:rPr>
            </w:pPr>
          </w:p>
        </w:tc>
        <w:tc>
          <w:tcPr>
            <w:tcW w:w="50" w:type="pct"/>
            <w:vAlign w:val="center"/>
            <w:hideMark/>
          </w:tcPr>
          <w:p w14:paraId="159802D6" w14:textId="77777777" w:rsidR="00000000" w:rsidRDefault="0068293C">
            <w:pPr>
              <w:spacing w:after="100"/>
              <w:rPr>
                <w:rFonts w:eastAsia="Times New Roman"/>
                <w:sz w:val="20"/>
                <w:szCs w:val="20"/>
              </w:rPr>
            </w:pPr>
          </w:p>
        </w:tc>
        <w:tc>
          <w:tcPr>
            <w:tcW w:w="525" w:type="pct"/>
            <w:vAlign w:val="center"/>
            <w:hideMark/>
          </w:tcPr>
          <w:p w14:paraId="03B18CA2" w14:textId="77777777" w:rsidR="00000000" w:rsidRDefault="0068293C">
            <w:pPr>
              <w:spacing w:after="100"/>
              <w:rPr>
                <w:rFonts w:eastAsia="Times New Roman"/>
                <w:sz w:val="20"/>
                <w:szCs w:val="20"/>
              </w:rPr>
            </w:pPr>
          </w:p>
        </w:tc>
        <w:tc>
          <w:tcPr>
            <w:tcW w:w="5" w:type="pct"/>
            <w:vAlign w:val="center"/>
            <w:hideMark/>
          </w:tcPr>
          <w:p w14:paraId="4D6CE1DE" w14:textId="77777777" w:rsidR="00000000" w:rsidRDefault="0068293C">
            <w:pPr>
              <w:spacing w:after="100"/>
              <w:rPr>
                <w:rFonts w:eastAsia="Times New Roman"/>
                <w:sz w:val="20"/>
                <w:szCs w:val="20"/>
              </w:rPr>
            </w:pPr>
          </w:p>
        </w:tc>
        <w:tc>
          <w:tcPr>
            <w:tcW w:w="5" w:type="pct"/>
            <w:vAlign w:val="center"/>
            <w:hideMark/>
          </w:tcPr>
          <w:p w14:paraId="6521D245" w14:textId="77777777" w:rsidR="00000000" w:rsidRDefault="0068293C">
            <w:pPr>
              <w:spacing w:after="100"/>
              <w:rPr>
                <w:rFonts w:eastAsia="Times New Roman"/>
                <w:sz w:val="20"/>
                <w:szCs w:val="20"/>
              </w:rPr>
            </w:pPr>
          </w:p>
        </w:tc>
        <w:tc>
          <w:tcPr>
            <w:tcW w:w="19" w:type="pct"/>
            <w:vAlign w:val="center"/>
            <w:hideMark/>
          </w:tcPr>
          <w:p w14:paraId="5D8C8BFD" w14:textId="77777777" w:rsidR="00000000" w:rsidRDefault="0068293C">
            <w:pPr>
              <w:spacing w:after="100"/>
              <w:rPr>
                <w:rFonts w:eastAsia="Times New Roman"/>
                <w:sz w:val="20"/>
                <w:szCs w:val="20"/>
              </w:rPr>
            </w:pPr>
          </w:p>
        </w:tc>
        <w:tc>
          <w:tcPr>
            <w:tcW w:w="5" w:type="pct"/>
            <w:vAlign w:val="center"/>
            <w:hideMark/>
          </w:tcPr>
          <w:p w14:paraId="73E34A77" w14:textId="77777777" w:rsidR="00000000" w:rsidRDefault="0068293C">
            <w:pPr>
              <w:spacing w:after="100"/>
              <w:rPr>
                <w:rFonts w:eastAsia="Times New Roman"/>
                <w:sz w:val="20"/>
                <w:szCs w:val="20"/>
              </w:rPr>
            </w:pPr>
          </w:p>
        </w:tc>
        <w:tc>
          <w:tcPr>
            <w:tcW w:w="50" w:type="pct"/>
            <w:vAlign w:val="center"/>
            <w:hideMark/>
          </w:tcPr>
          <w:p w14:paraId="71ACA419" w14:textId="77777777" w:rsidR="00000000" w:rsidRDefault="0068293C">
            <w:pPr>
              <w:spacing w:after="100"/>
              <w:rPr>
                <w:rFonts w:eastAsia="Times New Roman"/>
                <w:sz w:val="20"/>
                <w:szCs w:val="20"/>
              </w:rPr>
            </w:pPr>
          </w:p>
        </w:tc>
        <w:tc>
          <w:tcPr>
            <w:tcW w:w="540" w:type="pct"/>
            <w:vAlign w:val="center"/>
            <w:hideMark/>
          </w:tcPr>
          <w:p w14:paraId="07205071" w14:textId="77777777" w:rsidR="00000000" w:rsidRDefault="0068293C">
            <w:pPr>
              <w:spacing w:after="100"/>
              <w:rPr>
                <w:rFonts w:eastAsia="Times New Roman"/>
                <w:sz w:val="20"/>
                <w:szCs w:val="20"/>
              </w:rPr>
            </w:pPr>
          </w:p>
        </w:tc>
        <w:tc>
          <w:tcPr>
            <w:tcW w:w="5" w:type="pct"/>
            <w:vAlign w:val="center"/>
            <w:hideMark/>
          </w:tcPr>
          <w:p w14:paraId="7DBAAE2D" w14:textId="77777777" w:rsidR="00000000" w:rsidRDefault="0068293C">
            <w:pPr>
              <w:spacing w:after="100"/>
              <w:rPr>
                <w:rFonts w:eastAsia="Times New Roman"/>
                <w:sz w:val="20"/>
                <w:szCs w:val="20"/>
              </w:rPr>
            </w:pPr>
          </w:p>
        </w:tc>
      </w:tr>
      <w:tr w:rsidR="00000000" w14:paraId="346025F6" w14:textId="77777777">
        <w:tc>
          <w:tcPr>
            <w:tcW w:w="0" w:type="auto"/>
            <w:gridSpan w:val="3"/>
            <w:shd w:val="clear" w:color="auto" w:fill="FFFFFF"/>
            <w:tcMar>
              <w:top w:w="0" w:type="dxa"/>
              <w:left w:w="20" w:type="dxa"/>
              <w:bottom w:w="0" w:type="dxa"/>
              <w:right w:w="20" w:type="dxa"/>
            </w:tcMar>
            <w:vAlign w:val="center"/>
            <w:hideMark/>
          </w:tcPr>
          <w:p w14:paraId="3CFD663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47048D"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1F867462"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shd w:val="clear" w:color="auto" w:fill="FFFFFF"/>
            <w:tcMar>
              <w:top w:w="0" w:type="dxa"/>
              <w:left w:w="20" w:type="dxa"/>
              <w:bottom w:w="0" w:type="dxa"/>
              <w:right w:w="20" w:type="dxa"/>
            </w:tcMar>
            <w:vAlign w:val="center"/>
            <w:hideMark/>
          </w:tcPr>
          <w:p w14:paraId="042BA14E" w14:textId="77777777" w:rsidR="00000000" w:rsidRDefault="0068293C">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14:paraId="18D7EEAD" w14:textId="77777777" w:rsidR="00000000" w:rsidRDefault="0068293C">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14:paraId="2EEC254F"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0329167D" w14:textId="77777777">
        <w:tc>
          <w:tcPr>
            <w:tcW w:w="0" w:type="auto"/>
            <w:gridSpan w:val="3"/>
            <w:tcMar>
              <w:top w:w="30" w:type="dxa"/>
              <w:left w:w="20" w:type="dxa"/>
              <w:bottom w:w="30" w:type="dxa"/>
              <w:right w:w="20" w:type="dxa"/>
            </w:tcMar>
            <w:vAlign w:val="bottom"/>
            <w:hideMark/>
          </w:tcPr>
          <w:p w14:paraId="679D152C"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10422BC7"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962F42"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D9FD921"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59C53D"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6F0B7E9"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CC3E22"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5788C0B"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A17F33"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A99B55F"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CFE24B" w14:textId="77777777" w:rsidR="00000000" w:rsidRDefault="0068293C">
            <w:pPr>
              <w:spacing w:after="100"/>
              <w:jc w:val="center"/>
              <w:rPr>
                <w:rFonts w:eastAsia="Times New Roman"/>
              </w:rPr>
            </w:pPr>
            <w:r>
              <w:rPr>
                <w:rFonts w:eastAsia="Times New Roman"/>
                <w:b/>
                <w:bCs/>
                <w:color w:val="000000"/>
                <w:sz w:val="16"/>
                <w:szCs w:val="16"/>
              </w:rPr>
              <w:t>2022 v 2021</w:t>
            </w:r>
          </w:p>
        </w:tc>
      </w:tr>
      <w:tr w:rsidR="00000000" w14:paraId="4F42DAD5" w14:textId="77777777">
        <w:tc>
          <w:tcPr>
            <w:tcW w:w="0" w:type="auto"/>
            <w:gridSpan w:val="3"/>
            <w:shd w:val="clear" w:color="auto" w:fill="CCEEFF"/>
            <w:tcMar>
              <w:top w:w="30" w:type="dxa"/>
              <w:left w:w="20" w:type="dxa"/>
              <w:bottom w:w="30" w:type="dxa"/>
              <w:right w:w="20" w:type="dxa"/>
            </w:tcMar>
            <w:hideMark/>
          </w:tcPr>
          <w:p w14:paraId="5A507893" w14:textId="77777777" w:rsidR="00000000" w:rsidRDefault="0068293C">
            <w:pPr>
              <w:spacing w:after="100"/>
              <w:rPr>
                <w:rFonts w:eastAsia="Times New Roman"/>
              </w:rPr>
            </w:pPr>
            <w:r>
              <w:rPr>
                <w:rFonts w:eastAsia="Times New Roman"/>
                <w:color w:val="000000"/>
                <w:sz w:val="20"/>
                <w:szCs w:val="20"/>
              </w:rPr>
              <w:t>Product gross margin</w:t>
            </w:r>
          </w:p>
        </w:tc>
        <w:tc>
          <w:tcPr>
            <w:tcW w:w="0" w:type="auto"/>
            <w:gridSpan w:val="3"/>
            <w:shd w:val="clear" w:color="auto" w:fill="CCEEFF"/>
            <w:tcMar>
              <w:top w:w="0" w:type="dxa"/>
              <w:left w:w="20" w:type="dxa"/>
              <w:bottom w:w="0" w:type="dxa"/>
              <w:right w:w="20" w:type="dxa"/>
            </w:tcMar>
            <w:vAlign w:val="center"/>
            <w:hideMark/>
          </w:tcPr>
          <w:p w14:paraId="5C2E7DF6"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A3400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DD0BF6" w14:textId="77777777" w:rsidR="00000000" w:rsidRDefault="0068293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20C31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94AAF"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E2E2AF"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1F1582" w14:textId="77777777" w:rsidR="00000000" w:rsidRDefault="0068293C">
            <w:pPr>
              <w:spacing w:after="100"/>
              <w:jc w:val="right"/>
              <w:rPr>
                <w:rFonts w:eastAsia="Times New Roman"/>
              </w:rPr>
            </w:pPr>
            <w:r>
              <w:rPr>
                <w:rFonts w:eastAsia="Times New Roman"/>
                <w:color w:val="000000"/>
                <w:sz w:val="20"/>
                <w:szCs w:val="20"/>
              </w:rPr>
              <w:t>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89166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E840F"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8CDDDC" w14:textId="77777777" w:rsidR="00000000" w:rsidRDefault="0068293C">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28136A"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77DC92F"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9BFDB3" w14:textId="77777777" w:rsidR="00000000" w:rsidRDefault="0068293C">
            <w:pPr>
              <w:spacing w:after="100"/>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606589"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3242ABD"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8852C7" w14:textId="77777777" w:rsidR="00000000" w:rsidRDefault="0068293C">
            <w:pPr>
              <w:spacing w:after="100"/>
              <w:jc w:val="right"/>
              <w:rPr>
                <w:rFonts w:eastAsia="Times New Roman"/>
              </w:rPr>
            </w:pPr>
            <w:r>
              <w:rPr>
                <w:rFonts w:eastAsia="Times New Roman"/>
                <w:color w:val="000000"/>
                <w:sz w:val="20"/>
                <w:szCs w:val="20"/>
              </w:rPr>
              <w:t>(68)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DC6607" w14:textId="77777777" w:rsidR="00000000" w:rsidRDefault="0068293C">
            <w:pPr>
              <w:spacing w:after="100"/>
              <w:jc w:val="right"/>
              <w:rPr>
                <w:rFonts w:eastAsia="Times New Roman"/>
              </w:rPr>
            </w:pPr>
            <w:r>
              <w:rPr>
                <w:rFonts w:eastAsia="Times New Roman"/>
                <w:color w:val="000000"/>
                <w:sz w:val="20"/>
                <w:szCs w:val="20"/>
              </w:rPr>
              <w:t>%</w:t>
            </w:r>
          </w:p>
        </w:tc>
      </w:tr>
      <w:tr w:rsidR="00000000" w14:paraId="3B3AC4DE" w14:textId="77777777">
        <w:tc>
          <w:tcPr>
            <w:tcW w:w="0" w:type="auto"/>
            <w:gridSpan w:val="3"/>
            <w:shd w:val="clear" w:color="auto" w:fill="FFFFFF"/>
            <w:tcMar>
              <w:top w:w="30" w:type="dxa"/>
              <w:left w:w="20" w:type="dxa"/>
              <w:bottom w:w="30" w:type="dxa"/>
              <w:right w:w="20" w:type="dxa"/>
            </w:tcMar>
            <w:hideMark/>
          </w:tcPr>
          <w:p w14:paraId="52D1F15F" w14:textId="77777777" w:rsidR="00000000" w:rsidRDefault="0068293C">
            <w:pPr>
              <w:spacing w:after="100"/>
              <w:rPr>
                <w:rFonts w:eastAsia="Times New Roman"/>
              </w:rPr>
            </w:pPr>
            <w:r>
              <w:rPr>
                <w:rFonts w:eastAsia="Times New Roman"/>
                <w:color w:val="000000"/>
                <w:sz w:val="20"/>
                <w:szCs w:val="20"/>
              </w:rPr>
              <w:t>Service gross margin</w:t>
            </w:r>
          </w:p>
        </w:tc>
        <w:tc>
          <w:tcPr>
            <w:tcW w:w="0" w:type="auto"/>
            <w:gridSpan w:val="3"/>
            <w:shd w:val="clear" w:color="auto" w:fill="FFFFFF"/>
            <w:tcMar>
              <w:top w:w="0" w:type="dxa"/>
              <w:left w:w="20" w:type="dxa"/>
              <w:bottom w:w="0" w:type="dxa"/>
              <w:right w:w="20" w:type="dxa"/>
            </w:tcMar>
            <w:vAlign w:val="center"/>
            <w:hideMark/>
          </w:tcPr>
          <w:p w14:paraId="5B25BB1A"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87BC5F" w14:textId="77777777" w:rsidR="00000000" w:rsidRDefault="0068293C">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525FE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50CA2"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29125" w14:textId="77777777" w:rsidR="00000000" w:rsidRDefault="0068293C">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14:paraId="6AF720A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D0D13"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B5A5B" w14:textId="77777777" w:rsidR="00000000" w:rsidRDefault="0068293C">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2647B3"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3997491"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19D702" w14:textId="77777777" w:rsidR="00000000" w:rsidRDefault="0068293C">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14:paraId="375A5D24"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B3F9C2"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814C7D" w14:textId="77777777" w:rsidR="00000000" w:rsidRDefault="0068293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0260160E" w14:textId="77777777" w:rsidR="00000000" w:rsidRDefault="0068293C">
            <w:pPr>
              <w:spacing w:after="100"/>
              <w:jc w:val="right"/>
              <w:rPr>
                <w:rFonts w:eastAsia="Times New Roman"/>
              </w:rPr>
            </w:pPr>
            <w:r>
              <w:rPr>
                <w:rFonts w:eastAsia="Times New Roman"/>
                <w:color w:val="000000"/>
                <w:sz w:val="20"/>
                <w:szCs w:val="20"/>
              </w:rPr>
              <w:t>%</w:t>
            </w:r>
          </w:p>
        </w:tc>
      </w:tr>
      <w:tr w:rsidR="00000000" w14:paraId="6A381F16" w14:textId="77777777">
        <w:tc>
          <w:tcPr>
            <w:tcW w:w="0" w:type="auto"/>
            <w:gridSpan w:val="3"/>
            <w:shd w:val="clear" w:color="auto" w:fill="CCEEFF"/>
            <w:tcMar>
              <w:top w:w="30" w:type="dxa"/>
              <w:left w:w="20" w:type="dxa"/>
              <w:bottom w:w="30" w:type="dxa"/>
              <w:right w:w="20" w:type="dxa"/>
            </w:tcMar>
            <w:hideMark/>
          </w:tcPr>
          <w:p w14:paraId="589F51D0" w14:textId="77777777" w:rsidR="00000000" w:rsidRDefault="0068293C">
            <w:pPr>
              <w:spacing w:after="100"/>
              <w:rPr>
                <w:rFonts w:eastAsia="Times New Roman"/>
              </w:rPr>
            </w:pPr>
            <w:r>
              <w:rPr>
                <w:rFonts w:eastAsia="Times New Roman"/>
                <w:b/>
                <w:bCs/>
                <w:color w:val="000000"/>
                <w:sz w:val="20"/>
                <w:szCs w:val="20"/>
              </w:rPr>
              <w:t>Total gross margin</w:t>
            </w:r>
          </w:p>
        </w:tc>
        <w:tc>
          <w:tcPr>
            <w:tcW w:w="0" w:type="auto"/>
            <w:gridSpan w:val="3"/>
            <w:shd w:val="clear" w:color="auto" w:fill="CCEEFF"/>
            <w:tcMar>
              <w:top w:w="0" w:type="dxa"/>
              <w:left w:w="20" w:type="dxa"/>
              <w:bottom w:w="0" w:type="dxa"/>
              <w:right w:w="20" w:type="dxa"/>
            </w:tcMar>
            <w:vAlign w:val="center"/>
            <w:hideMark/>
          </w:tcPr>
          <w:p w14:paraId="73128F3F" w14:textId="77777777" w:rsidR="00000000" w:rsidRDefault="0068293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0E594D"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84AABB" w14:textId="77777777" w:rsidR="00000000" w:rsidRDefault="0068293C">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966D8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574BF"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8C718B"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ECB725" w14:textId="77777777" w:rsidR="00000000" w:rsidRDefault="0068293C">
            <w:pPr>
              <w:spacing w:after="100"/>
              <w:jc w:val="right"/>
              <w:rPr>
                <w:rFonts w:eastAsia="Times New Roman"/>
              </w:rPr>
            </w:pPr>
            <w:r>
              <w:rPr>
                <w:rFonts w:eastAsia="Times New Roman"/>
                <w:color w:val="000000"/>
                <w:sz w:val="20"/>
                <w:szCs w:val="20"/>
              </w:rPr>
              <w:t>414 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3AAB2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4F785" w14:textId="77777777" w:rsidR="00000000" w:rsidRDefault="006829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5888ED" w14:textId="77777777" w:rsidR="00000000" w:rsidRDefault="0068293C">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89BD3F"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B2DE8DD"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4B2AFE" w14:textId="77777777" w:rsidR="00000000" w:rsidRDefault="0068293C">
            <w:pPr>
              <w:spacing w:after="100"/>
              <w:jc w:val="right"/>
              <w:rPr>
                <w:rFonts w:eastAsia="Times New Roman"/>
              </w:rPr>
            </w:pPr>
            <w:r>
              <w:rPr>
                <w:rFonts w:eastAsia="Times New Roman"/>
                <w:color w:val="000000"/>
                <w:sz w:val="20"/>
                <w:szCs w:val="20"/>
              </w:rPr>
              <w:t>26.8 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BD41C4"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90E0D6"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0E230B" w14:textId="77777777" w:rsidR="00000000" w:rsidRDefault="0068293C">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634AC4" w14:textId="77777777" w:rsidR="00000000" w:rsidRDefault="0068293C">
            <w:pPr>
              <w:spacing w:after="100"/>
              <w:jc w:val="right"/>
              <w:rPr>
                <w:rFonts w:eastAsia="Times New Roman"/>
              </w:rPr>
            </w:pPr>
            <w:r>
              <w:rPr>
                <w:rFonts w:eastAsia="Times New Roman"/>
                <w:color w:val="000000"/>
                <w:sz w:val="20"/>
                <w:szCs w:val="20"/>
              </w:rPr>
              <w:t>%</w:t>
            </w:r>
          </w:p>
        </w:tc>
      </w:tr>
    </w:tbl>
    <w:p w14:paraId="060D7FB0" w14:textId="77777777" w:rsidR="00000000" w:rsidRDefault="0068293C">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w:t>
      </w:r>
      <w:r>
        <w:rPr>
          <w:rFonts w:eastAsia="Times New Roman"/>
          <w:color w:val="000000"/>
          <w:sz w:val="18"/>
          <w:szCs w:val="18"/>
        </w:rPr>
        <w:t>revenue is calculated for each line item divided by the related component of revenue.</w:t>
      </w:r>
    </w:p>
    <w:p w14:paraId="4EE83D9B" w14:textId="77777777" w:rsidR="00000000" w:rsidRDefault="0068293C">
      <w:pPr>
        <w:jc w:val="both"/>
        <w:rPr>
          <w:rFonts w:eastAsia="Times New Roman"/>
        </w:rPr>
      </w:pPr>
    </w:p>
    <w:p w14:paraId="3E9045C4" w14:textId="77777777" w:rsidR="00000000" w:rsidRDefault="0068293C">
      <w:pPr>
        <w:jc w:val="both"/>
        <w:rPr>
          <w:rFonts w:eastAsia="Times New Roman"/>
        </w:rPr>
      </w:pPr>
      <w:r>
        <w:rPr>
          <w:rFonts w:eastAsia="Times New Roman"/>
          <w:i/>
          <w:iCs/>
          <w:color w:val="000000"/>
          <w:sz w:val="20"/>
          <w:szCs w:val="20"/>
        </w:rPr>
        <w:t>For the three months ended March 31, 2022 compared to the three months ended March 31, 2021</w:t>
      </w:r>
    </w:p>
    <w:p w14:paraId="3FD13D9B" w14:textId="77777777" w:rsidR="00000000" w:rsidRDefault="0068293C">
      <w:pPr>
        <w:jc w:val="both"/>
        <w:rPr>
          <w:rFonts w:eastAsia="Times New Roman"/>
        </w:rPr>
      </w:pPr>
    </w:p>
    <w:p w14:paraId="59352F23" w14:textId="77777777" w:rsidR="00000000" w:rsidRDefault="0068293C">
      <w:pPr>
        <w:jc w:val="both"/>
        <w:rPr>
          <w:rFonts w:eastAsia="Times New Roman"/>
        </w:rPr>
      </w:pPr>
      <w:r>
        <w:rPr>
          <w:rFonts w:eastAsia="Times New Roman"/>
          <w:color w:val="000000"/>
          <w:sz w:val="20"/>
          <w:szCs w:val="20"/>
        </w:rPr>
        <w:t>G</w:t>
      </w:r>
      <w:r>
        <w:rPr>
          <w:rFonts w:eastAsia="Times New Roman"/>
          <w:color w:val="000000"/>
          <w:sz w:val="20"/>
          <w:szCs w:val="20"/>
          <w:shd w:val="clear" w:color="auto" w:fill="FFFFFF"/>
        </w:rPr>
        <w:t xml:space="preserve">ross margin as a percentage of revenue in </w:t>
      </w:r>
      <w:r>
        <w:rPr>
          <w:rFonts w:eastAsia="Times New Roman"/>
          <w:color w:val="000000"/>
          <w:sz w:val="20"/>
          <w:szCs w:val="20"/>
        </w:rPr>
        <w:t>the three months ended</w:t>
      </w:r>
      <w:r>
        <w:rPr>
          <w:rFonts w:eastAsia="Times New Roman"/>
          <w:color w:val="000000"/>
          <w:sz w:val="20"/>
          <w:szCs w:val="20"/>
          <w:shd w:val="clear" w:color="auto" w:fill="FFFFFF"/>
        </w:rPr>
        <w:t xml:space="preserve"> </w:t>
      </w:r>
      <w:r>
        <w:rPr>
          <w:rFonts w:eastAsia="Times New Roman"/>
          <w:color w:val="000000"/>
          <w:sz w:val="20"/>
          <w:szCs w:val="20"/>
        </w:rPr>
        <w:t>March 31</w:t>
      </w:r>
      <w:r>
        <w:rPr>
          <w:rFonts w:eastAsia="Times New Roman"/>
          <w:color w:val="000000"/>
          <w:sz w:val="20"/>
          <w:szCs w:val="20"/>
        </w:rPr>
        <w:t>, 2022</w:t>
      </w:r>
      <w:r>
        <w:rPr>
          <w:rFonts w:eastAsia="Times New Roman"/>
          <w:color w:val="000000"/>
          <w:sz w:val="20"/>
          <w:szCs w:val="20"/>
          <w:shd w:val="clear" w:color="auto" w:fill="FFFFFF"/>
        </w:rPr>
        <w:t xml:space="preserve"> was 22.0% compared to 26.8% in the three months ended </w:t>
      </w:r>
      <w:r>
        <w:rPr>
          <w:rFonts w:eastAsia="Times New Roman"/>
          <w:color w:val="000000"/>
          <w:sz w:val="20"/>
          <w:szCs w:val="20"/>
        </w:rPr>
        <w:t>March 31, 2021</w:t>
      </w:r>
      <w:r>
        <w:rPr>
          <w:rFonts w:eastAsia="Times New Roman"/>
          <w:color w:val="000000"/>
          <w:sz w:val="20"/>
          <w:szCs w:val="20"/>
          <w:shd w:val="clear" w:color="auto" w:fill="FFFFFF"/>
        </w:rPr>
        <w:t xml:space="preserve">. </w:t>
      </w:r>
      <w:r>
        <w:rPr>
          <w:rFonts w:eastAsia="Times New Roman"/>
          <w:color w:val="000000"/>
          <w:sz w:val="20"/>
          <w:szCs w:val="20"/>
        </w:rPr>
        <w:t xml:space="preserve">Gross margin </w:t>
      </w:r>
      <w:r>
        <w:rPr>
          <w:rFonts w:eastAsia="Times New Roman"/>
          <w:color w:val="000000"/>
          <w:sz w:val="20"/>
          <w:szCs w:val="20"/>
          <w:shd w:val="clear" w:color="auto" w:fill="FFFFFF"/>
        </w:rPr>
        <w:t xml:space="preserve">in </w:t>
      </w:r>
      <w:r>
        <w:rPr>
          <w:rFonts w:eastAsia="Times New Roman"/>
          <w:color w:val="000000"/>
          <w:sz w:val="20"/>
          <w:szCs w:val="20"/>
        </w:rPr>
        <w:t>the three months ended March 31, 2022 included $5 million of transformation costs, $19 million of amortization of acquisition-related intangible assets, and $14 mi</w:t>
      </w:r>
      <w:r>
        <w:rPr>
          <w:rFonts w:eastAsia="Times New Roman"/>
          <w:color w:val="000000"/>
          <w:sz w:val="20"/>
          <w:szCs w:val="20"/>
        </w:rPr>
        <w:t>llion related to operating losses, impairments and other actions taken with respect to our operations in Russia. Gross margin for the three months ended March 31, 2021 included $4 million of transformation costs and $7 million of amortization of acquisitio</w:t>
      </w:r>
      <w:r>
        <w:rPr>
          <w:rFonts w:eastAsia="Times New Roman"/>
          <w:color w:val="000000"/>
          <w:sz w:val="20"/>
          <w:szCs w:val="20"/>
        </w:rPr>
        <w:t xml:space="preserve">n-related intangible assets. Excluding these items, gross margin as a percentage of revenue decreased from 27.5% to 24.1% due to increases in fuel costs, component parts, and interest rates as well as other supply chain challenges that negatively impacted </w:t>
      </w:r>
      <w:r>
        <w:rPr>
          <w:rFonts w:eastAsia="Times New Roman"/>
          <w:color w:val="000000"/>
          <w:sz w:val="20"/>
          <w:szCs w:val="20"/>
        </w:rPr>
        <w:t>our costs. The impact of these cost increases were partially offset by an increase in the favorable higher margin software and services revenue.</w:t>
      </w:r>
    </w:p>
    <w:p w14:paraId="685E24A9" w14:textId="77777777" w:rsidR="00000000" w:rsidRDefault="0068293C">
      <w:pPr>
        <w:divId w:val="1495293404"/>
        <w:rPr>
          <w:rFonts w:eastAsia="Times New Roman"/>
        </w:rPr>
      </w:pPr>
    </w:p>
    <w:p w14:paraId="7EB14427" w14:textId="77777777" w:rsidR="00000000" w:rsidRDefault="0068293C">
      <w:pPr>
        <w:jc w:val="both"/>
        <w:rPr>
          <w:rFonts w:eastAsia="Times New Roman"/>
        </w:rPr>
      </w:pPr>
    </w:p>
    <w:p w14:paraId="7190876C" w14:textId="77777777" w:rsidR="00000000" w:rsidRDefault="0068293C">
      <w:pPr>
        <w:jc w:val="both"/>
        <w:rPr>
          <w:rFonts w:eastAsia="Times New Roman"/>
        </w:rPr>
      </w:pPr>
      <w:r>
        <w:rPr>
          <w:rFonts w:eastAsia="Times New Roman"/>
          <w:b/>
          <w:bCs/>
          <w:color w:val="000000"/>
          <w:sz w:val="20"/>
          <w:szCs w:val="20"/>
        </w:rPr>
        <w:t>Selling, General and Administrative Expenses</w:t>
      </w:r>
    </w:p>
    <w:p w14:paraId="50A832CB" w14:textId="77777777" w:rsidR="00000000" w:rsidRDefault="0068293C">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828"/>
        <w:gridCol w:w="36"/>
        <w:gridCol w:w="36"/>
        <w:gridCol w:w="36"/>
        <w:gridCol w:w="36"/>
        <w:gridCol w:w="120"/>
        <w:gridCol w:w="921"/>
        <w:gridCol w:w="36"/>
        <w:gridCol w:w="36"/>
        <w:gridCol w:w="36"/>
        <w:gridCol w:w="36"/>
        <w:gridCol w:w="120"/>
        <w:gridCol w:w="700"/>
        <w:gridCol w:w="36"/>
        <w:gridCol w:w="36"/>
        <w:gridCol w:w="36"/>
        <w:gridCol w:w="36"/>
        <w:gridCol w:w="38"/>
        <w:gridCol w:w="727"/>
        <w:gridCol w:w="221"/>
        <w:gridCol w:w="37"/>
        <w:gridCol w:w="37"/>
        <w:gridCol w:w="36"/>
        <w:gridCol w:w="37"/>
        <w:gridCol w:w="741"/>
        <w:gridCol w:w="187"/>
        <w:gridCol w:w="36"/>
        <w:gridCol w:w="36"/>
        <w:gridCol w:w="36"/>
        <w:gridCol w:w="65"/>
        <w:gridCol w:w="713"/>
        <w:gridCol w:w="187"/>
      </w:tblGrid>
      <w:tr w:rsidR="00000000" w14:paraId="13DE4323" w14:textId="77777777">
        <w:tc>
          <w:tcPr>
            <w:tcW w:w="50" w:type="pct"/>
            <w:vAlign w:val="center"/>
            <w:hideMark/>
          </w:tcPr>
          <w:p w14:paraId="5FB179A0" w14:textId="77777777" w:rsidR="00000000" w:rsidRDefault="0068293C">
            <w:pPr>
              <w:jc w:val="both"/>
              <w:rPr>
                <w:rFonts w:eastAsia="Times New Roman"/>
              </w:rPr>
            </w:pPr>
          </w:p>
        </w:tc>
        <w:tc>
          <w:tcPr>
            <w:tcW w:w="1789" w:type="pct"/>
            <w:vAlign w:val="center"/>
            <w:hideMark/>
          </w:tcPr>
          <w:p w14:paraId="3693CDD6" w14:textId="77777777" w:rsidR="00000000" w:rsidRDefault="0068293C">
            <w:pPr>
              <w:spacing w:after="100"/>
              <w:rPr>
                <w:rFonts w:eastAsia="Times New Roman"/>
                <w:sz w:val="20"/>
                <w:szCs w:val="20"/>
              </w:rPr>
            </w:pPr>
          </w:p>
        </w:tc>
        <w:tc>
          <w:tcPr>
            <w:tcW w:w="5" w:type="pct"/>
            <w:vAlign w:val="center"/>
            <w:hideMark/>
          </w:tcPr>
          <w:p w14:paraId="5F4C54FF" w14:textId="77777777" w:rsidR="00000000" w:rsidRDefault="0068293C">
            <w:pPr>
              <w:spacing w:after="100"/>
              <w:rPr>
                <w:rFonts w:eastAsia="Times New Roman"/>
                <w:sz w:val="20"/>
                <w:szCs w:val="20"/>
              </w:rPr>
            </w:pPr>
          </w:p>
        </w:tc>
        <w:tc>
          <w:tcPr>
            <w:tcW w:w="5" w:type="pct"/>
            <w:vAlign w:val="center"/>
            <w:hideMark/>
          </w:tcPr>
          <w:p w14:paraId="0E6594B4" w14:textId="77777777" w:rsidR="00000000" w:rsidRDefault="0068293C">
            <w:pPr>
              <w:spacing w:after="100"/>
              <w:rPr>
                <w:rFonts w:eastAsia="Times New Roman"/>
                <w:sz w:val="20"/>
                <w:szCs w:val="20"/>
              </w:rPr>
            </w:pPr>
          </w:p>
        </w:tc>
        <w:tc>
          <w:tcPr>
            <w:tcW w:w="19" w:type="pct"/>
            <w:vAlign w:val="center"/>
            <w:hideMark/>
          </w:tcPr>
          <w:p w14:paraId="6A067D9A" w14:textId="77777777" w:rsidR="00000000" w:rsidRDefault="0068293C">
            <w:pPr>
              <w:spacing w:after="100"/>
              <w:rPr>
                <w:rFonts w:eastAsia="Times New Roman"/>
                <w:sz w:val="20"/>
                <w:szCs w:val="20"/>
              </w:rPr>
            </w:pPr>
          </w:p>
        </w:tc>
        <w:tc>
          <w:tcPr>
            <w:tcW w:w="5" w:type="pct"/>
            <w:vAlign w:val="center"/>
            <w:hideMark/>
          </w:tcPr>
          <w:p w14:paraId="160D7056" w14:textId="77777777" w:rsidR="00000000" w:rsidRDefault="0068293C">
            <w:pPr>
              <w:spacing w:after="100"/>
              <w:rPr>
                <w:rFonts w:eastAsia="Times New Roman"/>
                <w:sz w:val="20"/>
                <w:szCs w:val="20"/>
              </w:rPr>
            </w:pPr>
          </w:p>
        </w:tc>
        <w:tc>
          <w:tcPr>
            <w:tcW w:w="50" w:type="pct"/>
            <w:vAlign w:val="center"/>
            <w:hideMark/>
          </w:tcPr>
          <w:p w14:paraId="1C9B6298" w14:textId="77777777" w:rsidR="00000000" w:rsidRDefault="0068293C">
            <w:pPr>
              <w:spacing w:after="100"/>
              <w:rPr>
                <w:rFonts w:eastAsia="Times New Roman"/>
                <w:sz w:val="20"/>
                <w:szCs w:val="20"/>
              </w:rPr>
            </w:pPr>
          </w:p>
        </w:tc>
        <w:tc>
          <w:tcPr>
            <w:tcW w:w="611" w:type="pct"/>
            <w:vAlign w:val="center"/>
            <w:hideMark/>
          </w:tcPr>
          <w:p w14:paraId="10222269" w14:textId="77777777" w:rsidR="00000000" w:rsidRDefault="0068293C">
            <w:pPr>
              <w:spacing w:after="100"/>
              <w:rPr>
                <w:rFonts w:eastAsia="Times New Roman"/>
                <w:sz w:val="20"/>
                <w:szCs w:val="20"/>
              </w:rPr>
            </w:pPr>
          </w:p>
        </w:tc>
        <w:tc>
          <w:tcPr>
            <w:tcW w:w="5" w:type="pct"/>
            <w:vAlign w:val="center"/>
            <w:hideMark/>
          </w:tcPr>
          <w:p w14:paraId="088ECAAC" w14:textId="77777777" w:rsidR="00000000" w:rsidRDefault="0068293C">
            <w:pPr>
              <w:spacing w:after="100"/>
              <w:rPr>
                <w:rFonts w:eastAsia="Times New Roman"/>
                <w:sz w:val="20"/>
                <w:szCs w:val="20"/>
              </w:rPr>
            </w:pPr>
          </w:p>
        </w:tc>
        <w:tc>
          <w:tcPr>
            <w:tcW w:w="5" w:type="pct"/>
            <w:vAlign w:val="center"/>
            <w:hideMark/>
          </w:tcPr>
          <w:p w14:paraId="6901E89F" w14:textId="77777777" w:rsidR="00000000" w:rsidRDefault="0068293C">
            <w:pPr>
              <w:spacing w:after="100"/>
              <w:rPr>
                <w:rFonts w:eastAsia="Times New Roman"/>
                <w:sz w:val="20"/>
                <w:szCs w:val="20"/>
              </w:rPr>
            </w:pPr>
          </w:p>
        </w:tc>
        <w:tc>
          <w:tcPr>
            <w:tcW w:w="26" w:type="pct"/>
            <w:vAlign w:val="center"/>
            <w:hideMark/>
          </w:tcPr>
          <w:p w14:paraId="09460830" w14:textId="77777777" w:rsidR="00000000" w:rsidRDefault="0068293C">
            <w:pPr>
              <w:spacing w:after="100"/>
              <w:rPr>
                <w:rFonts w:eastAsia="Times New Roman"/>
                <w:sz w:val="20"/>
                <w:szCs w:val="20"/>
              </w:rPr>
            </w:pPr>
          </w:p>
        </w:tc>
        <w:tc>
          <w:tcPr>
            <w:tcW w:w="5" w:type="pct"/>
            <w:vAlign w:val="center"/>
            <w:hideMark/>
          </w:tcPr>
          <w:p w14:paraId="5EB4C68B" w14:textId="77777777" w:rsidR="00000000" w:rsidRDefault="0068293C">
            <w:pPr>
              <w:spacing w:after="100"/>
              <w:rPr>
                <w:rFonts w:eastAsia="Times New Roman"/>
                <w:sz w:val="20"/>
                <w:szCs w:val="20"/>
              </w:rPr>
            </w:pPr>
          </w:p>
        </w:tc>
        <w:tc>
          <w:tcPr>
            <w:tcW w:w="50" w:type="pct"/>
            <w:vAlign w:val="center"/>
            <w:hideMark/>
          </w:tcPr>
          <w:p w14:paraId="5831A9AC" w14:textId="77777777" w:rsidR="00000000" w:rsidRDefault="0068293C">
            <w:pPr>
              <w:spacing w:after="100"/>
              <w:rPr>
                <w:rFonts w:eastAsia="Times New Roman"/>
                <w:sz w:val="20"/>
                <w:szCs w:val="20"/>
              </w:rPr>
            </w:pPr>
          </w:p>
        </w:tc>
        <w:tc>
          <w:tcPr>
            <w:tcW w:w="530" w:type="pct"/>
            <w:vAlign w:val="center"/>
            <w:hideMark/>
          </w:tcPr>
          <w:p w14:paraId="044709E6" w14:textId="77777777" w:rsidR="00000000" w:rsidRDefault="0068293C">
            <w:pPr>
              <w:spacing w:after="100"/>
              <w:rPr>
                <w:rFonts w:eastAsia="Times New Roman"/>
                <w:sz w:val="20"/>
                <w:szCs w:val="20"/>
              </w:rPr>
            </w:pPr>
          </w:p>
        </w:tc>
        <w:tc>
          <w:tcPr>
            <w:tcW w:w="5" w:type="pct"/>
            <w:vAlign w:val="center"/>
            <w:hideMark/>
          </w:tcPr>
          <w:p w14:paraId="34536AF0" w14:textId="77777777" w:rsidR="00000000" w:rsidRDefault="0068293C">
            <w:pPr>
              <w:spacing w:after="100"/>
              <w:rPr>
                <w:rFonts w:eastAsia="Times New Roman"/>
                <w:sz w:val="20"/>
                <w:szCs w:val="20"/>
              </w:rPr>
            </w:pPr>
          </w:p>
        </w:tc>
        <w:tc>
          <w:tcPr>
            <w:tcW w:w="5" w:type="pct"/>
            <w:vAlign w:val="center"/>
            <w:hideMark/>
          </w:tcPr>
          <w:p w14:paraId="7F3A3D5E" w14:textId="77777777" w:rsidR="00000000" w:rsidRDefault="0068293C">
            <w:pPr>
              <w:spacing w:after="100"/>
              <w:rPr>
                <w:rFonts w:eastAsia="Times New Roman"/>
                <w:sz w:val="20"/>
                <w:szCs w:val="20"/>
              </w:rPr>
            </w:pPr>
          </w:p>
        </w:tc>
        <w:tc>
          <w:tcPr>
            <w:tcW w:w="19" w:type="pct"/>
            <w:vAlign w:val="center"/>
            <w:hideMark/>
          </w:tcPr>
          <w:p w14:paraId="78514A96" w14:textId="77777777" w:rsidR="00000000" w:rsidRDefault="0068293C">
            <w:pPr>
              <w:spacing w:after="100"/>
              <w:rPr>
                <w:rFonts w:eastAsia="Times New Roman"/>
                <w:sz w:val="20"/>
                <w:szCs w:val="20"/>
              </w:rPr>
            </w:pPr>
          </w:p>
        </w:tc>
        <w:tc>
          <w:tcPr>
            <w:tcW w:w="5" w:type="pct"/>
            <w:vAlign w:val="center"/>
            <w:hideMark/>
          </w:tcPr>
          <w:p w14:paraId="61A75E0B" w14:textId="77777777" w:rsidR="00000000" w:rsidRDefault="0068293C">
            <w:pPr>
              <w:spacing w:after="100"/>
              <w:rPr>
                <w:rFonts w:eastAsia="Times New Roman"/>
                <w:sz w:val="20"/>
                <w:szCs w:val="20"/>
              </w:rPr>
            </w:pPr>
          </w:p>
        </w:tc>
        <w:tc>
          <w:tcPr>
            <w:tcW w:w="50" w:type="pct"/>
            <w:vAlign w:val="center"/>
            <w:hideMark/>
          </w:tcPr>
          <w:p w14:paraId="6CCFA815" w14:textId="77777777" w:rsidR="00000000" w:rsidRDefault="0068293C">
            <w:pPr>
              <w:spacing w:after="100"/>
              <w:rPr>
                <w:rFonts w:eastAsia="Times New Roman"/>
                <w:sz w:val="20"/>
                <w:szCs w:val="20"/>
              </w:rPr>
            </w:pPr>
          </w:p>
        </w:tc>
        <w:tc>
          <w:tcPr>
            <w:tcW w:w="523" w:type="pct"/>
            <w:vAlign w:val="center"/>
            <w:hideMark/>
          </w:tcPr>
          <w:p w14:paraId="75701088" w14:textId="77777777" w:rsidR="00000000" w:rsidRDefault="0068293C">
            <w:pPr>
              <w:spacing w:after="100"/>
              <w:rPr>
                <w:rFonts w:eastAsia="Times New Roman"/>
                <w:sz w:val="20"/>
                <w:szCs w:val="20"/>
              </w:rPr>
            </w:pPr>
          </w:p>
        </w:tc>
        <w:tc>
          <w:tcPr>
            <w:tcW w:w="5" w:type="pct"/>
            <w:vAlign w:val="center"/>
            <w:hideMark/>
          </w:tcPr>
          <w:p w14:paraId="6737289D" w14:textId="77777777" w:rsidR="00000000" w:rsidRDefault="0068293C">
            <w:pPr>
              <w:spacing w:after="100"/>
              <w:rPr>
                <w:rFonts w:eastAsia="Times New Roman"/>
                <w:sz w:val="20"/>
                <w:szCs w:val="20"/>
              </w:rPr>
            </w:pPr>
          </w:p>
        </w:tc>
        <w:tc>
          <w:tcPr>
            <w:tcW w:w="5" w:type="pct"/>
            <w:vAlign w:val="center"/>
            <w:hideMark/>
          </w:tcPr>
          <w:p w14:paraId="4A1E0EF0" w14:textId="77777777" w:rsidR="00000000" w:rsidRDefault="0068293C">
            <w:pPr>
              <w:spacing w:after="100"/>
              <w:rPr>
                <w:rFonts w:eastAsia="Times New Roman"/>
                <w:sz w:val="20"/>
                <w:szCs w:val="20"/>
              </w:rPr>
            </w:pPr>
          </w:p>
        </w:tc>
        <w:tc>
          <w:tcPr>
            <w:tcW w:w="19" w:type="pct"/>
            <w:vAlign w:val="center"/>
            <w:hideMark/>
          </w:tcPr>
          <w:p w14:paraId="7E2FE959" w14:textId="77777777" w:rsidR="00000000" w:rsidRDefault="0068293C">
            <w:pPr>
              <w:spacing w:after="100"/>
              <w:rPr>
                <w:rFonts w:eastAsia="Times New Roman"/>
                <w:sz w:val="20"/>
                <w:szCs w:val="20"/>
              </w:rPr>
            </w:pPr>
          </w:p>
        </w:tc>
        <w:tc>
          <w:tcPr>
            <w:tcW w:w="5" w:type="pct"/>
            <w:vAlign w:val="center"/>
            <w:hideMark/>
          </w:tcPr>
          <w:p w14:paraId="0F17E536" w14:textId="77777777" w:rsidR="00000000" w:rsidRDefault="0068293C">
            <w:pPr>
              <w:spacing w:after="100"/>
              <w:rPr>
                <w:rFonts w:eastAsia="Times New Roman"/>
                <w:sz w:val="20"/>
                <w:szCs w:val="20"/>
              </w:rPr>
            </w:pPr>
          </w:p>
        </w:tc>
        <w:tc>
          <w:tcPr>
            <w:tcW w:w="50" w:type="pct"/>
            <w:vAlign w:val="center"/>
            <w:hideMark/>
          </w:tcPr>
          <w:p w14:paraId="22C0EF0F" w14:textId="77777777" w:rsidR="00000000" w:rsidRDefault="0068293C">
            <w:pPr>
              <w:spacing w:after="100"/>
              <w:rPr>
                <w:rFonts w:eastAsia="Times New Roman"/>
                <w:sz w:val="20"/>
                <w:szCs w:val="20"/>
              </w:rPr>
            </w:pPr>
          </w:p>
        </w:tc>
        <w:tc>
          <w:tcPr>
            <w:tcW w:w="530" w:type="pct"/>
            <w:vAlign w:val="center"/>
            <w:hideMark/>
          </w:tcPr>
          <w:p w14:paraId="5E9FCCE4" w14:textId="77777777" w:rsidR="00000000" w:rsidRDefault="0068293C">
            <w:pPr>
              <w:spacing w:after="100"/>
              <w:rPr>
                <w:rFonts w:eastAsia="Times New Roman"/>
                <w:sz w:val="20"/>
                <w:szCs w:val="20"/>
              </w:rPr>
            </w:pPr>
          </w:p>
        </w:tc>
        <w:tc>
          <w:tcPr>
            <w:tcW w:w="5" w:type="pct"/>
            <w:vAlign w:val="center"/>
            <w:hideMark/>
          </w:tcPr>
          <w:p w14:paraId="33843ABE" w14:textId="77777777" w:rsidR="00000000" w:rsidRDefault="0068293C">
            <w:pPr>
              <w:spacing w:after="100"/>
              <w:rPr>
                <w:rFonts w:eastAsia="Times New Roman"/>
                <w:sz w:val="20"/>
                <w:szCs w:val="20"/>
              </w:rPr>
            </w:pPr>
          </w:p>
        </w:tc>
        <w:tc>
          <w:tcPr>
            <w:tcW w:w="5" w:type="pct"/>
            <w:vAlign w:val="center"/>
            <w:hideMark/>
          </w:tcPr>
          <w:p w14:paraId="72CE64C9" w14:textId="77777777" w:rsidR="00000000" w:rsidRDefault="0068293C">
            <w:pPr>
              <w:spacing w:after="100"/>
              <w:rPr>
                <w:rFonts w:eastAsia="Times New Roman"/>
                <w:sz w:val="20"/>
                <w:szCs w:val="20"/>
              </w:rPr>
            </w:pPr>
          </w:p>
        </w:tc>
        <w:tc>
          <w:tcPr>
            <w:tcW w:w="19" w:type="pct"/>
            <w:vAlign w:val="center"/>
            <w:hideMark/>
          </w:tcPr>
          <w:p w14:paraId="72FD6415" w14:textId="77777777" w:rsidR="00000000" w:rsidRDefault="0068293C">
            <w:pPr>
              <w:spacing w:after="100"/>
              <w:rPr>
                <w:rFonts w:eastAsia="Times New Roman"/>
                <w:sz w:val="20"/>
                <w:szCs w:val="20"/>
              </w:rPr>
            </w:pPr>
          </w:p>
        </w:tc>
        <w:tc>
          <w:tcPr>
            <w:tcW w:w="5" w:type="pct"/>
            <w:vAlign w:val="center"/>
            <w:hideMark/>
          </w:tcPr>
          <w:p w14:paraId="7DF57D93" w14:textId="77777777" w:rsidR="00000000" w:rsidRDefault="0068293C">
            <w:pPr>
              <w:spacing w:after="100"/>
              <w:rPr>
                <w:rFonts w:eastAsia="Times New Roman"/>
                <w:sz w:val="20"/>
                <w:szCs w:val="20"/>
              </w:rPr>
            </w:pPr>
          </w:p>
        </w:tc>
        <w:tc>
          <w:tcPr>
            <w:tcW w:w="50" w:type="pct"/>
            <w:vAlign w:val="center"/>
            <w:hideMark/>
          </w:tcPr>
          <w:p w14:paraId="4DDF6BA9" w14:textId="77777777" w:rsidR="00000000" w:rsidRDefault="0068293C">
            <w:pPr>
              <w:spacing w:after="100"/>
              <w:rPr>
                <w:rFonts w:eastAsia="Times New Roman"/>
                <w:sz w:val="20"/>
                <w:szCs w:val="20"/>
              </w:rPr>
            </w:pPr>
          </w:p>
        </w:tc>
        <w:tc>
          <w:tcPr>
            <w:tcW w:w="530" w:type="pct"/>
            <w:vAlign w:val="center"/>
            <w:hideMark/>
          </w:tcPr>
          <w:p w14:paraId="0F320498" w14:textId="77777777" w:rsidR="00000000" w:rsidRDefault="0068293C">
            <w:pPr>
              <w:spacing w:after="100"/>
              <w:rPr>
                <w:rFonts w:eastAsia="Times New Roman"/>
                <w:sz w:val="20"/>
                <w:szCs w:val="20"/>
              </w:rPr>
            </w:pPr>
          </w:p>
        </w:tc>
        <w:tc>
          <w:tcPr>
            <w:tcW w:w="5" w:type="pct"/>
            <w:vAlign w:val="center"/>
            <w:hideMark/>
          </w:tcPr>
          <w:p w14:paraId="0CE6F8AA" w14:textId="77777777" w:rsidR="00000000" w:rsidRDefault="0068293C">
            <w:pPr>
              <w:spacing w:after="100"/>
              <w:rPr>
                <w:rFonts w:eastAsia="Times New Roman"/>
                <w:sz w:val="20"/>
                <w:szCs w:val="20"/>
              </w:rPr>
            </w:pPr>
          </w:p>
        </w:tc>
      </w:tr>
      <w:tr w:rsidR="00000000" w14:paraId="16D8353A" w14:textId="77777777">
        <w:tc>
          <w:tcPr>
            <w:tcW w:w="0" w:type="auto"/>
            <w:gridSpan w:val="3"/>
            <w:shd w:val="clear" w:color="auto" w:fill="FFFFFF"/>
            <w:tcMar>
              <w:top w:w="0" w:type="dxa"/>
              <w:left w:w="20" w:type="dxa"/>
              <w:bottom w:w="0" w:type="dxa"/>
              <w:right w:w="20" w:type="dxa"/>
            </w:tcMar>
            <w:vAlign w:val="center"/>
            <w:hideMark/>
          </w:tcPr>
          <w:p w14:paraId="50C26417"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86A00B"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63B6B018"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shd w:val="clear" w:color="auto" w:fill="FFFFFF"/>
            <w:tcMar>
              <w:top w:w="0" w:type="dxa"/>
              <w:left w:w="20" w:type="dxa"/>
              <w:bottom w:w="0" w:type="dxa"/>
              <w:right w:w="20" w:type="dxa"/>
            </w:tcMar>
            <w:vAlign w:val="center"/>
            <w:hideMark/>
          </w:tcPr>
          <w:p w14:paraId="728E6A59" w14:textId="77777777" w:rsidR="00000000" w:rsidRDefault="0068293C">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14:paraId="5C92CC2B" w14:textId="77777777" w:rsidR="00000000" w:rsidRDefault="0068293C">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14:paraId="06AF86EF"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5606ADCC" w14:textId="77777777">
        <w:tc>
          <w:tcPr>
            <w:tcW w:w="0" w:type="auto"/>
            <w:gridSpan w:val="3"/>
            <w:tcMar>
              <w:top w:w="30" w:type="dxa"/>
              <w:left w:w="20" w:type="dxa"/>
              <w:bottom w:w="30" w:type="dxa"/>
              <w:right w:w="20" w:type="dxa"/>
            </w:tcMar>
            <w:vAlign w:val="bottom"/>
            <w:hideMark/>
          </w:tcPr>
          <w:p w14:paraId="7F7EA099"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37E40611"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C99703"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DB329F3"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5D43A5"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DF8C7DD"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184898"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AA5CADC"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641305"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B3A6A07"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0265C2" w14:textId="77777777" w:rsidR="00000000" w:rsidRDefault="0068293C">
            <w:pPr>
              <w:spacing w:after="100"/>
              <w:jc w:val="center"/>
              <w:rPr>
                <w:rFonts w:eastAsia="Times New Roman"/>
              </w:rPr>
            </w:pPr>
            <w:r>
              <w:rPr>
                <w:rFonts w:eastAsia="Times New Roman"/>
                <w:b/>
                <w:bCs/>
                <w:color w:val="000000"/>
                <w:sz w:val="16"/>
                <w:szCs w:val="16"/>
              </w:rPr>
              <w:t>2022 vs 2021</w:t>
            </w:r>
          </w:p>
        </w:tc>
      </w:tr>
      <w:tr w:rsidR="00000000" w14:paraId="10C0CD1E" w14:textId="77777777">
        <w:tc>
          <w:tcPr>
            <w:tcW w:w="0" w:type="auto"/>
            <w:gridSpan w:val="3"/>
            <w:shd w:val="clear" w:color="auto" w:fill="CCEEFF"/>
            <w:tcMar>
              <w:top w:w="30" w:type="dxa"/>
              <w:left w:w="20" w:type="dxa"/>
              <w:bottom w:w="30" w:type="dxa"/>
              <w:right w:w="20" w:type="dxa"/>
            </w:tcMar>
            <w:hideMark/>
          </w:tcPr>
          <w:p w14:paraId="594661B8" w14:textId="77777777" w:rsidR="00000000" w:rsidRDefault="0068293C">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7C1FBE49"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D3ECAE"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2BBA49" w14:textId="77777777" w:rsidR="00000000" w:rsidRDefault="0068293C">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964BA7"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103EF"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60BF7E"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9F0C2E" w14:textId="77777777" w:rsidR="00000000" w:rsidRDefault="0068293C">
            <w:pPr>
              <w:spacing w:after="100"/>
              <w:jc w:val="right"/>
              <w:rPr>
                <w:rFonts w:eastAsia="Times New Roman"/>
              </w:rPr>
            </w:pPr>
            <w:r>
              <w:rPr>
                <w:rFonts w:eastAsia="Times New Roman"/>
                <w:color w:val="000000"/>
                <w:sz w:val="20"/>
                <w:szCs w:val="20"/>
              </w:rPr>
              <w:t>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A31E8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6BE0B"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456AC9" w14:textId="77777777" w:rsidR="00000000" w:rsidRDefault="0068293C">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E8319"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984D71"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DFCF73" w14:textId="77777777" w:rsidR="00000000" w:rsidRDefault="0068293C">
            <w:pPr>
              <w:spacing w:after="100"/>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266217"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8DFB2C"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E9B9B4" w14:textId="77777777" w:rsidR="00000000" w:rsidRDefault="0068293C">
            <w:pPr>
              <w:spacing w:after="100"/>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5E577" w14:textId="77777777" w:rsidR="00000000" w:rsidRDefault="0068293C">
            <w:pPr>
              <w:spacing w:after="100"/>
              <w:jc w:val="right"/>
              <w:rPr>
                <w:rFonts w:eastAsia="Times New Roman"/>
              </w:rPr>
            </w:pPr>
            <w:r>
              <w:rPr>
                <w:rFonts w:eastAsia="Times New Roman"/>
                <w:color w:val="000000"/>
                <w:sz w:val="20"/>
                <w:szCs w:val="20"/>
              </w:rPr>
              <w:t>%</w:t>
            </w:r>
          </w:p>
        </w:tc>
      </w:tr>
    </w:tbl>
    <w:p w14:paraId="4F89A4EE" w14:textId="77777777" w:rsidR="00000000" w:rsidRDefault="0068293C">
      <w:pPr>
        <w:jc w:val="both"/>
        <w:rPr>
          <w:rFonts w:eastAsia="Times New Roman"/>
        </w:rPr>
      </w:pPr>
    </w:p>
    <w:p w14:paraId="6E891EAB" w14:textId="77777777" w:rsidR="00000000" w:rsidRDefault="0068293C">
      <w:pPr>
        <w:jc w:val="both"/>
        <w:rPr>
          <w:rFonts w:eastAsia="Times New Roman"/>
        </w:rPr>
      </w:pPr>
    </w:p>
    <w:p w14:paraId="1D6A68A7" w14:textId="77777777" w:rsidR="00000000" w:rsidRDefault="0068293C">
      <w:pPr>
        <w:jc w:val="both"/>
        <w:rPr>
          <w:rFonts w:eastAsia="Times New Roman"/>
        </w:rPr>
      </w:pPr>
    </w:p>
    <w:p w14:paraId="163DA31D" w14:textId="77777777" w:rsidR="00000000" w:rsidRDefault="0068293C">
      <w:pPr>
        <w:jc w:val="both"/>
        <w:rPr>
          <w:rFonts w:eastAsia="Times New Roman"/>
        </w:rPr>
      </w:pPr>
    </w:p>
    <w:p w14:paraId="55A75E35" w14:textId="77777777" w:rsidR="00000000" w:rsidRDefault="0068293C">
      <w:pPr>
        <w:jc w:val="both"/>
        <w:rPr>
          <w:rFonts w:eastAsia="Times New Roman"/>
        </w:rPr>
      </w:pPr>
    </w:p>
    <w:p w14:paraId="10D60CD2" w14:textId="77777777" w:rsidR="00000000" w:rsidRDefault="0068293C">
      <w:pPr>
        <w:jc w:val="center"/>
        <w:divId w:val="1085810227"/>
        <w:rPr>
          <w:rFonts w:eastAsia="Times New Roman"/>
        </w:rPr>
      </w:pPr>
      <w:r>
        <w:rPr>
          <w:rFonts w:eastAsia="Times New Roman"/>
          <w:color w:val="000000"/>
          <w:sz w:val="20"/>
          <w:szCs w:val="20"/>
        </w:rPr>
        <w:t>40</w:t>
      </w:r>
    </w:p>
    <w:p w14:paraId="7EB68789" w14:textId="77777777" w:rsidR="00000000" w:rsidRDefault="0068293C">
      <w:pPr>
        <w:rPr>
          <w:rFonts w:eastAsia="Times New Roman"/>
        </w:rPr>
      </w:pPr>
      <w:r>
        <w:rPr>
          <w:rFonts w:eastAsia="Times New Roman"/>
        </w:rPr>
        <w:pict w14:anchorId="1226D7BC">
          <v:rect id="_x0000_i1065" style="width:0;height:1.5pt" o:hralign="center" o:hrstd="t" o:hr="t" fillcolor="#a0a0a0" stroked="f"/>
        </w:pict>
      </w:r>
    </w:p>
    <w:p w14:paraId="3B7A9C43" w14:textId="77777777" w:rsidR="00000000" w:rsidRDefault="0068293C">
      <w:pPr>
        <w:divId w:val="1341345871"/>
        <w:rPr>
          <w:rFonts w:eastAsia="Times New Roman"/>
        </w:rPr>
      </w:pPr>
      <w:hyperlink w:anchor="i78484f3d0d8e4e36a7c87ddd6ea9d725_7" w:history="1">
        <w:r>
          <w:rPr>
            <w:rStyle w:val="a3"/>
            <w:rFonts w:eastAsia="Times New Roman"/>
            <w:sz w:val="16"/>
            <w:szCs w:val="16"/>
          </w:rPr>
          <w:t>Table of Contents</w:t>
        </w:r>
      </w:hyperlink>
    </w:p>
    <w:p w14:paraId="69C99C2A" w14:textId="77777777" w:rsidR="00000000" w:rsidRDefault="0068293C">
      <w:pPr>
        <w:jc w:val="both"/>
        <w:rPr>
          <w:rFonts w:eastAsia="Times New Roman"/>
        </w:rPr>
      </w:pPr>
      <w:r>
        <w:rPr>
          <w:rFonts w:eastAsia="Times New Roman"/>
          <w:i/>
          <w:iCs/>
          <w:color w:val="000000"/>
          <w:sz w:val="20"/>
          <w:szCs w:val="20"/>
        </w:rPr>
        <w:t>For the three months ended March 31, 2022 compared to the three months ended March 31, 2021</w:t>
      </w:r>
    </w:p>
    <w:p w14:paraId="7678F1B0" w14:textId="77777777" w:rsidR="00000000" w:rsidRDefault="0068293C">
      <w:pPr>
        <w:jc w:val="both"/>
        <w:rPr>
          <w:rFonts w:eastAsia="Times New Roman"/>
        </w:rPr>
      </w:pPr>
    </w:p>
    <w:p w14:paraId="18DCE580" w14:textId="77777777" w:rsidR="00000000" w:rsidRDefault="0068293C">
      <w:pPr>
        <w:jc w:val="both"/>
        <w:rPr>
          <w:rFonts w:eastAsia="Times New Roman"/>
        </w:rPr>
      </w:pPr>
      <w:r>
        <w:rPr>
          <w:rFonts w:eastAsia="Times New Roman"/>
          <w:color w:val="000000"/>
          <w:sz w:val="20"/>
          <w:szCs w:val="20"/>
        </w:rPr>
        <w:t>Selling, general, and administrative expenses were $313 million compared to $238 million in the three months ended March 31, 2022 and 2021, respectively. As a per</w:t>
      </w:r>
      <w:r>
        <w:rPr>
          <w:rFonts w:eastAsia="Times New Roman"/>
          <w:color w:val="000000"/>
          <w:sz w:val="20"/>
          <w:szCs w:val="20"/>
        </w:rPr>
        <w:t>centage of revenue, selling, general and administrative expenses were 16.8% compared to 15.4% in the three months ended March 31, 2022 and 2021, respectively. In the three months ended March 31, 2022, selling, general and administrative expenses included $</w:t>
      </w:r>
      <w:r>
        <w:rPr>
          <w:rFonts w:eastAsia="Times New Roman"/>
          <w:color w:val="000000"/>
          <w:sz w:val="20"/>
          <w:szCs w:val="20"/>
        </w:rPr>
        <w:t>21 million of transformation costs, $22 million of amortization of acquisition-related intangible assets, $5 million of acquisition-related costs and $4 million of costs related to actions taken with respect to our operations in Russia. In the three months</w:t>
      </w:r>
      <w:r>
        <w:rPr>
          <w:rFonts w:eastAsia="Times New Roman"/>
          <w:color w:val="000000"/>
          <w:sz w:val="20"/>
          <w:szCs w:val="20"/>
        </w:rPr>
        <w:t xml:space="preserve"> ended March 31, 2021, selling, general and administrative expenses included $2 million of transformation costs, $13 million of amortization of acquisition-related intangible assets, and $10 million of acquisition-related costs. Excluding these items, sell</w:t>
      </w:r>
      <w:r>
        <w:rPr>
          <w:rFonts w:eastAsia="Times New Roman"/>
          <w:color w:val="000000"/>
          <w:sz w:val="20"/>
          <w:szCs w:val="20"/>
        </w:rPr>
        <w:t xml:space="preserve">ing, general and administrative expenses increased slightly as a percentage of revenue from 13.8% to 14.0%. </w:t>
      </w:r>
    </w:p>
    <w:p w14:paraId="6D5D1D04" w14:textId="77777777" w:rsidR="00000000" w:rsidRDefault="0068293C">
      <w:pPr>
        <w:jc w:val="both"/>
        <w:rPr>
          <w:rFonts w:eastAsia="Times New Roman"/>
        </w:rPr>
      </w:pPr>
    </w:p>
    <w:p w14:paraId="282F012A" w14:textId="77777777" w:rsidR="00000000" w:rsidRDefault="0068293C">
      <w:pPr>
        <w:jc w:val="both"/>
        <w:rPr>
          <w:rFonts w:eastAsia="Times New Roman"/>
        </w:rPr>
      </w:pPr>
      <w:r>
        <w:rPr>
          <w:rFonts w:eastAsia="Times New Roman"/>
          <w:b/>
          <w:bCs/>
          <w:color w:val="000000"/>
          <w:sz w:val="20"/>
          <w:szCs w:val="20"/>
        </w:rPr>
        <w:t>Research and Development Expenses</w:t>
      </w:r>
    </w:p>
    <w:p w14:paraId="2E4C7283" w14:textId="77777777" w:rsidR="00000000" w:rsidRDefault="0068293C">
      <w:pPr>
        <w:divId w:val="570948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6"/>
        <w:gridCol w:w="36"/>
        <w:gridCol w:w="36"/>
        <w:gridCol w:w="36"/>
        <w:gridCol w:w="36"/>
        <w:gridCol w:w="120"/>
        <w:gridCol w:w="786"/>
        <w:gridCol w:w="36"/>
        <w:gridCol w:w="36"/>
        <w:gridCol w:w="36"/>
        <w:gridCol w:w="36"/>
        <w:gridCol w:w="120"/>
        <w:gridCol w:w="713"/>
        <w:gridCol w:w="36"/>
        <w:gridCol w:w="36"/>
        <w:gridCol w:w="36"/>
        <w:gridCol w:w="36"/>
        <w:gridCol w:w="37"/>
        <w:gridCol w:w="754"/>
        <w:gridCol w:w="221"/>
        <w:gridCol w:w="36"/>
        <w:gridCol w:w="36"/>
        <w:gridCol w:w="36"/>
        <w:gridCol w:w="36"/>
        <w:gridCol w:w="742"/>
        <w:gridCol w:w="187"/>
        <w:gridCol w:w="36"/>
        <w:gridCol w:w="36"/>
        <w:gridCol w:w="36"/>
        <w:gridCol w:w="65"/>
        <w:gridCol w:w="726"/>
        <w:gridCol w:w="187"/>
      </w:tblGrid>
      <w:tr w:rsidR="00000000" w14:paraId="570D510A" w14:textId="77777777">
        <w:tc>
          <w:tcPr>
            <w:tcW w:w="50" w:type="pct"/>
            <w:vAlign w:val="center"/>
            <w:hideMark/>
          </w:tcPr>
          <w:p w14:paraId="45D1E5A7" w14:textId="77777777" w:rsidR="00000000" w:rsidRDefault="0068293C">
            <w:pPr>
              <w:rPr>
                <w:rFonts w:eastAsia="Times New Roman"/>
              </w:rPr>
            </w:pPr>
          </w:p>
        </w:tc>
        <w:tc>
          <w:tcPr>
            <w:tcW w:w="1845" w:type="pct"/>
            <w:vAlign w:val="center"/>
            <w:hideMark/>
          </w:tcPr>
          <w:p w14:paraId="20641E3F" w14:textId="77777777" w:rsidR="00000000" w:rsidRDefault="0068293C">
            <w:pPr>
              <w:spacing w:after="100"/>
              <w:rPr>
                <w:rFonts w:eastAsia="Times New Roman"/>
                <w:sz w:val="20"/>
                <w:szCs w:val="20"/>
              </w:rPr>
            </w:pPr>
          </w:p>
        </w:tc>
        <w:tc>
          <w:tcPr>
            <w:tcW w:w="5" w:type="pct"/>
            <w:vAlign w:val="center"/>
            <w:hideMark/>
          </w:tcPr>
          <w:p w14:paraId="3BE923EA" w14:textId="77777777" w:rsidR="00000000" w:rsidRDefault="0068293C">
            <w:pPr>
              <w:spacing w:after="100"/>
              <w:rPr>
                <w:rFonts w:eastAsia="Times New Roman"/>
                <w:sz w:val="20"/>
                <w:szCs w:val="20"/>
              </w:rPr>
            </w:pPr>
          </w:p>
        </w:tc>
        <w:tc>
          <w:tcPr>
            <w:tcW w:w="5" w:type="pct"/>
            <w:vAlign w:val="center"/>
            <w:hideMark/>
          </w:tcPr>
          <w:p w14:paraId="7A13975B" w14:textId="77777777" w:rsidR="00000000" w:rsidRDefault="0068293C">
            <w:pPr>
              <w:spacing w:after="100"/>
              <w:rPr>
                <w:rFonts w:eastAsia="Times New Roman"/>
                <w:sz w:val="20"/>
                <w:szCs w:val="20"/>
              </w:rPr>
            </w:pPr>
          </w:p>
        </w:tc>
        <w:tc>
          <w:tcPr>
            <w:tcW w:w="19" w:type="pct"/>
            <w:vAlign w:val="center"/>
            <w:hideMark/>
          </w:tcPr>
          <w:p w14:paraId="5CA2659C" w14:textId="77777777" w:rsidR="00000000" w:rsidRDefault="0068293C">
            <w:pPr>
              <w:spacing w:after="100"/>
              <w:rPr>
                <w:rFonts w:eastAsia="Times New Roman"/>
                <w:sz w:val="20"/>
                <w:szCs w:val="20"/>
              </w:rPr>
            </w:pPr>
          </w:p>
        </w:tc>
        <w:tc>
          <w:tcPr>
            <w:tcW w:w="5" w:type="pct"/>
            <w:vAlign w:val="center"/>
            <w:hideMark/>
          </w:tcPr>
          <w:p w14:paraId="5D20ECB5" w14:textId="77777777" w:rsidR="00000000" w:rsidRDefault="0068293C">
            <w:pPr>
              <w:spacing w:after="100"/>
              <w:rPr>
                <w:rFonts w:eastAsia="Times New Roman"/>
                <w:sz w:val="20"/>
                <w:szCs w:val="20"/>
              </w:rPr>
            </w:pPr>
          </w:p>
        </w:tc>
        <w:tc>
          <w:tcPr>
            <w:tcW w:w="50" w:type="pct"/>
            <w:vAlign w:val="center"/>
            <w:hideMark/>
          </w:tcPr>
          <w:p w14:paraId="5325D031" w14:textId="77777777" w:rsidR="00000000" w:rsidRDefault="0068293C">
            <w:pPr>
              <w:spacing w:after="100"/>
              <w:rPr>
                <w:rFonts w:eastAsia="Times New Roman"/>
                <w:sz w:val="20"/>
                <w:szCs w:val="20"/>
              </w:rPr>
            </w:pPr>
          </w:p>
        </w:tc>
        <w:tc>
          <w:tcPr>
            <w:tcW w:w="529" w:type="pct"/>
            <w:vAlign w:val="center"/>
            <w:hideMark/>
          </w:tcPr>
          <w:p w14:paraId="6CB0CBFA" w14:textId="77777777" w:rsidR="00000000" w:rsidRDefault="0068293C">
            <w:pPr>
              <w:spacing w:after="100"/>
              <w:rPr>
                <w:rFonts w:eastAsia="Times New Roman"/>
                <w:sz w:val="20"/>
                <w:szCs w:val="20"/>
              </w:rPr>
            </w:pPr>
          </w:p>
        </w:tc>
        <w:tc>
          <w:tcPr>
            <w:tcW w:w="5" w:type="pct"/>
            <w:vAlign w:val="center"/>
            <w:hideMark/>
          </w:tcPr>
          <w:p w14:paraId="558E3067" w14:textId="77777777" w:rsidR="00000000" w:rsidRDefault="0068293C">
            <w:pPr>
              <w:spacing w:after="100"/>
              <w:rPr>
                <w:rFonts w:eastAsia="Times New Roman"/>
                <w:sz w:val="20"/>
                <w:szCs w:val="20"/>
              </w:rPr>
            </w:pPr>
          </w:p>
        </w:tc>
        <w:tc>
          <w:tcPr>
            <w:tcW w:w="5" w:type="pct"/>
            <w:vAlign w:val="center"/>
            <w:hideMark/>
          </w:tcPr>
          <w:p w14:paraId="4AE3BF8D" w14:textId="77777777" w:rsidR="00000000" w:rsidRDefault="0068293C">
            <w:pPr>
              <w:spacing w:after="100"/>
              <w:rPr>
                <w:rFonts w:eastAsia="Times New Roman"/>
                <w:sz w:val="20"/>
                <w:szCs w:val="20"/>
              </w:rPr>
            </w:pPr>
          </w:p>
        </w:tc>
        <w:tc>
          <w:tcPr>
            <w:tcW w:w="26" w:type="pct"/>
            <w:vAlign w:val="center"/>
            <w:hideMark/>
          </w:tcPr>
          <w:p w14:paraId="1E385FCA" w14:textId="77777777" w:rsidR="00000000" w:rsidRDefault="0068293C">
            <w:pPr>
              <w:spacing w:after="100"/>
              <w:rPr>
                <w:rFonts w:eastAsia="Times New Roman"/>
                <w:sz w:val="20"/>
                <w:szCs w:val="20"/>
              </w:rPr>
            </w:pPr>
          </w:p>
        </w:tc>
        <w:tc>
          <w:tcPr>
            <w:tcW w:w="5" w:type="pct"/>
            <w:vAlign w:val="center"/>
            <w:hideMark/>
          </w:tcPr>
          <w:p w14:paraId="73BF7A82" w14:textId="77777777" w:rsidR="00000000" w:rsidRDefault="0068293C">
            <w:pPr>
              <w:spacing w:after="100"/>
              <w:rPr>
                <w:rFonts w:eastAsia="Times New Roman"/>
                <w:sz w:val="20"/>
                <w:szCs w:val="20"/>
              </w:rPr>
            </w:pPr>
          </w:p>
        </w:tc>
        <w:tc>
          <w:tcPr>
            <w:tcW w:w="50" w:type="pct"/>
            <w:vAlign w:val="center"/>
            <w:hideMark/>
          </w:tcPr>
          <w:p w14:paraId="13CBBAED" w14:textId="77777777" w:rsidR="00000000" w:rsidRDefault="0068293C">
            <w:pPr>
              <w:spacing w:after="100"/>
              <w:rPr>
                <w:rFonts w:eastAsia="Times New Roman"/>
                <w:sz w:val="20"/>
                <w:szCs w:val="20"/>
              </w:rPr>
            </w:pPr>
          </w:p>
        </w:tc>
        <w:tc>
          <w:tcPr>
            <w:tcW w:w="537" w:type="pct"/>
            <w:vAlign w:val="center"/>
            <w:hideMark/>
          </w:tcPr>
          <w:p w14:paraId="09CEC694" w14:textId="77777777" w:rsidR="00000000" w:rsidRDefault="0068293C">
            <w:pPr>
              <w:spacing w:after="100"/>
              <w:rPr>
                <w:rFonts w:eastAsia="Times New Roman"/>
                <w:sz w:val="20"/>
                <w:szCs w:val="20"/>
              </w:rPr>
            </w:pPr>
          </w:p>
        </w:tc>
        <w:tc>
          <w:tcPr>
            <w:tcW w:w="5" w:type="pct"/>
            <w:vAlign w:val="center"/>
            <w:hideMark/>
          </w:tcPr>
          <w:p w14:paraId="5CA4E33F" w14:textId="77777777" w:rsidR="00000000" w:rsidRDefault="0068293C">
            <w:pPr>
              <w:spacing w:after="100"/>
              <w:rPr>
                <w:rFonts w:eastAsia="Times New Roman"/>
                <w:sz w:val="20"/>
                <w:szCs w:val="20"/>
              </w:rPr>
            </w:pPr>
          </w:p>
        </w:tc>
        <w:tc>
          <w:tcPr>
            <w:tcW w:w="5" w:type="pct"/>
            <w:vAlign w:val="center"/>
            <w:hideMark/>
          </w:tcPr>
          <w:p w14:paraId="3CAECCAA" w14:textId="77777777" w:rsidR="00000000" w:rsidRDefault="0068293C">
            <w:pPr>
              <w:spacing w:after="100"/>
              <w:rPr>
                <w:rFonts w:eastAsia="Times New Roman"/>
                <w:sz w:val="20"/>
                <w:szCs w:val="20"/>
              </w:rPr>
            </w:pPr>
          </w:p>
        </w:tc>
        <w:tc>
          <w:tcPr>
            <w:tcW w:w="19" w:type="pct"/>
            <w:vAlign w:val="center"/>
            <w:hideMark/>
          </w:tcPr>
          <w:p w14:paraId="18EE7B5D" w14:textId="77777777" w:rsidR="00000000" w:rsidRDefault="0068293C">
            <w:pPr>
              <w:spacing w:after="100"/>
              <w:rPr>
                <w:rFonts w:eastAsia="Times New Roman"/>
                <w:sz w:val="20"/>
                <w:szCs w:val="20"/>
              </w:rPr>
            </w:pPr>
          </w:p>
        </w:tc>
        <w:tc>
          <w:tcPr>
            <w:tcW w:w="5" w:type="pct"/>
            <w:vAlign w:val="center"/>
            <w:hideMark/>
          </w:tcPr>
          <w:p w14:paraId="0FFF5DF4" w14:textId="77777777" w:rsidR="00000000" w:rsidRDefault="0068293C">
            <w:pPr>
              <w:spacing w:after="100"/>
              <w:rPr>
                <w:rFonts w:eastAsia="Times New Roman"/>
                <w:sz w:val="20"/>
                <w:szCs w:val="20"/>
              </w:rPr>
            </w:pPr>
          </w:p>
        </w:tc>
        <w:tc>
          <w:tcPr>
            <w:tcW w:w="50" w:type="pct"/>
            <w:vAlign w:val="center"/>
            <w:hideMark/>
          </w:tcPr>
          <w:p w14:paraId="52C411D6" w14:textId="77777777" w:rsidR="00000000" w:rsidRDefault="0068293C">
            <w:pPr>
              <w:spacing w:after="100"/>
              <w:rPr>
                <w:rFonts w:eastAsia="Times New Roman"/>
                <w:sz w:val="20"/>
                <w:szCs w:val="20"/>
              </w:rPr>
            </w:pPr>
          </w:p>
        </w:tc>
        <w:tc>
          <w:tcPr>
            <w:tcW w:w="537" w:type="pct"/>
            <w:vAlign w:val="center"/>
            <w:hideMark/>
          </w:tcPr>
          <w:p w14:paraId="46ED216C" w14:textId="77777777" w:rsidR="00000000" w:rsidRDefault="0068293C">
            <w:pPr>
              <w:spacing w:after="100"/>
              <w:rPr>
                <w:rFonts w:eastAsia="Times New Roman"/>
                <w:sz w:val="20"/>
                <w:szCs w:val="20"/>
              </w:rPr>
            </w:pPr>
          </w:p>
        </w:tc>
        <w:tc>
          <w:tcPr>
            <w:tcW w:w="5" w:type="pct"/>
            <w:vAlign w:val="center"/>
            <w:hideMark/>
          </w:tcPr>
          <w:p w14:paraId="12280E8B" w14:textId="77777777" w:rsidR="00000000" w:rsidRDefault="0068293C">
            <w:pPr>
              <w:spacing w:after="100"/>
              <w:rPr>
                <w:rFonts w:eastAsia="Times New Roman"/>
                <w:sz w:val="20"/>
                <w:szCs w:val="20"/>
              </w:rPr>
            </w:pPr>
          </w:p>
        </w:tc>
        <w:tc>
          <w:tcPr>
            <w:tcW w:w="5" w:type="pct"/>
            <w:vAlign w:val="center"/>
            <w:hideMark/>
          </w:tcPr>
          <w:p w14:paraId="25C2A9F6" w14:textId="77777777" w:rsidR="00000000" w:rsidRDefault="0068293C">
            <w:pPr>
              <w:spacing w:after="100"/>
              <w:rPr>
                <w:rFonts w:eastAsia="Times New Roman"/>
                <w:sz w:val="20"/>
                <w:szCs w:val="20"/>
              </w:rPr>
            </w:pPr>
          </w:p>
        </w:tc>
        <w:tc>
          <w:tcPr>
            <w:tcW w:w="19" w:type="pct"/>
            <w:vAlign w:val="center"/>
            <w:hideMark/>
          </w:tcPr>
          <w:p w14:paraId="37FF1670" w14:textId="77777777" w:rsidR="00000000" w:rsidRDefault="0068293C">
            <w:pPr>
              <w:spacing w:after="100"/>
              <w:rPr>
                <w:rFonts w:eastAsia="Times New Roman"/>
                <w:sz w:val="20"/>
                <w:szCs w:val="20"/>
              </w:rPr>
            </w:pPr>
          </w:p>
        </w:tc>
        <w:tc>
          <w:tcPr>
            <w:tcW w:w="5" w:type="pct"/>
            <w:vAlign w:val="center"/>
            <w:hideMark/>
          </w:tcPr>
          <w:p w14:paraId="500C98E2" w14:textId="77777777" w:rsidR="00000000" w:rsidRDefault="0068293C">
            <w:pPr>
              <w:spacing w:after="100"/>
              <w:rPr>
                <w:rFonts w:eastAsia="Times New Roman"/>
                <w:sz w:val="20"/>
                <w:szCs w:val="20"/>
              </w:rPr>
            </w:pPr>
          </w:p>
        </w:tc>
        <w:tc>
          <w:tcPr>
            <w:tcW w:w="50" w:type="pct"/>
            <w:vAlign w:val="center"/>
            <w:hideMark/>
          </w:tcPr>
          <w:p w14:paraId="0E51F9E9" w14:textId="77777777" w:rsidR="00000000" w:rsidRDefault="0068293C">
            <w:pPr>
              <w:spacing w:after="100"/>
              <w:rPr>
                <w:rFonts w:eastAsia="Times New Roman"/>
                <w:sz w:val="20"/>
                <w:szCs w:val="20"/>
              </w:rPr>
            </w:pPr>
          </w:p>
        </w:tc>
        <w:tc>
          <w:tcPr>
            <w:tcW w:w="529" w:type="pct"/>
            <w:vAlign w:val="center"/>
            <w:hideMark/>
          </w:tcPr>
          <w:p w14:paraId="79ED1105" w14:textId="77777777" w:rsidR="00000000" w:rsidRDefault="0068293C">
            <w:pPr>
              <w:spacing w:after="100"/>
              <w:rPr>
                <w:rFonts w:eastAsia="Times New Roman"/>
                <w:sz w:val="20"/>
                <w:szCs w:val="20"/>
              </w:rPr>
            </w:pPr>
          </w:p>
        </w:tc>
        <w:tc>
          <w:tcPr>
            <w:tcW w:w="5" w:type="pct"/>
            <w:vAlign w:val="center"/>
            <w:hideMark/>
          </w:tcPr>
          <w:p w14:paraId="16B2E18F" w14:textId="77777777" w:rsidR="00000000" w:rsidRDefault="0068293C">
            <w:pPr>
              <w:spacing w:after="100"/>
              <w:rPr>
                <w:rFonts w:eastAsia="Times New Roman"/>
                <w:sz w:val="20"/>
                <w:szCs w:val="20"/>
              </w:rPr>
            </w:pPr>
          </w:p>
        </w:tc>
        <w:tc>
          <w:tcPr>
            <w:tcW w:w="5" w:type="pct"/>
            <w:vAlign w:val="center"/>
            <w:hideMark/>
          </w:tcPr>
          <w:p w14:paraId="6783DE6C" w14:textId="77777777" w:rsidR="00000000" w:rsidRDefault="0068293C">
            <w:pPr>
              <w:spacing w:after="100"/>
              <w:rPr>
                <w:rFonts w:eastAsia="Times New Roman"/>
                <w:sz w:val="20"/>
                <w:szCs w:val="20"/>
              </w:rPr>
            </w:pPr>
          </w:p>
        </w:tc>
        <w:tc>
          <w:tcPr>
            <w:tcW w:w="19" w:type="pct"/>
            <w:vAlign w:val="center"/>
            <w:hideMark/>
          </w:tcPr>
          <w:p w14:paraId="48F8CD45" w14:textId="77777777" w:rsidR="00000000" w:rsidRDefault="0068293C">
            <w:pPr>
              <w:spacing w:after="100"/>
              <w:rPr>
                <w:rFonts w:eastAsia="Times New Roman"/>
                <w:sz w:val="20"/>
                <w:szCs w:val="20"/>
              </w:rPr>
            </w:pPr>
          </w:p>
        </w:tc>
        <w:tc>
          <w:tcPr>
            <w:tcW w:w="5" w:type="pct"/>
            <w:vAlign w:val="center"/>
            <w:hideMark/>
          </w:tcPr>
          <w:p w14:paraId="0BE7A976" w14:textId="77777777" w:rsidR="00000000" w:rsidRDefault="0068293C">
            <w:pPr>
              <w:spacing w:after="100"/>
              <w:rPr>
                <w:rFonts w:eastAsia="Times New Roman"/>
                <w:sz w:val="20"/>
                <w:szCs w:val="20"/>
              </w:rPr>
            </w:pPr>
          </w:p>
        </w:tc>
        <w:tc>
          <w:tcPr>
            <w:tcW w:w="50" w:type="pct"/>
            <w:vAlign w:val="center"/>
            <w:hideMark/>
          </w:tcPr>
          <w:p w14:paraId="515CBBBA" w14:textId="77777777" w:rsidR="00000000" w:rsidRDefault="0068293C">
            <w:pPr>
              <w:spacing w:after="100"/>
              <w:rPr>
                <w:rFonts w:eastAsia="Times New Roman"/>
                <w:sz w:val="20"/>
                <w:szCs w:val="20"/>
              </w:rPr>
            </w:pPr>
          </w:p>
        </w:tc>
        <w:tc>
          <w:tcPr>
            <w:tcW w:w="537" w:type="pct"/>
            <w:vAlign w:val="center"/>
            <w:hideMark/>
          </w:tcPr>
          <w:p w14:paraId="6D9AC0AF" w14:textId="77777777" w:rsidR="00000000" w:rsidRDefault="0068293C">
            <w:pPr>
              <w:spacing w:after="100"/>
              <w:rPr>
                <w:rFonts w:eastAsia="Times New Roman"/>
                <w:sz w:val="20"/>
                <w:szCs w:val="20"/>
              </w:rPr>
            </w:pPr>
          </w:p>
        </w:tc>
        <w:tc>
          <w:tcPr>
            <w:tcW w:w="5" w:type="pct"/>
            <w:vAlign w:val="center"/>
            <w:hideMark/>
          </w:tcPr>
          <w:p w14:paraId="64DEEBEA" w14:textId="77777777" w:rsidR="00000000" w:rsidRDefault="0068293C">
            <w:pPr>
              <w:spacing w:after="100"/>
              <w:rPr>
                <w:rFonts w:eastAsia="Times New Roman"/>
                <w:sz w:val="20"/>
                <w:szCs w:val="20"/>
              </w:rPr>
            </w:pPr>
          </w:p>
        </w:tc>
      </w:tr>
      <w:tr w:rsidR="00000000" w14:paraId="6B320BD2" w14:textId="77777777">
        <w:tc>
          <w:tcPr>
            <w:tcW w:w="0" w:type="auto"/>
            <w:gridSpan w:val="3"/>
            <w:shd w:val="clear" w:color="auto" w:fill="FFFFFF"/>
            <w:tcMar>
              <w:top w:w="0" w:type="dxa"/>
              <w:left w:w="20" w:type="dxa"/>
              <w:bottom w:w="0" w:type="dxa"/>
              <w:right w:w="20" w:type="dxa"/>
            </w:tcMar>
            <w:vAlign w:val="center"/>
            <w:hideMark/>
          </w:tcPr>
          <w:p w14:paraId="34EACF17"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772C2"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319A484E"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shd w:val="clear" w:color="auto" w:fill="FFFFFF"/>
            <w:tcMar>
              <w:top w:w="0" w:type="dxa"/>
              <w:left w:w="20" w:type="dxa"/>
              <w:bottom w:w="0" w:type="dxa"/>
              <w:right w:w="20" w:type="dxa"/>
            </w:tcMar>
            <w:vAlign w:val="center"/>
            <w:hideMark/>
          </w:tcPr>
          <w:p w14:paraId="06D4AB49" w14:textId="77777777" w:rsidR="00000000" w:rsidRDefault="0068293C">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14:paraId="27BBC5EB" w14:textId="77777777" w:rsidR="00000000" w:rsidRDefault="0068293C">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14:paraId="69A49D43"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2DA86CCF" w14:textId="77777777">
        <w:tc>
          <w:tcPr>
            <w:tcW w:w="0" w:type="auto"/>
            <w:gridSpan w:val="3"/>
            <w:tcMar>
              <w:top w:w="30" w:type="dxa"/>
              <w:left w:w="20" w:type="dxa"/>
              <w:bottom w:w="30" w:type="dxa"/>
              <w:right w:w="20" w:type="dxa"/>
            </w:tcMar>
            <w:vAlign w:val="bottom"/>
            <w:hideMark/>
          </w:tcPr>
          <w:p w14:paraId="79FC7A7C"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65F3E958"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4BD06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C85D2EF"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F9EF6B"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362B87C"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4C3401"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F73E4BA"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1A8FA9"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20602EF"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AB8208" w14:textId="77777777" w:rsidR="00000000" w:rsidRDefault="0068293C">
            <w:pPr>
              <w:spacing w:after="100"/>
              <w:jc w:val="center"/>
              <w:rPr>
                <w:rFonts w:eastAsia="Times New Roman"/>
              </w:rPr>
            </w:pPr>
            <w:r>
              <w:rPr>
                <w:rFonts w:eastAsia="Times New Roman"/>
                <w:b/>
                <w:bCs/>
                <w:color w:val="000000"/>
                <w:sz w:val="16"/>
                <w:szCs w:val="16"/>
              </w:rPr>
              <w:t>2022 v 2021</w:t>
            </w:r>
          </w:p>
        </w:tc>
      </w:tr>
      <w:tr w:rsidR="00000000" w14:paraId="48D311E1" w14:textId="77777777">
        <w:tc>
          <w:tcPr>
            <w:tcW w:w="0" w:type="auto"/>
            <w:gridSpan w:val="3"/>
            <w:shd w:val="clear" w:color="auto" w:fill="CCEEFF"/>
            <w:tcMar>
              <w:top w:w="30" w:type="dxa"/>
              <w:left w:w="20" w:type="dxa"/>
              <w:bottom w:w="30" w:type="dxa"/>
              <w:right w:w="20" w:type="dxa"/>
            </w:tcMar>
            <w:hideMark/>
          </w:tcPr>
          <w:p w14:paraId="31631D70" w14:textId="77777777" w:rsidR="00000000" w:rsidRDefault="0068293C">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CCEEFF"/>
            <w:tcMar>
              <w:top w:w="0" w:type="dxa"/>
              <w:left w:w="20" w:type="dxa"/>
              <w:bottom w:w="0" w:type="dxa"/>
              <w:right w:w="20" w:type="dxa"/>
            </w:tcMar>
            <w:vAlign w:val="center"/>
            <w:hideMark/>
          </w:tcPr>
          <w:p w14:paraId="426D1C2B"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DE663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049948" w14:textId="77777777" w:rsidR="00000000" w:rsidRDefault="0068293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7953A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BB244"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42D15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64D881" w14:textId="77777777" w:rsidR="00000000" w:rsidRDefault="0068293C">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D2C32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667FE"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206287" w14:textId="77777777" w:rsidR="00000000" w:rsidRDefault="0068293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70940F"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ECD413"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90A175" w14:textId="77777777" w:rsidR="00000000" w:rsidRDefault="0068293C">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8F0D6D"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102D542"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BC0379" w14:textId="77777777" w:rsidR="00000000" w:rsidRDefault="0068293C">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DDD8CD" w14:textId="77777777" w:rsidR="00000000" w:rsidRDefault="0068293C">
            <w:pPr>
              <w:spacing w:after="100"/>
              <w:jc w:val="right"/>
              <w:rPr>
                <w:rFonts w:eastAsia="Times New Roman"/>
              </w:rPr>
            </w:pPr>
            <w:r>
              <w:rPr>
                <w:rFonts w:eastAsia="Times New Roman"/>
                <w:color w:val="000000"/>
                <w:sz w:val="20"/>
                <w:szCs w:val="20"/>
              </w:rPr>
              <w:t>%</w:t>
            </w:r>
          </w:p>
        </w:tc>
      </w:tr>
    </w:tbl>
    <w:p w14:paraId="6461C3AC" w14:textId="77777777" w:rsidR="00000000" w:rsidRDefault="0068293C">
      <w:pPr>
        <w:jc w:val="both"/>
        <w:rPr>
          <w:rFonts w:eastAsia="Times New Roman"/>
        </w:rPr>
      </w:pPr>
    </w:p>
    <w:p w14:paraId="159C7CA5" w14:textId="77777777" w:rsidR="00000000" w:rsidRDefault="0068293C">
      <w:pPr>
        <w:jc w:val="both"/>
        <w:rPr>
          <w:rFonts w:eastAsia="Times New Roman"/>
        </w:rPr>
      </w:pPr>
      <w:r>
        <w:rPr>
          <w:rFonts w:eastAsia="Times New Roman"/>
          <w:i/>
          <w:iCs/>
          <w:color w:val="000000"/>
          <w:sz w:val="20"/>
          <w:szCs w:val="20"/>
        </w:rPr>
        <w:t>For the three months ended March 31, 2022 compared to the three months ended March 31, 2021</w:t>
      </w:r>
    </w:p>
    <w:p w14:paraId="2F6693A5" w14:textId="77777777" w:rsidR="00000000" w:rsidRDefault="0068293C">
      <w:pPr>
        <w:jc w:val="both"/>
        <w:rPr>
          <w:rFonts w:eastAsia="Times New Roman"/>
        </w:rPr>
      </w:pPr>
    </w:p>
    <w:p w14:paraId="0D3AE248" w14:textId="77777777" w:rsidR="00000000" w:rsidRDefault="0068293C">
      <w:pPr>
        <w:jc w:val="both"/>
        <w:rPr>
          <w:rFonts w:eastAsia="Times New Roman"/>
        </w:rPr>
      </w:pPr>
      <w:r>
        <w:rPr>
          <w:rFonts w:eastAsia="Times New Roman"/>
          <w:color w:val="000000"/>
          <w:sz w:val="20"/>
          <w:szCs w:val="20"/>
        </w:rPr>
        <w:t>Research and development expenses were $65 million compared to $66 million in the three months ended March 31, 2022 and 2021, respectively. As a percentage of rev</w:t>
      </w:r>
      <w:r>
        <w:rPr>
          <w:rFonts w:eastAsia="Times New Roman"/>
          <w:color w:val="000000"/>
          <w:sz w:val="20"/>
          <w:szCs w:val="20"/>
        </w:rPr>
        <w:t>enue, these costs were 3.5% and 4.3% in the three months ended March 31, 2022 and 2021, respectively. In the three months ended March 31, 2022, research and development expenses included $1 million of transformation costs. In the three months ended March 3</w:t>
      </w:r>
      <w:r>
        <w:rPr>
          <w:rFonts w:eastAsia="Times New Roman"/>
          <w:color w:val="000000"/>
          <w:sz w:val="20"/>
          <w:szCs w:val="20"/>
        </w:rPr>
        <w:t>1, 2021, research and development expenses included $2 million of transformation costs. After considering this item, research and development expenses decreased slightly as a percentage of revenue from 4.1% to 3.4% due to an increase in revenue year over y</w:t>
      </w:r>
      <w:r>
        <w:rPr>
          <w:rFonts w:eastAsia="Times New Roman"/>
          <w:color w:val="000000"/>
          <w:sz w:val="20"/>
          <w:szCs w:val="20"/>
        </w:rPr>
        <w:t>ear.</w:t>
      </w:r>
    </w:p>
    <w:p w14:paraId="2707A69F" w14:textId="77777777" w:rsidR="00000000" w:rsidRDefault="0068293C">
      <w:pPr>
        <w:jc w:val="both"/>
        <w:rPr>
          <w:rFonts w:eastAsia="Times New Roman"/>
        </w:rPr>
      </w:pPr>
    </w:p>
    <w:p w14:paraId="6B8FD9A8" w14:textId="77777777" w:rsidR="00000000" w:rsidRDefault="0068293C">
      <w:pPr>
        <w:jc w:val="both"/>
        <w:rPr>
          <w:rFonts w:eastAsia="Times New Roman"/>
        </w:rPr>
      </w:pPr>
      <w:r>
        <w:rPr>
          <w:rFonts w:eastAsia="Times New Roman"/>
          <w:b/>
          <w:bCs/>
          <w:color w:val="000000"/>
          <w:sz w:val="20"/>
          <w:szCs w:val="20"/>
        </w:rPr>
        <w:t>Interest Expense</w:t>
      </w:r>
    </w:p>
    <w:p w14:paraId="089DEF35" w14:textId="77777777" w:rsidR="00000000" w:rsidRDefault="0068293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060"/>
        <w:gridCol w:w="37"/>
        <w:gridCol w:w="36"/>
        <w:gridCol w:w="36"/>
        <w:gridCol w:w="36"/>
        <w:gridCol w:w="120"/>
        <w:gridCol w:w="1146"/>
        <w:gridCol w:w="36"/>
        <w:gridCol w:w="36"/>
        <w:gridCol w:w="36"/>
        <w:gridCol w:w="36"/>
        <w:gridCol w:w="120"/>
        <w:gridCol w:w="1080"/>
        <w:gridCol w:w="36"/>
        <w:gridCol w:w="36"/>
        <w:gridCol w:w="36"/>
        <w:gridCol w:w="36"/>
        <w:gridCol w:w="50"/>
        <w:gridCol w:w="1072"/>
        <w:gridCol w:w="187"/>
      </w:tblGrid>
      <w:tr w:rsidR="00000000" w14:paraId="1B34CC55" w14:textId="77777777">
        <w:tc>
          <w:tcPr>
            <w:tcW w:w="50" w:type="pct"/>
            <w:vAlign w:val="center"/>
            <w:hideMark/>
          </w:tcPr>
          <w:p w14:paraId="2DEE6A65" w14:textId="77777777" w:rsidR="00000000" w:rsidRDefault="0068293C">
            <w:pPr>
              <w:jc w:val="both"/>
              <w:rPr>
                <w:rFonts w:eastAsia="Times New Roman"/>
              </w:rPr>
            </w:pPr>
          </w:p>
        </w:tc>
        <w:tc>
          <w:tcPr>
            <w:tcW w:w="2503" w:type="pct"/>
            <w:vAlign w:val="center"/>
            <w:hideMark/>
          </w:tcPr>
          <w:p w14:paraId="2E7469A0" w14:textId="77777777" w:rsidR="00000000" w:rsidRDefault="0068293C">
            <w:pPr>
              <w:spacing w:after="100"/>
              <w:rPr>
                <w:rFonts w:eastAsia="Times New Roman"/>
                <w:sz w:val="20"/>
                <w:szCs w:val="20"/>
              </w:rPr>
            </w:pPr>
          </w:p>
        </w:tc>
        <w:tc>
          <w:tcPr>
            <w:tcW w:w="5" w:type="pct"/>
            <w:vAlign w:val="center"/>
            <w:hideMark/>
          </w:tcPr>
          <w:p w14:paraId="4304FD29" w14:textId="77777777" w:rsidR="00000000" w:rsidRDefault="0068293C">
            <w:pPr>
              <w:spacing w:after="100"/>
              <w:rPr>
                <w:rFonts w:eastAsia="Times New Roman"/>
                <w:sz w:val="20"/>
                <w:szCs w:val="20"/>
              </w:rPr>
            </w:pPr>
          </w:p>
        </w:tc>
        <w:tc>
          <w:tcPr>
            <w:tcW w:w="5" w:type="pct"/>
            <w:vAlign w:val="center"/>
            <w:hideMark/>
          </w:tcPr>
          <w:p w14:paraId="3170E629" w14:textId="77777777" w:rsidR="00000000" w:rsidRDefault="0068293C">
            <w:pPr>
              <w:spacing w:after="100"/>
              <w:rPr>
                <w:rFonts w:eastAsia="Times New Roman"/>
                <w:sz w:val="20"/>
                <w:szCs w:val="20"/>
              </w:rPr>
            </w:pPr>
          </w:p>
        </w:tc>
        <w:tc>
          <w:tcPr>
            <w:tcW w:w="19" w:type="pct"/>
            <w:vAlign w:val="center"/>
            <w:hideMark/>
          </w:tcPr>
          <w:p w14:paraId="533A8BAF" w14:textId="77777777" w:rsidR="00000000" w:rsidRDefault="0068293C">
            <w:pPr>
              <w:spacing w:after="100"/>
              <w:rPr>
                <w:rFonts w:eastAsia="Times New Roman"/>
                <w:sz w:val="20"/>
                <w:szCs w:val="20"/>
              </w:rPr>
            </w:pPr>
          </w:p>
        </w:tc>
        <w:tc>
          <w:tcPr>
            <w:tcW w:w="5" w:type="pct"/>
            <w:vAlign w:val="center"/>
            <w:hideMark/>
          </w:tcPr>
          <w:p w14:paraId="080D9BC8" w14:textId="77777777" w:rsidR="00000000" w:rsidRDefault="0068293C">
            <w:pPr>
              <w:spacing w:after="100"/>
              <w:rPr>
                <w:rFonts w:eastAsia="Times New Roman"/>
                <w:sz w:val="20"/>
                <w:szCs w:val="20"/>
              </w:rPr>
            </w:pPr>
          </w:p>
        </w:tc>
        <w:tc>
          <w:tcPr>
            <w:tcW w:w="50" w:type="pct"/>
            <w:vAlign w:val="center"/>
            <w:hideMark/>
          </w:tcPr>
          <w:p w14:paraId="0D1E0E04" w14:textId="77777777" w:rsidR="00000000" w:rsidRDefault="0068293C">
            <w:pPr>
              <w:spacing w:after="100"/>
              <w:rPr>
                <w:rFonts w:eastAsia="Times New Roman"/>
                <w:sz w:val="20"/>
                <w:szCs w:val="20"/>
              </w:rPr>
            </w:pPr>
          </w:p>
        </w:tc>
        <w:tc>
          <w:tcPr>
            <w:tcW w:w="734" w:type="pct"/>
            <w:vAlign w:val="center"/>
            <w:hideMark/>
          </w:tcPr>
          <w:p w14:paraId="550C786F" w14:textId="77777777" w:rsidR="00000000" w:rsidRDefault="0068293C">
            <w:pPr>
              <w:spacing w:after="100"/>
              <w:rPr>
                <w:rFonts w:eastAsia="Times New Roman"/>
                <w:sz w:val="20"/>
                <w:szCs w:val="20"/>
              </w:rPr>
            </w:pPr>
          </w:p>
        </w:tc>
        <w:tc>
          <w:tcPr>
            <w:tcW w:w="5" w:type="pct"/>
            <w:vAlign w:val="center"/>
            <w:hideMark/>
          </w:tcPr>
          <w:p w14:paraId="5A751104" w14:textId="77777777" w:rsidR="00000000" w:rsidRDefault="0068293C">
            <w:pPr>
              <w:spacing w:after="100"/>
              <w:rPr>
                <w:rFonts w:eastAsia="Times New Roman"/>
                <w:sz w:val="20"/>
                <w:szCs w:val="20"/>
              </w:rPr>
            </w:pPr>
          </w:p>
        </w:tc>
        <w:tc>
          <w:tcPr>
            <w:tcW w:w="5" w:type="pct"/>
            <w:vAlign w:val="center"/>
            <w:hideMark/>
          </w:tcPr>
          <w:p w14:paraId="581AA65C" w14:textId="77777777" w:rsidR="00000000" w:rsidRDefault="0068293C">
            <w:pPr>
              <w:spacing w:after="100"/>
              <w:rPr>
                <w:rFonts w:eastAsia="Times New Roman"/>
                <w:sz w:val="20"/>
                <w:szCs w:val="20"/>
              </w:rPr>
            </w:pPr>
          </w:p>
        </w:tc>
        <w:tc>
          <w:tcPr>
            <w:tcW w:w="26" w:type="pct"/>
            <w:vAlign w:val="center"/>
            <w:hideMark/>
          </w:tcPr>
          <w:p w14:paraId="116D0472" w14:textId="77777777" w:rsidR="00000000" w:rsidRDefault="0068293C">
            <w:pPr>
              <w:spacing w:after="100"/>
              <w:rPr>
                <w:rFonts w:eastAsia="Times New Roman"/>
                <w:sz w:val="20"/>
                <w:szCs w:val="20"/>
              </w:rPr>
            </w:pPr>
          </w:p>
        </w:tc>
        <w:tc>
          <w:tcPr>
            <w:tcW w:w="5" w:type="pct"/>
            <w:vAlign w:val="center"/>
            <w:hideMark/>
          </w:tcPr>
          <w:p w14:paraId="1E5047E8" w14:textId="77777777" w:rsidR="00000000" w:rsidRDefault="0068293C">
            <w:pPr>
              <w:spacing w:after="100"/>
              <w:rPr>
                <w:rFonts w:eastAsia="Times New Roman"/>
                <w:sz w:val="20"/>
                <w:szCs w:val="20"/>
              </w:rPr>
            </w:pPr>
          </w:p>
        </w:tc>
        <w:tc>
          <w:tcPr>
            <w:tcW w:w="50" w:type="pct"/>
            <w:vAlign w:val="center"/>
            <w:hideMark/>
          </w:tcPr>
          <w:p w14:paraId="08E3557E" w14:textId="77777777" w:rsidR="00000000" w:rsidRDefault="0068293C">
            <w:pPr>
              <w:spacing w:after="100"/>
              <w:rPr>
                <w:rFonts w:eastAsia="Times New Roman"/>
                <w:sz w:val="20"/>
                <w:szCs w:val="20"/>
              </w:rPr>
            </w:pPr>
          </w:p>
        </w:tc>
        <w:tc>
          <w:tcPr>
            <w:tcW w:w="734" w:type="pct"/>
            <w:vAlign w:val="center"/>
            <w:hideMark/>
          </w:tcPr>
          <w:p w14:paraId="14537DD2" w14:textId="77777777" w:rsidR="00000000" w:rsidRDefault="0068293C">
            <w:pPr>
              <w:spacing w:after="100"/>
              <w:rPr>
                <w:rFonts w:eastAsia="Times New Roman"/>
                <w:sz w:val="20"/>
                <w:szCs w:val="20"/>
              </w:rPr>
            </w:pPr>
          </w:p>
        </w:tc>
        <w:tc>
          <w:tcPr>
            <w:tcW w:w="5" w:type="pct"/>
            <w:vAlign w:val="center"/>
            <w:hideMark/>
          </w:tcPr>
          <w:p w14:paraId="620E99DC" w14:textId="77777777" w:rsidR="00000000" w:rsidRDefault="0068293C">
            <w:pPr>
              <w:spacing w:after="100"/>
              <w:rPr>
                <w:rFonts w:eastAsia="Times New Roman"/>
                <w:sz w:val="20"/>
                <w:szCs w:val="20"/>
              </w:rPr>
            </w:pPr>
          </w:p>
        </w:tc>
        <w:tc>
          <w:tcPr>
            <w:tcW w:w="5" w:type="pct"/>
            <w:vAlign w:val="center"/>
            <w:hideMark/>
          </w:tcPr>
          <w:p w14:paraId="65316C14" w14:textId="77777777" w:rsidR="00000000" w:rsidRDefault="0068293C">
            <w:pPr>
              <w:spacing w:after="100"/>
              <w:rPr>
                <w:rFonts w:eastAsia="Times New Roman"/>
                <w:sz w:val="20"/>
                <w:szCs w:val="20"/>
              </w:rPr>
            </w:pPr>
          </w:p>
        </w:tc>
        <w:tc>
          <w:tcPr>
            <w:tcW w:w="19" w:type="pct"/>
            <w:vAlign w:val="center"/>
            <w:hideMark/>
          </w:tcPr>
          <w:p w14:paraId="340C2F55" w14:textId="77777777" w:rsidR="00000000" w:rsidRDefault="0068293C">
            <w:pPr>
              <w:spacing w:after="100"/>
              <w:rPr>
                <w:rFonts w:eastAsia="Times New Roman"/>
                <w:sz w:val="20"/>
                <w:szCs w:val="20"/>
              </w:rPr>
            </w:pPr>
          </w:p>
        </w:tc>
        <w:tc>
          <w:tcPr>
            <w:tcW w:w="5" w:type="pct"/>
            <w:vAlign w:val="center"/>
            <w:hideMark/>
          </w:tcPr>
          <w:p w14:paraId="52809137" w14:textId="77777777" w:rsidR="00000000" w:rsidRDefault="0068293C">
            <w:pPr>
              <w:spacing w:after="100"/>
              <w:rPr>
                <w:rFonts w:eastAsia="Times New Roman"/>
                <w:sz w:val="20"/>
                <w:szCs w:val="20"/>
              </w:rPr>
            </w:pPr>
          </w:p>
        </w:tc>
        <w:tc>
          <w:tcPr>
            <w:tcW w:w="50" w:type="pct"/>
            <w:vAlign w:val="center"/>
            <w:hideMark/>
          </w:tcPr>
          <w:p w14:paraId="294FD3CF" w14:textId="77777777" w:rsidR="00000000" w:rsidRDefault="0068293C">
            <w:pPr>
              <w:spacing w:after="100"/>
              <w:rPr>
                <w:rFonts w:eastAsia="Times New Roman"/>
                <w:sz w:val="20"/>
                <w:szCs w:val="20"/>
              </w:rPr>
            </w:pPr>
          </w:p>
        </w:tc>
        <w:tc>
          <w:tcPr>
            <w:tcW w:w="712" w:type="pct"/>
            <w:vAlign w:val="center"/>
            <w:hideMark/>
          </w:tcPr>
          <w:p w14:paraId="767D6418" w14:textId="77777777" w:rsidR="00000000" w:rsidRDefault="0068293C">
            <w:pPr>
              <w:spacing w:after="100"/>
              <w:rPr>
                <w:rFonts w:eastAsia="Times New Roman"/>
                <w:sz w:val="20"/>
                <w:szCs w:val="20"/>
              </w:rPr>
            </w:pPr>
          </w:p>
        </w:tc>
        <w:tc>
          <w:tcPr>
            <w:tcW w:w="5" w:type="pct"/>
            <w:vAlign w:val="center"/>
            <w:hideMark/>
          </w:tcPr>
          <w:p w14:paraId="4375D9E4" w14:textId="77777777" w:rsidR="00000000" w:rsidRDefault="0068293C">
            <w:pPr>
              <w:spacing w:after="100"/>
              <w:rPr>
                <w:rFonts w:eastAsia="Times New Roman"/>
                <w:sz w:val="20"/>
                <w:szCs w:val="20"/>
              </w:rPr>
            </w:pPr>
          </w:p>
        </w:tc>
      </w:tr>
      <w:tr w:rsidR="00000000" w14:paraId="0A409E74" w14:textId="77777777">
        <w:tc>
          <w:tcPr>
            <w:tcW w:w="0" w:type="auto"/>
            <w:gridSpan w:val="3"/>
            <w:shd w:val="clear" w:color="auto" w:fill="FFFFFF"/>
            <w:tcMar>
              <w:top w:w="0" w:type="dxa"/>
              <w:left w:w="20" w:type="dxa"/>
              <w:bottom w:w="0" w:type="dxa"/>
              <w:right w:w="20" w:type="dxa"/>
            </w:tcMar>
            <w:vAlign w:val="center"/>
            <w:hideMark/>
          </w:tcPr>
          <w:p w14:paraId="538F9DD0"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61299"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49244FD9"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shd w:val="clear" w:color="auto" w:fill="FFFFFF"/>
            <w:tcMar>
              <w:top w:w="0" w:type="dxa"/>
              <w:left w:w="20" w:type="dxa"/>
              <w:bottom w:w="0" w:type="dxa"/>
              <w:right w:w="20" w:type="dxa"/>
            </w:tcMar>
            <w:vAlign w:val="center"/>
            <w:hideMark/>
          </w:tcPr>
          <w:p w14:paraId="111810A0" w14:textId="77777777" w:rsidR="00000000" w:rsidRDefault="006829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4286F7"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4E003334" w14:textId="77777777">
        <w:tc>
          <w:tcPr>
            <w:tcW w:w="0" w:type="auto"/>
            <w:gridSpan w:val="3"/>
            <w:tcMar>
              <w:top w:w="30" w:type="dxa"/>
              <w:left w:w="20" w:type="dxa"/>
              <w:bottom w:w="30" w:type="dxa"/>
              <w:right w:w="20" w:type="dxa"/>
            </w:tcMar>
            <w:vAlign w:val="bottom"/>
            <w:hideMark/>
          </w:tcPr>
          <w:p w14:paraId="6C0B911E"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12CB28F5"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EEF8A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8C4DFC0"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C8A97B"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41AC0A2"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5CBE60" w14:textId="77777777" w:rsidR="00000000" w:rsidRDefault="0068293C">
            <w:pPr>
              <w:spacing w:after="100"/>
              <w:jc w:val="center"/>
              <w:rPr>
                <w:rFonts w:eastAsia="Times New Roman"/>
              </w:rPr>
            </w:pPr>
            <w:r>
              <w:rPr>
                <w:rFonts w:eastAsia="Times New Roman"/>
                <w:b/>
                <w:bCs/>
                <w:color w:val="000000"/>
                <w:sz w:val="16"/>
                <w:szCs w:val="16"/>
              </w:rPr>
              <w:t>2022 v 2021</w:t>
            </w:r>
          </w:p>
        </w:tc>
      </w:tr>
      <w:tr w:rsidR="00000000" w14:paraId="5E409559" w14:textId="77777777">
        <w:tc>
          <w:tcPr>
            <w:tcW w:w="0" w:type="auto"/>
            <w:gridSpan w:val="3"/>
            <w:shd w:val="clear" w:color="auto" w:fill="CCEEFF"/>
            <w:tcMar>
              <w:top w:w="30" w:type="dxa"/>
              <w:left w:w="20" w:type="dxa"/>
              <w:bottom w:w="30" w:type="dxa"/>
              <w:right w:w="20" w:type="dxa"/>
            </w:tcMar>
            <w:hideMark/>
          </w:tcPr>
          <w:p w14:paraId="78B932EB" w14:textId="77777777" w:rsidR="00000000" w:rsidRDefault="0068293C">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73E36A30"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6DA759"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BA0188" w14:textId="77777777" w:rsidR="00000000" w:rsidRDefault="0068293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D9B68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BC64F"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33B52B"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B9FED2" w14:textId="77777777" w:rsidR="00000000" w:rsidRDefault="0068293C">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71B413"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62B6D"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8CA500" w14:textId="77777777" w:rsidR="00000000" w:rsidRDefault="0068293C">
            <w:pPr>
              <w:spacing w:after="100"/>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2D7E1" w14:textId="77777777" w:rsidR="00000000" w:rsidRDefault="0068293C">
            <w:pPr>
              <w:spacing w:after="100"/>
              <w:jc w:val="right"/>
              <w:rPr>
                <w:rFonts w:eastAsia="Times New Roman"/>
              </w:rPr>
            </w:pPr>
            <w:r>
              <w:rPr>
                <w:rFonts w:eastAsia="Times New Roman"/>
                <w:color w:val="000000"/>
                <w:sz w:val="20"/>
                <w:szCs w:val="20"/>
              </w:rPr>
              <w:t>%</w:t>
            </w:r>
          </w:p>
        </w:tc>
      </w:tr>
    </w:tbl>
    <w:p w14:paraId="6EAE6387" w14:textId="77777777" w:rsidR="00000000" w:rsidRDefault="0068293C">
      <w:pPr>
        <w:jc w:val="both"/>
        <w:rPr>
          <w:rFonts w:eastAsia="Times New Roman"/>
        </w:rPr>
      </w:pPr>
    </w:p>
    <w:p w14:paraId="332D16F9" w14:textId="77777777" w:rsidR="00000000" w:rsidRDefault="0068293C">
      <w:pPr>
        <w:jc w:val="both"/>
        <w:rPr>
          <w:rFonts w:eastAsia="Times New Roman"/>
        </w:rPr>
      </w:pPr>
      <w:r>
        <w:rPr>
          <w:rFonts w:eastAsia="Times New Roman"/>
          <w:i/>
          <w:iCs/>
          <w:color w:val="000000"/>
          <w:sz w:val="20"/>
          <w:szCs w:val="20"/>
        </w:rPr>
        <w:t>For the three months ended March 31, 2022 compared to the three months ended March 31, 2021</w:t>
      </w:r>
    </w:p>
    <w:p w14:paraId="63D71BB5" w14:textId="77777777" w:rsidR="00000000" w:rsidRDefault="0068293C">
      <w:pPr>
        <w:jc w:val="both"/>
        <w:rPr>
          <w:rFonts w:eastAsia="Times New Roman"/>
        </w:rPr>
      </w:pPr>
    </w:p>
    <w:p w14:paraId="4E4ED302" w14:textId="77777777" w:rsidR="00000000" w:rsidRDefault="0068293C">
      <w:pPr>
        <w:jc w:val="both"/>
        <w:rPr>
          <w:rFonts w:eastAsia="Times New Roman"/>
        </w:rPr>
      </w:pPr>
      <w:r>
        <w:rPr>
          <w:rFonts w:eastAsia="Times New Roman"/>
          <w:color w:val="000000"/>
          <w:sz w:val="20"/>
          <w:szCs w:val="20"/>
        </w:rPr>
        <w:t>Interest expense was $63 million compared to $45 million in the three months ended March 31, 2022 and 2021,</w:t>
      </w:r>
      <w:r>
        <w:rPr>
          <w:rFonts w:eastAsia="Times New Roman"/>
          <w:color w:val="000000"/>
          <w:sz w:val="20"/>
          <w:szCs w:val="20"/>
        </w:rPr>
        <w:t xml:space="preserve"> respectively. Interest expense is primarily related to the Company's senior unsecured notes and borrowings under the Company's senior secured credit facility. The main driver was related to the increase in total outstanding debt as a result of the closing</w:t>
      </w:r>
      <w:r>
        <w:rPr>
          <w:rFonts w:eastAsia="Times New Roman"/>
          <w:color w:val="000000"/>
          <w:sz w:val="20"/>
          <w:szCs w:val="20"/>
        </w:rPr>
        <w:t xml:space="preserve"> of the acquisition of Cardtronics in the second quarter of 2021.</w:t>
      </w:r>
    </w:p>
    <w:p w14:paraId="4101CEEA" w14:textId="77777777" w:rsidR="00000000" w:rsidRDefault="0068293C">
      <w:pPr>
        <w:jc w:val="both"/>
        <w:rPr>
          <w:rFonts w:eastAsia="Times New Roman"/>
        </w:rPr>
      </w:pPr>
    </w:p>
    <w:p w14:paraId="7D6BC304" w14:textId="77777777" w:rsidR="00000000" w:rsidRDefault="0068293C">
      <w:pPr>
        <w:jc w:val="both"/>
        <w:rPr>
          <w:rFonts w:eastAsia="Times New Roman"/>
        </w:rPr>
      </w:pPr>
      <w:r>
        <w:rPr>
          <w:rFonts w:eastAsia="Times New Roman"/>
          <w:b/>
          <w:bCs/>
          <w:color w:val="000000"/>
          <w:sz w:val="20"/>
          <w:szCs w:val="20"/>
        </w:rPr>
        <w:t>Other Income (Expense), net</w:t>
      </w:r>
    </w:p>
    <w:p w14:paraId="2A2572C1" w14:textId="77777777" w:rsidR="00000000" w:rsidRDefault="0068293C">
      <w:pPr>
        <w:jc w:val="both"/>
        <w:rPr>
          <w:rFonts w:eastAsia="Times New Roman"/>
        </w:rPr>
      </w:pPr>
    </w:p>
    <w:p w14:paraId="79B02B27" w14:textId="77777777" w:rsidR="00000000" w:rsidRDefault="0068293C">
      <w:pPr>
        <w:jc w:val="both"/>
        <w:rPr>
          <w:rFonts w:eastAsia="Times New Roman"/>
        </w:rPr>
      </w:pPr>
      <w:r>
        <w:rPr>
          <w:rFonts w:eastAsia="Times New Roman"/>
          <w:color w:val="000000"/>
          <w:sz w:val="20"/>
          <w:szCs w:val="20"/>
        </w:rPr>
        <w:t>Other income (expense), net was income of $9 million and expense of $17 million in the three months ended March 31, 2022 and 2021, respectively, with the comp</w:t>
      </w:r>
      <w:r>
        <w:rPr>
          <w:rFonts w:eastAsia="Times New Roman"/>
          <w:color w:val="000000"/>
          <w:sz w:val="20"/>
          <w:szCs w:val="20"/>
        </w:rPr>
        <w:t>onents reflected in the following table:</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4891"/>
        <w:gridCol w:w="37"/>
        <w:gridCol w:w="36"/>
        <w:gridCol w:w="36"/>
        <w:gridCol w:w="36"/>
        <w:gridCol w:w="121"/>
        <w:gridCol w:w="1262"/>
        <w:gridCol w:w="37"/>
        <w:gridCol w:w="36"/>
        <w:gridCol w:w="36"/>
        <w:gridCol w:w="36"/>
        <w:gridCol w:w="120"/>
        <w:gridCol w:w="1210"/>
        <w:gridCol w:w="36"/>
        <w:gridCol w:w="36"/>
        <w:gridCol w:w="36"/>
        <w:gridCol w:w="36"/>
        <w:gridCol w:w="36"/>
        <w:gridCol w:w="36"/>
        <w:gridCol w:w="36"/>
        <w:gridCol w:w="36"/>
        <w:gridCol w:w="36"/>
      </w:tblGrid>
      <w:tr w:rsidR="00000000" w14:paraId="7ED70CAB" w14:textId="77777777">
        <w:trPr>
          <w:jc w:val="center"/>
        </w:trPr>
        <w:tc>
          <w:tcPr>
            <w:tcW w:w="50" w:type="pct"/>
            <w:vAlign w:val="center"/>
            <w:hideMark/>
          </w:tcPr>
          <w:p w14:paraId="76747D96" w14:textId="77777777" w:rsidR="00000000" w:rsidRDefault="0068293C">
            <w:pPr>
              <w:jc w:val="both"/>
              <w:rPr>
                <w:rFonts w:eastAsia="Times New Roman"/>
              </w:rPr>
            </w:pPr>
          </w:p>
        </w:tc>
        <w:tc>
          <w:tcPr>
            <w:tcW w:w="3114" w:type="pct"/>
            <w:vAlign w:val="center"/>
            <w:hideMark/>
          </w:tcPr>
          <w:p w14:paraId="6E02DE99" w14:textId="77777777" w:rsidR="00000000" w:rsidRDefault="0068293C">
            <w:pPr>
              <w:spacing w:after="100"/>
              <w:rPr>
                <w:rFonts w:eastAsia="Times New Roman"/>
                <w:sz w:val="20"/>
                <w:szCs w:val="20"/>
              </w:rPr>
            </w:pPr>
          </w:p>
        </w:tc>
        <w:tc>
          <w:tcPr>
            <w:tcW w:w="5" w:type="pct"/>
            <w:vAlign w:val="center"/>
            <w:hideMark/>
          </w:tcPr>
          <w:p w14:paraId="7F227E34" w14:textId="77777777" w:rsidR="00000000" w:rsidRDefault="0068293C">
            <w:pPr>
              <w:spacing w:after="100"/>
              <w:rPr>
                <w:rFonts w:eastAsia="Times New Roman"/>
                <w:sz w:val="20"/>
                <w:szCs w:val="20"/>
              </w:rPr>
            </w:pPr>
          </w:p>
        </w:tc>
        <w:tc>
          <w:tcPr>
            <w:tcW w:w="5" w:type="pct"/>
            <w:vAlign w:val="center"/>
            <w:hideMark/>
          </w:tcPr>
          <w:p w14:paraId="69507D03" w14:textId="77777777" w:rsidR="00000000" w:rsidRDefault="0068293C">
            <w:pPr>
              <w:spacing w:after="100"/>
              <w:rPr>
                <w:rFonts w:eastAsia="Times New Roman"/>
                <w:sz w:val="20"/>
                <w:szCs w:val="20"/>
              </w:rPr>
            </w:pPr>
          </w:p>
        </w:tc>
        <w:tc>
          <w:tcPr>
            <w:tcW w:w="19" w:type="pct"/>
            <w:vAlign w:val="center"/>
            <w:hideMark/>
          </w:tcPr>
          <w:p w14:paraId="4FD8BA20" w14:textId="77777777" w:rsidR="00000000" w:rsidRDefault="0068293C">
            <w:pPr>
              <w:spacing w:after="100"/>
              <w:rPr>
                <w:rFonts w:eastAsia="Times New Roman"/>
                <w:sz w:val="20"/>
                <w:szCs w:val="20"/>
              </w:rPr>
            </w:pPr>
          </w:p>
        </w:tc>
        <w:tc>
          <w:tcPr>
            <w:tcW w:w="5" w:type="pct"/>
            <w:vAlign w:val="center"/>
            <w:hideMark/>
          </w:tcPr>
          <w:p w14:paraId="486935E4" w14:textId="77777777" w:rsidR="00000000" w:rsidRDefault="0068293C">
            <w:pPr>
              <w:spacing w:after="100"/>
              <w:rPr>
                <w:rFonts w:eastAsia="Times New Roman"/>
                <w:sz w:val="20"/>
                <w:szCs w:val="20"/>
              </w:rPr>
            </w:pPr>
          </w:p>
        </w:tc>
        <w:tc>
          <w:tcPr>
            <w:tcW w:w="50" w:type="pct"/>
            <w:vAlign w:val="center"/>
            <w:hideMark/>
          </w:tcPr>
          <w:p w14:paraId="0745449F" w14:textId="77777777" w:rsidR="00000000" w:rsidRDefault="0068293C">
            <w:pPr>
              <w:spacing w:after="100"/>
              <w:rPr>
                <w:rFonts w:eastAsia="Times New Roman"/>
                <w:sz w:val="20"/>
                <w:szCs w:val="20"/>
              </w:rPr>
            </w:pPr>
          </w:p>
        </w:tc>
        <w:tc>
          <w:tcPr>
            <w:tcW w:w="827" w:type="pct"/>
            <w:vAlign w:val="center"/>
            <w:hideMark/>
          </w:tcPr>
          <w:p w14:paraId="0766449B" w14:textId="77777777" w:rsidR="00000000" w:rsidRDefault="0068293C">
            <w:pPr>
              <w:spacing w:after="100"/>
              <w:rPr>
                <w:rFonts w:eastAsia="Times New Roman"/>
                <w:sz w:val="20"/>
                <w:szCs w:val="20"/>
              </w:rPr>
            </w:pPr>
          </w:p>
        </w:tc>
        <w:tc>
          <w:tcPr>
            <w:tcW w:w="5" w:type="pct"/>
            <w:vAlign w:val="center"/>
            <w:hideMark/>
          </w:tcPr>
          <w:p w14:paraId="7962B4AA" w14:textId="77777777" w:rsidR="00000000" w:rsidRDefault="0068293C">
            <w:pPr>
              <w:spacing w:after="100"/>
              <w:rPr>
                <w:rFonts w:eastAsia="Times New Roman"/>
                <w:sz w:val="20"/>
                <w:szCs w:val="20"/>
              </w:rPr>
            </w:pPr>
          </w:p>
        </w:tc>
        <w:tc>
          <w:tcPr>
            <w:tcW w:w="5" w:type="pct"/>
            <w:vAlign w:val="center"/>
            <w:hideMark/>
          </w:tcPr>
          <w:p w14:paraId="5AB9CD1A" w14:textId="77777777" w:rsidR="00000000" w:rsidRDefault="0068293C">
            <w:pPr>
              <w:spacing w:after="100"/>
              <w:rPr>
                <w:rFonts w:eastAsia="Times New Roman"/>
                <w:sz w:val="20"/>
                <w:szCs w:val="20"/>
              </w:rPr>
            </w:pPr>
          </w:p>
        </w:tc>
        <w:tc>
          <w:tcPr>
            <w:tcW w:w="26" w:type="pct"/>
            <w:vAlign w:val="center"/>
            <w:hideMark/>
          </w:tcPr>
          <w:p w14:paraId="24FE354A" w14:textId="77777777" w:rsidR="00000000" w:rsidRDefault="0068293C">
            <w:pPr>
              <w:spacing w:after="100"/>
              <w:rPr>
                <w:rFonts w:eastAsia="Times New Roman"/>
                <w:sz w:val="20"/>
                <w:szCs w:val="20"/>
              </w:rPr>
            </w:pPr>
          </w:p>
        </w:tc>
        <w:tc>
          <w:tcPr>
            <w:tcW w:w="5" w:type="pct"/>
            <w:vAlign w:val="center"/>
            <w:hideMark/>
          </w:tcPr>
          <w:p w14:paraId="474F1F5D" w14:textId="77777777" w:rsidR="00000000" w:rsidRDefault="0068293C">
            <w:pPr>
              <w:spacing w:after="100"/>
              <w:rPr>
                <w:rFonts w:eastAsia="Times New Roman"/>
                <w:sz w:val="20"/>
                <w:szCs w:val="20"/>
              </w:rPr>
            </w:pPr>
          </w:p>
        </w:tc>
        <w:tc>
          <w:tcPr>
            <w:tcW w:w="50" w:type="pct"/>
            <w:vAlign w:val="center"/>
            <w:hideMark/>
          </w:tcPr>
          <w:p w14:paraId="41731790" w14:textId="77777777" w:rsidR="00000000" w:rsidRDefault="0068293C">
            <w:pPr>
              <w:spacing w:after="100"/>
              <w:rPr>
                <w:rFonts w:eastAsia="Times New Roman"/>
                <w:sz w:val="20"/>
                <w:szCs w:val="20"/>
              </w:rPr>
            </w:pPr>
          </w:p>
        </w:tc>
        <w:tc>
          <w:tcPr>
            <w:tcW w:w="827" w:type="pct"/>
            <w:vAlign w:val="center"/>
            <w:hideMark/>
          </w:tcPr>
          <w:p w14:paraId="775BD4EA" w14:textId="77777777" w:rsidR="00000000" w:rsidRDefault="0068293C">
            <w:pPr>
              <w:spacing w:after="100"/>
              <w:rPr>
                <w:rFonts w:eastAsia="Times New Roman"/>
                <w:sz w:val="20"/>
                <w:szCs w:val="20"/>
              </w:rPr>
            </w:pPr>
          </w:p>
        </w:tc>
        <w:tc>
          <w:tcPr>
            <w:tcW w:w="5" w:type="pct"/>
            <w:vAlign w:val="center"/>
            <w:hideMark/>
          </w:tcPr>
          <w:p w14:paraId="1903FA8A" w14:textId="77777777" w:rsidR="00000000" w:rsidRDefault="0068293C">
            <w:pPr>
              <w:spacing w:after="100"/>
              <w:rPr>
                <w:rFonts w:eastAsia="Times New Roman"/>
                <w:sz w:val="20"/>
                <w:szCs w:val="20"/>
              </w:rPr>
            </w:pPr>
          </w:p>
        </w:tc>
        <w:tc>
          <w:tcPr>
            <w:tcW w:w="0" w:type="auto"/>
            <w:vAlign w:val="center"/>
            <w:hideMark/>
          </w:tcPr>
          <w:p w14:paraId="48AF3867" w14:textId="77777777" w:rsidR="00000000" w:rsidRDefault="0068293C">
            <w:pPr>
              <w:spacing w:after="100"/>
              <w:rPr>
                <w:rFonts w:eastAsia="Times New Roman"/>
                <w:sz w:val="20"/>
                <w:szCs w:val="20"/>
              </w:rPr>
            </w:pPr>
          </w:p>
        </w:tc>
        <w:tc>
          <w:tcPr>
            <w:tcW w:w="0" w:type="auto"/>
            <w:vAlign w:val="center"/>
            <w:hideMark/>
          </w:tcPr>
          <w:p w14:paraId="0513B112" w14:textId="77777777" w:rsidR="00000000" w:rsidRDefault="0068293C">
            <w:pPr>
              <w:spacing w:after="100"/>
              <w:rPr>
                <w:rFonts w:eastAsia="Times New Roman"/>
                <w:sz w:val="20"/>
                <w:szCs w:val="20"/>
              </w:rPr>
            </w:pPr>
          </w:p>
        </w:tc>
        <w:tc>
          <w:tcPr>
            <w:tcW w:w="0" w:type="auto"/>
            <w:gridSpan w:val="3"/>
            <w:vAlign w:val="center"/>
            <w:hideMark/>
          </w:tcPr>
          <w:p w14:paraId="5F7CB75C" w14:textId="77777777" w:rsidR="00000000" w:rsidRDefault="0068293C">
            <w:pPr>
              <w:spacing w:after="100"/>
              <w:rPr>
                <w:rFonts w:eastAsia="Times New Roman"/>
                <w:sz w:val="20"/>
                <w:szCs w:val="20"/>
              </w:rPr>
            </w:pPr>
          </w:p>
        </w:tc>
        <w:tc>
          <w:tcPr>
            <w:tcW w:w="0" w:type="auto"/>
            <w:gridSpan w:val="3"/>
            <w:vAlign w:val="center"/>
            <w:hideMark/>
          </w:tcPr>
          <w:p w14:paraId="4E932AA0" w14:textId="77777777" w:rsidR="00000000" w:rsidRDefault="0068293C">
            <w:pPr>
              <w:spacing w:after="100"/>
              <w:rPr>
                <w:rFonts w:eastAsia="Times New Roman"/>
                <w:sz w:val="20"/>
                <w:szCs w:val="20"/>
              </w:rPr>
            </w:pPr>
          </w:p>
        </w:tc>
      </w:tr>
      <w:tr w:rsidR="00000000" w14:paraId="2F1CFC5B" w14:textId="77777777">
        <w:trPr>
          <w:jc w:val="center"/>
        </w:trPr>
        <w:tc>
          <w:tcPr>
            <w:tcW w:w="0" w:type="auto"/>
            <w:gridSpan w:val="3"/>
            <w:tcMar>
              <w:top w:w="0" w:type="dxa"/>
              <w:left w:w="20" w:type="dxa"/>
              <w:bottom w:w="0" w:type="dxa"/>
              <w:right w:w="20" w:type="dxa"/>
            </w:tcMar>
            <w:vAlign w:val="center"/>
            <w:hideMark/>
          </w:tcPr>
          <w:p w14:paraId="1B0E0671"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19DC85"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F2D8805"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0C82060" w14:textId="77777777" w:rsidR="00000000" w:rsidRDefault="0068293C">
            <w:pPr>
              <w:spacing w:after="100"/>
              <w:jc w:val="center"/>
              <w:rPr>
                <w:rFonts w:eastAsia="Times New Roman"/>
              </w:rPr>
            </w:pPr>
          </w:p>
        </w:tc>
        <w:tc>
          <w:tcPr>
            <w:tcW w:w="0" w:type="auto"/>
            <w:vAlign w:val="center"/>
            <w:hideMark/>
          </w:tcPr>
          <w:p w14:paraId="588EE6C1" w14:textId="77777777" w:rsidR="00000000" w:rsidRDefault="0068293C">
            <w:pPr>
              <w:spacing w:after="100"/>
              <w:rPr>
                <w:rFonts w:eastAsia="Times New Roman"/>
                <w:sz w:val="20"/>
                <w:szCs w:val="20"/>
              </w:rPr>
            </w:pPr>
          </w:p>
        </w:tc>
        <w:tc>
          <w:tcPr>
            <w:tcW w:w="0" w:type="auto"/>
            <w:vAlign w:val="center"/>
            <w:hideMark/>
          </w:tcPr>
          <w:p w14:paraId="7D3758D2" w14:textId="77777777" w:rsidR="00000000" w:rsidRDefault="0068293C">
            <w:pPr>
              <w:spacing w:after="100"/>
              <w:rPr>
                <w:rFonts w:eastAsia="Times New Roman"/>
                <w:sz w:val="20"/>
                <w:szCs w:val="20"/>
              </w:rPr>
            </w:pPr>
          </w:p>
        </w:tc>
        <w:tc>
          <w:tcPr>
            <w:tcW w:w="0" w:type="auto"/>
            <w:vAlign w:val="center"/>
            <w:hideMark/>
          </w:tcPr>
          <w:p w14:paraId="4F5760E8" w14:textId="77777777" w:rsidR="00000000" w:rsidRDefault="0068293C">
            <w:pPr>
              <w:spacing w:after="100"/>
              <w:rPr>
                <w:rFonts w:eastAsia="Times New Roman"/>
                <w:sz w:val="20"/>
                <w:szCs w:val="20"/>
              </w:rPr>
            </w:pPr>
          </w:p>
        </w:tc>
        <w:tc>
          <w:tcPr>
            <w:tcW w:w="0" w:type="auto"/>
            <w:vAlign w:val="center"/>
            <w:hideMark/>
          </w:tcPr>
          <w:p w14:paraId="662D7E6B" w14:textId="77777777" w:rsidR="00000000" w:rsidRDefault="0068293C">
            <w:pPr>
              <w:spacing w:after="100"/>
              <w:rPr>
                <w:rFonts w:eastAsia="Times New Roman"/>
                <w:sz w:val="20"/>
                <w:szCs w:val="20"/>
              </w:rPr>
            </w:pPr>
          </w:p>
        </w:tc>
        <w:tc>
          <w:tcPr>
            <w:tcW w:w="0" w:type="auto"/>
            <w:vAlign w:val="center"/>
            <w:hideMark/>
          </w:tcPr>
          <w:p w14:paraId="7A57BC6A" w14:textId="77777777" w:rsidR="00000000" w:rsidRDefault="0068293C">
            <w:pPr>
              <w:spacing w:after="100"/>
              <w:rPr>
                <w:rFonts w:eastAsia="Times New Roman"/>
                <w:sz w:val="20"/>
                <w:szCs w:val="20"/>
              </w:rPr>
            </w:pPr>
          </w:p>
        </w:tc>
        <w:tc>
          <w:tcPr>
            <w:tcW w:w="0" w:type="auto"/>
            <w:vAlign w:val="center"/>
            <w:hideMark/>
          </w:tcPr>
          <w:p w14:paraId="12E41DC8" w14:textId="77777777" w:rsidR="00000000" w:rsidRDefault="0068293C">
            <w:pPr>
              <w:spacing w:after="100"/>
              <w:rPr>
                <w:rFonts w:eastAsia="Times New Roman"/>
                <w:sz w:val="20"/>
                <w:szCs w:val="20"/>
              </w:rPr>
            </w:pPr>
          </w:p>
        </w:tc>
        <w:tc>
          <w:tcPr>
            <w:tcW w:w="0" w:type="auto"/>
            <w:vAlign w:val="center"/>
            <w:hideMark/>
          </w:tcPr>
          <w:p w14:paraId="54572B17" w14:textId="77777777" w:rsidR="00000000" w:rsidRDefault="0068293C">
            <w:pPr>
              <w:spacing w:after="100"/>
              <w:rPr>
                <w:rFonts w:eastAsia="Times New Roman"/>
                <w:sz w:val="20"/>
                <w:szCs w:val="20"/>
              </w:rPr>
            </w:pPr>
          </w:p>
        </w:tc>
      </w:tr>
      <w:tr w:rsidR="00000000" w14:paraId="175ED6C1" w14:textId="77777777">
        <w:trPr>
          <w:jc w:val="center"/>
        </w:trPr>
        <w:tc>
          <w:tcPr>
            <w:tcW w:w="0" w:type="auto"/>
            <w:gridSpan w:val="3"/>
            <w:tcMar>
              <w:top w:w="30" w:type="dxa"/>
              <w:left w:w="20" w:type="dxa"/>
              <w:bottom w:w="30" w:type="dxa"/>
              <w:right w:w="20" w:type="dxa"/>
            </w:tcMar>
            <w:vAlign w:val="bottom"/>
            <w:hideMark/>
          </w:tcPr>
          <w:p w14:paraId="0609F139"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4677DA18"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F6A202"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6B21804"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5043DF"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vAlign w:val="center"/>
            <w:hideMark/>
          </w:tcPr>
          <w:p w14:paraId="6748837F" w14:textId="77777777" w:rsidR="00000000" w:rsidRDefault="0068293C">
            <w:pPr>
              <w:spacing w:after="100"/>
              <w:jc w:val="center"/>
              <w:rPr>
                <w:rFonts w:eastAsia="Times New Roman"/>
              </w:rPr>
            </w:pPr>
          </w:p>
        </w:tc>
        <w:tc>
          <w:tcPr>
            <w:tcW w:w="0" w:type="auto"/>
            <w:vAlign w:val="center"/>
            <w:hideMark/>
          </w:tcPr>
          <w:p w14:paraId="63E995E5" w14:textId="77777777" w:rsidR="00000000" w:rsidRDefault="0068293C">
            <w:pPr>
              <w:spacing w:after="100"/>
              <w:rPr>
                <w:rFonts w:eastAsia="Times New Roman"/>
                <w:sz w:val="20"/>
                <w:szCs w:val="20"/>
              </w:rPr>
            </w:pPr>
          </w:p>
        </w:tc>
        <w:tc>
          <w:tcPr>
            <w:tcW w:w="0" w:type="auto"/>
            <w:gridSpan w:val="3"/>
            <w:vAlign w:val="center"/>
            <w:hideMark/>
          </w:tcPr>
          <w:p w14:paraId="13286E93" w14:textId="77777777" w:rsidR="00000000" w:rsidRDefault="0068293C">
            <w:pPr>
              <w:spacing w:after="100"/>
              <w:rPr>
                <w:rFonts w:eastAsia="Times New Roman"/>
                <w:sz w:val="20"/>
                <w:szCs w:val="20"/>
              </w:rPr>
            </w:pPr>
          </w:p>
        </w:tc>
        <w:tc>
          <w:tcPr>
            <w:tcW w:w="0" w:type="auto"/>
            <w:gridSpan w:val="3"/>
            <w:vAlign w:val="center"/>
            <w:hideMark/>
          </w:tcPr>
          <w:p w14:paraId="1126C4F6" w14:textId="77777777" w:rsidR="00000000" w:rsidRDefault="0068293C">
            <w:pPr>
              <w:spacing w:after="100"/>
              <w:rPr>
                <w:rFonts w:eastAsia="Times New Roman"/>
                <w:sz w:val="20"/>
                <w:szCs w:val="20"/>
              </w:rPr>
            </w:pPr>
          </w:p>
        </w:tc>
      </w:tr>
      <w:tr w:rsidR="00000000" w14:paraId="40EFE0D5" w14:textId="77777777">
        <w:trPr>
          <w:jc w:val="center"/>
        </w:trPr>
        <w:tc>
          <w:tcPr>
            <w:tcW w:w="0" w:type="auto"/>
            <w:gridSpan w:val="3"/>
            <w:shd w:val="clear" w:color="auto" w:fill="CCEEFF"/>
            <w:tcMar>
              <w:top w:w="30" w:type="dxa"/>
              <w:left w:w="20" w:type="dxa"/>
              <w:bottom w:w="30" w:type="dxa"/>
              <w:right w:w="20" w:type="dxa"/>
            </w:tcMar>
            <w:hideMark/>
          </w:tcPr>
          <w:p w14:paraId="2C61653C" w14:textId="77777777" w:rsidR="00000000" w:rsidRDefault="0068293C">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14:paraId="2F756E56"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16B448"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0EFC3B" w14:textId="77777777" w:rsidR="00000000" w:rsidRDefault="0068293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EF479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B2641"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176BC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8D59F2" w14:textId="77777777" w:rsidR="00000000" w:rsidRDefault="0068293C">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C097C6" w14:textId="77777777" w:rsidR="00000000" w:rsidRDefault="0068293C">
            <w:pPr>
              <w:spacing w:after="100"/>
              <w:jc w:val="right"/>
              <w:rPr>
                <w:rFonts w:eastAsia="Times New Roman"/>
              </w:rPr>
            </w:pPr>
          </w:p>
        </w:tc>
        <w:tc>
          <w:tcPr>
            <w:tcW w:w="0" w:type="auto"/>
            <w:vAlign w:val="center"/>
            <w:hideMark/>
          </w:tcPr>
          <w:p w14:paraId="488B27F9" w14:textId="77777777" w:rsidR="00000000" w:rsidRDefault="0068293C">
            <w:pPr>
              <w:spacing w:after="100"/>
              <w:jc w:val="right"/>
              <w:rPr>
                <w:rFonts w:eastAsia="Times New Roman"/>
                <w:sz w:val="20"/>
                <w:szCs w:val="20"/>
              </w:rPr>
            </w:pPr>
          </w:p>
        </w:tc>
        <w:tc>
          <w:tcPr>
            <w:tcW w:w="0" w:type="auto"/>
            <w:vAlign w:val="center"/>
            <w:hideMark/>
          </w:tcPr>
          <w:p w14:paraId="1D895945" w14:textId="77777777" w:rsidR="00000000" w:rsidRDefault="0068293C">
            <w:pPr>
              <w:spacing w:after="100"/>
              <w:rPr>
                <w:rFonts w:eastAsia="Times New Roman"/>
                <w:sz w:val="20"/>
                <w:szCs w:val="20"/>
              </w:rPr>
            </w:pPr>
          </w:p>
        </w:tc>
        <w:tc>
          <w:tcPr>
            <w:tcW w:w="0" w:type="auto"/>
            <w:gridSpan w:val="3"/>
            <w:vAlign w:val="center"/>
            <w:hideMark/>
          </w:tcPr>
          <w:p w14:paraId="39326F6D" w14:textId="77777777" w:rsidR="00000000" w:rsidRDefault="0068293C">
            <w:pPr>
              <w:spacing w:after="100"/>
              <w:rPr>
                <w:rFonts w:eastAsia="Times New Roman"/>
                <w:sz w:val="20"/>
                <w:szCs w:val="20"/>
              </w:rPr>
            </w:pPr>
          </w:p>
        </w:tc>
        <w:tc>
          <w:tcPr>
            <w:tcW w:w="0" w:type="auto"/>
            <w:gridSpan w:val="3"/>
            <w:vAlign w:val="center"/>
            <w:hideMark/>
          </w:tcPr>
          <w:p w14:paraId="5EE98DC0" w14:textId="77777777" w:rsidR="00000000" w:rsidRDefault="0068293C">
            <w:pPr>
              <w:spacing w:after="100"/>
              <w:rPr>
                <w:rFonts w:eastAsia="Times New Roman"/>
                <w:sz w:val="20"/>
                <w:szCs w:val="20"/>
              </w:rPr>
            </w:pPr>
          </w:p>
        </w:tc>
      </w:tr>
      <w:tr w:rsidR="00000000" w14:paraId="39E5FC9D" w14:textId="77777777">
        <w:trPr>
          <w:jc w:val="center"/>
        </w:trPr>
        <w:tc>
          <w:tcPr>
            <w:tcW w:w="0" w:type="auto"/>
            <w:gridSpan w:val="3"/>
            <w:shd w:val="clear" w:color="auto" w:fill="FFFFFF"/>
            <w:tcMar>
              <w:top w:w="30" w:type="dxa"/>
              <w:left w:w="20" w:type="dxa"/>
              <w:bottom w:w="30" w:type="dxa"/>
              <w:right w:w="20" w:type="dxa"/>
            </w:tcMar>
            <w:hideMark/>
          </w:tcPr>
          <w:p w14:paraId="4D911C4D" w14:textId="77777777" w:rsidR="00000000" w:rsidRDefault="0068293C">
            <w:pPr>
              <w:spacing w:after="100"/>
              <w:rPr>
                <w:rFonts w:eastAsia="Times New Roman"/>
              </w:rPr>
            </w:pPr>
            <w:r>
              <w:rPr>
                <w:rFonts w:eastAsia="Times New Roman"/>
                <w:color w:val="000000"/>
                <w:sz w:val="20"/>
                <w:szCs w:val="20"/>
              </w:rPr>
              <w:t>Foreign currency fluctuations and foreign exchange contracts</w:t>
            </w:r>
          </w:p>
        </w:tc>
        <w:tc>
          <w:tcPr>
            <w:tcW w:w="0" w:type="auto"/>
            <w:gridSpan w:val="3"/>
            <w:shd w:val="clear" w:color="auto" w:fill="FFFFFF"/>
            <w:tcMar>
              <w:top w:w="0" w:type="dxa"/>
              <w:left w:w="20" w:type="dxa"/>
              <w:bottom w:w="0" w:type="dxa"/>
              <w:right w:w="20" w:type="dxa"/>
            </w:tcMar>
            <w:vAlign w:val="center"/>
            <w:hideMark/>
          </w:tcPr>
          <w:p w14:paraId="52F79668"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51E4DA"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C56D9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91C9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9A4FDB" w14:textId="77777777" w:rsidR="00000000" w:rsidRDefault="0068293C">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5AF64239" w14:textId="77777777" w:rsidR="00000000" w:rsidRDefault="0068293C">
            <w:pPr>
              <w:spacing w:after="100"/>
              <w:jc w:val="right"/>
              <w:rPr>
                <w:rFonts w:eastAsia="Times New Roman"/>
              </w:rPr>
            </w:pPr>
          </w:p>
        </w:tc>
        <w:tc>
          <w:tcPr>
            <w:tcW w:w="0" w:type="auto"/>
            <w:vAlign w:val="center"/>
            <w:hideMark/>
          </w:tcPr>
          <w:p w14:paraId="3457715B" w14:textId="77777777" w:rsidR="00000000" w:rsidRDefault="0068293C">
            <w:pPr>
              <w:spacing w:after="100"/>
              <w:jc w:val="right"/>
              <w:rPr>
                <w:rFonts w:eastAsia="Times New Roman"/>
                <w:sz w:val="20"/>
                <w:szCs w:val="20"/>
              </w:rPr>
            </w:pPr>
          </w:p>
        </w:tc>
        <w:tc>
          <w:tcPr>
            <w:tcW w:w="0" w:type="auto"/>
            <w:vAlign w:val="center"/>
            <w:hideMark/>
          </w:tcPr>
          <w:p w14:paraId="19A47213" w14:textId="77777777" w:rsidR="00000000" w:rsidRDefault="0068293C">
            <w:pPr>
              <w:spacing w:after="100"/>
              <w:rPr>
                <w:rFonts w:eastAsia="Times New Roman"/>
                <w:sz w:val="20"/>
                <w:szCs w:val="20"/>
              </w:rPr>
            </w:pPr>
          </w:p>
        </w:tc>
        <w:tc>
          <w:tcPr>
            <w:tcW w:w="0" w:type="auto"/>
            <w:gridSpan w:val="3"/>
            <w:vAlign w:val="center"/>
            <w:hideMark/>
          </w:tcPr>
          <w:p w14:paraId="54B8F75A" w14:textId="77777777" w:rsidR="00000000" w:rsidRDefault="0068293C">
            <w:pPr>
              <w:spacing w:after="100"/>
              <w:rPr>
                <w:rFonts w:eastAsia="Times New Roman"/>
                <w:sz w:val="20"/>
                <w:szCs w:val="20"/>
              </w:rPr>
            </w:pPr>
          </w:p>
        </w:tc>
        <w:tc>
          <w:tcPr>
            <w:tcW w:w="0" w:type="auto"/>
            <w:gridSpan w:val="3"/>
            <w:vAlign w:val="center"/>
            <w:hideMark/>
          </w:tcPr>
          <w:p w14:paraId="56F6173A" w14:textId="77777777" w:rsidR="00000000" w:rsidRDefault="0068293C">
            <w:pPr>
              <w:spacing w:after="100"/>
              <w:rPr>
                <w:rFonts w:eastAsia="Times New Roman"/>
                <w:sz w:val="20"/>
                <w:szCs w:val="20"/>
              </w:rPr>
            </w:pPr>
          </w:p>
        </w:tc>
      </w:tr>
      <w:tr w:rsidR="00000000" w14:paraId="5EB6992C" w14:textId="77777777">
        <w:trPr>
          <w:jc w:val="center"/>
        </w:trPr>
        <w:tc>
          <w:tcPr>
            <w:tcW w:w="0" w:type="auto"/>
            <w:gridSpan w:val="3"/>
            <w:shd w:val="clear" w:color="auto" w:fill="CCEEFF"/>
            <w:tcMar>
              <w:top w:w="30" w:type="dxa"/>
              <w:left w:w="20" w:type="dxa"/>
              <w:bottom w:w="30" w:type="dxa"/>
              <w:right w:w="20" w:type="dxa"/>
            </w:tcMar>
            <w:hideMark/>
          </w:tcPr>
          <w:p w14:paraId="4718E621" w14:textId="77777777" w:rsidR="00000000" w:rsidRDefault="0068293C">
            <w:pPr>
              <w:spacing w:after="100"/>
              <w:rPr>
                <w:rFonts w:eastAsia="Times New Roman"/>
              </w:rPr>
            </w:pPr>
            <w:r>
              <w:rPr>
                <w:rFonts w:eastAsia="Times New Roman"/>
                <w:color w:val="000000"/>
                <w:sz w:val="20"/>
                <w:szCs w:val="20"/>
              </w:rPr>
              <w:t>Bank-related fees</w:t>
            </w:r>
          </w:p>
        </w:tc>
        <w:tc>
          <w:tcPr>
            <w:tcW w:w="0" w:type="auto"/>
            <w:gridSpan w:val="3"/>
            <w:shd w:val="clear" w:color="auto" w:fill="CCEEFF"/>
            <w:tcMar>
              <w:top w:w="0" w:type="dxa"/>
              <w:left w:w="20" w:type="dxa"/>
              <w:bottom w:w="0" w:type="dxa"/>
              <w:right w:w="20" w:type="dxa"/>
            </w:tcMar>
            <w:vAlign w:val="center"/>
            <w:hideMark/>
          </w:tcPr>
          <w:p w14:paraId="21416AB0"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A6AE96" w14:textId="77777777" w:rsidR="00000000" w:rsidRDefault="0068293C">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14:paraId="4684A9BA"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01A5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03ACC" w14:textId="77777777" w:rsidR="00000000" w:rsidRDefault="0068293C">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28CC9C39" w14:textId="77777777" w:rsidR="00000000" w:rsidRDefault="0068293C">
            <w:pPr>
              <w:spacing w:after="100"/>
              <w:jc w:val="right"/>
              <w:rPr>
                <w:rFonts w:eastAsia="Times New Roman"/>
              </w:rPr>
            </w:pPr>
          </w:p>
        </w:tc>
        <w:tc>
          <w:tcPr>
            <w:tcW w:w="0" w:type="auto"/>
            <w:vAlign w:val="center"/>
            <w:hideMark/>
          </w:tcPr>
          <w:p w14:paraId="4C91F0B3" w14:textId="77777777" w:rsidR="00000000" w:rsidRDefault="0068293C">
            <w:pPr>
              <w:spacing w:after="100"/>
              <w:jc w:val="right"/>
              <w:rPr>
                <w:rFonts w:eastAsia="Times New Roman"/>
                <w:sz w:val="20"/>
                <w:szCs w:val="20"/>
              </w:rPr>
            </w:pPr>
          </w:p>
        </w:tc>
        <w:tc>
          <w:tcPr>
            <w:tcW w:w="0" w:type="auto"/>
            <w:vAlign w:val="center"/>
            <w:hideMark/>
          </w:tcPr>
          <w:p w14:paraId="15CBF37F" w14:textId="77777777" w:rsidR="00000000" w:rsidRDefault="0068293C">
            <w:pPr>
              <w:spacing w:after="100"/>
              <w:rPr>
                <w:rFonts w:eastAsia="Times New Roman"/>
                <w:sz w:val="20"/>
                <w:szCs w:val="20"/>
              </w:rPr>
            </w:pPr>
          </w:p>
        </w:tc>
        <w:tc>
          <w:tcPr>
            <w:tcW w:w="0" w:type="auto"/>
            <w:gridSpan w:val="3"/>
            <w:vAlign w:val="center"/>
            <w:hideMark/>
          </w:tcPr>
          <w:p w14:paraId="4C491B43" w14:textId="77777777" w:rsidR="00000000" w:rsidRDefault="0068293C">
            <w:pPr>
              <w:spacing w:after="100"/>
              <w:rPr>
                <w:rFonts w:eastAsia="Times New Roman"/>
                <w:sz w:val="20"/>
                <w:szCs w:val="20"/>
              </w:rPr>
            </w:pPr>
          </w:p>
        </w:tc>
        <w:tc>
          <w:tcPr>
            <w:tcW w:w="0" w:type="auto"/>
            <w:gridSpan w:val="3"/>
            <w:vAlign w:val="center"/>
            <w:hideMark/>
          </w:tcPr>
          <w:p w14:paraId="2BA7C829" w14:textId="77777777" w:rsidR="00000000" w:rsidRDefault="0068293C">
            <w:pPr>
              <w:spacing w:after="100"/>
              <w:rPr>
                <w:rFonts w:eastAsia="Times New Roman"/>
                <w:sz w:val="20"/>
                <w:szCs w:val="20"/>
              </w:rPr>
            </w:pPr>
          </w:p>
        </w:tc>
      </w:tr>
      <w:tr w:rsidR="00000000" w14:paraId="57F12C40" w14:textId="77777777">
        <w:trPr>
          <w:jc w:val="center"/>
        </w:trPr>
        <w:tc>
          <w:tcPr>
            <w:tcW w:w="0" w:type="auto"/>
            <w:gridSpan w:val="3"/>
            <w:shd w:val="clear" w:color="auto" w:fill="FFFFFF"/>
            <w:tcMar>
              <w:top w:w="30" w:type="dxa"/>
              <w:left w:w="20" w:type="dxa"/>
              <w:bottom w:w="30" w:type="dxa"/>
              <w:right w:w="20" w:type="dxa"/>
            </w:tcMar>
            <w:hideMark/>
          </w:tcPr>
          <w:p w14:paraId="1E1F0361" w14:textId="77777777" w:rsidR="00000000" w:rsidRDefault="0068293C">
            <w:pPr>
              <w:spacing w:after="100"/>
              <w:rPr>
                <w:rFonts w:eastAsia="Times New Roman"/>
              </w:rPr>
            </w:pPr>
            <w:r>
              <w:rPr>
                <w:rFonts w:eastAsia="Times New Roman"/>
                <w:color w:val="000000"/>
                <w:sz w:val="20"/>
                <w:szCs w:val="20"/>
              </w:rPr>
              <w:t>Employee benefit plans</w:t>
            </w:r>
          </w:p>
        </w:tc>
        <w:tc>
          <w:tcPr>
            <w:tcW w:w="0" w:type="auto"/>
            <w:gridSpan w:val="3"/>
            <w:shd w:val="clear" w:color="auto" w:fill="FFFFFF"/>
            <w:tcMar>
              <w:top w:w="0" w:type="dxa"/>
              <w:left w:w="20" w:type="dxa"/>
              <w:bottom w:w="0" w:type="dxa"/>
              <w:right w:w="20" w:type="dxa"/>
            </w:tcMar>
            <w:vAlign w:val="center"/>
            <w:hideMark/>
          </w:tcPr>
          <w:p w14:paraId="26D16446"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00A892" w14:textId="77777777" w:rsidR="00000000" w:rsidRDefault="0068293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4FCC6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112FD"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2234A6" w14:textId="77777777" w:rsidR="00000000" w:rsidRDefault="0068293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644A9BBE" w14:textId="77777777" w:rsidR="00000000" w:rsidRDefault="0068293C">
            <w:pPr>
              <w:spacing w:after="100"/>
              <w:jc w:val="right"/>
              <w:rPr>
                <w:rFonts w:eastAsia="Times New Roman"/>
              </w:rPr>
            </w:pPr>
          </w:p>
        </w:tc>
        <w:tc>
          <w:tcPr>
            <w:tcW w:w="0" w:type="auto"/>
            <w:vAlign w:val="center"/>
            <w:hideMark/>
          </w:tcPr>
          <w:p w14:paraId="1D45C741" w14:textId="77777777" w:rsidR="00000000" w:rsidRDefault="0068293C">
            <w:pPr>
              <w:spacing w:after="100"/>
              <w:jc w:val="right"/>
              <w:rPr>
                <w:rFonts w:eastAsia="Times New Roman"/>
                <w:sz w:val="20"/>
                <w:szCs w:val="20"/>
              </w:rPr>
            </w:pPr>
          </w:p>
        </w:tc>
        <w:tc>
          <w:tcPr>
            <w:tcW w:w="0" w:type="auto"/>
            <w:vAlign w:val="center"/>
            <w:hideMark/>
          </w:tcPr>
          <w:p w14:paraId="18F9CC6D" w14:textId="77777777" w:rsidR="00000000" w:rsidRDefault="0068293C">
            <w:pPr>
              <w:spacing w:after="100"/>
              <w:rPr>
                <w:rFonts w:eastAsia="Times New Roman"/>
                <w:sz w:val="20"/>
                <w:szCs w:val="20"/>
              </w:rPr>
            </w:pPr>
          </w:p>
        </w:tc>
        <w:tc>
          <w:tcPr>
            <w:tcW w:w="0" w:type="auto"/>
            <w:gridSpan w:val="3"/>
            <w:vAlign w:val="center"/>
            <w:hideMark/>
          </w:tcPr>
          <w:p w14:paraId="422433D6" w14:textId="77777777" w:rsidR="00000000" w:rsidRDefault="0068293C">
            <w:pPr>
              <w:spacing w:after="100"/>
              <w:rPr>
                <w:rFonts w:eastAsia="Times New Roman"/>
                <w:sz w:val="20"/>
                <w:szCs w:val="20"/>
              </w:rPr>
            </w:pPr>
          </w:p>
        </w:tc>
        <w:tc>
          <w:tcPr>
            <w:tcW w:w="0" w:type="auto"/>
            <w:gridSpan w:val="3"/>
            <w:vAlign w:val="center"/>
            <w:hideMark/>
          </w:tcPr>
          <w:p w14:paraId="01E5621A" w14:textId="77777777" w:rsidR="00000000" w:rsidRDefault="0068293C">
            <w:pPr>
              <w:spacing w:after="100"/>
              <w:rPr>
                <w:rFonts w:eastAsia="Times New Roman"/>
                <w:sz w:val="20"/>
                <w:szCs w:val="20"/>
              </w:rPr>
            </w:pPr>
          </w:p>
        </w:tc>
      </w:tr>
      <w:tr w:rsidR="00000000" w14:paraId="21716CA8" w14:textId="77777777">
        <w:trPr>
          <w:jc w:val="center"/>
        </w:trPr>
        <w:tc>
          <w:tcPr>
            <w:tcW w:w="0" w:type="auto"/>
            <w:gridSpan w:val="3"/>
            <w:shd w:val="clear" w:color="auto" w:fill="CCEEFF"/>
            <w:tcMar>
              <w:top w:w="30" w:type="dxa"/>
              <w:left w:w="20" w:type="dxa"/>
              <w:bottom w:w="30" w:type="dxa"/>
              <w:right w:w="20" w:type="dxa"/>
            </w:tcMar>
            <w:hideMark/>
          </w:tcPr>
          <w:p w14:paraId="5A3B84EB" w14:textId="77777777" w:rsidR="00000000" w:rsidRDefault="0068293C">
            <w:pPr>
              <w:spacing w:after="100"/>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14:paraId="38670AE8"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1A3075" w14:textId="77777777" w:rsidR="00000000" w:rsidRDefault="0068293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5BC1F1F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C551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0839D3" w14:textId="77777777" w:rsidR="00000000" w:rsidRDefault="006829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9F4CE2" w14:textId="77777777" w:rsidR="00000000" w:rsidRDefault="0068293C">
            <w:pPr>
              <w:spacing w:after="100"/>
              <w:jc w:val="right"/>
              <w:rPr>
                <w:rFonts w:eastAsia="Times New Roman"/>
              </w:rPr>
            </w:pPr>
          </w:p>
        </w:tc>
        <w:tc>
          <w:tcPr>
            <w:tcW w:w="0" w:type="auto"/>
            <w:vAlign w:val="center"/>
            <w:hideMark/>
          </w:tcPr>
          <w:p w14:paraId="29557642" w14:textId="77777777" w:rsidR="00000000" w:rsidRDefault="0068293C">
            <w:pPr>
              <w:spacing w:after="100"/>
              <w:jc w:val="right"/>
              <w:rPr>
                <w:rFonts w:eastAsia="Times New Roman"/>
                <w:sz w:val="20"/>
                <w:szCs w:val="20"/>
              </w:rPr>
            </w:pPr>
          </w:p>
        </w:tc>
        <w:tc>
          <w:tcPr>
            <w:tcW w:w="0" w:type="auto"/>
            <w:vAlign w:val="center"/>
            <w:hideMark/>
          </w:tcPr>
          <w:p w14:paraId="4EA69B11" w14:textId="77777777" w:rsidR="00000000" w:rsidRDefault="0068293C">
            <w:pPr>
              <w:spacing w:after="100"/>
              <w:rPr>
                <w:rFonts w:eastAsia="Times New Roman"/>
                <w:sz w:val="20"/>
                <w:szCs w:val="20"/>
              </w:rPr>
            </w:pPr>
          </w:p>
        </w:tc>
        <w:tc>
          <w:tcPr>
            <w:tcW w:w="0" w:type="auto"/>
            <w:gridSpan w:val="3"/>
            <w:vAlign w:val="center"/>
            <w:hideMark/>
          </w:tcPr>
          <w:p w14:paraId="6897B3E4" w14:textId="77777777" w:rsidR="00000000" w:rsidRDefault="0068293C">
            <w:pPr>
              <w:spacing w:after="100"/>
              <w:rPr>
                <w:rFonts w:eastAsia="Times New Roman"/>
                <w:sz w:val="20"/>
                <w:szCs w:val="20"/>
              </w:rPr>
            </w:pPr>
          </w:p>
        </w:tc>
        <w:tc>
          <w:tcPr>
            <w:tcW w:w="0" w:type="auto"/>
            <w:gridSpan w:val="3"/>
            <w:vAlign w:val="center"/>
            <w:hideMark/>
          </w:tcPr>
          <w:p w14:paraId="1EDD0E11" w14:textId="77777777" w:rsidR="00000000" w:rsidRDefault="0068293C">
            <w:pPr>
              <w:spacing w:after="100"/>
              <w:rPr>
                <w:rFonts w:eastAsia="Times New Roman"/>
                <w:sz w:val="20"/>
                <w:szCs w:val="20"/>
              </w:rPr>
            </w:pPr>
          </w:p>
        </w:tc>
      </w:tr>
      <w:tr w:rsidR="00000000" w14:paraId="2C16E790" w14:textId="77777777">
        <w:trPr>
          <w:jc w:val="center"/>
        </w:trPr>
        <w:tc>
          <w:tcPr>
            <w:tcW w:w="0" w:type="auto"/>
            <w:gridSpan w:val="3"/>
            <w:shd w:val="clear" w:color="auto" w:fill="FFFFFF"/>
            <w:tcMar>
              <w:top w:w="30" w:type="dxa"/>
              <w:left w:w="20" w:type="dxa"/>
              <w:bottom w:w="30" w:type="dxa"/>
              <w:right w:w="20" w:type="dxa"/>
            </w:tcMar>
            <w:hideMark/>
          </w:tcPr>
          <w:p w14:paraId="176231A4" w14:textId="77777777" w:rsidR="00000000" w:rsidRDefault="0068293C">
            <w:pPr>
              <w:spacing w:after="100"/>
              <w:rPr>
                <w:rFonts w:eastAsia="Times New Roman"/>
              </w:rPr>
            </w:pPr>
            <w:r>
              <w:rPr>
                <w:rFonts w:eastAsia="Times New Roman"/>
                <w:b/>
                <w:bCs/>
                <w:color w:val="000000"/>
                <w:sz w:val="20"/>
                <w:szCs w:val="20"/>
              </w:rPr>
              <w:t>Other income (expense), net</w:t>
            </w:r>
          </w:p>
        </w:tc>
        <w:tc>
          <w:tcPr>
            <w:tcW w:w="0" w:type="auto"/>
            <w:gridSpan w:val="3"/>
            <w:shd w:val="clear" w:color="auto" w:fill="FFFFFF"/>
            <w:tcMar>
              <w:top w:w="0" w:type="dxa"/>
              <w:left w:w="20" w:type="dxa"/>
              <w:bottom w:w="0" w:type="dxa"/>
              <w:right w:w="20" w:type="dxa"/>
            </w:tcMar>
            <w:vAlign w:val="center"/>
            <w:hideMark/>
          </w:tcPr>
          <w:p w14:paraId="2D17146E" w14:textId="77777777" w:rsidR="00000000" w:rsidRDefault="0068293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778E1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93B352" w14:textId="77777777" w:rsidR="00000000" w:rsidRDefault="0068293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5320E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184F9"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F71C8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0D1E62" w14:textId="77777777" w:rsidR="00000000" w:rsidRDefault="0068293C">
            <w:pPr>
              <w:spacing w:after="100"/>
              <w:jc w:val="right"/>
              <w:rPr>
                <w:rFonts w:eastAsia="Times New Roman"/>
              </w:rPr>
            </w:pPr>
            <w:r>
              <w:rPr>
                <w:rFonts w:eastAsia="Times New Roman"/>
                <w:color w:val="000000"/>
                <w:sz w:val="20"/>
                <w:szCs w:val="20"/>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53852B" w14:textId="77777777" w:rsidR="00000000" w:rsidRDefault="0068293C">
            <w:pPr>
              <w:spacing w:after="100"/>
              <w:jc w:val="right"/>
              <w:rPr>
                <w:rFonts w:eastAsia="Times New Roman"/>
              </w:rPr>
            </w:pPr>
          </w:p>
        </w:tc>
        <w:tc>
          <w:tcPr>
            <w:tcW w:w="0" w:type="auto"/>
            <w:vAlign w:val="center"/>
            <w:hideMark/>
          </w:tcPr>
          <w:p w14:paraId="6728AE37" w14:textId="77777777" w:rsidR="00000000" w:rsidRDefault="0068293C">
            <w:pPr>
              <w:spacing w:after="100"/>
              <w:jc w:val="right"/>
              <w:rPr>
                <w:rFonts w:eastAsia="Times New Roman"/>
                <w:sz w:val="20"/>
                <w:szCs w:val="20"/>
              </w:rPr>
            </w:pPr>
          </w:p>
        </w:tc>
        <w:tc>
          <w:tcPr>
            <w:tcW w:w="0" w:type="auto"/>
            <w:vAlign w:val="center"/>
            <w:hideMark/>
          </w:tcPr>
          <w:p w14:paraId="1EB06DE4" w14:textId="77777777" w:rsidR="00000000" w:rsidRDefault="0068293C">
            <w:pPr>
              <w:spacing w:after="100"/>
              <w:rPr>
                <w:rFonts w:eastAsia="Times New Roman"/>
                <w:sz w:val="20"/>
                <w:szCs w:val="20"/>
              </w:rPr>
            </w:pPr>
          </w:p>
        </w:tc>
        <w:tc>
          <w:tcPr>
            <w:tcW w:w="0" w:type="auto"/>
            <w:gridSpan w:val="3"/>
            <w:vAlign w:val="center"/>
            <w:hideMark/>
          </w:tcPr>
          <w:p w14:paraId="71748B9B" w14:textId="77777777" w:rsidR="00000000" w:rsidRDefault="0068293C">
            <w:pPr>
              <w:spacing w:after="100"/>
              <w:rPr>
                <w:rFonts w:eastAsia="Times New Roman"/>
                <w:sz w:val="20"/>
                <w:szCs w:val="20"/>
              </w:rPr>
            </w:pPr>
          </w:p>
        </w:tc>
        <w:tc>
          <w:tcPr>
            <w:tcW w:w="0" w:type="auto"/>
            <w:gridSpan w:val="3"/>
            <w:vAlign w:val="center"/>
            <w:hideMark/>
          </w:tcPr>
          <w:p w14:paraId="1F1CB9F6" w14:textId="77777777" w:rsidR="00000000" w:rsidRDefault="0068293C">
            <w:pPr>
              <w:spacing w:after="100"/>
              <w:rPr>
                <w:rFonts w:eastAsia="Times New Roman"/>
                <w:sz w:val="20"/>
                <w:szCs w:val="20"/>
              </w:rPr>
            </w:pPr>
          </w:p>
        </w:tc>
      </w:tr>
    </w:tbl>
    <w:p w14:paraId="05BE46F3" w14:textId="77777777" w:rsidR="00000000" w:rsidRDefault="0068293C">
      <w:pPr>
        <w:jc w:val="both"/>
        <w:rPr>
          <w:rFonts w:eastAsia="Times New Roman"/>
        </w:rPr>
      </w:pPr>
    </w:p>
    <w:p w14:paraId="6FB47E43" w14:textId="77777777" w:rsidR="00000000" w:rsidRDefault="0068293C">
      <w:pPr>
        <w:jc w:val="center"/>
        <w:divId w:val="1672296294"/>
        <w:rPr>
          <w:rFonts w:eastAsia="Times New Roman"/>
        </w:rPr>
      </w:pPr>
      <w:r>
        <w:rPr>
          <w:rFonts w:eastAsia="Times New Roman"/>
          <w:color w:val="000000"/>
          <w:sz w:val="20"/>
          <w:szCs w:val="20"/>
        </w:rPr>
        <w:t>41</w:t>
      </w:r>
    </w:p>
    <w:p w14:paraId="7A5CD410" w14:textId="77777777" w:rsidR="00000000" w:rsidRDefault="0068293C">
      <w:pPr>
        <w:rPr>
          <w:rFonts w:eastAsia="Times New Roman"/>
        </w:rPr>
      </w:pPr>
      <w:r>
        <w:rPr>
          <w:rFonts w:eastAsia="Times New Roman"/>
        </w:rPr>
        <w:pict w14:anchorId="772F0961">
          <v:rect id="_x0000_i1066" style="width:0;height:1.5pt" o:hralign="center" o:hrstd="t" o:hr="t" fillcolor="#a0a0a0" stroked="f"/>
        </w:pict>
      </w:r>
    </w:p>
    <w:p w14:paraId="5640503D" w14:textId="77777777" w:rsidR="00000000" w:rsidRDefault="0068293C">
      <w:pPr>
        <w:divId w:val="2038312088"/>
        <w:rPr>
          <w:rFonts w:eastAsia="Times New Roman"/>
        </w:rPr>
      </w:pPr>
      <w:hyperlink w:anchor="i78484f3d0d8e4e36a7c87ddd6ea9d725_7" w:history="1">
        <w:r>
          <w:rPr>
            <w:rStyle w:val="a3"/>
            <w:rFonts w:eastAsia="Times New Roman"/>
            <w:sz w:val="16"/>
            <w:szCs w:val="16"/>
          </w:rPr>
          <w:t>Table of Contents</w:t>
        </w:r>
      </w:hyperlink>
    </w:p>
    <w:p w14:paraId="7C5319AF" w14:textId="77777777" w:rsidR="00000000" w:rsidRDefault="0068293C">
      <w:pPr>
        <w:jc w:val="both"/>
        <w:rPr>
          <w:rFonts w:eastAsia="Times New Roman"/>
        </w:rPr>
      </w:pPr>
      <w:r>
        <w:rPr>
          <w:rFonts w:eastAsia="Times New Roman"/>
          <w:color w:val="000000"/>
          <w:sz w:val="20"/>
          <w:szCs w:val="20"/>
        </w:rPr>
        <w:t>In the three months ended March 31, 2021, the Company incurred bank-related fees of $17 million related to certain structuring and commitment fees as a result of the financing transactions entered into during the first quarter of 2021 related to the transa</w:t>
      </w:r>
      <w:r>
        <w:rPr>
          <w:rFonts w:eastAsia="Times New Roman"/>
          <w:color w:val="000000"/>
          <w:sz w:val="20"/>
          <w:szCs w:val="20"/>
        </w:rPr>
        <w:t>ction with Cardtronics.</w:t>
      </w:r>
    </w:p>
    <w:p w14:paraId="1B0D5380" w14:textId="77777777" w:rsidR="00000000" w:rsidRDefault="0068293C">
      <w:pPr>
        <w:jc w:val="both"/>
        <w:rPr>
          <w:rFonts w:eastAsia="Times New Roman"/>
        </w:rPr>
      </w:pPr>
    </w:p>
    <w:p w14:paraId="694911F7" w14:textId="77777777" w:rsidR="00000000" w:rsidRDefault="0068293C">
      <w:pPr>
        <w:jc w:val="both"/>
        <w:rPr>
          <w:rFonts w:eastAsia="Times New Roman"/>
        </w:rPr>
      </w:pPr>
      <w:r>
        <w:rPr>
          <w:rFonts w:eastAsia="Times New Roman"/>
          <w:b/>
          <w:bCs/>
          <w:color w:val="000000"/>
          <w:sz w:val="20"/>
          <w:szCs w:val="20"/>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8"/>
        <w:gridCol w:w="5442"/>
        <w:gridCol w:w="37"/>
        <w:gridCol w:w="36"/>
        <w:gridCol w:w="36"/>
        <w:gridCol w:w="36"/>
        <w:gridCol w:w="120"/>
        <w:gridCol w:w="1154"/>
        <w:gridCol w:w="36"/>
        <w:gridCol w:w="36"/>
        <w:gridCol w:w="36"/>
        <w:gridCol w:w="36"/>
        <w:gridCol w:w="120"/>
        <w:gridCol w:w="1107"/>
        <w:gridCol w:w="36"/>
      </w:tblGrid>
      <w:tr w:rsidR="00000000" w14:paraId="783AABFA" w14:textId="77777777">
        <w:tc>
          <w:tcPr>
            <w:tcW w:w="50" w:type="pct"/>
            <w:vAlign w:val="center"/>
            <w:hideMark/>
          </w:tcPr>
          <w:p w14:paraId="334320F9" w14:textId="77777777" w:rsidR="00000000" w:rsidRDefault="0068293C">
            <w:pPr>
              <w:jc w:val="both"/>
              <w:rPr>
                <w:rFonts w:eastAsia="Times New Roman"/>
              </w:rPr>
            </w:pPr>
          </w:p>
        </w:tc>
        <w:tc>
          <w:tcPr>
            <w:tcW w:w="3314" w:type="pct"/>
            <w:vAlign w:val="center"/>
            <w:hideMark/>
          </w:tcPr>
          <w:p w14:paraId="3154CE0B" w14:textId="77777777" w:rsidR="00000000" w:rsidRDefault="0068293C">
            <w:pPr>
              <w:spacing w:after="100"/>
              <w:rPr>
                <w:rFonts w:eastAsia="Times New Roman"/>
                <w:sz w:val="20"/>
                <w:szCs w:val="20"/>
              </w:rPr>
            </w:pPr>
          </w:p>
        </w:tc>
        <w:tc>
          <w:tcPr>
            <w:tcW w:w="5" w:type="pct"/>
            <w:vAlign w:val="center"/>
            <w:hideMark/>
          </w:tcPr>
          <w:p w14:paraId="1D7150D1" w14:textId="77777777" w:rsidR="00000000" w:rsidRDefault="0068293C">
            <w:pPr>
              <w:spacing w:after="100"/>
              <w:rPr>
                <w:rFonts w:eastAsia="Times New Roman"/>
                <w:sz w:val="20"/>
                <w:szCs w:val="20"/>
              </w:rPr>
            </w:pPr>
          </w:p>
        </w:tc>
        <w:tc>
          <w:tcPr>
            <w:tcW w:w="5" w:type="pct"/>
            <w:vAlign w:val="center"/>
            <w:hideMark/>
          </w:tcPr>
          <w:p w14:paraId="1F362D15" w14:textId="77777777" w:rsidR="00000000" w:rsidRDefault="0068293C">
            <w:pPr>
              <w:spacing w:after="100"/>
              <w:rPr>
                <w:rFonts w:eastAsia="Times New Roman"/>
                <w:sz w:val="20"/>
                <w:szCs w:val="20"/>
              </w:rPr>
            </w:pPr>
          </w:p>
        </w:tc>
        <w:tc>
          <w:tcPr>
            <w:tcW w:w="19" w:type="pct"/>
            <w:vAlign w:val="center"/>
            <w:hideMark/>
          </w:tcPr>
          <w:p w14:paraId="7C6C3938" w14:textId="77777777" w:rsidR="00000000" w:rsidRDefault="0068293C">
            <w:pPr>
              <w:spacing w:after="100"/>
              <w:rPr>
                <w:rFonts w:eastAsia="Times New Roman"/>
                <w:sz w:val="20"/>
                <w:szCs w:val="20"/>
              </w:rPr>
            </w:pPr>
          </w:p>
        </w:tc>
        <w:tc>
          <w:tcPr>
            <w:tcW w:w="5" w:type="pct"/>
            <w:vAlign w:val="center"/>
            <w:hideMark/>
          </w:tcPr>
          <w:p w14:paraId="5EDC1B31" w14:textId="77777777" w:rsidR="00000000" w:rsidRDefault="0068293C">
            <w:pPr>
              <w:spacing w:after="100"/>
              <w:rPr>
                <w:rFonts w:eastAsia="Times New Roman"/>
                <w:sz w:val="20"/>
                <w:szCs w:val="20"/>
              </w:rPr>
            </w:pPr>
          </w:p>
        </w:tc>
        <w:tc>
          <w:tcPr>
            <w:tcW w:w="50" w:type="pct"/>
            <w:vAlign w:val="center"/>
            <w:hideMark/>
          </w:tcPr>
          <w:p w14:paraId="3D0C1EC3" w14:textId="77777777" w:rsidR="00000000" w:rsidRDefault="0068293C">
            <w:pPr>
              <w:spacing w:after="100"/>
              <w:rPr>
                <w:rFonts w:eastAsia="Times New Roman"/>
                <w:sz w:val="20"/>
                <w:szCs w:val="20"/>
              </w:rPr>
            </w:pPr>
          </w:p>
        </w:tc>
        <w:tc>
          <w:tcPr>
            <w:tcW w:w="727" w:type="pct"/>
            <w:vAlign w:val="center"/>
            <w:hideMark/>
          </w:tcPr>
          <w:p w14:paraId="1504F144" w14:textId="77777777" w:rsidR="00000000" w:rsidRDefault="0068293C">
            <w:pPr>
              <w:spacing w:after="100"/>
              <w:rPr>
                <w:rFonts w:eastAsia="Times New Roman"/>
                <w:sz w:val="20"/>
                <w:szCs w:val="20"/>
              </w:rPr>
            </w:pPr>
          </w:p>
        </w:tc>
        <w:tc>
          <w:tcPr>
            <w:tcW w:w="5" w:type="pct"/>
            <w:vAlign w:val="center"/>
            <w:hideMark/>
          </w:tcPr>
          <w:p w14:paraId="79A869AF" w14:textId="77777777" w:rsidR="00000000" w:rsidRDefault="0068293C">
            <w:pPr>
              <w:spacing w:after="100"/>
              <w:rPr>
                <w:rFonts w:eastAsia="Times New Roman"/>
                <w:sz w:val="20"/>
                <w:szCs w:val="20"/>
              </w:rPr>
            </w:pPr>
          </w:p>
        </w:tc>
        <w:tc>
          <w:tcPr>
            <w:tcW w:w="5" w:type="pct"/>
            <w:vAlign w:val="center"/>
            <w:hideMark/>
          </w:tcPr>
          <w:p w14:paraId="4CEB5051" w14:textId="77777777" w:rsidR="00000000" w:rsidRDefault="0068293C">
            <w:pPr>
              <w:spacing w:after="100"/>
              <w:rPr>
                <w:rFonts w:eastAsia="Times New Roman"/>
                <w:sz w:val="20"/>
                <w:szCs w:val="20"/>
              </w:rPr>
            </w:pPr>
          </w:p>
        </w:tc>
        <w:tc>
          <w:tcPr>
            <w:tcW w:w="26" w:type="pct"/>
            <w:vAlign w:val="center"/>
            <w:hideMark/>
          </w:tcPr>
          <w:p w14:paraId="7A750312" w14:textId="77777777" w:rsidR="00000000" w:rsidRDefault="0068293C">
            <w:pPr>
              <w:spacing w:after="100"/>
              <w:rPr>
                <w:rFonts w:eastAsia="Times New Roman"/>
                <w:sz w:val="20"/>
                <w:szCs w:val="20"/>
              </w:rPr>
            </w:pPr>
          </w:p>
        </w:tc>
        <w:tc>
          <w:tcPr>
            <w:tcW w:w="5" w:type="pct"/>
            <w:vAlign w:val="center"/>
            <w:hideMark/>
          </w:tcPr>
          <w:p w14:paraId="7603CCF6" w14:textId="77777777" w:rsidR="00000000" w:rsidRDefault="0068293C">
            <w:pPr>
              <w:spacing w:after="100"/>
              <w:rPr>
                <w:rFonts w:eastAsia="Times New Roman"/>
                <w:sz w:val="20"/>
                <w:szCs w:val="20"/>
              </w:rPr>
            </w:pPr>
          </w:p>
        </w:tc>
        <w:tc>
          <w:tcPr>
            <w:tcW w:w="50" w:type="pct"/>
            <w:vAlign w:val="center"/>
            <w:hideMark/>
          </w:tcPr>
          <w:p w14:paraId="0ADAEA4A" w14:textId="77777777" w:rsidR="00000000" w:rsidRDefault="0068293C">
            <w:pPr>
              <w:spacing w:after="100"/>
              <w:rPr>
                <w:rFonts w:eastAsia="Times New Roman"/>
                <w:sz w:val="20"/>
                <w:szCs w:val="20"/>
              </w:rPr>
            </w:pPr>
          </w:p>
        </w:tc>
        <w:tc>
          <w:tcPr>
            <w:tcW w:w="727" w:type="pct"/>
            <w:vAlign w:val="center"/>
            <w:hideMark/>
          </w:tcPr>
          <w:p w14:paraId="0B5AC22C" w14:textId="77777777" w:rsidR="00000000" w:rsidRDefault="0068293C">
            <w:pPr>
              <w:spacing w:after="100"/>
              <w:rPr>
                <w:rFonts w:eastAsia="Times New Roman"/>
                <w:sz w:val="20"/>
                <w:szCs w:val="20"/>
              </w:rPr>
            </w:pPr>
          </w:p>
        </w:tc>
        <w:tc>
          <w:tcPr>
            <w:tcW w:w="5" w:type="pct"/>
            <w:vAlign w:val="center"/>
            <w:hideMark/>
          </w:tcPr>
          <w:p w14:paraId="33D7C8AF" w14:textId="77777777" w:rsidR="00000000" w:rsidRDefault="0068293C">
            <w:pPr>
              <w:spacing w:after="100"/>
              <w:rPr>
                <w:rFonts w:eastAsia="Times New Roman"/>
                <w:sz w:val="20"/>
                <w:szCs w:val="20"/>
              </w:rPr>
            </w:pPr>
          </w:p>
        </w:tc>
      </w:tr>
      <w:tr w:rsidR="00000000" w14:paraId="26848819" w14:textId="77777777">
        <w:tc>
          <w:tcPr>
            <w:tcW w:w="0" w:type="auto"/>
            <w:gridSpan w:val="3"/>
            <w:shd w:val="clear" w:color="auto" w:fill="FFFFFF"/>
            <w:tcMar>
              <w:top w:w="0" w:type="dxa"/>
              <w:left w:w="20" w:type="dxa"/>
              <w:bottom w:w="0" w:type="dxa"/>
              <w:right w:w="20" w:type="dxa"/>
            </w:tcMar>
            <w:vAlign w:val="center"/>
            <w:hideMark/>
          </w:tcPr>
          <w:p w14:paraId="7DE47DD1"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BBBFA0"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5AB32AF9"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27943EDD" w14:textId="77777777">
        <w:tc>
          <w:tcPr>
            <w:tcW w:w="0" w:type="auto"/>
            <w:gridSpan w:val="3"/>
            <w:tcMar>
              <w:top w:w="30" w:type="dxa"/>
              <w:left w:w="20" w:type="dxa"/>
              <w:bottom w:w="30" w:type="dxa"/>
              <w:right w:w="20" w:type="dxa"/>
            </w:tcMar>
            <w:vAlign w:val="bottom"/>
            <w:hideMark/>
          </w:tcPr>
          <w:p w14:paraId="4565E14D"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708125FB"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9AF45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49B6AB8"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59DD87"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64732BF7" w14:textId="77777777">
        <w:tc>
          <w:tcPr>
            <w:tcW w:w="0" w:type="auto"/>
            <w:gridSpan w:val="3"/>
            <w:shd w:val="clear" w:color="auto" w:fill="CCEEFF"/>
            <w:tcMar>
              <w:top w:w="30" w:type="dxa"/>
              <w:left w:w="20" w:type="dxa"/>
              <w:bottom w:w="30" w:type="dxa"/>
              <w:right w:w="20" w:type="dxa"/>
            </w:tcMar>
            <w:hideMark/>
          </w:tcPr>
          <w:p w14:paraId="7D3C6E50" w14:textId="77777777" w:rsidR="00000000" w:rsidRDefault="0068293C">
            <w:pPr>
              <w:spacing w:after="100"/>
              <w:rPr>
                <w:rFonts w:eastAsia="Times New Roman"/>
              </w:rPr>
            </w:pPr>
            <w:r>
              <w:rPr>
                <w:rFonts w:eastAsia="Times New Roman"/>
                <w:color w:val="000000"/>
                <w:sz w:val="20"/>
                <w:szCs w:val="20"/>
              </w:rPr>
              <w:t>Income tax expense (benefit)</w:t>
            </w:r>
          </w:p>
        </w:tc>
        <w:tc>
          <w:tcPr>
            <w:tcW w:w="0" w:type="auto"/>
            <w:gridSpan w:val="3"/>
            <w:shd w:val="clear" w:color="auto" w:fill="CCEEFF"/>
            <w:tcMar>
              <w:top w:w="0" w:type="dxa"/>
              <w:left w:w="20" w:type="dxa"/>
              <w:bottom w:w="0" w:type="dxa"/>
              <w:right w:w="20" w:type="dxa"/>
            </w:tcMar>
            <w:vAlign w:val="center"/>
            <w:hideMark/>
          </w:tcPr>
          <w:p w14:paraId="1260DE96"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47ED25"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617750" w14:textId="77777777" w:rsidR="00000000" w:rsidRDefault="0068293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2B0DD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F6392"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5BD027"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4D2DC6" w14:textId="77777777" w:rsidR="00000000" w:rsidRDefault="0068293C">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E1FB51" w14:textId="77777777" w:rsidR="00000000" w:rsidRDefault="0068293C">
            <w:pPr>
              <w:spacing w:after="100"/>
              <w:jc w:val="right"/>
              <w:rPr>
                <w:rFonts w:eastAsia="Times New Roman"/>
              </w:rPr>
            </w:pPr>
          </w:p>
        </w:tc>
      </w:tr>
    </w:tbl>
    <w:p w14:paraId="316A7EE5" w14:textId="77777777" w:rsidR="00000000" w:rsidRDefault="0068293C">
      <w:pPr>
        <w:jc w:val="both"/>
        <w:rPr>
          <w:rFonts w:eastAsia="Times New Roman"/>
        </w:rPr>
      </w:pPr>
    </w:p>
    <w:p w14:paraId="5D92DAB3" w14:textId="77777777" w:rsidR="00000000" w:rsidRDefault="0068293C">
      <w:pPr>
        <w:jc w:val="both"/>
        <w:rPr>
          <w:rFonts w:eastAsia="Times New Roman"/>
        </w:rPr>
      </w:pPr>
      <w:r>
        <w:rPr>
          <w:rFonts w:eastAsia="Times New Roman"/>
          <w:i/>
          <w:iCs/>
          <w:color w:val="000000"/>
          <w:sz w:val="20"/>
          <w:szCs w:val="20"/>
        </w:rPr>
        <w:t>For the three months ended March 31, 2022 compared to the three months ended March 31, 2021</w:t>
      </w:r>
    </w:p>
    <w:p w14:paraId="65DCF81D" w14:textId="77777777" w:rsidR="00000000" w:rsidRDefault="0068293C">
      <w:pPr>
        <w:jc w:val="both"/>
        <w:rPr>
          <w:rFonts w:eastAsia="Times New Roman"/>
        </w:rPr>
      </w:pPr>
    </w:p>
    <w:p w14:paraId="692770BC" w14:textId="77777777" w:rsidR="00000000" w:rsidRDefault="0068293C">
      <w:pPr>
        <w:jc w:val="both"/>
        <w:rPr>
          <w:rFonts w:eastAsia="Times New Roman"/>
        </w:rPr>
      </w:pPr>
      <w:r>
        <w:rPr>
          <w:rFonts w:eastAsia="Times New Roman"/>
          <w:color w:val="000000"/>
          <w:sz w:val="20"/>
          <w:szCs w:val="20"/>
        </w:rPr>
        <w:t>Income tax provisions for interim (quarterly) periods are based on an estimated annual effective income tax rate calculated separately from the effect of signific</w:t>
      </w:r>
      <w:r>
        <w:rPr>
          <w:rFonts w:eastAsia="Times New Roman"/>
          <w:color w:val="000000"/>
          <w:sz w:val="20"/>
          <w:szCs w:val="20"/>
        </w:rPr>
        <w:t>ant, infrequent or unusual items. Income tax expense was $13 million for the three months ended March 31, 2022 compared to $17 million income tax expense for the three months ended March 31, 2021. The change was primarily driven by a pre-tax book loss offs</w:t>
      </w:r>
      <w:r>
        <w:rPr>
          <w:rFonts w:eastAsia="Times New Roman"/>
          <w:color w:val="000000"/>
          <w:sz w:val="20"/>
          <w:szCs w:val="20"/>
        </w:rPr>
        <w:t>et by the removal of tax benefit in certain foreign jurisdictions where the benefit will not be realized. Additionally, during the three months ended March 31, 2022, the Company did not recognize any material discrete tax consistent with the three months e</w:t>
      </w:r>
      <w:r>
        <w:rPr>
          <w:rFonts w:eastAsia="Times New Roman"/>
          <w:color w:val="000000"/>
          <w:sz w:val="20"/>
          <w:szCs w:val="20"/>
        </w:rPr>
        <w:t>nded March 31, 2021.</w:t>
      </w:r>
    </w:p>
    <w:p w14:paraId="291CD455" w14:textId="77777777" w:rsidR="00000000" w:rsidRDefault="0068293C">
      <w:pPr>
        <w:jc w:val="both"/>
        <w:rPr>
          <w:rFonts w:eastAsia="Times New Roman"/>
        </w:rPr>
      </w:pPr>
    </w:p>
    <w:p w14:paraId="520A9A45" w14:textId="77777777" w:rsidR="00000000" w:rsidRDefault="0068293C">
      <w:pPr>
        <w:jc w:val="both"/>
        <w:rPr>
          <w:rFonts w:eastAsia="Times New Roman"/>
        </w:rPr>
      </w:pPr>
      <w:r>
        <w:rPr>
          <w:rFonts w:eastAsia="Times New Roman"/>
          <w:color w:val="000000"/>
          <w:sz w:val="20"/>
          <w:szCs w:val="20"/>
        </w:rPr>
        <w:t xml:space="preserve">The Company is subject to numerous federal, state and foreign tax audits. While we believe that appropriate reserves exist for issues that might arise from these audits, should these audits be settled, the resulting tax effect could </w:t>
      </w:r>
      <w:r>
        <w:rPr>
          <w:rFonts w:eastAsia="Times New Roman"/>
          <w:color w:val="000000"/>
          <w:sz w:val="20"/>
          <w:szCs w:val="20"/>
        </w:rPr>
        <w:t xml:space="preserve">impact the tax provision and cash flows in 2022 or future periods. </w:t>
      </w:r>
    </w:p>
    <w:p w14:paraId="7BCD174A" w14:textId="77777777" w:rsidR="00000000" w:rsidRDefault="0068293C">
      <w:pPr>
        <w:divId w:val="1906605994"/>
        <w:rPr>
          <w:rFonts w:eastAsia="Times New Roman"/>
        </w:rPr>
      </w:pPr>
    </w:p>
    <w:p w14:paraId="06036401" w14:textId="77777777" w:rsidR="00000000" w:rsidRDefault="0068293C">
      <w:pPr>
        <w:jc w:val="both"/>
        <w:rPr>
          <w:rFonts w:eastAsia="Times New Roman"/>
        </w:rPr>
      </w:pPr>
      <w:r>
        <w:rPr>
          <w:rFonts w:eastAsia="Times New Roman"/>
          <w:b/>
          <w:bCs/>
          <w:color w:val="000000"/>
          <w:sz w:val="20"/>
          <w:szCs w:val="20"/>
        </w:rPr>
        <w:t>Loss from Discontinued Operations</w:t>
      </w:r>
    </w:p>
    <w:p w14:paraId="4B20200D" w14:textId="77777777" w:rsidR="00000000" w:rsidRDefault="0068293C">
      <w:pPr>
        <w:divId w:val="1419138133"/>
        <w:rPr>
          <w:rFonts w:eastAsia="Times New Roman"/>
        </w:rPr>
      </w:pPr>
    </w:p>
    <w:p w14:paraId="2A7A7A93" w14:textId="77777777" w:rsidR="00000000" w:rsidRDefault="0068293C">
      <w:pPr>
        <w:jc w:val="both"/>
        <w:rPr>
          <w:rFonts w:eastAsia="Times New Roman"/>
        </w:rPr>
      </w:pPr>
      <w:r>
        <w:rPr>
          <w:rFonts w:eastAsia="Times New Roman"/>
          <w:color w:val="000000"/>
          <w:sz w:val="20"/>
          <w:szCs w:val="20"/>
        </w:rPr>
        <w:t>In the three months ended March 31, 2022, the $1 million loss from discontinued operations, net of tax, was driven by immaterial updates to various en</w:t>
      </w:r>
      <w:r>
        <w:rPr>
          <w:rFonts w:eastAsia="Times New Roman"/>
          <w:color w:val="000000"/>
          <w:sz w:val="20"/>
          <w:szCs w:val="20"/>
        </w:rPr>
        <w:t xml:space="preserve">vironmental remediation matters. In the three months ended March 31, 2021, there was no activity related to discontinued operations. </w:t>
      </w:r>
    </w:p>
    <w:p w14:paraId="37BD29CD" w14:textId="77777777" w:rsidR="00000000" w:rsidRDefault="0068293C">
      <w:pPr>
        <w:divId w:val="1903127937"/>
        <w:rPr>
          <w:rFonts w:eastAsia="Times New Roman"/>
        </w:rPr>
      </w:pPr>
    </w:p>
    <w:p w14:paraId="6EF9737D" w14:textId="77777777" w:rsidR="00000000" w:rsidRDefault="0068293C">
      <w:pPr>
        <w:jc w:val="both"/>
        <w:rPr>
          <w:rFonts w:eastAsia="Times New Roman"/>
        </w:rPr>
      </w:pPr>
      <w:r>
        <w:rPr>
          <w:rFonts w:eastAsia="Times New Roman"/>
          <w:b/>
          <w:bCs/>
          <w:color w:val="000000"/>
          <w:sz w:val="20"/>
          <w:szCs w:val="20"/>
        </w:rPr>
        <w:t>Revenue and Adjusted EBITDA by Segment</w:t>
      </w:r>
    </w:p>
    <w:p w14:paraId="72D07054" w14:textId="77777777" w:rsidR="00000000" w:rsidRDefault="0068293C">
      <w:pPr>
        <w:ind w:firstLine="495"/>
        <w:jc w:val="both"/>
        <w:rPr>
          <w:rFonts w:eastAsia="Times New Roman"/>
        </w:rPr>
      </w:pPr>
    </w:p>
    <w:p w14:paraId="41723256" w14:textId="77777777" w:rsidR="00000000" w:rsidRDefault="0068293C">
      <w:pPr>
        <w:jc w:val="both"/>
        <w:rPr>
          <w:rFonts w:eastAsia="Times New Roman"/>
        </w:rPr>
      </w:pPr>
      <w:r>
        <w:rPr>
          <w:rFonts w:eastAsia="Times New Roman"/>
          <w:color w:val="000000"/>
          <w:sz w:val="20"/>
          <w:szCs w:val="20"/>
        </w:rPr>
        <w:t>The Company manages and reports its businesses in the following segments: Payme</w:t>
      </w:r>
      <w:r>
        <w:rPr>
          <w:rFonts w:eastAsia="Times New Roman"/>
          <w:color w:val="000000"/>
          <w:sz w:val="20"/>
          <w:szCs w:val="20"/>
        </w:rPr>
        <w:t>nts &amp; Network, Digital Banking, Self-Service Banking, Retail, and Hospitality. Segments are measured for profitability by the Company’s chief operating decision maker based on revenue and segment Adjusted EBITDA. Adjusted EBITDA is defined as GAAP net inco</w:t>
      </w:r>
      <w:r>
        <w:rPr>
          <w:rFonts w:eastAsia="Times New Roman"/>
          <w:color w:val="000000"/>
          <w:sz w:val="20"/>
          <w:szCs w:val="20"/>
        </w:rPr>
        <w:t>me (loss) from continuing operations attributable to NCR plus interest expense, net; plus income tax expense (benefit); plus depreciation and amortization; plus stock-based compensation expense; plus other income (expense); plus pension mark-to-market adju</w:t>
      </w:r>
      <w:r>
        <w:rPr>
          <w:rFonts w:eastAsia="Times New Roman"/>
          <w:color w:val="000000"/>
          <w:sz w:val="20"/>
          <w:szCs w:val="20"/>
        </w:rPr>
        <w:t>stments, pension settlements, pension curtailments and pension special termination benefits and other special items, including amortization of acquisition-related intangibles, restructuring charges, among others. The special items are considered non-operat</w:t>
      </w:r>
      <w:r>
        <w:rPr>
          <w:rFonts w:eastAsia="Times New Roman"/>
          <w:color w:val="000000"/>
          <w:sz w:val="20"/>
          <w:szCs w:val="20"/>
        </w:rPr>
        <w:t>ional so are excluded from the Adjusted EBITDA metric utilized by our chief operating decision maker in evaluating segment performance and are separately delineated to reconcile back to total reported income (loss) from continuing operations attributable t</w:t>
      </w:r>
      <w:r>
        <w:rPr>
          <w:rFonts w:eastAsia="Times New Roman"/>
          <w:color w:val="000000"/>
          <w:sz w:val="20"/>
          <w:szCs w:val="20"/>
        </w:rPr>
        <w:t>o NCR. This format is useful to investors because it allows analysis and comparability of operating trends. It also includes the same information that is used by NCR management to make decisions regarding the segments and to assess our financial performanc</w:t>
      </w:r>
      <w:r>
        <w:rPr>
          <w:rFonts w:eastAsia="Times New Roman"/>
          <w:color w:val="000000"/>
          <w:sz w:val="20"/>
          <w:szCs w:val="20"/>
        </w:rPr>
        <w:t xml:space="preserve">e. </w:t>
      </w:r>
    </w:p>
    <w:p w14:paraId="5501F5C4" w14:textId="77777777" w:rsidR="00000000" w:rsidRDefault="0068293C">
      <w:pPr>
        <w:jc w:val="both"/>
        <w:rPr>
          <w:rFonts w:eastAsia="Times New Roman"/>
        </w:rPr>
      </w:pPr>
    </w:p>
    <w:p w14:paraId="473E48F4" w14:textId="77777777" w:rsidR="00000000" w:rsidRDefault="0068293C">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immaterial operating segment(s).</w:t>
      </w:r>
    </w:p>
    <w:p w14:paraId="3B818FEF" w14:textId="77777777" w:rsidR="00000000" w:rsidRDefault="0068293C">
      <w:pPr>
        <w:jc w:val="both"/>
        <w:rPr>
          <w:rFonts w:eastAsia="Times New Roman"/>
        </w:rPr>
      </w:pPr>
    </w:p>
    <w:p w14:paraId="747B8EC0" w14:textId="77777777" w:rsidR="00000000" w:rsidRDefault="0068293C">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w:t>
      </w:r>
      <w:r>
        <w:rPr>
          <w:rFonts w:eastAsia="Times New Roman"/>
          <w:color w:val="000000"/>
          <w:sz w:val="20"/>
          <w:szCs w:val="20"/>
        </w:rPr>
        <w:t>tern Europe and related sanctions imposed on Russia and related actors by the United States and other jurisdictions required us to orderly wind down our operations in Russia beginning in the first quarter of 2022. As a result, for the three months ending M</w:t>
      </w:r>
      <w:r>
        <w:rPr>
          <w:rFonts w:eastAsia="Times New Roman"/>
          <w:color w:val="000000"/>
          <w:sz w:val="20"/>
          <w:szCs w:val="20"/>
        </w:rPr>
        <w:t>arch 31, 2022, our non-GAAP presentation of the measures described above exclude the impact of our operating results in Russia, as well as the impact of impairments taken to write down the carrying value of assets and liabilities, severance charges, and th</w:t>
      </w:r>
      <w:r>
        <w:rPr>
          <w:rFonts w:eastAsia="Times New Roman"/>
          <w:color w:val="000000"/>
          <w:sz w:val="20"/>
          <w:szCs w:val="20"/>
        </w:rPr>
        <w:t>e assessment of collectability on revenue recognition. We consider this to be a special item and management has reviewed the results of its business segments excluding these impacts. We have not adjusted the presentation of the prior year period due to the</w:t>
      </w:r>
      <w:r>
        <w:rPr>
          <w:rFonts w:eastAsia="Times New Roman"/>
          <w:color w:val="000000"/>
          <w:sz w:val="20"/>
          <w:szCs w:val="20"/>
        </w:rPr>
        <w:t xml:space="preserve"> immaterial impact of Russia to income from continuing operations for the three months ended March 31, 2021.</w:t>
      </w:r>
    </w:p>
    <w:p w14:paraId="43204E2A" w14:textId="77777777" w:rsidR="00000000" w:rsidRDefault="0068293C">
      <w:pPr>
        <w:jc w:val="both"/>
        <w:rPr>
          <w:rFonts w:eastAsia="Times New Roman"/>
        </w:rPr>
      </w:pPr>
    </w:p>
    <w:p w14:paraId="4963892F" w14:textId="77777777" w:rsidR="00000000" w:rsidRDefault="0068293C">
      <w:pPr>
        <w:jc w:val="both"/>
        <w:rPr>
          <w:rFonts w:eastAsia="Times New Roman"/>
        </w:rPr>
      </w:pPr>
    </w:p>
    <w:p w14:paraId="0A92A772" w14:textId="77777777" w:rsidR="00000000" w:rsidRDefault="0068293C">
      <w:pPr>
        <w:jc w:val="both"/>
        <w:rPr>
          <w:rFonts w:eastAsia="Times New Roman"/>
        </w:rPr>
      </w:pPr>
    </w:p>
    <w:p w14:paraId="372E6BF3" w14:textId="77777777" w:rsidR="00000000" w:rsidRDefault="0068293C">
      <w:pPr>
        <w:jc w:val="center"/>
        <w:divId w:val="505485992"/>
        <w:rPr>
          <w:rFonts w:eastAsia="Times New Roman"/>
        </w:rPr>
      </w:pPr>
      <w:r>
        <w:rPr>
          <w:rFonts w:eastAsia="Times New Roman"/>
          <w:color w:val="000000"/>
          <w:sz w:val="20"/>
          <w:szCs w:val="20"/>
        </w:rPr>
        <w:t>42</w:t>
      </w:r>
    </w:p>
    <w:p w14:paraId="0AF01136" w14:textId="77777777" w:rsidR="00000000" w:rsidRDefault="0068293C">
      <w:pPr>
        <w:rPr>
          <w:rFonts w:eastAsia="Times New Roman"/>
        </w:rPr>
      </w:pPr>
      <w:r>
        <w:rPr>
          <w:rFonts w:eastAsia="Times New Roman"/>
        </w:rPr>
        <w:pict w14:anchorId="6287D662">
          <v:rect id="_x0000_i1067" style="width:0;height:1.5pt" o:hralign="center" o:hrstd="t" o:hr="t" fillcolor="#a0a0a0" stroked="f"/>
        </w:pict>
      </w:r>
    </w:p>
    <w:p w14:paraId="36D1067B" w14:textId="77777777" w:rsidR="00000000" w:rsidRDefault="0068293C">
      <w:pPr>
        <w:divId w:val="229077382"/>
        <w:rPr>
          <w:rFonts w:eastAsia="Times New Roman"/>
        </w:rPr>
      </w:pPr>
      <w:hyperlink w:anchor="i78484f3d0d8e4e36a7c87ddd6ea9d725_7" w:history="1">
        <w:r>
          <w:rPr>
            <w:rStyle w:val="a3"/>
            <w:rFonts w:eastAsia="Times New Roman"/>
            <w:sz w:val="16"/>
            <w:szCs w:val="16"/>
          </w:rPr>
          <w:t>Table of Contents</w:t>
        </w:r>
      </w:hyperlink>
    </w:p>
    <w:p w14:paraId="0BF26990" w14:textId="77777777" w:rsidR="00000000" w:rsidRDefault="0068293C">
      <w:pPr>
        <w:jc w:val="both"/>
        <w:rPr>
          <w:rFonts w:eastAsia="Times New Roman"/>
        </w:rPr>
      </w:pPr>
      <w:r>
        <w:rPr>
          <w:rFonts w:eastAsia="Times New Roman"/>
          <w:color w:val="000000"/>
          <w:sz w:val="20"/>
          <w:szCs w:val="20"/>
        </w:rPr>
        <w:t xml:space="preserve">The following tables show our segment revenue and Adjusted EBITDA for the three months ended March 31, the relative percentage that those amounts represent to segment revenue, and </w:t>
      </w:r>
      <w:r>
        <w:rPr>
          <w:rFonts w:eastAsia="Times New Roman"/>
          <w:color w:val="000000"/>
          <w:sz w:val="20"/>
          <w:szCs w:val="20"/>
        </w:rPr>
        <w:t xml:space="preserve">the change in those amounts year-over-year. </w:t>
      </w:r>
    </w:p>
    <w:p w14:paraId="6DC87AB9" w14:textId="77777777" w:rsidR="00000000" w:rsidRDefault="0068293C">
      <w:pPr>
        <w:divId w:val="7525109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940"/>
        <w:gridCol w:w="38"/>
        <w:gridCol w:w="36"/>
        <w:gridCol w:w="36"/>
        <w:gridCol w:w="36"/>
        <w:gridCol w:w="120"/>
        <w:gridCol w:w="742"/>
        <w:gridCol w:w="36"/>
        <w:gridCol w:w="36"/>
        <w:gridCol w:w="36"/>
        <w:gridCol w:w="36"/>
        <w:gridCol w:w="120"/>
        <w:gridCol w:w="717"/>
        <w:gridCol w:w="36"/>
        <w:gridCol w:w="36"/>
        <w:gridCol w:w="36"/>
        <w:gridCol w:w="36"/>
        <w:gridCol w:w="53"/>
        <w:gridCol w:w="740"/>
        <w:gridCol w:w="221"/>
        <w:gridCol w:w="37"/>
        <w:gridCol w:w="36"/>
        <w:gridCol w:w="36"/>
        <w:gridCol w:w="45"/>
        <w:gridCol w:w="748"/>
        <w:gridCol w:w="187"/>
        <w:gridCol w:w="36"/>
        <w:gridCol w:w="36"/>
        <w:gridCol w:w="36"/>
        <w:gridCol w:w="65"/>
        <w:gridCol w:w="730"/>
        <w:gridCol w:w="187"/>
      </w:tblGrid>
      <w:tr w:rsidR="00000000" w14:paraId="032F6D88" w14:textId="77777777">
        <w:trPr>
          <w:divId w:val="1854102727"/>
        </w:trPr>
        <w:tc>
          <w:tcPr>
            <w:tcW w:w="50" w:type="pct"/>
            <w:vAlign w:val="center"/>
            <w:hideMark/>
          </w:tcPr>
          <w:p w14:paraId="3F18FB00" w14:textId="77777777" w:rsidR="00000000" w:rsidRDefault="0068293C">
            <w:pPr>
              <w:rPr>
                <w:rFonts w:eastAsia="Times New Roman"/>
              </w:rPr>
            </w:pPr>
          </w:p>
        </w:tc>
        <w:tc>
          <w:tcPr>
            <w:tcW w:w="1845" w:type="pct"/>
            <w:vAlign w:val="center"/>
            <w:hideMark/>
          </w:tcPr>
          <w:p w14:paraId="3C620924" w14:textId="77777777" w:rsidR="00000000" w:rsidRDefault="0068293C">
            <w:pPr>
              <w:spacing w:after="100"/>
              <w:rPr>
                <w:rFonts w:eastAsia="Times New Roman"/>
                <w:sz w:val="20"/>
                <w:szCs w:val="20"/>
              </w:rPr>
            </w:pPr>
          </w:p>
        </w:tc>
        <w:tc>
          <w:tcPr>
            <w:tcW w:w="5" w:type="pct"/>
            <w:vAlign w:val="center"/>
            <w:hideMark/>
          </w:tcPr>
          <w:p w14:paraId="18057143" w14:textId="77777777" w:rsidR="00000000" w:rsidRDefault="0068293C">
            <w:pPr>
              <w:spacing w:after="100"/>
              <w:rPr>
                <w:rFonts w:eastAsia="Times New Roman"/>
                <w:sz w:val="20"/>
                <w:szCs w:val="20"/>
              </w:rPr>
            </w:pPr>
          </w:p>
        </w:tc>
        <w:tc>
          <w:tcPr>
            <w:tcW w:w="5" w:type="pct"/>
            <w:vAlign w:val="center"/>
            <w:hideMark/>
          </w:tcPr>
          <w:p w14:paraId="23D6E03F" w14:textId="77777777" w:rsidR="00000000" w:rsidRDefault="0068293C">
            <w:pPr>
              <w:spacing w:after="100"/>
              <w:rPr>
                <w:rFonts w:eastAsia="Times New Roman"/>
                <w:sz w:val="20"/>
                <w:szCs w:val="20"/>
              </w:rPr>
            </w:pPr>
          </w:p>
        </w:tc>
        <w:tc>
          <w:tcPr>
            <w:tcW w:w="41" w:type="pct"/>
            <w:vAlign w:val="center"/>
            <w:hideMark/>
          </w:tcPr>
          <w:p w14:paraId="0565A09D" w14:textId="77777777" w:rsidR="00000000" w:rsidRDefault="0068293C">
            <w:pPr>
              <w:spacing w:after="100"/>
              <w:rPr>
                <w:rFonts w:eastAsia="Times New Roman"/>
                <w:sz w:val="20"/>
                <w:szCs w:val="20"/>
              </w:rPr>
            </w:pPr>
          </w:p>
        </w:tc>
        <w:tc>
          <w:tcPr>
            <w:tcW w:w="5" w:type="pct"/>
            <w:vAlign w:val="center"/>
            <w:hideMark/>
          </w:tcPr>
          <w:p w14:paraId="26CF64B4" w14:textId="77777777" w:rsidR="00000000" w:rsidRDefault="0068293C">
            <w:pPr>
              <w:spacing w:after="100"/>
              <w:rPr>
                <w:rFonts w:eastAsia="Times New Roman"/>
                <w:sz w:val="20"/>
                <w:szCs w:val="20"/>
              </w:rPr>
            </w:pPr>
          </w:p>
        </w:tc>
        <w:tc>
          <w:tcPr>
            <w:tcW w:w="50" w:type="pct"/>
            <w:vAlign w:val="center"/>
            <w:hideMark/>
          </w:tcPr>
          <w:p w14:paraId="7D5713AC" w14:textId="77777777" w:rsidR="00000000" w:rsidRDefault="0068293C">
            <w:pPr>
              <w:spacing w:after="100"/>
              <w:rPr>
                <w:rFonts w:eastAsia="Times New Roman"/>
                <w:sz w:val="20"/>
                <w:szCs w:val="20"/>
              </w:rPr>
            </w:pPr>
          </w:p>
        </w:tc>
        <w:tc>
          <w:tcPr>
            <w:tcW w:w="529" w:type="pct"/>
            <w:vAlign w:val="center"/>
            <w:hideMark/>
          </w:tcPr>
          <w:p w14:paraId="109A95DD" w14:textId="77777777" w:rsidR="00000000" w:rsidRDefault="0068293C">
            <w:pPr>
              <w:spacing w:after="100"/>
              <w:rPr>
                <w:rFonts w:eastAsia="Times New Roman"/>
                <w:sz w:val="20"/>
                <w:szCs w:val="20"/>
              </w:rPr>
            </w:pPr>
          </w:p>
        </w:tc>
        <w:tc>
          <w:tcPr>
            <w:tcW w:w="5" w:type="pct"/>
            <w:vAlign w:val="center"/>
            <w:hideMark/>
          </w:tcPr>
          <w:p w14:paraId="1573F3D0" w14:textId="77777777" w:rsidR="00000000" w:rsidRDefault="0068293C">
            <w:pPr>
              <w:spacing w:after="100"/>
              <w:rPr>
                <w:rFonts w:eastAsia="Times New Roman"/>
                <w:sz w:val="20"/>
                <w:szCs w:val="20"/>
              </w:rPr>
            </w:pPr>
          </w:p>
        </w:tc>
        <w:tc>
          <w:tcPr>
            <w:tcW w:w="5" w:type="pct"/>
            <w:vAlign w:val="center"/>
            <w:hideMark/>
          </w:tcPr>
          <w:p w14:paraId="1C5D32B4" w14:textId="77777777" w:rsidR="00000000" w:rsidRDefault="0068293C">
            <w:pPr>
              <w:spacing w:after="100"/>
              <w:rPr>
                <w:rFonts w:eastAsia="Times New Roman"/>
                <w:sz w:val="20"/>
                <w:szCs w:val="20"/>
              </w:rPr>
            </w:pPr>
          </w:p>
        </w:tc>
        <w:tc>
          <w:tcPr>
            <w:tcW w:w="26" w:type="pct"/>
            <w:vAlign w:val="center"/>
            <w:hideMark/>
          </w:tcPr>
          <w:p w14:paraId="3E6EE973" w14:textId="77777777" w:rsidR="00000000" w:rsidRDefault="0068293C">
            <w:pPr>
              <w:spacing w:after="100"/>
              <w:rPr>
                <w:rFonts w:eastAsia="Times New Roman"/>
                <w:sz w:val="20"/>
                <w:szCs w:val="20"/>
              </w:rPr>
            </w:pPr>
          </w:p>
        </w:tc>
        <w:tc>
          <w:tcPr>
            <w:tcW w:w="5" w:type="pct"/>
            <w:vAlign w:val="center"/>
            <w:hideMark/>
          </w:tcPr>
          <w:p w14:paraId="3FFEB43F" w14:textId="77777777" w:rsidR="00000000" w:rsidRDefault="0068293C">
            <w:pPr>
              <w:spacing w:after="100"/>
              <w:rPr>
                <w:rFonts w:eastAsia="Times New Roman"/>
                <w:sz w:val="20"/>
                <w:szCs w:val="20"/>
              </w:rPr>
            </w:pPr>
          </w:p>
        </w:tc>
        <w:tc>
          <w:tcPr>
            <w:tcW w:w="50" w:type="pct"/>
            <w:vAlign w:val="center"/>
            <w:hideMark/>
          </w:tcPr>
          <w:p w14:paraId="2955BC11" w14:textId="77777777" w:rsidR="00000000" w:rsidRDefault="0068293C">
            <w:pPr>
              <w:spacing w:after="100"/>
              <w:rPr>
                <w:rFonts w:eastAsia="Times New Roman"/>
                <w:sz w:val="20"/>
                <w:szCs w:val="20"/>
              </w:rPr>
            </w:pPr>
          </w:p>
        </w:tc>
        <w:tc>
          <w:tcPr>
            <w:tcW w:w="529" w:type="pct"/>
            <w:vAlign w:val="center"/>
            <w:hideMark/>
          </w:tcPr>
          <w:p w14:paraId="591C9039" w14:textId="77777777" w:rsidR="00000000" w:rsidRDefault="0068293C">
            <w:pPr>
              <w:spacing w:after="100"/>
              <w:rPr>
                <w:rFonts w:eastAsia="Times New Roman"/>
                <w:sz w:val="20"/>
                <w:szCs w:val="20"/>
              </w:rPr>
            </w:pPr>
          </w:p>
        </w:tc>
        <w:tc>
          <w:tcPr>
            <w:tcW w:w="5" w:type="pct"/>
            <w:vAlign w:val="center"/>
            <w:hideMark/>
          </w:tcPr>
          <w:p w14:paraId="37D5AF74" w14:textId="77777777" w:rsidR="00000000" w:rsidRDefault="0068293C">
            <w:pPr>
              <w:spacing w:after="100"/>
              <w:rPr>
                <w:rFonts w:eastAsia="Times New Roman"/>
                <w:sz w:val="20"/>
                <w:szCs w:val="20"/>
              </w:rPr>
            </w:pPr>
          </w:p>
        </w:tc>
        <w:tc>
          <w:tcPr>
            <w:tcW w:w="5" w:type="pct"/>
            <w:vAlign w:val="center"/>
            <w:hideMark/>
          </w:tcPr>
          <w:p w14:paraId="1BB8B954" w14:textId="77777777" w:rsidR="00000000" w:rsidRDefault="0068293C">
            <w:pPr>
              <w:spacing w:after="100"/>
              <w:rPr>
                <w:rFonts w:eastAsia="Times New Roman"/>
                <w:sz w:val="20"/>
                <w:szCs w:val="20"/>
              </w:rPr>
            </w:pPr>
          </w:p>
        </w:tc>
        <w:tc>
          <w:tcPr>
            <w:tcW w:w="19" w:type="pct"/>
            <w:vAlign w:val="center"/>
            <w:hideMark/>
          </w:tcPr>
          <w:p w14:paraId="18AA8A3C" w14:textId="77777777" w:rsidR="00000000" w:rsidRDefault="0068293C">
            <w:pPr>
              <w:spacing w:after="100"/>
              <w:rPr>
                <w:rFonts w:eastAsia="Times New Roman"/>
                <w:sz w:val="20"/>
                <w:szCs w:val="20"/>
              </w:rPr>
            </w:pPr>
          </w:p>
        </w:tc>
        <w:tc>
          <w:tcPr>
            <w:tcW w:w="5" w:type="pct"/>
            <w:vAlign w:val="center"/>
            <w:hideMark/>
          </w:tcPr>
          <w:p w14:paraId="6185D48B" w14:textId="77777777" w:rsidR="00000000" w:rsidRDefault="0068293C">
            <w:pPr>
              <w:spacing w:after="100"/>
              <w:rPr>
                <w:rFonts w:eastAsia="Times New Roman"/>
                <w:sz w:val="20"/>
                <w:szCs w:val="20"/>
              </w:rPr>
            </w:pPr>
          </w:p>
        </w:tc>
        <w:tc>
          <w:tcPr>
            <w:tcW w:w="50" w:type="pct"/>
            <w:vAlign w:val="center"/>
            <w:hideMark/>
          </w:tcPr>
          <w:p w14:paraId="6637D3E7" w14:textId="77777777" w:rsidR="00000000" w:rsidRDefault="0068293C">
            <w:pPr>
              <w:spacing w:after="100"/>
              <w:rPr>
                <w:rFonts w:eastAsia="Times New Roman"/>
                <w:sz w:val="20"/>
                <w:szCs w:val="20"/>
              </w:rPr>
            </w:pPr>
          </w:p>
        </w:tc>
        <w:tc>
          <w:tcPr>
            <w:tcW w:w="529" w:type="pct"/>
            <w:vAlign w:val="center"/>
            <w:hideMark/>
          </w:tcPr>
          <w:p w14:paraId="06C924FB" w14:textId="77777777" w:rsidR="00000000" w:rsidRDefault="0068293C">
            <w:pPr>
              <w:spacing w:after="100"/>
              <w:rPr>
                <w:rFonts w:eastAsia="Times New Roman"/>
                <w:sz w:val="20"/>
                <w:szCs w:val="20"/>
              </w:rPr>
            </w:pPr>
          </w:p>
        </w:tc>
        <w:tc>
          <w:tcPr>
            <w:tcW w:w="5" w:type="pct"/>
            <w:vAlign w:val="center"/>
            <w:hideMark/>
          </w:tcPr>
          <w:p w14:paraId="6D9C5F69" w14:textId="77777777" w:rsidR="00000000" w:rsidRDefault="0068293C">
            <w:pPr>
              <w:spacing w:after="100"/>
              <w:rPr>
                <w:rFonts w:eastAsia="Times New Roman"/>
                <w:sz w:val="20"/>
                <w:szCs w:val="20"/>
              </w:rPr>
            </w:pPr>
          </w:p>
        </w:tc>
        <w:tc>
          <w:tcPr>
            <w:tcW w:w="5" w:type="pct"/>
            <w:vAlign w:val="center"/>
            <w:hideMark/>
          </w:tcPr>
          <w:p w14:paraId="2305421F" w14:textId="77777777" w:rsidR="00000000" w:rsidRDefault="0068293C">
            <w:pPr>
              <w:spacing w:after="100"/>
              <w:rPr>
                <w:rFonts w:eastAsia="Times New Roman"/>
                <w:sz w:val="20"/>
                <w:szCs w:val="20"/>
              </w:rPr>
            </w:pPr>
          </w:p>
        </w:tc>
        <w:tc>
          <w:tcPr>
            <w:tcW w:w="19" w:type="pct"/>
            <w:vAlign w:val="center"/>
            <w:hideMark/>
          </w:tcPr>
          <w:p w14:paraId="1BC66639" w14:textId="77777777" w:rsidR="00000000" w:rsidRDefault="0068293C">
            <w:pPr>
              <w:spacing w:after="100"/>
              <w:rPr>
                <w:rFonts w:eastAsia="Times New Roman"/>
                <w:sz w:val="20"/>
                <w:szCs w:val="20"/>
              </w:rPr>
            </w:pPr>
          </w:p>
        </w:tc>
        <w:tc>
          <w:tcPr>
            <w:tcW w:w="5" w:type="pct"/>
            <w:vAlign w:val="center"/>
            <w:hideMark/>
          </w:tcPr>
          <w:p w14:paraId="254C4CB6" w14:textId="77777777" w:rsidR="00000000" w:rsidRDefault="0068293C">
            <w:pPr>
              <w:spacing w:after="100"/>
              <w:rPr>
                <w:rFonts w:eastAsia="Times New Roman"/>
                <w:sz w:val="20"/>
                <w:szCs w:val="20"/>
              </w:rPr>
            </w:pPr>
          </w:p>
        </w:tc>
        <w:tc>
          <w:tcPr>
            <w:tcW w:w="50" w:type="pct"/>
            <w:vAlign w:val="center"/>
            <w:hideMark/>
          </w:tcPr>
          <w:p w14:paraId="7B2797D6" w14:textId="77777777" w:rsidR="00000000" w:rsidRDefault="0068293C">
            <w:pPr>
              <w:spacing w:after="100"/>
              <w:rPr>
                <w:rFonts w:eastAsia="Times New Roman"/>
                <w:sz w:val="20"/>
                <w:szCs w:val="20"/>
              </w:rPr>
            </w:pPr>
          </w:p>
        </w:tc>
        <w:tc>
          <w:tcPr>
            <w:tcW w:w="529" w:type="pct"/>
            <w:vAlign w:val="center"/>
            <w:hideMark/>
          </w:tcPr>
          <w:p w14:paraId="38F8F603" w14:textId="77777777" w:rsidR="00000000" w:rsidRDefault="0068293C">
            <w:pPr>
              <w:spacing w:after="100"/>
              <w:rPr>
                <w:rFonts w:eastAsia="Times New Roman"/>
                <w:sz w:val="20"/>
                <w:szCs w:val="20"/>
              </w:rPr>
            </w:pPr>
          </w:p>
        </w:tc>
        <w:tc>
          <w:tcPr>
            <w:tcW w:w="5" w:type="pct"/>
            <w:vAlign w:val="center"/>
            <w:hideMark/>
          </w:tcPr>
          <w:p w14:paraId="4202A1F0" w14:textId="77777777" w:rsidR="00000000" w:rsidRDefault="0068293C">
            <w:pPr>
              <w:spacing w:after="100"/>
              <w:rPr>
                <w:rFonts w:eastAsia="Times New Roman"/>
                <w:sz w:val="20"/>
                <w:szCs w:val="20"/>
              </w:rPr>
            </w:pPr>
          </w:p>
        </w:tc>
        <w:tc>
          <w:tcPr>
            <w:tcW w:w="5" w:type="pct"/>
            <w:vAlign w:val="center"/>
            <w:hideMark/>
          </w:tcPr>
          <w:p w14:paraId="7A0B4DA6" w14:textId="77777777" w:rsidR="00000000" w:rsidRDefault="0068293C">
            <w:pPr>
              <w:spacing w:after="100"/>
              <w:rPr>
                <w:rFonts w:eastAsia="Times New Roman"/>
                <w:sz w:val="20"/>
                <w:szCs w:val="20"/>
              </w:rPr>
            </w:pPr>
          </w:p>
        </w:tc>
        <w:tc>
          <w:tcPr>
            <w:tcW w:w="19" w:type="pct"/>
            <w:vAlign w:val="center"/>
            <w:hideMark/>
          </w:tcPr>
          <w:p w14:paraId="1EAED4DD" w14:textId="77777777" w:rsidR="00000000" w:rsidRDefault="0068293C">
            <w:pPr>
              <w:spacing w:after="100"/>
              <w:rPr>
                <w:rFonts w:eastAsia="Times New Roman"/>
                <w:sz w:val="20"/>
                <w:szCs w:val="20"/>
              </w:rPr>
            </w:pPr>
          </w:p>
        </w:tc>
        <w:tc>
          <w:tcPr>
            <w:tcW w:w="5" w:type="pct"/>
            <w:vAlign w:val="center"/>
            <w:hideMark/>
          </w:tcPr>
          <w:p w14:paraId="3428E9FE" w14:textId="77777777" w:rsidR="00000000" w:rsidRDefault="0068293C">
            <w:pPr>
              <w:spacing w:after="100"/>
              <w:rPr>
                <w:rFonts w:eastAsia="Times New Roman"/>
                <w:sz w:val="20"/>
                <w:szCs w:val="20"/>
              </w:rPr>
            </w:pPr>
          </w:p>
        </w:tc>
        <w:tc>
          <w:tcPr>
            <w:tcW w:w="50" w:type="pct"/>
            <w:vAlign w:val="center"/>
            <w:hideMark/>
          </w:tcPr>
          <w:p w14:paraId="20A58899" w14:textId="77777777" w:rsidR="00000000" w:rsidRDefault="0068293C">
            <w:pPr>
              <w:spacing w:after="100"/>
              <w:rPr>
                <w:rFonts w:eastAsia="Times New Roman"/>
                <w:sz w:val="20"/>
                <w:szCs w:val="20"/>
              </w:rPr>
            </w:pPr>
          </w:p>
        </w:tc>
        <w:tc>
          <w:tcPr>
            <w:tcW w:w="530" w:type="pct"/>
            <w:vAlign w:val="center"/>
            <w:hideMark/>
          </w:tcPr>
          <w:p w14:paraId="09760876" w14:textId="77777777" w:rsidR="00000000" w:rsidRDefault="0068293C">
            <w:pPr>
              <w:spacing w:after="100"/>
              <w:rPr>
                <w:rFonts w:eastAsia="Times New Roman"/>
                <w:sz w:val="20"/>
                <w:szCs w:val="20"/>
              </w:rPr>
            </w:pPr>
          </w:p>
        </w:tc>
        <w:tc>
          <w:tcPr>
            <w:tcW w:w="5" w:type="pct"/>
            <w:vAlign w:val="center"/>
            <w:hideMark/>
          </w:tcPr>
          <w:p w14:paraId="102F5729" w14:textId="77777777" w:rsidR="00000000" w:rsidRDefault="0068293C">
            <w:pPr>
              <w:spacing w:after="100"/>
              <w:rPr>
                <w:rFonts w:eastAsia="Times New Roman"/>
                <w:sz w:val="20"/>
                <w:szCs w:val="20"/>
              </w:rPr>
            </w:pPr>
          </w:p>
        </w:tc>
      </w:tr>
      <w:tr w:rsidR="00000000" w14:paraId="3F7D03C7" w14:textId="77777777">
        <w:trPr>
          <w:divId w:val="1854102727"/>
        </w:trPr>
        <w:tc>
          <w:tcPr>
            <w:tcW w:w="0" w:type="auto"/>
            <w:gridSpan w:val="3"/>
            <w:shd w:val="clear" w:color="auto" w:fill="FFFFFF"/>
            <w:tcMar>
              <w:top w:w="0" w:type="dxa"/>
              <w:left w:w="20" w:type="dxa"/>
              <w:bottom w:w="0" w:type="dxa"/>
              <w:right w:w="20" w:type="dxa"/>
            </w:tcMar>
            <w:vAlign w:val="center"/>
            <w:hideMark/>
          </w:tcPr>
          <w:p w14:paraId="4D899F45"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B001FF" w14:textId="77777777" w:rsidR="00000000" w:rsidRDefault="0068293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02495BA6"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c>
          <w:tcPr>
            <w:tcW w:w="0" w:type="auto"/>
            <w:gridSpan w:val="3"/>
            <w:shd w:val="clear" w:color="auto" w:fill="FFFFFF"/>
            <w:tcMar>
              <w:top w:w="0" w:type="dxa"/>
              <w:left w:w="20" w:type="dxa"/>
              <w:bottom w:w="0" w:type="dxa"/>
              <w:right w:w="20" w:type="dxa"/>
            </w:tcMar>
            <w:vAlign w:val="center"/>
            <w:hideMark/>
          </w:tcPr>
          <w:p w14:paraId="534D91C5" w14:textId="77777777" w:rsidR="00000000" w:rsidRDefault="0068293C">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14:paraId="61DE21B0" w14:textId="77777777" w:rsidR="00000000" w:rsidRDefault="0068293C">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14:paraId="21BF35BB" w14:textId="77777777" w:rsidR="00000000" w:rsidRDefault="0068293C">
            <w:pPr>
              <w:spacing w:after="100"/>
              <w:jc w:val="center"/>
              <w:rPr>
                <w:rFonts w:eastAsia="Times New Roman"/>
              </w:rPr>
            </w:pPr>
            <w:r>
              <w:rPr>
                <w:rFonts w:eastAsia="Times New Roman"/>
                <w:b/>
                <w:bCs/>
                <w:color w:val="000000"/>
                <w:sz w:val="16"/>
                <w:szCs w:val="16"/>
              </w:rPr>
              <w:t>Increase (Decrease)</w:t>
            </w:r>
          </w:p>
        </w:tc>
      </w:tr>
      <w:tr w:rsidR="00000000" w14:paraId="4DA140AA" w14:textId="77777777">
        <w:trPr>
          <w:divId w:val="1854102727"/>
        </w:trPr>
        <w:tc>
          <w:tcPr>
            <w:tcW w:w="0" w:type="auto"/>
            <w:gridSpan w:val="3"/>
            <w:tcMar>
              <w:top w:w="30" w:type="dxa"/>
              <w:left w:w="20" w:type="dxa"/>
              <w:bottom w:w="30" w:type="dxa"/>
              <w:right w:w="20" w:type="dxa"/>
            </w:tcMar>
            <w:vAlign w:val="bottom"/>
            <w:hideMark/>
          </w:tcPr>
          <w:p w14:paraId="3A06AFA7"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2D8D62A6" w14:textId="77777777" w:rsidR="00000000" w:rsidRDefault="0068293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0E5100"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446268B"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418F85"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82B9FCE"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9E8E68"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9CA0D2F"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68C95F" w14:textId="77777777" w:rsidR="00000000" w:rsidRDefault="006829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A0220BE"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AF140E" w14:textId="77777777" w:rsidR="00000000" w:rsidRDefault="0068293C">
            <w:pPr>
              <w:spacing w:after="100"/>
              <w:jc w:val="center"/>
              <w:rPr>
                <w:rFonts w:eastAsia="Times New Roman"/>
              </w:rPr>
            </w:pPr>
            <w:r>
              <w:rPr>
                <w:rFonts w:eastAsia="Times New Roman"/>
                <w:b/>
                <w:bCs/>
                <w:color w:val="000000"/>
                <w:sz w:val="16"/>
                <w:szCs w:val="16"/>
              </w:rPr>
              <w:t>2022 v 2021</w:t>
            </w:r>
          </w:p>
        </w:tc>
      </w:tr>
      <w:tr w:rsidR="00000000" w14:paraId="084CCA23" w14:textId="77777777">
        <w:trPr>
          <w:divId w:val="1854102727"/>
        </w:trPr>
        <w:tc>
          <w:tcPr>
            <w:tcW w:w="0" w:type="auto"/>
            <w:gridSpan w:val="3"/>
            <w:shd w:val="clear" w:color="auto" w:fill="CCEEFF"/>
            <w:tcMar>
              <w:top w:w="30" w:type="dxa"/>
              <w:left w:w="20" w:type="dxa"/>
              <w:bottom w:w="30" w:type="dxa"/>
              <w:right w:w="20" w:type="dxa"/>
            </w:tcMar>
            <w:vAlign w:val="bottom"/>
            <w:hideMark/>
          </w:tcPr>
          <w:p w14:paraId="3E3AA308" w14:textId="77777777" w:rsidR="00000000" w:rsidRDefault="0068293C">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6A8D4B9C" w14:textId="77777777" w:rsidR="00000000" w:rsidRDefault="0068293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9A9A7B"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52F5C"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96AB9E"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2CC60"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A76200"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7A631"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5F79F1"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61214"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806918" w14:textId="77777777" w:rsidR="00000000" w:rsidRDefault="0068293C">
            <w:pPr>
              <w:spacing w:after="100"/>
              <w:rPr>
                <w:rFonts w:eastAsia="Times New Roman"/>
                <w:sz w:val="20"/>
                <w:szCs w:val="20"/>
              </w:rPr>
            </w:pPr>
          </w:p>
        </w:tc>
      </w:tr>
      <w:tr w:rsidR="00000000" w14:paraId="283E8C3C" w14:textId="77777777">
        <w:trPr>
          <w:divId w:val="1854102727"/>
        </w:trPr>
        <w:tc>
          <w:tcPr>
            <w:tcW w:w="0" w:type="auto"/>
            <w:gridSpan w:val="3"/>
            <w:shd w:val="clear" w:color="auto" w:fill="FFFFFF"/>
            <w:tcMar>
              <w:top w:w="30" w:type="dxa"/>
              <w:left w:w="245" w:type="dxa"/>
              <w:bottom w:w="30" w:type="dxa"/>
              <w:right w:w="20" w:type="dxa"/>
            </w:tcMar>
            <w:vAlign w:val="bottom"/>
            <w:hideMark/>
          </w:tcPr>
          <w:p w14:paraId="04F3637B" w14:textId="77777777" w:rsidR="00000000" w:rsidRDefault="0068293C">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14:paraId="083C1318"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3B5360C"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9E711EC" w14:textId="77777777" w:rsidR="00000000" w:rsidRDefault="0068293C">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A760FB"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03349"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FC308A"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DF00BE" w14:textId="77777777" w:rsidR="00000000" w:rsidRDefault="0068293C">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782C3C62"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560C1"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DAE58" w14:textId="77777777" w:rsidR="00000000" w:rsidRDefault="0068293C">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8644D5"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C0B5135"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373013" w14:textId="77777777" w:rsidR="00000000" w:rsidRDefault="0068293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653C303A"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130D6A"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F68E5F" w14:textId="77777777" w:rsidR="00000000" w:rsidRDefault="0068293C">
            <w:pPr>
              <w:spacing w:after="100"/>
              <w:jc w:val="right"/>
              <w:rPr>
                <w:rFonts w:eastAsia="Times New Roman"/>
              </w:rPr>
            </w:pPr>
            <w:r>
              <w:rPr>
                <w:rFonts w:eastAsia="Times New Roman"/>
                <w:color w:val="000000"/>
                <w:sz w:val="20"/>
                <w:szCs w:val="20"/>
              </w:rPr>
              <w:t>1,259 </w:t>
            </w:r>
          </w:p>
        </w:tc>
        <w:tc>
          <w:tcPr>
            <w:tcW w:w="0" w:type="auto"/>
            <w:shd w:val="clear" w:color="auto" w:fill="FFFFFF"/>
            <w:tcMar>
              <w:top w:w="30" w:type="dxa"/>
              <w:left w:w="0" w:type="dxa"/>
              <w:bottom w:w="30" w:type="dxa"/>
              <w:right w:w="20" w:type="dxa"/>
            </w:tcMar>
            <w:vAlign w:val="bottom"/>
            <w:hideMark/>
          </w:tcPr>
          <w:p w14:paraId="27C0BDD0" w14:textId="77777777" w:rsidR="00000000" w:rsidRDefault="0068293C">
            <w:pPr>
              <w:spacing w:after="100"/>
              <w:jc w:val="right"/>
              <w:rPr>
                <w:rFonts w:eastAsia="Times New Roman"/>
              </w:rPr>
            </w:pPr>
            <w:r>
              <w:rPr>
                <w:rFonts w:eastAsia="Times New Roman"/>
                <w:color w:val="000000"/>
                <w:sz w:val="20"/>
                <w:szCs w:val="20"/>
              </w:rPr>
              <w:t>%</w:t>
            </w:r>
          </w:p>
        </w:tc>
      </w:tr>
      <w:tr w:rsidR="00000000" w14:paraId="13159488" w14:textId="77777777">
        <w:trPr>
          <w:divId w:val="1854102727"/>
        </w:trPr>
        <w:tc>
          <w:tcPr>
            <w:tcW w:w="0" w:type="auto"/>
            <w:gridSpan w:val="3"/>
            <w:shd w:val="clear" w:color="auto" w:fill="CCEEFF"/>
            <w:tcMar>
              <w:top w:w="30" w:type="dxa"/>
              <w:left w:w="245" w:type="dxa"/>
              <w:bottom w:w="30" w:type="dxa"/>
              <w:right w:w="20" w:type="dxa"/>
            </w:tcMar>
            <w:vAlign w:val="bottom"/>
            <w:hideMark/>
          </w:tcPr>
          <w:p w14:paraId="0296B211" w14:textId="77777777" w:rsidR="00000000" w:rsidRDefault="0068293C">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14:paraId="6A39E89A"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9D3F27" w14:textId="77777777" w:rsidR="00000000" w:rsidRDefault="0068293C">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8C988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45951"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A3764E" w14:textId="77777777" w:rsidR="00000000" w:rsidRDefault="0068293C">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71FE6E2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54DAC"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11A89C" w14:textId="77777777" w:rsidR="00000000" w:rsidRDefault="0068293C">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7E3C71"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E197BD"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86FB97" w14:textId="77777777" w:rsidR="00000000" w:rsidRDefault="0068293C">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14:paraId="016E7FBD"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7272BC3"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C690DE" w14:textId="77777777" w:rsidR="00000000" w:rsidRDefault="0068293C">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50B03607" w14:textId="77777777" w:rsidR="00000000" w:rsidRDefault="0068293C">
            <w:pPr>
              <w:spacing w:after="100"/>
              <w:jc w:val="right"/>
              <w:rPr>
                <w:rFonts w:eastAsia="Times New Roman"/>
              </w:rPr>
            </w:pPr>
            <w:r>
              <w:rPr>
                <w:rFonts w:eastAsia="Times New Roman"/>
                <w:color w:val="000000"/>
                <w:sz w:val="20"/>
                <w:szCs w:val="20"/>
              </w:rPr>
              <w:t>%</w:t>
            </w:r>
          </w:p>
        </w:tc>
      </w:tr>
      <w:tr w:rsidR="00000000" w14:paraId="11FB034E" w14:textId="77777777">
        <w:trPr>
          <w:divId w:val="1854102727"/>
        </w:trPr>
        <w:tc>
          <w:tcPr>
            <w:tcW w:w="0" w:type="auto"/>
            <w:gridSpan w:val="3"/>
            <w:shd w:val="clear" w:color="auto" w:fill="FFFFFF"/>
            <w:tcMar>
              <w:top w:w="30" w:type="dxa"/>
              <w:left w:w="245" w:type="dxa"/>
              <w:bottom w:w="30" w:type="dxa"/>
              <w:right w:w="20" w:type="dxa"/>
            </w:tcMar>
            <w:vAlign w:val="bottom"/>
            <w:hideMark/>
          </w:tcPr>
          <w:p w14:paraId="3DEFE971" w14:textId="77777777" w:rsidR="00000000" w:rsidRDefault="0068293C">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14:paraId="37DB6B31"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AC1A27" w14:textId="77777777" w:rsidR="00000000" w:rsidRDefault="0068293C">
            <w:pPr>
              <w:spacing w:after="100"/>
              <w:jc w:val="right"/>
              <w:rPr>
                <w:rFonts w:eastAsia="Times New Roman"/>
              </w:rPr>
            </w:pPr>
            <w:r>
              <w:rPr>
                <w:rFonts w:eastAsia="Times New Roman"/>
                <w:b/>
                <w:bCs/>
                <w:color w:val="000000"/>
                <w:sz w:val="20"/>
                <w:szCs w:val="20"/>
              </w:rPr>
              <w:t>611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7444D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139D5"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94586D" w14:textId="77777777" w:rsidR="00000000" w:rsidRDefault="0068293C">
            <w:pPr>
              <w:spacing w:after="100"/>
              <w:jc w:val="right"/>
              <w:rPr>
                <w:rFonts w:eastAsia="Times New Roman"/>
              </w:rPr>
            </w:pPr>
            <w:r>
              <w:rPr>
                <w:rFonts w:eastAsia="Times New Roman"/>
                <w:color w:val="000000"/>
                <w:sz w:val="20"/>
                <w:szCs w:val="20"/>
              </w:rPr>
              <w:t>628 </w:t>
            </w:r>
          </w:p>
        </w:tc>
        <w:tc>
          <w:tcPr>
            <w:tcW w:w="0" w:type="auto"/>
            <w:shd w:val="clear" w:color="auto" w:fill="FFFFFF"/>
            <w:tcMar>
              <w:top w:w="30" w:type="dxa"/>
              <w:left w:w="0" w:type="dxa"/>
              <w:bottom w:w="30" w:type="dxa"/>
              <w:right w:w="20" w:type="dxa"/>
            </w:tcMar>
            <w:vAlign w:val="bottom"/>
            <w:hideMark/>
          </w:tcPr>
          <w:p w14:paraId="0D11225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F4E2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61340" w14:textId="77777777" w:rsidR="00000000" w:rsidRDefault="0068293C">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5D32FF"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7A5C0C"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29F20F" w14:textId="77777777" w:rsidR="00000000" w:rsidRDefault="0068293C">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14:paraId="6E37D7AD"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F5A0AD2"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5E079B" w14:textId="77777777" w:rsidR="00000000" w:rsidRDefault="0068293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6E56C61C" w14:textId="77777777" w:rsidR="00000000" w:rsidRDefault="0068293C">
            <w:pPr>
              <w:spacing w:after="100"/>
              <w:jc w:val="right"/>
              <w:rPr>
                <w:rFonts w:eastAsia="Times New Roman"/>
              </w:rPr>
            </w:pPr>
            <w:r>
              <w:rPr>
                <w:rFonts w:eastAsia="Times New Roman"/>
                <w:color w:val="000000"/>
                <w:sz w:val="20"/>
                <w:szCs w:val="20"/>
              </w:rPr>
              <w:t>%</w:t>
            </w:r>
          </w:p>
        </w:tc>
      </w:tr>
      <w:tr w:rsidR="00000000" w14:paraId="10A70020" w14:textId="77777777">
        <w:trPr>
          <w:divId w:val="1854102727"/>
        </w:trPr>
        <w:tc>
          <w:tcPr>
            <w:tcW w:w="0" w:type="auto"/>
            <w:gridSpan w:val="3"/>
            <w:shd w:val="clear" w:color="auto" w:fill="CCEEFF"/>
            <w:tcMar>
              <w:top w:w="30" w:type="dxa"/>
              <w:left w:w="245" w:type="dxa"/>
              <w:bottom w:w="30" w:type="dxa"/>
              <w:right w:w="20" w:type="dxa"/>
            </w:tcMar>
            <w:vAlign w:val="bottom"/>
            <w:hideMark/>
          </w:tcPr>
          <w:p w14:paraId="65BA86CC" w14:textId="77777777" w:rsidR="00000000" w:rsidRDefault="0068293C">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14:paraId="3FD23A8B"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1CB8B0" w14:textId="77777777" w:rsidR="00000000" w:rsidRDefault="0068293C">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E6421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2DD8D"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A389A" w14:textId="77777777" w:rsidR="00000000" w:rsidRDefault="0068293C">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14:paraId="19DA1F4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E842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5120E3" w14:textId="77777777" w:rsidR="00000000" w:rsidRDefault="0068293C">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67984E"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44ABB22"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F9D62D" w14:textId="77777777" w:rsidR="00000000" w:rsidRDefault="0068293C">
            <w:pPr>
              <w:spacing w:after="100"/>
              <w:jc w:val="right"/>
              <w:rPr>
                <w:rFonts w:eastAsia="Times New Roman"/>
              </w:rPr>
            </w:pPr>
            <w:r>
              <w:rPr>
                <w:rFonts w:eastAsia="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14:paraId="589A597B"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467BB6C"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8DDBC1" w14:textId="77777777" w:rsidR="00000000" w:rsidRDefault="0068293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7F343375" w14:textId="77777777" w:rsidR="00000000" w:rsidRDefault="0068293C">
            <w:pPr>
              <w:spacing w:after="100"/>
              <w:jc w:val="right"/>
              <w:rPr>
                <w:rFonts w:eastAsia="Times New Roman"/>
              </w:rPr>
            </w:pPr>
            <w:r>
              <w:rPr>
                <w:rFonts w:eastAsia="Times New Roman"/>
                <w:color w:val="000000"/>
                <w:sz w:val="20"/>
                <w:szCs w:val="20"/>
              </w:rPr>
              <w:t>%</w:t>
            </w:r>
          </w:p>
        </w:tc>
      </w:tr>
      <w:tr w:rsidR="00000000" w14:paraId="43014689" w14:textId="77777777">
        <w:trPr>
          <w:divId w:val="1854102727"/>
        </w:trPr>
        <w:tc>
          <w:tcPr>
            <w:tcW w:w="0" w:type="auto"/>
            <w:gridSpan w:val="3"/>
            <w:shd w:val="clear" w:color="auto" w:fill="FFFFFF"/>
            <w:tcMar>
              <w:top w:w="30" w:type="dxa"/>
              <w:left w:w="245" w:type="dxa"/>
              <w:bottom w:w="30" w:type="dxa"/>
              <w:right w:w="20" w:type="dxa"/>
            </w:tcMar>
            <w:vAlign w:val="bottom"/>
            <w:hideMark/>
          </w:tcPr>
          <w:p w14:paraId="71BC7F66" w14:textId="77777777" w:rsidR="00000000" w:rsidRDefault="0068293C">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14:paraId="67705999"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2A3200" w14:textId="77777777" w:rsidR="00000000" w:rsidRDefault="0068293C">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CD07A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BBA2F"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2641B" w14:textId="77777777" w:rsidR="00000000" w:rsidRDefault="0068293C">
            <w:pPr>
              <w:spacing w:after="100"/>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14:paraId="2897412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ADA0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BBB47" w14:textId="77777777" w:rsidR="00000000" w:rsidRDefault="0068293C">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CC601E"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904A1F"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785E55" w14:textId="77777777" w:rsidR="00000000" w:rsidRDefault="0068293C">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50C798E7"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441AE56"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C9D99B" w14:textId="77777777" w:rsidR="00000000" w:rsidRDefault="0068293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78ADEA45" w14:textId="77777777" w:rsidR="00000000" w:rsidRDefault="0068293C">
            <w:pPr>
              <w:spacing w:after="100"/>
              <w:jc w:val="right"/>
              <w:rPr>
                <w:rFonts w:eastAsia="Times New Roman"/>
              </w:rPr>
            </w:pPr>
            <w:r>
              <w:rPr>
                <w:rFonts w:eastAsia="Times New Roman"/>
                <w:color w:val="000000"/>
                <w:sz w:val="20"/>
                <w:szCs w:val="20"/>
              </w:rPr>
              <w:t>%</w:t>
            </w:r>
          </w:p>
        </w:tc>
      </w:tr>
      <w:tr w:rsidR="00000000" w14:paraId="5517E325" w14:textId="77777777">
        <w:trPr>
          <w:divId w:val="1854102727"/>
        </w:trPr>
        <w:tc>
          <w:tcPr>
            <w:tcW w:w="0" w:type="auto"/>
            <w:gridSpan w:val="3"/>
            <w:shd w:val="clear" w:color="auto" w:fill="CCEEFF"/>
            <w:tcMar>
              <w:top w:w="30" w:type="dxa"/>
              <w:left w:w="245" w:type="dxa"/>
              <w:bottom w:w="30" w:type="dxa"/>
              <w:right w:w="20" w:type="dxa"/>
            </w:tcMar>
            <w:vAlign w:val="bottom"/>
            <w:hideMark/>
          </w:tcPr>
          <w:p w14:paraId="22FBDE26" w14:textId="77777777" w:rsidR="00000000" w:rsidRDefault="0068293C">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33860C41"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90F926" w14:textId="77777777" w:rsidR="00000000" w:rsidRDefault="0068293C">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B2F0F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3C6A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86C47" w14:textId="77777777" w:rsidR="00000000" w:rsidRDefault="0068293C">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20DEAC72"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A644A"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61A4F" w14:textId="77777777" w:rsidR="00000000" w:rsidRDefault="0068293C">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9C4814"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985F903"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AEC872" w14:textId="77777777" w:rsidR="00000000" w:rsidRDefault="0068293C">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434CADE2"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FB7833A"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3236E3" w14:textId="77777777" w:rsidR="00000000" w:rsidRDefault="0068293C">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1770952F" w14:textId="77777777" w:rsidR="00000000" w:rsidRDefault="0068293C">
            <w:pPr>
              <w:spacing w:after="100"/>
              <w:jc w:val="right"/>
              <w:rPr>
                <w:rFonts w:eastAsia="Times New Roman"/>
              </w:rPr>
            </w:pPr>
            <w:r>
              <w:rPr>
                <w:rFonts w:eastAsia="Times New Roman"/>
                <w:color w:val="000000"/>
                <w:sz w:val="20"/>
                <w:szCs w:val="20"/>
              </w:rPr>
              <w:t>%</w:t>
            </w:r>
          </w:p>
        </w:tc>
      </w:tr>
      <w:tr w:rsidR="00000000" w14:paraId="29DAD927" w14:textId="77777777">
        <w:trPr>
          <w:divId w:val="1854102727"/>
        </w:trPr>
        <w:tc>
          <w:tcPr>
            <w:tcW w:w="0" w:type="auto"/>
            <w:gridSpan w:val="3"/>
            <w:shd w:val="clear" w:color="auto" w:fill="FFFFFF"/>
            <w:tcMar>
              <w:top w:w="30" w:type="dxa"/>
              <w:left w:w="20" w:type="dxa"/>
              <w:bottom w:w="30" w:type="dxa"/>
              <w:right w:w="20" w:type="dxa"/>
            </w:tcMar>
            <w:vAlign w:val="bottom"/>
            <w:hideMark/>
          </w:tcPr>
          <w:p w14:paraId="1071EFB1" w14:textId="77777777" w:rsidR="00000000" w:rsidRDefault="0068293C">
            <w:pPr>
              <w:spacing w:after="100"/>
              <w:divId w:val="1379479152"/>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E050654"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D0CB17" w14:textId="77777777" w:rsidR="00000000" w:rsidRDefault="0068293C">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14:paraId="620BED8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4020C"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EF746D" w14:textId="77777777" w:rsidR="00000000" w:rsidRDefault="0068293C">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2152735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04A5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D0D51B" w14:textId="77777777" w:rsidR="00000000" w:rsidRDefault="0068293C">
            <w:pPr>
              <w:spacing w:after="100"/>
              <w:jc w:val="right"/>
              <w:rPr>
                <w:rFonts w:eastAsia="Times New Roman"/>
              </w:rPr>
            </w:pPr>
            <w:r>
              <w:rPr>
                <w:rFonts w:eastAsia="Times New Roman"/>
                <w:b/>
                <w:bCs/>
                <w:color w:val="000000"/>
                <w:sz w:val="20"/>
                <w:szCs w:val="20"/>
              </w:rPr>
              <w:t>(0.4)</w:t>
            </w:r>
          </w:p>
        </w:tc>
        <w:tc>
          <w:tcPr>
            <w:tcW w:w="0" w:type="auto"/>
            <w:shd w:val="clear" w:color="auto" w:fill="FFFFFF"/>
            <w:tcMar>
              <w:top w:w="30" w:type="dxa"/>
              <w:left w:w="0" w:type="dxa"/>
              <w:bottom w:w="30" w:type="dxa"/>
              <w:right w:w="20" w:type="dxa"/>
            </w:tcMar>
            <w:vAlign w:val="bottom"/>
            <w:hideMark/>
          </w:tcPr>
          <w:p w14:paraId="3E8C3D0F"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50F3088"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C5A134" w14:textId="77777777" w:rsidR="00000000" w:rsidRDefault="0068293C">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14:paraId="02C632E4"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89B16FE"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CDD0AA" w14:textId="77777777" w:rsidR="00000000" w:rsidRDefault="0068293C">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32CAD1AE" w14:textId="77777777" w:rsidR="00000000" w:rsidRDefault="0068293C">
            <w:pPr>
              <w:spacing w:after="100"/>
              <w:jc w:val="right"/>
              <w:rPr>
                <w:rFonts w:eastAsia="Times New Roman"/>
              </w:rPr>
            </w:pPr>
            <w:r>
              <w:rPr>
                <w:rFonts w:eastAsia="Times New Roman"/>
                <w:color w:val="000000"/>
                <w:sz w:val="20"/>
                <w:szCs w:val="20"/>
              </w:rPr>
              <w:t>%</w:t>
            </w:r>
          </w:p>
        </w:tc>
      </w:tr>
      <w:tr w:rsidR="00000000" w14:paraId="27A5DC41" w14:textId="77777777">
        <w:trPr>
          <w:divId w:val="1854102727"/>
        </w:trPr>
        <w:tc>
          <w:tcPr>
            <w:tcW w:w="0" w:type="auto"/>
            <w:gridSpan w:val="3"/>
            <w:shd w:val="clear" w:color="auto" w:fill="CCEEFF"/>
            <w:tcMar>
              <w:top w:w="30" w:type="dxa"/>
              <w:left w:w="20" w:type="dxa"/>
              <w:bottom w:w="30" w:type="dxa"/>
              <w:right w:w="20" w:type="dxa"/>
            </w:tcMar>
            <w:vAlign w:val="bottom"/>
            <w:hideMark/>
          </w:tcPr>
          <w:p w14:paraId="4BC977F2" w14:textId="77777777" w:rsidR="00000000" w:rsidRDefault="0068293C">
            <w:pPr>
              <w:spacing w:after="100"/>
              <w:rPr>
                <w:rFonts w:eastAsia="Times New Roman"/>
              </w:rPr>
            </w:pPr>
            <w:r>
              <w:rPr>
                <w:rFonts w:eastAsia="Times New Roman"/>
                <w:b/>
                <w:bCs/>
                <w:color w:val="000000"/>
                <w:sz w:val="20"/>
                <w:szCs w:val="20"/>
              </w:rPr>
              <w:t>Total segment revenue</w:t>
            </w:r>
          </w:p>
        </w:tc>
        <w:tc>
          <w:tcPr>
            <w:tcW w:w="0" w:type="auto"/>
            <w:gridSpan w:val="3"/>
            <w:shd w:val="clear" w:color="auto" w:fill="CCEEFF"/>
            <w:tcMar>
              <w:top w:w="0" w:type="dxa"/>
              <w:left w:w="20" w:type="dxa"/>
              <w:bottom w:w="0" w:type="dxa"/>
              <w:right w:w="20" w:type="dxa"/>
            </w:tcMar>
            <w:vAlign w:val="center"/>
            <w:hideMark/>
          </w:tcPr>
          <w:p w14:paraId="0B0B6365"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F0E36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5175E3" w14:textId="77777777" w:rsidR="00000000" w:rsidRDefault="0068293C">
            <w:pPr>
              <w:spacing w:after="100"/>
              <w:jc w:val="right"/>
              <w:rPr>
                <w:rFonts w:eastAsia="Times New Roman"/>
              </w:rPr>
            </w:pPr>
            <w:r>
              <w:rPr>
                <w:rFonts w:eastAsia="Times New Roman"/>
                <w:b/>
                <w:bCs/>
                <w:color w:val="000000"/>
                <w:sz w:val="20"/>
                <w:szCs w:val="20"/>
              </w:rPr>
              <w:t>1,863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243C2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4E1A9"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1F878"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D5F8F9"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BD3915"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39F31"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3ED5FF" w14:textId="77777777" w:rsidR="00000000" w:rsidRDefault="0068293C">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A45E24"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BC885C"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C7FFE0" w14:textId="77777777" w:rsidR="00000000" w:rsidRDefault="0068293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AFEEAC"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E63FC19" w14:textId="77777777" w:rsidR="00000000" w:rsidRDefault="006829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CB2D17" w14:textId="77777777" w:rsidR="00000000" w:rsidRDefault="0068293C">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8D954F" w14:textId="77777777" w:rsidR="00000000" w:rsidRDefault="0068293C">
            <w:pPr>
              <w:spacing w:after="100"/>
              <w:jc w:val="right"/>
              <w:rPr>
                <w:rFonts w:eastAsia="Times New Roman"/>
              </w:rPr>
            </w:pPr>
            <w:r>
              <w:rPr>
                <w:rFonts w:eastAsia="Times New Roman"/>
                <w:color w:val="000000"/>
                <w:sz w:val="20"/>
                <w:szCs w:val="20"/>
              </w:rPr>
              <w:t>%</w:t>
            </w:r>
          </w:p>
        </w:tc>
      </w:tr>
      <w:tr w:rsidR="00000000" w14:paraId="543F35AD" w14:textId="77777777">
        <w:trPr>
          <w:divId w:val="1854102727"/>
        </w:trPr>
        <w:tc>
          <w:tcPr>
            <w:tcW w:w="0" w:type="auto"/>
            <w:gridSpan w:val="3"/>
            <w:shd w:val="clear" w:color="auto" w:fill="FFFFFF"/>
            <w:tcMar>
              <w:top w:w="30" w:type="dxa"/>
              <w:left w:w="20" w:type="dxa"/>
              <w:bottom w:w="30" w:type="dxa"/>
              <w:right w:w="20" w:type="dxa"/>
            </w:tcMar>
            <w:vAlign w:val="bottom"/>
            <w:hideMark/>
          </w:tcPr>
          <w:p w14:paraId="20FF7A50" w14:textId="77777777" w:rsidR="00000000" w:rsidRDefault="0068293C">
            <w:pPr>
              <w:spacing w:after="100"/>
              <w:divId w:val="219562260"/>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4041A98" w14:textId="77777777" w:rsidR="00000000" w:rsidRDefault="0068293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7CF04B" w14:textId="77777777" w:rsidR="00000000" w:rsidRDefault="0068293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1B3421"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BA962" w14:textId="77777777" w:rsidR="00000000" w:rsidRDefault="006829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8DF4CF" w14:textId="77777777" w:rsidR="00000000" w:rsidRDefault="006829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F58BBC"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E594D" w14:textId="77777777" w:rsidR="00000000" w:rsidRDefault="0068293C">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B4CD0A"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2AF263"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A1C689"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A584E" w14:textId="77777777" w:rsidR="00000000" w:rsidRDefault="006829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2A5657" w14:textId="77777777" w:rsidR="00000000" w:rsidRDefault="0068293C">
            <w:pPr>
              <w:spacing w:after="100"/>
              <w:rPr>
                <w:rFonts w:eastAsia="Times New Roman"/>
                <w:sz w:val="20"/>
                <w:szCs w:val="20"/>
              </w:rPr>
            </w:pPr>
          </w:p>
        </w:tc>
      </w:tr>
      <w:tr w:rsidR="00000000" w14:paraId="1FC57C96" w14:textId="77777777">
        <w:trPr>
          <w:divId w:val="1854102727"/>
        </w:trPr>
        <w:tc>
          <w:tcPr>
            <w:tcW w:w="0" w:type="auto"/>
            <w:gridSpan w:val="3"/>
            <w:shd w:val="clear" w:color="auto" w:fill="CCEEFF"/>
            <w:tcMar>
              <w:top w:w="30" w:type="dxa"/>
              <w:left w:w="20" w:type="dxa"/>
              <w:bottom w:w="30" w:type="dxa"/>
              <w:right w:w="20" w:type="dxa"/>
            </w:tcMar>
            <w:vAlign w:val="bottom"/>
            <w:hideMark/>
          </w:tcPr>
          <w:p w14:paraId="17FB012C" w14:textId="77777777" w:rsidR="00000000" w:rsidRDefault="0068293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1368A7DD" w14:textId="77777777" w:rsidR="00000000" w:rsidRDefault="006829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FC8993"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36A065" w14:textId="77777777" w:rsidR="00000000" w:rsidRDefault="0068293C">
            <w:pPr>
              <w:spacing w:after="100"/>
              <w:jc w:val="right"/>
              <w:rPr>
                <w:rFonts w:eastAsia="Times New Roman"/>
              </w:rPr>
            </w:pPr>
            <w:r>
              <w:rPr>
                <w:rFonts w:eastAsia="Times New Roman"/>
                <w:b/>
                <w:bCs/>
                <w:color w:val="000000"/>
                <w:sz w:val="20"/>
                <w:szCs w:val="20"/>
              </w:rPr>
              <w:t>1,866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43448"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69615"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F87AFE"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935A88" w14:textId="77777777" w:rsidR="00000000" w:rsidRDefault="0068293C">
            <w:pPr>
              <w:spacing w:after="100"/>
              <w:jc w:val="right"/>
              <w:rPr>
                <w:rFonts w:eastAsia="Times New Roman"/>
              </w:rPr>
            </w:pPr>
            <w:r>
              <w:rPr>
                <w:rFonts w:eastAsia="Times New Roman"/>
                <w:color w:val="000000"/>
                <w:sz w:val="20"/>
                <w:szCs w:val="20"/>
              </w:rPr>
              <w:t>1,544 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0501B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F1842" w14:textId="77777777" w:rsidR="00000000" w:rsidRDefault="0068293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F2427E"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D9D2F"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B403DE"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535CB"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ED4D90" w14:textId="77777777" w:rsidR="00000000" w:rsidRDefault="0068293C">
            <w:pPr>
              <w:spacing w:after="100"/>
              <w:rPr>
                <w:rFonts w:eastAsia="Times New Roman"/>
                <w:sz w:val="20"/>
                <w:szCs w:val="20"/>
              </w:rPr>
            </w:pPr>
          </w:p>
        </w:tc>
      </w:tr>
      <w:tr w:rsidR="00000000" w14:paraId="65AAED7F" w14:textId="77777777">
        <w:trPr>
          <w:divId w:val="1854102727"/>
          <w:trHeight w:val="120"/>
        </w:trPr>
        <w:tc>
          <w:tcPr>
            <w:tcW w:w="0" w:type="auto"/>
            <w:gridSpan w:val="3"/>
            <w:shd w:val="clear" w:color="auto" w:fill="FFFFFF"/>
            <w:tcMar>
              <w:top w:w="0" w:type="dxa"/>
              <w:left w:w="20" w:type="dxa"/>
              <w:bottom w:w="0" w:type="dxa"/>
              <w:right w:w="20" w:type="dxa"/>
            </w:tcMar>
            <w:vAlign w:val="center"/>
            <w:hideMark/>
          </w:tcPr>
          <w:p w14:paraId="764946DA"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01A85"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764DEF"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98C022" w14:textId="77777777" w:rsidR="00000000" w:rsidRDefault="006829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0FD15C"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DF9DC0"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B394CF"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609CAB"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7334C"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27C906" w14:textId="77777777" w:rsidR="00000000" w:rsidRDefault="006829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579990" w14:textId="77777777" w:rsidR="00000000" w:rsidRDefault="0068293C">
            <w:pPr>
              <w:spacing w:after="100"/>
              <w:rPr>
                <w:rFonts w:eastAsia="Times New Roman"/>
                <w:sz w:val="20"/>
                <w:szCs w:val="20"/>
              </w:rPr>
            </w:pPr>
          </w:p>
        </w:tc>
      </w:tr>
      <w:tr w:rsidR="00000000" w14:paraId="631696F6" w14:textId="77777777">
        <w:trPr>
          <w:divId w:val="1854102727"/>
        </w:trPr>
        <w:tc>
          <w:tcPr>
            <w:tcW w:w="0" w:type="auto"/>
            <w:gridSpan w:val="3"/>
            <w:shd w:val="clear" w:color="auto" w:fill="CCEEFF"/>
            <w:tcMar>
              <w:top w:w="30" w:type="dxa"/>
              <w:left w:w="20" w:type="dxa"/>
              <w:bottom w:w="30" w:type="dxa"/>
              <w:right w:w="20" w:type="dxa"/>
            </w:tcMar>
            <w:vAlign w:val="bottom"/>
            <w:hideMark/>
          </w:tcPr>
          <w:p w14:paraId="69660636" w14:textId="77777777" w:rsidR="00000000" w:rsidRDefault="0068293C">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14:paraId="0A094719" w14:textId="77777777" w:rsidR="00000000" w:rsidRDefault="006829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938C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0370E7"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EFC26"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C1A6A"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E41D5"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F03C60"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93154"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62021" w14:textId="77777777" w:rsidR="00000000" w:rsidRDefault="006829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3B902C" w14:textId="77777777" w:rsidR="00000000" w:rsidRDefault="0068293C">
            <w:pPr>
              <w:spacing w:after="100"/>
              <w:rPr>
                <w:rFonts w:eastAsia="Times New Roman"/>
                <w:sz w:val="20"/>
                <w:szCs w:val="20"/>
              </w:rPr>
            </w:pPr>
          </w:p>
        </w:tc>
      </w:tr>
      <w:tr w:rsidR="00000000" w14:paraId="31031DEE" w14:textId="77777777">
        <w:trPr>
          <w:divId w:val="1854102727"/>
        </w:trPr>
        <w:tc>
          <w:tcPr>
            <w:tcW w:w="0" w:type="auto"/>
            <w:gridSpan w:val="3"/>
            <w:shd w:val="clear" w:color="auto" w:fill="FFFFFF"/>
            <w:tcMar>
              <w:top w:w="30" w:type="dxa"/>
              <w:left w:w="245" w:type="dxa"/>
              <w:bottom w:w="30" w:type="dxa"/>
              <w:right w:w="20" w:type="dxa"/>
            </w:tcMar>
            <w:vAlign w:val="bottom"/>
            <w:hideMark/>
          </w:tcPr>
          <w:p w14:paraId="74AA574C" w14:textId="77777777" w:rsidR="00000000" w:rsidRDefault="0068293C">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14:paraId="45E3E915" w14:textId="77777777" w:rsidR="00000000" w:rsidRDefault="0068293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371A8D0" w14:textId="77777777" w:rsidR="00000000" w:rsidRDefault="0068293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A6619C4" w14:textId="77777777" w:rsidR="00000000" w:rsidRDefault="0068293C">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F744C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55DB5" w14:textId="77777777" w:rsidR="00000000" w:rsidRDefault="006829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B8A812" w14:textId="77777777" w:rsidR="00000000" w:rsidRDefault="006829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1480AC" w14:textId="77777777" w:rsidR="00000000" w:rsidRDefault="0068293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C9920ED"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0E0C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C842C" w14:textId="77777777" w:rsidR="00000000" w:rsidRDefault="0068293C">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3736D8"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3FD269"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77ED19" w14:textId="77777777" w:rsidR="00000000" w:rsidRDefault="0068293C">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14:paraId="28CFA197"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076D899"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604F02" w14:textId="77777777" w:rsidR="00000000" w:rsidRDefault="0068293C">
            <w:pPr>
              <w:spacing w:after="100"/>
              <w:jc w:val="right"/>
              <w:rPr>
                <w:rFonts w:eastAsia="Times New Roman"/>
              </w:rPr>
            </w:pPr>
            <w:r>
              <w:rPr>
                <w:rFonts w:eastAsia="Times New Roman"/>
                <w:color w:val="000000"/>
                <w:sz w:val="20"/>
                <w:szCs w:val="20"/>
              </w:rPr>
              <w:t>3,167 </w:t>
            </w:r>
          </w:p>
        </w:tc>
        <w:tc>
          <w:tcPr>
            <w:tcW w:w="0" w:type="auto"/>
            <w:shd w:val="clear" w:color="auto" w:fill="FFFFFF"/>
            <w:tcMar>
              <w:top w:w="30" w:type="dxa"/>
              <w:left w:w="0" w:type="dxa"/>
              <w:bottom w:w="30" w:type="dxa"/>
              <w:right w:w="20" w:type="dxa"/>
            </w:tcMar>
            <w:vAlign w:val="bottom"/>
            <w:hideMark/>
          </w:tcPr>
          <w:p w14:paraId="4BC3C902" w14:textId="77777777" w:rsidR="00000000" w:rsidRDefault="0068293C">
            <w:pPr>
              <w:spacing w:after="100"/>
              <w:jc w:val="right"/>
              <w:rPr>
                <w:rFonts w:eastAsia="Times New Roman"/>
              </w:rPr>
            </w:pPr>
            <w:r>
              <w:rPr>
                <w:rFonts w:eastAsia="Times New Roman"/>
                <w:color w:val="000000"/>
                <w:sz w:val="20"/>
                <w:szCs w:val="20"/>
              </w:rPr>
              <w:t>%</w:t>
            </w:r>
          </w:p>
        </w:tc>
      </w:tr>
      <w:tr w:rsidR="00000000" w14:paraId="06282FE9" w14:textId="77777777">
        <w:trPr>
          <w:divId w:val="1854102727"/>
        </w:trPr>
        <w:tc>
          <w:tcPr>
            <w:tcW w:w="0" w:type="auto"/>
            <w:gridSpan w:val="3"/>
            <w:shd w:val="clear" w:color="auto" w:fill="CCEEFF"/>
            <w:tcMar>
              <w:top w:w="30" w:type="dxa"/>
              <w:left w:w="245" w:type="dxa"/>
              <w:bottom w:w="30" w:type="dxa"/>
              <w:right w:w="20" w:type="dxa"/>
            </w:tcMar>
            <w:vAlign w:val="bottom"/>
            <w:hideMark/>
          </w:tcPr>
          <w:p w14:paraId="5FA002E2" w14:textId="77777777" w:rsidR="00000000" w:rsidRDefault="0068293C">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14:paraId="189B86A0"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885888" w14:textId="77777777" w:rsidR="00000000" w:rsidRDefault="0068293C">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B919EC"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43546"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C7D4C" w14:textId="77777777" w:rsidR="00000000" w:rsidRDefault="0068293C">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7DFF8F4B"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92369"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05407" w14:textId="77777777" w:rsidR="00000000" w:rsidRDefault="0068293C">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E46510"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805EC75"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4D0F95" w14:textId="77777777" w:rsidR="00000000" w:rsidRDefault="0068293C">
            <w:pPr>
              <w:spacing w:after="100"/>
              <w:jc w:val="right"/>
              <w:rPr>
                <w:rFonts w:eastAsia="Times New Roman"/>
              </w:rPr>
            </w:pPr>
            <w:r>
              <w:rPr>
                <w:rFonts w:eastAsia="Times New Roman"/>
                <w:color w:val="000000"/>
                <w:sz w:val="20"/>
                <w:szCs w:val="20"/>
              </w:rPr>
              <w:t>43.9 </w:t>
            </w:r>
          </w:p>
        </w:tc>
        <w:tc>
          <w:tcPr>
            <w:tcW w:w="0" w:type="auto"/>
            <w:shd w:val="clear" w:color="auto" w:fill="CCEEFF"/>
            <w:tcMar>
              <w:top w:w="30" w:type="dxa"/>
              <w:left w:w="0" w:type="dxa"/>
              <w:bottom w:w="30" w:type="dxa"/>
              <w:right w:w="20" w:type="dxa"/>
            </w:tcMar>
            <w:vAlign w:val="bottom"/>
            <w:hideMark/>
          </w:tcPr>
          <w:p w14:paraId="455BA11E"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40DB81"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31DB60" w14:textId="77777777" w:rsidR="00000000" w:rsidRDefault="0068293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19B9C0DA" w14:textId="77777777" w:rsidR="00000000" w:rsidRDefault="0068293C">
            <w:pPr>
              <w:spacing w:after="100"/>
              <w:jc w:val="right"/>
              <w:rPr>
                <w:rFonts w:eastAsia="Times New Roman"/>
              </w:rPr>
            </w:pPr>
            <w:r>
              <w:rPr>
                <w:rFonts w:eastAsia="Times New Roman"/>
                <w:color w:val="000000"/>
                <w:sz w:val="20"/>
                <w:szCs w:val="20"/>
              </w:rPr>
              <w:t>%</w:t>
            </w:r>
          </w:p>
        </w:tc>
      </w:tr>
      <w:tr w:rsidR="00000000" w14:paraId="765255BE" w14:textId="77777777">
        <w:trPr>
          <w:divId w:val="1854102727"/>
        </w:trPr>
        <w:tc>
          <w:tcPr>
            <w:tcW w:w="0" w:type="auto"/>
            <w:gridSpan w:val="3"/>
            <w:shd w:val="clear" w:color="auto" w:fill="FFFFFF"/>
            <w:tcMar>
              <w:top w:w="30" w:type="dxa"/>
              <w:left w:w="245" w:type="dxa"/>
              <w:bottom w:w="30" w:type="dxa"/>
              <w:right w:w="20" w:type="dxa"/>
            </w:tcMar>
            <w:vAlign w:val="bottom"/>
            <w:hideMark/>
          </w:tcPr>
          <w:p w14:paraId="4EC2A069" w14:textId="77777777" w:rsidR="00000000" w:rsidRDefault="0068293C">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14:paraId="1B90C0C7"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404399" w14:textId="77777777" w:rsidR="00000000" w:rsidRDefault="0068293C">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6E0BFE"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EC6B9"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A6A91" w14:textId="77777777" w:rsidR="00000000" w:rsidRDefault="0068293C">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14:paraId="0EC721D5"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9A440"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CEE3BF" w14:textId="77777777" w:rsidR="00000000" w:rsidRDefault="0068293C">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03EE94"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CE47597"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7FE2D1" w14:textId="77777777" w:rsidR="00000000" w:rsidRDefault="0068293C">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14:paraId="6C2D5845"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A041EF"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0E32D4" w14:textId="77777777" w:rsidR="00000000" w:rsidRDefault="0068293C">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30C0FA62" w14:textId="77777777" w:rsidR="00000000" w:rsidRDefault="0068293C">
            <w:pPr>
              <w:spacing w:after="100"/>
              <w:jc w:val="right"/>
              <w:rPr>
                <w:rFonts w:eastAsia="Times New Roman"/>
              </w:rPr>
            </w:pPr>
            <w:r>
              <w:rPr>
                <w:rFonts w:eastAsia="Times New Roman"/>
                <w:color w:val="000000"/>
                <w:sz w:val="20"/>
                <w:szCs w:val="20"/>
              </w:rPr>
              <w:t>%</w:t>
            </w:r>
          </w:p>
        </w:tc>
      </w:tr>
      <w:tr w:rsidR="00000000" w14:paraId="3FE116BF" w14:textId="77777777">
        <w:trPr>
          <w:divId w:val="1854102727"/>
        </w:trPr>
        <w:tc>
          <w:tcPr>
            <w:tcW w:w="0" w:type="auto"/>
            <w:gridSpan w:val="3"/>
            <w:shd w:val="clear" w:color="auto" w:fill="CCEEFF"/>
            <w:tcMar>
              <w:top w:w="30" w:type="dxa"/>
              <w:left w:w="245" w:type="dxa"/>
              <w:bottom w:w="30" w:type="dxa"/>
              <w:right w:w="20" w:type="dxa"/>
            </w:tcMar>
            <w:vAlign w:val="bottom"/>
            <w:hideMark/>
          </w:tcPr>
          <w:p w14:paraId="4FB0598D" w14:textId="77777777" w:rsidR="00000000" w:rsidRDefault="0068293C">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14:paraId="3B68560E"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BA3D24" w14:textId="77777777" w:rsidR="00000000" w:rsidRDefault="0068293C">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C850B0"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C5C22"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76948" w14:textId="77777777" w:rsidR="00000000" w:rsidRDefault="0068293C">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128EBC56"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BE62B"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19B890" w14:textId="77777777" w:rsidR="00000000" w:rsidRDefault="0068293C">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CA6E50"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0F6D298"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FA01C2" w14:textId="77777777" w:rsidR="00000000" w:rsidRDefault="0068293C">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14:paraId="4D2268EF"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208399"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655834" w14:textId="77777777" w:rsidR="00000000" w:rsidRDefault="0068293C">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14:paraId="38F591A4" w14:textId="77777777" w:rsidR="00000000" w:rsidRDefault="0068293C">
            <w:pPr>
              <w:spacing w:after="100"/>
              <w:jc w:val="right"/>
              <w:rPr>
                <w:rFonts w:eastAsia="Times New Roman"/>
              </w:rPr>
            </w:pPr>
            <w:r>
              <w:rPr>
                <w:rFonts w:eastAsia="Times New Roman"/>
                <w:color w:val="000000"/>
                <w:sz w:val="20"/>
                <w:szCs w:val="20"/>
              </w:rPr>
              <w:t>%</w:t>
            </w:r>
          </w:p>
        </w:tc>
      </w:tr>
      <w:tr w:rsidR="00000000" w14:paraId="1DE45B53" w14:textId="77777777">
        <w:trPr>
          <w:divId w:val="1854102727"/>
        </w:trPr>
        <w:tc>
          <w:tcPr>
            <w:tcW w:w="0" w:type="auto"/>
            <w:gridSpan w:val="3"/>
            <w:shd w:val="clear" w:color="auto" w:fill="FFFFFF"/>
            <w:tcMar>
              <w:top w:w="30" w:type="dxa"/>
              <w:left w:w="245" w:type="dxa"/>
              <w:bottom w:w="30" w:type="dxa"/>
              <w:right w:w="20" w:type="dxa"/>
            </w:tcMar>
            <w:vAlign w:val="bottom"/>
            <w:hideMark/>
          </w:tcPr>
          <w:p w14:paraId="393272E1" w14:textId="77777777" w:rsidR="00000000" w:rsidRDefault="0068293C">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14:paraId="5F6E053E"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CBFDC2" w14:textId="77777777" w:rsidR="00000000" w:rsidRDefault="0068293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D2B3FA"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F2FA7"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3C520" w14:textId="77777777" w:rsidR="00000000" w:rsidRDefault="0068293C">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090E43F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1ADA1"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E9FA0" w14:textId="77777777" w:rsidR="00000000" w:rsidRDefault="0068293C">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BEA86C"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8502C5A"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C22880" w14:textId="77777777" w:rsidR="00000000" w:rsidRDefault="0068293C">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14:paraId="71988BFE"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43F72C8"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231E87" w14:textId="77777777" w:rsidR="00000000" w:rsidRDefault="0068293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0B56D98B" w14:textId="77777777" w:rsidR="00000000" w:rsidRDefault="0068293C">
            <w:pPr>
              <w:spacing w:after="100"/>
              <w:jc w:val="right"/>
              <w:rPr>
                <w:rFonts w:eastAsia="Times New Roman"/>
              </w:rPr>
            </w:pPr>
            <w:r>
              <w:rPr>
                <w:rFonts w:eastAsia="Times New Roman"/>
                <w:color w:val="000000"/>
                <w:sz w:val="20"/>
                <w:szCs w:val="20"/>
              </w:rPr>
              <w:t>%</w:t>
            </w:r>
          </w:p>
        </w:tc>
      </w:tr>
      <w:tr w:rsidR="00000000" w14:paraId="295BF5F8" w14:textId="77777777">
        <w:trPr>
          <w:divId w:val="1854102727"/>
        </w:trPr>
        <w:tc>
          <w:tcPr>
            <w:tcW w:w="0" w:type="auto"/>
            <w:gridSpan w:val="3"/>
            <w:shd w:val="clear" w:color="auto" w:fill="CCEEFF"/>
            <w:tcMar>
              <w:top w:w="30" w:type="dxa"/>
              <w:left w:w="245" w:type="dxa"/>
              <w:bottom w:w="30" w:type="dxa"/>
              <w:right w:w="20" w:type="dxa"/>
            </w:tcMar>
            <w:vAlign w:val="bottom"/>
            <w:hideMark/>
          </w:tcPr>
          <w:p w14:paraId="5C9050F9" w14:textId="77777777" w:rsidR="00000000" w:rsidRDefault="0068293C">
            <w:pPr>
              <w:spacing w:after="100"/>
              <w:rPr>
                <w:rFonts w:eastAsia="Times New Roman"/>
              </w:rPr>
            </w:pPr>
            <w:r>
              <w:rPr>
                <w:rFonts w:eastAsia="Times New Roman"/>
                <w:color w:val="000000"/>
                <w:sz w:val="20"/>
                <w:szCs w:val="20"/>
              </w:rPr>
              <w:t>Corporate and Other</w:t>
            </w:r>
          </w:p>
        </w:tc>
        <w:tc>
          <w:tcPr>
            <w:tcW w:w="0" w:type="auto"/>
            <w:gridSpan w:val="3"/>
            <w:shd w:val="clear" w:color="auto" w:fill="CCEEFF"/>
            <w:tcMar>
              <w:top w:w="0" w:type="dxa"/>
              <w:left w:w="20" w:type="dxa"/>
              <w:bottom w:w="0" w:type="dxa"/>
              <w:right w:w="20" w:type="dxa"/>
            </w:tcMar>
            <w:vAlign w:val="center"/>
            <w:hideMark/>
          </w:tcPr>
          <w:p w14:paraId="277F47C9" w14:textId="77777777" w:rsidR="00000000" w:rsidRDefault="006829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F1B000" w14:textId="77777777" w:rsidR="00000000" w:rsidRDefault="0068293C">
            <w:pPr>
              <w:spacing w:after="100"/>
              <w:jc w:val="right"/>
              <w:rPr>
                <w:rFonts w:eastAsia="Times New Roman"/>
              </w:rPr>
            </w:pPr>
            <w:r>
              <w:rPr>
                <w:rFonts w:eastAsia="Times New Roman"/>
                <w:b/>
                <w:bCs/>
                <w:color w:val="000000"/>
                <w:sz w:val="20"/>
                <w:szCs w:val="20"/>
              </w:rPr>
              <w:t>(97)</w:t>
            </w:r>
          </w:p>
        </w:tc>
        <w:tc>
          <w:tcPr>
            <w:tcW w:w="0" w:type="auto"/>
            <w:shd w:val="clear" w:color="auto" w:fill="CCEEFF"/>
            <w:tcMar>
              <w:top w:w="30" w:type="dxa"/>
              <w:left w:w="0" w:type="dxa"/>
              <w:bottom w:w="30" w:type="dxa"/>
              <w:right w:w="20" w:type="dxa"/>
            </w:tcMar>
            <w:vAlign w:val="bottom"/>
            <w:hideMark/>
          </w:tcPr>
          <w:p w14:paraId="4AF9E2DD"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12394"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3EE92A" w14:textId="77777777" w:rsidR="00000000" w:rsidRDefault="0068293C">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14:paraId="3083C899"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37557"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A969B0" w14:textId="77777777" w:rsidR="00000000" w:rsidRDefault="0068293C">
            <w:pPr>
              <w:spacing w:after="100"/>
              <w:jc w:val="right"/>
              <w:rPr>
                <w:rFonts w:eastAsia="Times New Roman"/>
              </w:rPr>
            </w:pPr>
            <w:r>
              <w:rPr>
                <w:rFonts w:eastAsia="Times New Roman"/>
                <w:b/>
                <w:bCs/>
                <w:color w:val="000000"/>
                <w:sz w:val="20"/>
                <w:szCs w:val="20"/>
              </w:rPr>
              <w:t>(142.6)</w:t>
            </w:r>
          </w:p>
        </w:tc>
        <w:tc>
          <w:tcPr>
            <w:tcW w:w="0" w:type="auto"/>
            <w:shd w:val="clear" w:color="auto" w:fill="CCEEFF"/>
            <w:tcMar>
              <w:top w:w="30" w:type="dxa"/>
              <w:left w:w="0" w:type="dxa"/>
              <w:bottom w:w="30" w:type="dxa"/>
              <w:right w:w="20" w:type="dxa"/>
            </w:tcMar>
            <w:vAlign w:val="bottom"/>
            <w:hideMark/>
          </w:tcPr>
          <w:p w14:paraId="3B487209"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54B88BA"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C93006" w14:textId="77777777" w:rsidR="00000000" w:rsidRDefault="0068293C">
            <w:pPr>
              <w:spacing w:after="100"/>
              <w:jc w:val="right"/>
              <w:rPr>
                <w:rFonts w:eastAsia="Times New Roman"/>
              </w:rPr>
            </w:pPr>
            <w:r>
              <w:rPr>
                <w:rFonts w:eastAsia="Times New Roman"/>
                <w:color w:val="000000"/>
                <w:sz w:val="20"/>
                <w:szCs w:val="20"/>
              </w:rPr>
              <w:t>(87.0)</w:t>
            </w:r>
          </w:p>
        </w:tc>
        <w:tc>
          <w:tcPr>
            <w:tcW w:w="0" w:type="auto"/>
            <w:shd w:val="clear" w:color="auto" w:fill="CCEEFF"/>
            <w:tcMar>
              <w:top w:w="30" w:type="dxa"/>
              <w:left w:w="0" w:type="dxa"/>
              <w:bottom w:w="30" w:type="dxa"/>
              <w:right w:w="20" w:type="dxa"/>
            </w:tcMar>
            <w:vAlign w:val="bottom"/>
            <w:hideMark/>
          </w:tcPr>
          <w:p w14:paraId="4A441199"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63F5FF" w14:textId="77777777" w:rsidR="00000000" w:rsidRDefault="006829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E10232" w14:textId="77777777" w:rsidR="00000000" w:rsidRDefault="0068293C">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241DE160" w14:textId="77777777" w:rsidR="00000000" w:rsidRDefault="0068293C">
            <w:pPr>
              <w:spacing w:after="100"/>
              <w:jc w:val="right"/>
              <w:rPr>
                <w:rFonts w:eastAsia="Times New Roman"/>
              </w:rPr>
            </w:pPr>
            <w:r>
              <w:rPr>
                <w:rFonts w:eastAsia="Times New Roman"/>
                <w:color w:val="000000"/>
                <w:sz w:val="20"/>
                <w:szCs w:val="20"/>
              </w:rPr>
              <w:t>%</w:t>
            </w:r>
          </w:p>
        </w:tc>
      </w:tr>
      <w:tr w:rsidR="00000000" w14:paraId="30DCEC58" w14:textId="77777777">
        <w:trPr>
          <w:divId w:val="1854102727"/>
        </w:trPr>
        <w:tc>
          <w:tcPr>
            <w:tcW w:w="0" w:type="auto"/>
            <w:gridSpan w:val="3"/>
            <w:shd w:val="clear" w:color="auto" w:fill="FFFFFF"/>
            <w:tcMar>
              <w:top w:w="30" w:type="dxa"/>
              <w:left w:w="20" w:type="dxa"/>
              <w:bottom w:w="30" w:type="dxa"/>
              <w:right w:w="20" w:type="dxa"/>
            </w:tcMar>
            <w:vAlign w:val="bottom"/>
            <w:hideMark/>
          </w:tcPr>
          <w:p w14:paraId="47F7F99E" w14:textId="77777777" w:rsidR="00000000" w:rsidRDefault="0068293C">
            <w:pPr>
              <w:spacing w:after="100"/>
              <w:divId w:val="1089159170"/>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F300A07" w14:textId="77777777" w:rsidR="00000000" w:rsidRDefault="006829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FD6A09" w14:textId="77777777" w:rsidR="00000000" w:rsidRDefault="0068293C">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14:paraId="54D9BDA6"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D761A"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89364" w14:textId="77777777" w:rsidR="00000000" w:rsidRDefault="0068293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21FB5C44"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F56C6"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0BB01" w14:textId="77777777" w:rsidR="00000000" w:rsidRDefault="0068293C">
            <w:pPr>
              <w:spacing w:after="100"/>
              <w:jc w:val="right"/>
              <w:rPr>
                <w:rFonts w:eastAsia="Times New Roman"/>
              </w:rPr>
            </w:pPr>
            <w:r>
              <w:rPr>
                <w:rFonts w:eastAsia="Times New Roman"/>
                <w:b/>
                <w:bCs/>
                <w:color w:val="000000"/>
                <w:sz w:val="20"/>
                <w:szCs w:val="20"/>
              </w:rPr>
              <w:t>75.0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92DD5E"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C434E57"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214EBA" w14:textId="77777777" w:rsidR="00000000" w:rsidRDefault="0068293C">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14:paraId="41D5F76F"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822A33" w14:textId="77777777" w:rsidR="00000000" w:rsidRDefault="006829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99CE4E" w14:textId="77777777" w:rsidR="00000000" w:rsidRDefault="0068293C">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5B8C4FC4" w14:textId="77777777" w:rsidR="00000000" w:rsidRDefault="0068293C">
            <w:pPr>
              <w:spacing w:after="100"/>
              <w:jc w:val="right"/>
              <w:rPr>
                <w:rFonts w:eastAsia="Times New Roman"/>
              </w:rPr>
            </w:pPr>
            <w:r>
              <w:rPr>
                <w:rFonts w:eastAsia="Times New Roman"/>
                <w:color w:val="000000"/>
                <w:sz w:val="20"/>
                <w:szCs w:val="20"/>
              </w:rPr>
              <w:t>%</w:t>
            </w:r>
          </w:p>
        </w:tc>
      </w:tr>
      <w:tr w:rsidR="00000000" w14:paraId="739A8137" w14:textId="77777777">
        <w:trPr>
          <w:divId w:val="1854102727"/>
        </w:trPr>
        <w:tc>
          <w:tcPr>
            <w:tcW w:w="0" w:type="auto"/>
            <w:gridSpan w:val="3"/>
            <w:shd w:val="clear" w:color="auto" w:fill="CCEEFF"/>
            <w:tcMar>
              <w:top w:w="30" w:type="dxa"/>
              <w:left w:w="20" w:type="dxa"/>
              <w:bottom w:w="30" w:type="dxa"/>
              <w:right w:w="20" w:type="dxa"/>
            </w:tcMar>
            <w:vAlign w:val="bottom"/>
            <w:hideMark/>
          </w:tcPr>
          <w:p w14:paraId="2663B327" w14:textId="77777777" w:rsidR="00000000" w:rsidRDefault="0068293C">
            <w:pPr>
              <w:spacing w:after="100"/>
              <w:rPr>
                <w:rFonts w:eastAsia="Times New Roman"/>
              </w:rPr>
            </w:pPr>
            <w:r>
              <w:rPr>
                <w:rFonts w:eastAsia="Times New Roman"/>
                <w:b/>
                <w:bCs/>
                <w:color w:val="000000"/>
                <w:sz w:val="20"/>
                <w:szCs w:val="20"/>
              </w:rPr>
              <w:t>Total Adjusted EBITDA</w:t>
            </w:r>
          </w:p>
        </w:tc>
        <w:tc>
          <w:tcPr>
            <w:tcW w:w="0" w:type="auto"/>
            <w:gridSpan w:val="3"/>
            <w:shd w:val="clear" w:color="auto" w:fill="CCEEFF"/>
            <w:tcMar>
              <w:top w:w="0" w:type="dxa"/>
              <w:left w:w="20" w:type="dxa"/>
              <w:bottom w:w="0" w:type="dxa"/>
              <w:right w:w="20" w:type="dxa"/>
            </w:tcMar>
            <w:vAlign w:val="center"/>
            <w:hideMark/>
          </w:tcPr>
          <w:p w14:paraId="59DCA812" w14:textId="77777777" w:rsidR="00000000" w:rsidRDefault="0068293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28B0A1"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0CCE28" w14:textId="77777777" w:rsidR="00000000" w:rsidRDefault="0068293C">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4D9AD1"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91170"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5EDF25"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A394B6" w14:textId="77777777" w:rsidR="00000000" w:rsidRDefault="0068293C">
            <w:pPr>
              <w:spacing w:after="100"/>
              <w:jc w:val="right"/>
              <w:rPr>
                <w:rFonts w:eastAsia="Times New Roman"/>
              </w:rPr>
            </w:pPr>
            <w:r>
              <w:rPr>
                <w:rFonts w:eastAsia="Times New Roman"/>
                <w:color w:val="000000"/>
                <w:sz w:val="20"/>
                <w:szCs w:val="20"/>
              </w:rPr>
              <w:t>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8CF724"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1DEA4" w14:textId="77777777" w:rsidR="00000000" w:rsidRDefault="006829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F72D1E" w14:textId="77777777" w:rsidR="00000000" w:rsidRDefault="0068293C">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8AB556" w14:textId="77777777" w:rsidR="00000000" w:rsidRDefault="0068293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75B6B20"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297E04" w14:textId="77777777" w:rsidR="00000000" w:rsidRDefault="0068293C">
            <w:pPr>
              <w:spacing w:after="100"/>
              <w:jc w:val="right"/>
              <w:rPr>
                <w:rFonts w:eastAsia="Times New Roman"/>
              </w:rPr>
            </w:pPr>
            <w:r>
              <w:rPr>
                <w:rFonts w:eastAsia="Times New Roman"/>
                <w:color w:val="000000"/>
                <w:sz w:val="20"/>
                <w:szCs w:val="20"/>
              </w:rPr>
              <w:t>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D46606" w14:textId="77777777" w:rsidR="00000000" w:rsidRDefault="006829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A5AD6B6" w14:textId="77777777" w:rsidR="00000000" w:rsidRDefault="006829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EBD87C" w14:textId="77777777" w:rsidR="00000000" w:rsidRDefault="0068293C">
            <w:pPr>
              <w:spacing w:after="100"/>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DCFB1D" w14:textId="77777777" w:rsidR="00000000" w:rsidRDefault="0068293C">
            <w:pPr>
              <w:spacing w:after="100"/>
              <w:jc w:val="right"/>
              <w:rPr>
                <w:rFonts w:eastAsia="Times New Roman"/>
              </w:rPr>
            </w:pPr>
            <w:r>
              <w:rPr>
                <w:rFonts w:eastAsia="Times New Roman"/>
                <w:color w:val="000000"/>
                <w:sz w:val="20"/>
                <w:szCs w:val="20"/>
              </w:rPr>
              <w:t>%</w:t>
            </w:r>
          </w:p>
        </w:tc>
      </w:tr>
    </w:tbl>
    <w:p w14:paraId="095C1A96" w14:textId="77777777" w:rsidR="00000000" w:rsidRDefault="0068293C">
      <w:pPr>
        <w:divId w:val="1726757188"/>
        <w:rPr>
          <w:rFonts w:eastAsia="Times New Roman"/>
        </w:rPr>
      </w:pPr>
    </w:p>
    <w:p w14:paraId="2D74ACDB" w14:textId="77777777" w:rsidR="00000000" w:rsidRDefault="0068293C">
      <w:pPr>
        <w:ind w:hanging="180"/>
        <w:divId w:val="194118475"/>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w:t>
      </w:r>
      <w:r>
        <w:rPr>
          <w:rFonts w:eastAsia="Times New Roman"/>
          <w:color w:val="000000"/>
          <w:sz w:val="18"/>
          <w:szCs w:val="18"/>
        </w:rPr>
        <w:t>e of revenue is calculated for each line item divided by total revenue, except for Adjusted EBITDA, which are divided by the related component of revenue.</w:t>
      </w:r>
    </w:p>
    <w:p w14:paraId="70182885" w14:textId="77777777" w:rsidR="00000000" w:rsidRDefault="0068293C">
      <w:pPr>
        <w:ind w:hanging="180"/>
        <w:jc w:val="both"/>
        <w:rPr>
          <w:rFonts w:eastAsia="Times New Roman"/>
        </w:rPr>
      </w:pPr>
      <w:r>
        <w:rPr>
          <w:rFonts w:eastAsia="Times New Roman"/>
          <w:color w:val="000000"/>
          <w:sz w:val="12"/>
          <w:szCs w:val="12"/>
        </w:rPr>
        <w:t>(2)</w:t>
      </w:r>
      <w:r>
        <w:rPr>
          <w:rFonts w:eastAsia="Times New Roman"/>
          <w:color w:val="000000"/>
          <w:sz w:val="12"/>
          <w:szCs w:val="12"/>
        </w:rPr>
        <w:t xml:space="preserve"> </w:t>
      </w:r>
      <w:r>
        <w:rPr>
          <w:rFonts w:eastAsia="Times New Roman"/>
          <w:color w:val="000000"/>
          <w:sz w:val="18"/>
          <w:szCs w:val="18"/>
        </w:rPr>
        <w:t>Eliminations includes revenues from contracts with customers and the related costs that are repor</w:t>
      </w:r>
      <w:r>
        <w:rPr>
          <w:rFonts w:eastAsia="Times New Roman"/>
          <w:color w:val="000000"/>
          <w:sz w:val="18"/>
          <w:szCs w:val="18"/>
        </w:rPr>
        <w:t>ted in the Payments &amp; Network segment as well as in the Retail or Hospitality segments, including merchant acquiring services that are monetized via payments.</w:t>
      </w:r>
    </w:p>
    <w:p w14:paraId="69D763C9" w14:textId="77777777" w:rsidR="00000000" w:rsidRDefault="0068293C">
      <w:pPr>
        <w:ind w:hanging="180"/>
        <w:jc w:val="both"/>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xml:space="preserve"> Other adjustment reflects the revenue attributable to the Company's operations in Russia for </w:t>
      </w:r>
      <w:r>
        <w:rPr>
          <w:rFonts w:eastAsia="Times New Roman"/>
          <w:color w:val="000000"/>
          <w:sz w:val="18"/>
          <w:szCs w:val="18"/>
        </w:rPr>
        <w:t>the three months ending March 31, 2022 that were excluded from management's measure of revenue due to our announcement to suspend sales to Russia and anticipated orderly wind down of our operations in Russia. The revenue attributable to the Russia operatio</w:t>
      </w:r>
      <w:r>
        <w:rPr>
          <w:rFonts w:eastAsia="Times New Roman"/>
          <w:color w:val="000000"/>
          <w:sz w:val="18"/>
          <w:szCs w:val="18"/>
        </w:rPr>
        <w:t>ns for the prior period of $8 million are included in the respective segments.</w:t>
      </w:r>
    </w:p>
    <w:p w14:paraId="071BFE66" w14:textId="77777777" w:rsidR="00000000" w:rsidRDefault="0068293C">
      <w:pPr>
        <w:divId w:val="1360623443"/>
        <w:rPr>
          <w:rFonts w:eastAsia="Times New Roman"/>
        </w:rPr>
      </w:pPr>
    </w:p>
    <w:p w14:paraId="57FB4381" w14:textId="77777777" w:rsidR="00000000" w:rsidRDefault="0068293C">
      <w:pPr>
        <w:jc w:val="both"/>
        <w:rPr>
          <w:rFonts w:eastAsia="Times New Roman"/>
        </w:rPr>
      </w:pPr>
      <w:r>
        <w:rPr>
          <w:rFonts w:eastAsia="Times New Roman"/>
          <w:b/>
          <w:bCs/>
          <w:color w:val="000000"/>
          <w:sz w:val="20"/>
          <w:szCs w:val="20"/>
        </w:rPr>
        <w:t>Segment Revenue</w:t>
      </w:r>
    </w:p>
    <w:p w14:paraId="5D598B65" w14:textId="77777777" w:rsidR="00000000" w:rsidRDefault="0068293C">
      <w:pPr>
        <w:jc w:val="both"/>
        <w:rPr>
          <w:rFonts w:eastAsia="Times New Roman"/>
        </w:rPr>
      </w:pPr>
    </w:p>
    <w:p w14:paraId="4F45923C" w14:textId="77777777" w:rsidR="00000000" w:rsidRDefault="0068293C">
      <w:pPr>
        <w:jc w:val="both"/>
        <w:rPr>
          <w:rFonts w:eastAsia="Times New Roman"/>
        </w:rPr>
      </w:pPr>
      <w:r>
        <w:rPr>
          <w:rFonts w:eastAsia="Times New Roman"/>
          <w:i/>
          <w:iCs/>
          <w:color w:val="000000"/>
          <w:sz w:val="20"/>
          <w:szCs w:val="20"/>
        </w:rPr>
        <w:t>For the three months ended March 31, 2022 compared to the three months ended March 31, 2021</w:t>
      </w:r>
    </w:p>
    <w:p w14:paraId="3B07DAE5" w14:textId="77777777" w:rsidR="00000000" w:rsidRDefault="0068293C">
      <w:pPr>
        <w:jc w:val="both"/>
        <w:rPr>
          <w:rFonts w:eastAsia="Times New Roman"/>
        </w:rPr>
      </w:pPr>
    </w:p>
    <w:p w14:paraId="37654787" w14:textId="77777777" w:rsidR="00000000" w:rsidRDefault="0068293C">
      <w:pPr>
        <w:jc w:val="both"/>
        <w:rPr>
          <w:rFonts w:eastAsia="Times New Roman"/>
        </w:rPr>
      </w:pPr>
      <w:r>
        <w:rPr>
          <w:rFonts w:eastAsia="Times New Roman"/>
          <w:color w:val="000000"/>
          <w:sz w:val="20"/>
          <w:szCs w:val="20"/>
        </w:rPr>
        <w:t>Payments &amp; Network revenue increased significantly for the three months ended March 31, 2022 compared to the prior year period, primarily due to additional paymen</w:t>
      </w:r>
      <w:r>
        <w:rPr>
          <w:rFonts w:eastAsia="Times New Roman"/>
          <w:color w:val="000000"/>
          <w:sz w:val="20"/>
          <w:szCs w:val="20"/>
        </w:rPr>
        <w:t>ts processing revenue from the acquisition of Cardtronics, which occurred in the second quarter of 2021. Additionally, the three months ending March 31, 2022 includes cryptocurrency transaction processing revenue following the acquisition of LibertyX in Ja</w:t>
      </w:r>
      <w:r>
        <w:rPr>
          <w:rFonts w:eastAsia="Times New Roman"/>
          <w:color w:val="000000"/>
          <w:sz w:val="20"/>
          <w:szCs w:val="20"/>
        </w:rPr>
        <w:t xml:space="preserve">nuary 2022. </w:t>
      </w:r>
    </w:p>
    <w:p w14:paraId="4375D2B2" w14:textId="77777777" w:rsidR="00000000" w:rsidRDefault="0068293C">
      <w:pPr>
        <w:divId w:val="1251432562"/>
        <w:rPr>
          <w:rFonts w:eastAsia="Times New Roman"/>
        </w:rPr>
      </w:pPr>
    </w:p>
    <w:p w14:paraId="1A20C98A" w14:textId="77777777" w:rsidR="00000000" w:rsidRDefault="0068293C">
      <w:pPr>
        <w:jc w:val="both"/>
        <w:rPr>
          <w:rFonts w:eastAsia="Times New Roman"/>
        </w:rPr>
      </w:pPr>
      <w:r>
        <w:rPr>
          <w:rFonts w:eastAsia="Times New Roman"/>
          <w:color w:val="000000"/>
          <w:sz w:val="20"/>
          <w:szCs w:val="20"/>
        </w:rPr>
        <w:t xml:space="preserve">Digital Banking revenue increased 11% for the three months ended March 31, 2022 compared to the prior year period, due to an increase in software license and cloud services revenues. </w:t>
      </w:r>
    </w:p>
    <w:p w14:paraId="76E0628F" w14:textId="77777777" w:rsidR="00000000" w:rsidRDefault="0068293C">
      <w:pPr>
        <w:jc w:val="both"/>
        <w:rPr>
          <w:rFonts w:eastAsia="Times New Roman"/>
        </w:rPr>
      </w:pPr>
    </w:p>
    <w:p w14:paraId="19320754" w14:textId="77777777" w:rsidR="00000000" w:rsidRDefault="0068293C">
      <w:pPr>
        <w:jc w:val="both"/>
        <w:rPr>
          <w:rFonts w:eastAsia="Times New Roman"/>
        </w:rPr>
      </w:pPr>
      <w:r>
        <w:rPr>
          <w:rFonts w:eastAsia="Times New Roman"/>
          <w:color w:val="000000"/>
          <w:sz w:val="20"/>
          <w:szCs w:val="20"/>
        </w:rPr>
        <w:t>Self-Service Banking revenue decreased 3% for the three</w:t>
      </w:r>
      <w:r>
        <w:rPr>
          <w:rFonts w:eastAsia="Times New Roman"/>
          <w:color w:val="000000"/>
          <w:sz w:val="20"/>
          <w:szCs w:val="20"/>
        </w:rPr>
        <w:t xml:space="preserve"> months ended March 31, 2022 compared to the prior year period, due to a decline in ATM hardware sales partially offset by an increase in software and services revenues, including hardware maintenance and professional services. The decline in ATM hardware </w:t>
      </w:r>
      <w:r>
        <w:rPr>
          <w:rFonts w:eastAsia="Times New Roman"/>
          <w:color w:val="000000"/>
          <w:sz w:val="20"/>
          <w:szCs w:val="20"/>
        </w:rPr>
        <w:t xml:space="preserve">sales was due in part to supply chain challenges that </w:t>
      </w:r>
    </w:p>
    <w:p w14:paraId="2F4FF344" w14:textId="77777777" w:rsidR="00000000" w:rsidRDefault="0068293C">
      <w:pPr>
        <w:jc w:val="center"/>
        <w:divId w:val="718364310"/>
        <w:rPr>
          <w:rFonts w:eastAsia="Times New Roman"/>
        </w:rPr>
      </w:pPr>
      <w:r>
        <w:rPr>
          <w:rFonts w:eastAsia="Times New Roman"/>
          <w:color w:val="000000"/>
          <w:sz w:val="20"/>
          <w:szCs w:val="20"/>
        </w:rPr>
        <w:t>43</w:t>
      </w:r>
    </w:p>
    <w:p w14:paraId="293431B3" w14:textId="77777777" w:rsidR="00000000" w:rsidRDefault="0068293C">
      <w:pPr>
        <w:rPr>
          <w:rFonts w:eastAsia="Times New Roman"/>
        </w:rPr>
      </w:pPr>
      <w:r>
        <w:rPr>
          <w:rFonts w:eastAsia="Times New Roman"/>
        </w:rPr>
        <w:pict w14:anchorId="10384918">
          <v:rect id="_x0000_i1068" style="width:0;height:1.5pt" o:hralign="center" o:hrstd="t" o:hr="t" fillcolor="#a0a0a0" stroked="f"/>
        </w:pict>
      </w:r>
    </w:p>
    <w:p w14:paraId="52636A21" w14:textId="77777777" w:rsidR="00000000" w:rsidRDefault="0068293C">
      <w:pPr>
        <w:divId w:val="982124337"/>
        <w:rPr>
          <w:rFonts w:eastAsia="Times New Roman"/>
        </w:rPr>
      </w:pPr>
      <w:hyperlink w:anchor="i78484f3d0d8e4e36a7c87ddd6ea9d725_7" w:history="1">
        <w:r>
          <w:rPr>
            <w:rStyle w:val="a3"/>
            <w:rFonts w:eastAsia="Times New Roman"/>
            <w:sz w:val="16"/>
            <w:szCs w:val="16"/>
          </w:rPr>
          <w:t>Table of Contents</w:t>
        </w:r>
      </w:hyperlink>
    </w:p>
    <w:p w14:paraId="4AEB667A" w14:textId="77777777" w:rsidR="00000000" w:rsidRDefault="0068293C">
      <w:pPr>
        <w:jc w:val="both"/>
        <w:rPr>
          <w:rFonts w:eastAsia="Times New Roman"/>
        </w:rPr>
      </w:pPr>
      <w:r>
        <w:rPr>
          <w:rFonts w:eastAsia="Times New Roman"/>
          <w:color w:val="000000"/>
          <w:sz w:val="20"/>
          <w:szCs w:val="20"/>
        </w:rPr>
        <w:t>resulted in temporary order fulfillment delays. Software and services revenue as a per</w:t>
      </w:r>
      <w:r>
        <w:rPr>
          <w:rFonts w:eastAsia="Times New Roman"/>
          <w:color w:val="000000"/>
          <w:sz w:val="20"/>
          <w:szCs w:val="20"/>
        </w:rPr>
        <w:t xml:space="preserve">cent of total Self-Service Banking segment revenue increased from 68% in the first quarter of 2021 to 72% in the first quarter of 2022. </w:t>
      </w:r>
    </w:p>
    <w:p w14:paraId="43C74524" w14:textId="77777777" w:rsidR="00000000" w:rsidRDefault="0068293C">
      <w:pPr>
        <w:jc w:val="both"/>
        <w:rPr>
          <w:rFonts w:eastAsia="Times New Roman"/>
        </w:rPr>
      </w:pPr>
    </w:p>
    <w:p w14:paraId="4EB4425B" w14:textId="77777777" w:rsidR="00000000" w:rsidRDefault="0068293C">
      <w:pPr>
        <w:jc w:val="both"/>
        <w:rPr>
          <w:rFonts w:eastAsia="Times New Roman"/>
        </w:rPr>
      </w:pPr>
      <w:r>
        <w:rPr>
          <w:rFonts w:eastAsia="Times New Roman"/>
          <w:color w:val="000000"/>
          <w:sz w:val="20"/>
          <w:szCs w:val="20"/>
        </w:rPr>
        <w:t>Retail revenue increased 5% for the three months ended March 31, 2022 compared to the prior year period, primarily du</w:t>
      </w:r>
      <w:r>
        <w:rPr>
          <w:rFonts w:eastAsia="Times New Roman"/>
          <w:color w:val="000000"/>
          <w:sz w:val="20"/>
          <w:szCs w:val="20"/>
        </w:rPr>
        <w:t>e to higher self check-out hardware and point-of-sale solutions revenue partially offset by a decrease in services revenue.</w:t>
      </w:r>
    </w:p>
    <w:p w14:paraId="74627373" w14:textId="77777777" w:rsidR="00000000" w:rsidRDefault="0068293C">
      <w:pPr>
        <w:jc w:val="both"/>
        <w:rPr>
          <w:rFonts w:eastAsia="Times New Roman"/>
        </w:rPr>
      </w:pPr>
    </w:p>
    <w:p w14:paraId="7FF3ED2C" w14:textId="77777777" w:rsidR="00000000" w:rsidRDefault="0068293C">
      <w:pPr>
        <w:jc w:val="both"/>
        <w:rPr>
          <w:rFonts w:eastAsia="Times New Roman"/>
        </w:rPr>
      </w:pPr>
      <w:r>
        <w:rPr>
          <w:rFonts w:eastAsia="Times New Roman"/>
          <w:color w:val="000000"/>
          <w:sz w:val="20"/>
          <w:szCs w:val="20"/>
        </w:rPr>
        <w:t>Hospitality revenue increased 18% for the three months ended March 31, 2022 compared to the prior year period, driven primarily by</w:t>
      </w:r>
      <w:r>
        <w:rPr>
          <w:rFonts w:eastAsia="Times New Roman"/>
          <w:color w:val="000000"/>
          <w:sz w:val="20"/>
          <w:szCs w:val="20"/>
        </w:rPr>
        <w:t xml:space="preserve"> an increase in point-of-sale solutions revenue, as well as an increase in services and payments processing revenues.</w:t>
      </w:r>
    </w:p>
    <w:p w14:paraId="4BDEAE7D" w14:textId="77777777" w:rsidR="00000000" w:rsidRDefault="0068293C">
      <w:pPr>
        <w:jc w:val="both"/>
        <w:rPr>
          <w:rFonts w:eastAsia="Times New Roman"/>
        </w:rPr>
      </w:pPr>
    </w:p>
    <w:p w14:paraId="38D8D4D7" w14:textId="77777777" w:rsidR="00000000" w:rsidRDefault="0068293C">
      <w:pPr>
        <w:jc w:val="both"/>
        <w:rPr>
          <w:rFonts w:eastAsia="Times New Roman"/>
        </w:rPr>
      </w:pPr>
      <w:r>
        <w:rPr>
          <w:rFonts w:eastAsia="Times New Roman"/>
          <w:color w:val="000000"/>
          <w:sz w:val="20"/>
          <w:szCs w:val="20"/>
        </w:rPr>
        <w:t xml:space="preserve">For the operations grouped as Other, revenue decreased 12% for the three months ended March 31, 2022 compared to the prior year period, </w:t>
      </w:r>
      <w:r>
        <w:rPr>
          <w:rFonts w:eastAsia="Times New Roman"/>
          <w:color w:val="000000"/>
          <w:sz w:val="20"/>
          <w:szCs w:val="20"/>
        </w:rPr>
        <w:t>primarily due to a decrease in hardware maintenance revenue in the telecommunications and technology business.</w:t>
      </w:r>
    </w:p>
    <w:p w14:paraId="716A175E" w14:textId="77777777" w:rsidR="00000000" w:rsidRDefault="0068293C">
      <w:pPr>
        <w:jc w:val="both"/>
        <w:rPr>
          <w:rFonts w:eastAsia="Times New Roman"/>
        </w:rPr>
      </w:pPr>
    </w:p>
    <w:p w14:paraId="0E0F5422" w14:textId="77777777" w:rsidR="00000000" w:rsidRDefault="0068293C">
      <w:pPr>
        <w:jc w:val="both"/>
        <w:rPr>
          <w:rFonts w:eastAsia="Times New Roman"/>
        </w:rPr>
      </w:pPr>
      <w:r>
        <w:rPr>
          <w:rFonts w:eastAsia="Times New Roman"/>
          <w:b/>
          <w:bCs/>
          <w:color w:val="000000"/>
          <w:sz w:val="20"/>
          <w:szCs w:val="20"/>
        </w:rPr>
        <w:t>Segment Adjusted EBITDA</w:t>
      </w:r>
    </w:p>
    <w:p w14:paraId="7D1B4DE0" w14:textId="77777777" w:rsidR="00000000" w:rsidRDefault="0068293C">
      <w:pPr>
        <w:jc w:val="both"/>
        <w:rPr>
          <w:rFonts w:eastAsia="Times New Roman"/>
        </w:rPr>
      </w:pPr>
    </w:p>
    <w:p w14:paraId="1B878D0D" w14:textId="77777777" w:rsidR="00000000" w:rsidRDefault="0068293C">
      <w:pPr>
        <w:jc w:val="both"/>
        <w:rPr>
          <w:rFonts w:eastAsia="Times New Roman"/>
        </w:rPr>
      </w:pPr>
      <w:r>
        <w:rPr>
          <w:rFonts w:eastAsia="Times New Roman"/>
          <w:i/>
          <w:iCs/>
          <w:color w:val="000000"/>
          <w:sz w:val="20"/>
          <w:szCs w:val="20"/>
        </w:rPr>
        <w:t>For the three months ended March 31, 2022 compared to the three months ended March 31, 2021</w:t>
      </w:r>
    </w:p>
    <w:p w14:paraId="3A3AFD2C" w14:textId="77777777" w:rsidR="00000000" w:rsidRDefault="0068293C">
      <w:pPr>
        <w:jc w:val="both"/>
        <w:rPr>
          <w:rFonts w:eastAsia="Times New Roman"/>
        </w:rPr>
      </w:pPr>
    </w:p>
    <w:p w14:paraId="040F4579" w14:textId="77777777" w:rsidR="00000000" w:rsidRDefault="0068293C">
      <w:pPr>
        <w:jc w:val="both"/>
        <w:rPr>
          <w:rFonts w:eastAsia="Times New Roman"/>
        </w:rPr>
      </w:pPr>
      <w:r>
        <w:rPr>
          <w:rFonts w:eastAsia="Times New Roman"/>
          <w:color w:val="000000"/>
          <w:sz w:val="20"/>
          <w:szCs w:val="20"/>
        </w:rPr>
        <w:t>Payments &amp; Network Adjusted EBITDA increased significantly for the three months ended March 31, 2022 compared to the prior year period, primarily due to additiona</w:t>
      </w:r>
      <w:r>
        <w:rPr>
          <w:rFonts w:eastAsia="Times New Roman"/>
          <w:color w:val="000000"/>
          <w:sz w:val="20"/>
          <w:szCs w:val="20"/>
        </w:rPr>
        <w:t>l payments processing revenue from the acquisition of Cardtronics, which occurred in the second quarter of 2021.</w:t>
      </w:r>
    </w:p>
    <w:p w14:paraId="58E8E72E" w14:textId="77777777" w:rsidR="00000000" w:rsidRDefault="0068293C">
      <w:pPr>
        <w:jc w:val="both"/>
        <w:rPr>
          <w:rFonts w:eastAsia="Times New Roman"/>
        </w:rPr>
      </w:pPr>
    </w:p>
    <w:p w14:paraId="79F9C0B3" w14:textId="77777777" w:rsidR="00000000" w:rsidRDefault="0068293C">
      <w:pPr>
        <w:jc w:val="both"/>
        <w:rPr>
          <w:rFonts w:eastAsia="Times New Roman"/>
        </w:rPr>
      </w:pPr>
      <w:r>
        <w:rPr>
          <w:rFonts w:eastAsia="Times New Roman"/>
          <w:color w:val="000000"/>
          <w:sz w:val="20"/>
          <w:szCs w:val="20"/>
        </w:rPr>
        <w:t>Digital Banking Adjusted EBITDA increased 4% for the three months ended March 31, 2022 compared to the prior year period, driven by an increa</w:t>
      </w:r>
      <w:r>
        <w:rPr>
          <w:rFonts w:eastAsia="Times New Roman"/>
          <w:color w:val="000000"/>
          <w:sz w:val="20"/>
          <w:szCs w:val="20"/>
        </w:rPr>
        <w:t>se in recurring revenue.</w:t>
      </w:r>
    </w:p>
    <w:p w14:paraId="7D628FEE" w14:textId="77777777" w:rsidR="00000000" w:rsidRDefault="0068293C">
      <w:pPr>
        <w:jc w:val="both"/>
        <w:rPr>
          <w:rFonts w:eastAsia="Times New Roman"/>
        </w:rPr>
      </w:pPr>
    </w:p>
    <w:p w14:paraId="493895DF" w14:textId="77777777" w:rsidR="00000000" w:rsidRDefault="0068293C">
      <w:pPr>
        <w:jc w:val="both"/>
        <w:rPr>
          <w:rFonts w:eastAsia="Times New Roman"/>
        </w:rPr>
      </w:pPr>
      <w:r>
        <w:rPr>
          <w:rFonts w:eastAsia="Times New Roman"/>
          <w:color w:val="000000"/>
          <w:sz w:val="20"/>
          <w:szCs w:val="20"/>
        </w:rPr>
        <w:t>Self-Service Banking Adjusted EBITDA declined 18% for the three months ended March 31, 2022 compared to the prior year period, primarily due to supply chain challenges and increased fuel costs which drove up component and other c</w:t>
      </w:r>
      <w:r>
        <w:rPr>
          <w:rFonts w:eastAsia="Times New Roman"/>
          <w:color w:val="000000"/>
          <w:sz w:val="20"/>
          <w:szCs w:val="20"/>
        </w:rPr>
        <w:t>osts, particularly in ATM hardware, hardware maintenance and transaction services. These headwinds were partially offset by an increase in recurring revenue.</w:t>
      </w:r>
    </w:p>
    <w:p w14:paraId="1ADA61F5" w14:textId="77777777" w:rsidR="00000000" w:rsidRDefault="0068293C">
      <w:pPr>
        <w:jc w:val="both"/>
        <w:rPr>
          <w:rFonts w:eastAsia="Times New Roman"/>
        </w:rPr>
      </w:pPr>
    </w:p>
    <w:p w14:paraId="46ECB498" w14:textId="77777777" w:rsidR="00000000" w:rsidRDefault="0068293C">
      <w:pPr>
        <w:jc w:val="both"/>
        <w:rPr>
          <w:rFonts w:eastAsia="Times New Roman"/>
        </w:rPr>
      </w:pPr>
      <w:r>
        <w:rPr>
          <w:rFonts w:eastAsia="Times New Roman"/>
          <w:color w:val="000000"/>
          <w:sz w:val="20"/>
          <w:szCs w:val="20"/>
        </w:rPr>
        <w:t>Retail Adjusted EBITDA declined 32% for the three months ended March 31, 2022 compared to the pr</w:t>
      </w:r>
      <w:r>
        <w:rPr>
          <w:rFonts w:eastAsia="Times New Roman"/>
          <w:color w:val="000000"/>
          <w:sz w:val="20"/>
          <w:szCs w:val="20"/>
        </w:rPr>
        <w:t>ior year period, primarily driven by product cost and mix, increased labor costs, and other supply chain challenges, partially offset by an increase in recurring revenue.</w:t>
      </w:r>
    </w:p>
    <w:p w14:paraId="01D8F4BA" w14:textId="77777777" w:rsidR="00000000" w:rsidRDefault="0068293C">
      <w:pPr>
        <w:jc w:val="both"/>
        <w:rPr>
          <w:rFonts w:eastAsia="Times New Roman"/>
        </w:rPr>
      </w:pPr>
    </w:p>
    <w:p w14:paraId="7B313E50" w14:textId="77777777" w:rsidR="00000000" w:rsidRDefault="0068293C">
      <w:pPr>
        <w:jc w:val="both"/>
        <w:rPr>
          <w:rFonts w:eastAsia="Times New Roman"/>
        </w:rPr>
      </w:pPr>
      <w:r>
        <w:rPr>
          <w:rFonts w:eastAsia="Times New Roman"/>
          <w:color w:val="000000"/>
          <w:sz w:val="20"/>
          <w:szCs w:val="20"/>
        </w:rPr>
        <w:t>Hospitality Adjusted EBITDA increased 14% for the three months ended March 31, 2022</w:t>
      </w:r>
      <w:r>
        <w:rPr>
          <w:rFonts w:eastAsia="Times New Roman"/>
          <w:color w:val="000000"/>
          <w:sz w:val="20"/>
          <w:szCs w:val="20"/>
        </w:rPr>
        <w:t xml:space="preserve"> compared to the prior year period, primarily driven by an increase in recurring and non-recurring revenue driven by subscription and payments processing. These improvements were partially offset by supply chain challenges and increased fuel costs which dr</w:t>
      </w:r>
      <w:r>
        <w:rPr>
          <w:rFonts w:eastAsia="Times New Roman"/>
          <w:color w:val="000000"/>
          <w:sz w:val="20"/>
          <w:szCs w:val="20"/>
        </w:rPr>
        <w:t xml:space="preserve">ove up component and other costs, particularly in transaction services and hardware. </w:t>
      </w:r>
    </w:p>
    <w:p w14:paraId="2B306C7E" w14:textId="77777777" w:rsidR="00000000" w:rsidRDefault="0068293C">
      <w:pPr>
        <w:jc w:val="both"/>
        <w:rPr>
          <w:rFonts w:eastAsia="Times New Roman"/>
        </w:rPr>
      </w:pPr>
    </w:p>
    <w:p w14:paraId="7BBED7B1" w14:textId="77777777" w:rsidR="00000000" w:rsidRDefault="0068293C">
      <w:pPr>
        <w:jc w:val="both"/>
        <w:rPr>
          <w:rFonts w:eastAsia="Times New Roman"/>
        </w:rPr>
      </w:pPr>
      <w:r>
        <w:rPr>
          <w:rFonts w:eastAsia="Times New Roman"/>
          <w:color w:val="000000"/>
          <w:sz w:val="20"/>
          <w:szCs w:val="20"/>
        </w:rPr>
        <w:t xml:space="preserve">Corporate and Other increased 45% for the three months ended March 31, 2022 compared to the prior year period, primarily due to infrastructure costs of the Cardtronics </w:t>
      </w:r>
      <w:r>
        <w:rPr>
          <w:rFonts w:eastAsia="Times New Roman"/>
          <w:color w:val="000000"/>
          <w:sz w:val="20"/>
          <w:szCs w:val="20"/>
        </w:rPr>
        <w:t>business that was acquired in the second quarter of 2021.</w:t>
      </w:r>
    </w:p>
    <w:p w14:paraId="63658ACC" w14:textId="77777777" w:rsidR="00000000" w:rsidRDefault="0068293C">
      <w:pPr>
        <w:jc w:val="both"/>
        <w:rPr>
          <w:rFonts w:eastAsia="Times New Roman"/>
        </w:rPr>
      </w:pPr>
    </w:p>
    <w:p w14:paraId="498AAAB8" w14:textId="77777777" w:rsidR="00000000" w:rsidRDefault="0068293C">
      <w:pPr>
        <w:jc w:val="both"/>
        <w:rPr>
          <w:rFonts w:eastAsia="Times New Roman"/>
        </w:rPr>
      </w:pPr>
    </w:p>
    <w:p w14:paraId="67C44349" w14:textId="77777777" w:rsidR="00000000" w:rsidRDefault="0068293C">
      <w:pPr>
        <w:jc w:val="both"/>
        <w:rPr>
          <w:rFonts w:eastAsia="Times New Roman"/>
        </w:rPr>
      </w:pPr>
      <w:r>
        <w:rPr>
          <w:rFonts w:eastAsia="Times New Roman"/>
          <w:i/>
          <w:iCs/>
          <w:color w:val="000000"/>
          <w:sz w:val="20"/>
          <w:szCs w:val="20"/>
          <w:u w:val="single"/>
        </w:rPr>
        <w:t>Financial Condition, Liquidity, and Capital Resources</w:t>
      </w:r>
    </w:p>
    <w:p w14:paraId="6F563DAE" w14:textId="77777777" w:rsidR="00000000" w:rsidRDefault="0068293C">
      <w:pPr>
        <w:jc w:val="both"/>
        <w:rPr>
          <w:rFonts w:eastAsia="Times New Roman"/>
        </w:rPr>
      </w:pPr>
    </w:p>
    <w:p w14:paraId="5A892735" w14:textId="77777777" w:rsidR="00000000" w:rsidRDefault="0068293C">
      <w:pPr>
        <w:jc w:val="both"/>
        <w:rPr>
          <w:rFonts w:eastAsia="Times New Roman"/>
        </w:rPr>
      </w:pPr>
      <w:r>
        <w:rPr>
          <w:rFonts w:eastAsia="Times New Roman"/>
          <w:color w:val="000000"/>
          <w:sz w:val="20"/>
          <w:szCs w:val="20"/>
        </w:rPr>
        <w:t>Cash provided by operating activities was $38 million in the three months ended March 31, 2022 compared to cash provided by operating acti</w:t>
      </w:r>
      <w:r>
        <w:rPr>
          <w:rFonts w:eastAsia="Times New Roman"/>
          <w:color w:val="000000"/>
          <w:sz w:val="20"/>
          <w:szCs w:val="20"/>
        </w:rPr>
        <w:t>vities of $155 million in the three months ended March 31, 2021. The decrease in cash provided by operating activities in the three months ended March 31, 2022 was driven by lower operating earnings as well as the unfavorable movement in net working capita</w:t>
      </w:r>
      <w:r>
        <w:rPr>
          <w:rFonts w:eastAsia="Times New Roman"/>
          <w:color w:val="000000"/>
          <w:sz w:val="20"/>
          <w:szCs w:val="20"/>
        </w:rPr>
        <w:t>l accounts.</w:t>
      </w:r>
    </w:p>
    <w:p w14:paraId="5AB204C7" w14:textId="77777777" w:rsidR="00000000" w:rsidRDefault="0068293C">
      <w:pPr>
        <w:jc w:val="both"/>
        <w:rPr>
          <w:rFonts w:eastAsia="Times New Roman"/>
        </w:rPr>
      </w:pPr>
    </w:p>
    <w:p w14:paraId="7A6E2F0A" w14:textId="77777777" w:rsidR="00000000" w:rsidRDefault="0068293C">
      <w:pPr>
        <w:jc w:val="both"/>
        <w:rPr>
          <w:rFonts w:eastAsia="Times New Roman"/>
        </w:rPr>
      </w:pPr>
      <w:r>
        <w:rPr>
          <w:rFonts w:eastAsia="Times New Roman"/>
          <w:color w:val="000000"/>
          <w:sz w:val="20"/>
          <w:szCs w:val="20"/>
        </w:rPr>
        <w:t>NCR’s management uses a non-GAAP measure called “free cash flow” to assess the financial performance of the Company. We define free cash flow as net cash provided by (used in) operating activities less capital expenditures for property, plant</w:t>
      </w:r>
      <w:r>
        <w:rPr>
          <w:rFonts w:eastAsia="Times New Roman"/>
          <w:color w:val="000000"/>
          <w:sz w:val="20"/>
          <w:szCs w:val="20"/>
        </w:rPr>
        <w:t xml:space="preserve"> and equipment, less additions to capitalized software, plus/minus restricted cash settlement activity, plus acquisition-related items, less the impact from the initial sale of trade accounts receivables under the agreement entered into during the 3rd quar</w:t>
      </w:r>
      <w:r>
        <w:rPr>
          <w:rFonts w:eastAsia="Times New Roman"/>
          <w:color w:val="000000"/>
          <w:sz w:val="20"/>
          <w:szCs w:val="20"/>
        </w:rPr>
        <w:t>ter of 2021, and plus pension contributions and settlements. We believe free cash flow information is useful for investors because it relates the operating cash flows from the Company’s continuing and discontinued operations to the capital that is spent to</w:t>
      </w:r>
      <w:r>
        <w:rPr>
          <w:rFonts w:eastAsia="Times New Roman"/>
          <w:color w:val="000000"/>
          <w:sz w:val="20"/>
          <w:szCs w:val="20"/>
        </w:rPr>
        <w:t xml:space="preserve"> continue and improve business operations. In particular, free cash flow indicates the amount of cash available after capital expenditures for, among other things, investments in the Company’s existing businesses, strategic acquisitions, repurchases of NCR</w:t>
      </w:r>
      <w:r>
        <w:rPr>
          <w:rFonts w:eastAsia="Times New Roman"/>
          <w:color w:val="000000"/>
          <w:sz w:val="20"/>
          <w:szCs w:val="20"/>
        </w:rPr>
        <w:t xml:space="preserve"> stock and repayment of debt obligations. Free cash flow does not represent the residual cash flow available for discretionary expenditures, since there may be other non-discretionary expenditures that are not deducted from the measure. Free cash flow does</w:t>
      </w:r>
      <w:r>
        <w:rPr>
          <w:rFonts w:eastAsia="Times New Roman"/>
          <w:color w:val="000000"/>
          <w:sz w:val="20"/>
          <w:szCs w:val="20"/>
        </w:rPr>
        <w:t xml:space="preserve"> not have a uniform definition under GAAP, and therefore NCR’s definition may differ from other </w:t>
      </w:r>
    </w:p>
    <w:p w14:paraId="700F9049" w14:textId="77777777" w:rsidR="00000000" w:rsidRDefault="0068293C">
      <w:pPr>
        <w:jc w:val="center"/>
        <w:divId w:val="1426347192"/>
        <w:rPr>
          <w:rFonts w:eastAsia="Times New Roman"/>
        </w:rPr>
      </w:pPr>
      <w:r>
        <w:rPr>
          <w:rFonts w:eastAsia="Times New Roman"/>
          <w:color w:val="000000"/>
          <w:sz w:val="20"/>
          <w:szCs w:val="20"/>
        </w:rPr>
        <w:t>44</w:t>
      </w:r>
    </w:p>
    <w:p w14:paraId="201F31E3" w14:textId="77777777" w:rsidR="00000000" w:rsidRDefault="0068293C">
      <w:pPr>
        <w:rPr>
          <w:rFonts w:eastAsia="Times New Roman"/>
        </w:rPr>
      </w:pPr>
      <w:r>
        <w:rPr>
          <w:rFonts w:eastAsia="Times New Roman"/>
        </w:rPr>
        <w:pict w14:anchorId="5A58C8E0">
          <v:rect id="_x0000_i1069" style="width:0;height:1.5pt" o:hralign="center" o:hrstd="t" o:hr="t" fillcolor="#a0a0a0" stroked="f"/>
        </w:pict>
      </w:r>
    </w:p>
    <w:p w14:paraId="67C9A48F" w14:textId="77777777" w:rsidR="00000000" w:rsidRDefault="0068293C">
      <w:pPr>
        <w:divId w:val="504786548"/>
        <w:rPr>
          <w:rFonts w:eastAsia="Times New Roman"/>
        </w:rPr>
      </w:pPr>
      <w:hyperlink w:anchor="i78484f3d0d8e4e36a7c87ddd6ea9d725_7" w:history="1">
        <w:r>
          <w:rPr>
            <w:rStyle w:val="a3"/>
            <w:rFonts w:eastAsia="Times New Roman"/>
            <w:sz w:val="16"/>
            <w:szCs w:val="16"/>
          </w:rPr>
          <w:t>Table of Contents</w:t>
        </w:r>
      </w:hyperlink>
    </w:p>
    <w:p w14:paraId="3DBAECA6" w14:textId="77777777" w:rsidR="00000000" w:rsidRDefault="0068293C">
      <w:pPr>
        <w:jc w:val="both"/>
        <w:rPr>
          <w:rFonts w:eastAsia="Times New Roman"/>
        </w:rPr>
      </w:pPr>
      <w:r>
        <w:rPr>
          <w:rFonts w:eastAsia="Times New Roman"/>
          <w:color w:val="000000"/>
          <w:sz w:val="20"/>
          <w:szCs w:val="20"/>
        </w:rPr>
        <w:t xml:space="preserve">companies’ </w:t>
      </w:r>
      <w:r>
        <w:rPr>
          <w:rFonts w:eastAsia="Times New Roman"/>
          <w:color w:val="000000"/>
          <w:sz w:val="20"/>
          <w:szCs w:val="20"/>
        </w:rPr>
        <w:t xml:space="preserve">definitions of this measure. This non-GAAP measure should not be considered a substitute for, or superior to, cash flows from operating activities under GAAP. </w:t>
      </w:r>
    </w:p>
    <w:p w14:paraId="471568F5" w14:textId="77777777" w:rsidR="00000000" w:rsidRDefault="0068293C">
      <w:pPr>
        <w:jc w:val="both"/>
        <w:rPr>
          <w:rFonts w:eastAsia="Times New Roman"/>
        </w:rPr>
      </w:pPr>
    </w:p>
    <w:p w14:paraId="1B6851E1" w14:textId="77777777" w:rsidR="00000000" w:rsidRDefault="0068293C">
      <w:pPr>
        <w:jc w:val="both"/>
        <w:rPr>
          <w:rFonts w:eastAsia="Times New Roman"/>
        </w:rPr>
      </w:pPr>
      <w:r>
        <w:rPr>
          <w:rFonts w:eastAsia="Times New Roman"/>
          <w:color w:val="000000"/>
          <w:sz w:val="20"/>
          <w:szCs w:val="20"/>
        </w:rPr>
        <w:t>The table below reconciles net cash provided by operating activities to NCR’s non-GAAP measure of free cash flow for the three months ended March 31:</w:t>
      </w:r>
    </w:p>
    <w:tbl>
      <w:tblPr>
        <w:tblW w:w="4992" w:type="pct"/>
        <w:tblCellMar>
          <w:top w:w="15" w:type="dxa"/>
          <w:left w:w="15" w:type="dxa"/>
          <w:bottom w:w="15" w:type="dxa"/>
          <w:right w:w="15" w:type="dxa"/>
        </w:tblCellMar>
        <w:tblLook w:val="04A0" w:firstRow="1" w:lastRow="0" w:firstColumn="1" w:lastColumn="0" w:noHBand="0" w:noVBand="1"/>
      </w:tblPr>
      <w:tblGrid>
        <w:gridCol w:w="40"/>
        <w:gridCol w:w="5842"/>
        <w:gridCol w:w="37"/>
        <w:gridCol w:w="120"/>
        <w:gridCol w:w="994"/>
        <w:gridCol w:w="36"/>
        <w:gridCol w:w="36"/>
        <w:gridCol w:w="36"/>
        <w:gridCol w:w="36"/>
        <w:gridCol w:w="120"/>
        <w:gridCol w:w="960"/>
        <w:gridCol w:w="36"/>
      </w:tblGrid>
      <w:tr w:rsidR="00000000" w14:paraId="793C72EA" w14:textId="77777777">
        <w:trPr>
          <w:divId w:val="676275637"/>
        </w:trPr>
        <w:tc>
          <w:tcPr>
            <w:tcW w:w="50" w:type="pct"/>
            <w:vAlign w:val="center"/>
            <w:hideMark/>
          </w:tcPr>
          <w:p w14:paraId="0C19D42C" w14:textId="77777777" w:rsidR="00000000" w:rsidRDefault="0068293C">
            <w:pPr>
              <w:jc w:val="both"/>
              <w:rPr>
                <w:rFonts w:eastAsia="Times New Roman"/>
              </w:rPr>
            </w:pPr>
          </w:p>
        </w:tc>
        <w:tc>
          <w:tcPr>
            <w:tcW w:w="3546" w:type="pct"/>
            <w:vAlign w:val="center"/>
            <w:hideMark/>
          </w:tcPr>
          <w:p w14:paraId="55ED4EA3" w14:textId="77777777" w:rsidR="00000000" w:rsidRDefault="0068293C">
            <w:pPr>
              <w:spacing w:after="100"/>
              <w:rPr>
                <w:rFonts w:eastAsia="Times New Roman"/>
                <w:sz w:val="20"/>
                <w:szCs w:val="20"/>
              </w:rPr>
            </w:pPr>
          </w:p>
        </w:tc>
        <w:tc>
          <w:tcPr>
            <w:tcW w:w="5" w:type="pct"/>
            <w:vAlign w:val="center"/>
            <w:hideMark/>
          </w:tcPr>
          <w:p w14:paraId="0BEE94F7" w14:textId="77777777" w:rsidR="00000000" w:rsidRDefault="0068293C">
            <w:pPr>
              <w:spacing w:after="100"/>
              <w:rPr>
                <w:rFonts w:eastAsia="Times New Roman"/>
                <w:sz w:val="20"/>
                <w:szCs w:val="20"/>
              </w:rPr>
            </w:pPr>
          </w:p>
        </w:tc>
        <w:tc>
          <w:tcPr>
            <w:tcW w:w="50" w:type="pct"/>
            <w:vAlign w:val="center"/>
            <w:hideMark/>
          </w:tcPr>
          <w:p w14:paraId="5AD581B9" w14:textId="77777777" w:rsidR="00000000" w:rsidRDefault="0068293C">
            <w:pPr>
              <w:spacing w:after="100"/>
              <w:rPr>
                <w:rFonts w:eastAsia="Times New Roman"/>
                <w:sz w:val="20"/>
                <w:szCs w:val="20"/>
              </w:rPr>
            </w:pPr>
          </w:p>
        </w:tc>
        <w:tc>
          <w:tcPr>
            <w:tcW w:w="625" w:type="pct"/>
            <w:vAlign w:val="center"/>
            <w:hideMark/>
          </w:tcPr>
          <w:p w14:paraId="4BDE86AD" w14:textId="77777777" w:rsidR="00000000" w:rsidRDefault="0068293C">
            <w:pPr>
              <w:spacing w:after="100"/>
              <w:rPr>
                <w:rFonts w:eastAsia="Times New Roman"/>
                <w:sz w:val="20"/>
                <w:szCs w:val="20"/>
              </w:rPr>
            </w:pPr>
          </w:p>
        </w:tc>
        <w:tc>
          <w:tcPr>
            <w:tcW w:w="5" w:type="pct"/>
            <w:vAlign w:val="center"/>
            <w:hideMark/>
          </w:tcPr>
          <w:p w14:paraId="32E166FA" w14:textId="77777777" w:rsidR="00000000" w:rsidRDefault="0068293C">
            <w:pPr>
              <w:spacing w:after="100"/>
              <w:rPr>
                <w:rFonts w:eastAsia="Times New Roman"/>
                <w:sz w:val="20"/>
                <w:szCs w:val="20"/>
              </w:rPr>
            </w:pPr>
          </w:p>
        </w:tc>
        <w:tc>
          <w:tcPr>
            <w:tcW w:w="5" w:type="pct"/>
            <w:vAlign w:val="center"/>
            <w:hideMark/>
          </w:tcPr>
          <w:p w14:paraId="0C384D48" w14:textId="77777777" w:rsidR="00000000" w:rsidRDefault="0068293C">
            <w:pPr>
              <w:spacing w:after="100"/>
              <w:rPr>
                <w:rFonts w:eastAsia="Times New Roman"/>
                <w:sz w:val="20"/>
                <w:szCs w:val="20"/>
              </w:rPr>
            </w:pPr>
          </w:p>
        </w:tc>
        <w:tc>
          <w:tcPr>
            <w:tcW w:w="26" w:type="pct"/>
            <w:vAlign w:val="center"/>
            <w:hideMark/>
          </w:tcPr>
          <w:p w14:paraId="66F96911" w14:textId="77777777" w:rsidR="00000000" w:rsidRDefault="0068293C">
            <w:pPr>
              <w:spacing w:after="100"/>
              <w:rPr>
                <w:rFonts w:eastAsia="Times New Roman"/>
                <w:sz w:val="20"/>
                <w:szCs w:val="20"/>
              </w:rPr>
            </w:pPr>
          </w:p>
        </w:tc>
        <w:tc>
          <w:tcPr>
            <w:tcW w:w="5" w:type="pct"/>
            <w:vAlign w:val="center"/>
            <w:hideMark/>
          </w:tcPr>
          <w:p w14:paraId="0940ADEF" w14:textId="77777777" w:rsidR="00000000" w:rsidRDefault="0068293C">
            <w:pPr>
              <w:spacing w:after="100"/>
              <w:rPr>
                <w:rFonts w:eastAsia="Times New Roman"/>
                <w:sz w:val="20"/>
                <w:szCs w:val="20"/>
              </w:rPr>
            </w:pPr>
          </w:p>
        </w:tc>
        <w:tc>
          <w:tcPr>
            <w:tcW w:w="50" w:type="pct"/>
            <w:vAlign w:val="center"/>
            <w:hideMark/>
          </w:tcPr>
          <w:p w14:paraId="115D6DDD" w14:textId="77777777" w:rsidR="00000000" w:rsidRDefault="0068293C">
            <w:pPr>
              <w:spacing w:after="100"/>
              <w:rPr>
                <w:rFonts w:eastAsia="Times New Roman"/>
                <w:sz w:val="20"/>
                <w:szCs w:val="20"/>
              </w:rPr>
            </w:pPr>
          </w:p>
        </w:tc>
        <w:tc>
          <w:tcPr>
            <w:tcW w:w="625" w:type="pct"/>
            <w:vAlign w:val="center"/>
            <w:hideMark/>
          </w:tcPr>
          <w:p w14:paraId="484C6810" w14:textId="77777777" w:rsidR="00000000" w:rsidRDefault="0068293C">
            <w:pPr>
              <w:spacing w:after="100"/>
              <w:rPr>
                <w:rFonts w:eastAsia="Times New Roman"/>
                <w:sz w:val="20"/>
                <w:szCs w:val="20"/>
              </w:rPr>
            </w:pPr>
          </w:p>
        </w:tc>
        <w:tc>
          <w:tcPr>
            <w:tcW w:w="5" w:type="pct"/>
            <w:vAlign w:val="center"/>
            <w:hideMark/>
          </w:tcPr>
          <w:p w14:paraId="3641112B" w14:textId="77777777" w:rsidR="00000000" w:rsidRDefault="0068293C">
            <w:pPr>
              <w:spacing w:after="100"/>
              <w:rPr>
                <w:rFonts w:eastAsia="Times New Roman"/>
                <w:sz w:val="20"/>
                <w:szCs w:val="20"/>
              </w:rPr>
            </w:pPr>
          </w:p>
        </w:tc>
      </w:tr>
      <w:tr w:rsidR="00000000" w14:paraId="4FAA96E6" w14:textId="77777777">
        <w:trPr>
          <w:divId w:val="676275637"/>
        </w:trPr>
        <w:tc>
          <w:tcPr>
            <w:tcW w:w="0" w:type="auto"/>
            <w:gridSpan w:val="3"/>
            <w:tcMar>
              <w:top w:w="0" w:type="dxa"/>
              <w:left w:w="20" w:type="dxa"/>
              <w:bottom w:w="0" w:type="dxa"/>
              <w:right w:w="20" w:type="dxa"/>
            </w:tcMar>
            <w:vAlign w:val="center"/>
            <w:hideMark/>
          </w:tcPr>
          <w:p w14:paraId="1F11621D"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8EDA39C" w14:textId="77777777" w:rsidR="00000000" w:rsidRDefault="0068293C">
            <w:pPr>
              <w:spacing w:after="100"/>
              <w:jc w:val="center"/>
              <w:rPr>
                <w:rFonts w:eastAsia="Times New Roman"/>
              </w:rPr>
            </w:pPr>
            <w:r>
              <w:rPr>
                <w:rFonts w:eastAsia="Times New Roman"/>
                <w:b/>
                <w:bCs/>
                <w:color w:val="000000"/>
                <w:sz w:val="16"/>
                <w:szCs w:val="16"/>
              </w:rPr>
              <w:t>Three months ended March 31</w:t>
            </w:r>
          </w:p>
        </w:tc>
      </w:tr>
      <w:tr w:rsidR="00000000" w14:paraId="60263834" w14:textId="77777777">
        <w:trPr>
          <w:divId w:val="676275637"/>
        </w:trPr>
        <w:tc>
          <w:tcPr>
            <w:tcW w:w="0" w:type="auto"/>
            <w:gridSpan w:val="3"/>
            <w:tcMar>
              <w:top w:w="30" w:type="dxa"/>
              <w:left w:w="20" w:type="dxa"/>
              <w:bottom w:w="30" w:type="dxa"/>
              <w:right w:w="20" w:type="dxa"/>
            </w:tcMar>
            <w:vAlign w:val="bottom"/>
            <w:hideMark/>
          </w:tcPr>
          <w:p w14:paraId="5E6BDFE0" w14:textId="77777777" w:rsidR="00000000" w:rsidRDefault="0068293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B788AE9" w14:textId="77777777" w:rsidR="00000000" w:rsidRDefault="0068293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A75F420" w14:textId="77777777" w:rsidR="00000000" w:rsidRDefault="006829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231D41" w14:textId="77777777" w:rsidR="00000000" w:rsidRDefault="0068293C">
            <w:pPr>
              <w:spacing w:after="100"/>
              <w:jc w:val="center"/>
              <w:rPr>
                <w:rFonts w:eastAsia="Times New Roman"/>
              </w:rPr>
            </w:pPr>
            <w:r>
              <w:rPr>
                <w:rFonts w:eastAsia="Times New Roman"/>
                <w:b/>
                <w:bCs/>
                <w:color w:val="000000"/>
                <w:sz w:val="16"/>
                <w:szCs w:val="16"/>
              </w:rPr>
              <w:t>2021</w:t>
            </w:r>
          </w:p>
        </w:tc>
      </w:tr>
      <w:tr w:rsidR="00000000" w14:paraId="3149F77B" w14:textId="77777777">
        <w:trPr>
          <w:divId w:val="676275637"/>
        </w:trPr>
        <w:tc>
          <w:tcPr>
            <w:tcW w:w="0" w:type="auto"/>
            <w:gridSpan w:val="3"/>
            <w:shd w:val="clear" w:color="auto" w:fill="CCEEFF"/>
            <w:tcMar>
              <w:top w:w="30" w:type="dxa"/>
              <w:left w:w="20" w:type="dxa"/>
              <w:bottom w:w="30" w:type="dxa"/>
              <w:right w:w="20" w:type="dxa"/>
            </w:tcMar>
            <w:hideMark/>
          </w:tcPr>
          <w:p w14:paraId="35470AD1" w14:textId="77777777" w:rsidR="00000000" w:rsidRDefault="0068293C">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76CB4C"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61CE25" w14:textId="77777777" w:rsidR="00000000" w:rsidRDefault="0068293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E295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61534" w14:textId="77777777" w:rsidR="00000000" w:rsidRDefault="006829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9830C0"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930CD2" w14:textId="77777777" w:rsidR="00000000" w:rsidRDefault="0068293C">
            <w:pPr>
              <w:spacing w:after="100"/>
              <w:jc w:val="right"/>
              <w:rPr>
                <w:rFonts w:eastAsia="Times New Roman"/>
              </w:rPr>
            </w:pPr>
            <w:r>
              <w:rPr>
                <w:rFonts w:eastAsia="Times New Roman"/>
                <w:color w:val="000000"/>
                <w:sz w:val="20"/>
                <w:szCs w:val="20"/>
              </w:rPr>
              <w:t>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5F8A51" w14:textId="77777777" w:rsidR="00000000" w:rsidRDefault="0068293C">
            <w:pPr>
              <w:spacing w:after="100"/>
              <w:jc w:val="right"/>
              <w:rPr>
                <w:rFonts w:eastAsia="Times New Roman"/>
              </w:rPr>
            </w:pPr>
          </w:p>
        </w:tc>
      </w:tr>
      <w:tr w:rsidR="00000000" w14:paraId="2668BA8E" w14:textId="77777777">
        <w:trPr>
          <w:divId w:val="676275637"/>
        </w:trPr>
        <w:tc>
          <w:tcPr>
            <w:tcW w:w="0" w:type="auto"/>
            <w:gridSpan w:val="3"/>
            <w:shd w:val="clear" w:color="auto" w:fill="FFFFFF"/>
            <w:tcMar>
              <w:top w:w="30" w:type="dxa"/>
              <w:left w:w="380" w:type="dxa"/>
              <w:bottom w:w="30" w:type="dxa"/>
              <w:right w:w="20" w:type="dxa"/>
            </w:tcMar>
            <w:hideMark/>
          </w:tcPr>
          <w:p w14:paraId="7DA7EA0B" w14:textId="77777777" w:rsidR="00000000" w:rsidRDefault="0068293C">
            <w:pPr>
              <w:spacing w:after="100"/>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14:paraId="2DCAA953" w14:textId="77777777" w:rsidR="00000000" w:rsidRDefault="0068293C">
            <w:pPr>
              <w:spacing w:after="100"/>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14:paraId="52CE9C69"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33804"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8E36C" w14:textId="77777777" w:rsidR="00000000" w:rsidRDefault="0068293C">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5E596446" w14:textId="77777777" w:rsidR="00000000" w:rsidRDefault="0068293C">
            <w:pPr>
              <w:spacing w:after="100"/>
              <w:jc w:val="right"/>
              <w:rPr>
                <w:rFonts w:eastAsia="Times New Roman"/>
              </w:rPr>
            </w:pPr>
          </w:p>
        </w:tc>
      </w:tr>
      <w:tr w:rsidR="00000000" w14:paraId="4D5E5161" w14:textId="77777777">
        <w:trPr>
          <w:divId w:val="676275637"/>
        </w:trPr>
        <w:tc>
          <w:tcPr>
            <w:tcW w:w="0" w:type="auto"/>
            <w:gridSpan w:val="3"/>
            <w:shd w:val="clear" w:color="auto" w:fill="CCEEFF"/>
            <w:tcMar>
              <w:top w:w="30" w:type="dxa"/>
              <w:left w:w="380" w:type="dxa"/>
              <w:bottom w:w="30" w:type="dxa"/>
              <w:right w:w="20" w:type="dxa"/>
            </w:tcMar>
            <w:hideMark/>
          </w:tcPr>
          <w:p w14:paraId="1AC9AD5C" w14:textId="77777777" w:rsidR="00000000" w:rsidRDefault="0068293C">
            <w:pPr>
              <w:spacing w:after="100"/>
              <w:rPr>
                <w:rFonts w:eastAsia="Times New Roman"/>
              </w:rPr>
            </w:pPr>
            <w:r>
              <w:rPr>
                <w:rFonts w:eastAsia="Times New Roman"/>
                <w:color w:val="000000"/>
                <w:sz w:val="20"/>
                <w:szCs w:val="20"/>
              </w:rPr>
              <w:t>Additions to capitalized software</w:t>
            </w:r>
          </w:p>
        </w:tc>
        <w:tc>
          <w:tcPr>
            <w:tcW w:w="0" w:type="auto"/>
            <w:gridSpan w:val="2"/>
            <w:shd w:val="clear" w:color="auto" w:fill="CCEEFF"/>
            <w:tcMar>
              <w:top w:w="30" w:type="dxa"/>
              <w:left w:w="20" w:type="dxa"/>
              <w:bottom w:w="30" w:type="dxa"/>
              <w:right w:w="0" w:type="dxa"/>
            </w:tcMar>
            <w:vAlign w:val="bottom"/>
            <w:hideMark/>
          </w:tcPr>
          <w:p w14:paraId="460C58BF" w14:textId="77777777" w:rsidR="00000000" w:rsidRDefault="0068293C">
            <w:pPr>
              <w:spacing w:after="100"/>
              <w:jc w:val="right"/>
              <w:rPr>
                <w:rFonts w:eastAsia="Times New Roman"/>
              </w:rPr>
            </w:pPr>
            <w:r>
              <w:rPr>
                <w:rFonts w:eastAsia="Times New Roman"/>
                <w:b/>
                <w:bCs/>
                <w:color w:val="000000"/>
                <w:sz w:val="20"/>
                <w:szCs w:val="20"/>
              </w:rPr>
              <w:t>(65)</w:t>
            </w:r>
          </w:p>
        </w:tc>
        <w:tc>
          <w:tcPr>
            <w:tcW w:w="0" w:type="auto"/>
            <w:shd w:val="clear" w:color="auto" w:fill="CCEEFF"/>
            <w:tcMar>
              <w:top w:w="30" w:type="dxa"/>
              <w:left w:w="0" w:type="dxa"/>
              <w:bottom w:w="30" w:type="dxa"/>
              <w:right w:w="20" w:type="dxa"/>
            </w:tcMar>
            <w:vAlign w:val="bottom"/>
            <w:hideMark/>
          </w:tcPr>
          <w:p w14:paraId="62B5654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C844E"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6C80CC" w14:textId="77777777" w:rsidR="00000000" w:rsidRDefault="0068293C">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0295F17F" w14:textId="77777777" w:rsidR="00000000" w:rsidRDefault="0068293C">
            <w:pPr>
              <w:spacing w:after="100"/>
              <w:jc w:val="right"/>
              <w:rPr>
                <w:rFonts w:eastAsia="Times New Roman"/>
              </w:rPr>
            </w:pPr>
          </w:p>
        </w:tc>
      </w:tr>
      <w:tr w:rsidR="00000000" w14:paraId="5F60D9A3" w14:textId="77777777">
        <w:trPr>
          <w:divId w:val="676275637"/>
        </w:trPr>
        <w:tc>
          <w:tcPr>
            <w:tcW w:w="0" w:type="auto"/>
            <w:gridSpan w:val="3"/>
            <w:shd w:val="clear" w:color="auto" w:fill="FFFFFF"/>
            <w:tcMar>
              <w:top w:w="30" w:type="dxa"/>
              <w:left w:w="380" w:type="dxa"/>
              <w:bottom w:w="30" w:type="dxa"/>
              <w:right w:w="20" w:type="dxa"/>
            </w:tcMar>
            <w:hideMark/>
          </w:tcPr>
          <w:p w14:paraId="3664D194" w14:textId="77777777" w:rsidR="00000000" w:rsidRDefault="0068293C">
            <w:pPr>
              <w:spacing w:after="100"/>
              <w:rPr>
                <w:rFonts w:eastAsia="Times New Roman"/>
              </w:rPr>
            </w:pPr>
            <w:r>
              <w:rPr>
                <w:rFonts w:eastAsia="Times New Roman"/>
                <w:color w:val="000000"/>
                <w:sz w:val="20"/>
                <w:szCs w:val="20"/>
              </w:rPr>
              <w:t>Restricted cash settlement activity</w:t>
            </w:r>
          </w:p>
        </w:tc>
        <w:tc>
          <w:tcPr>
            <w:tcW w:w="0" w:type="auto"/>
            <w:gridSpan w:val="2"/>
            <w:shd w:val="clear" w:color="auto" w:fill="FFFFFF"/>
            <w:tcMar>
              <w:top w:w="30" w:type="dxa"/>
              <w:left w:w="20" w:type="dxa"/>
              <w:bottom w:w="30" w:type="dxa"/>
              <w:right w:w="0" w:type="dxa"/>
            </w:tcMar>
            <w:vAlign w:val="bottom"/>
            <w:hideMark/>
          </w:tcPr>
          <w:p w14:paraId="54C8F55A" w14:textId="77777777" w:rsidR="00000000" w:rsidRDefault="0068293C">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796EB0"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82C7B" w14:textId="77777777" w:rsidR="00000000" w:rsidRDefault="006829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F3CA7" w14:textId="77777777" w:rsidR="00000000" w:rsidRDefault="0068293C">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5DF6C7EE" w14:textId="77777777" w:rsidR="00000000" w:rsidRDefault="0068293C">
            <w:pPr>
              <w:spacing w:after="100"/>
              <w:jc w:val="right"/>
              <w:rPr>
                <w:rFonts w:eastAsia="Times New Roman"/>
              </w:rPr>
            </w:pPr>
          </w:p>
        </w:tc>
      </w:tr>
      <w:tr w:rsidR="00000000" w14:paraId="3CAE7C61" w14:textId="77777777">
        <w:trPr>
          <w:divId w:val="676275637"/>
        </w:trPr>
        <w:tc>
          <w:tcPr>
            <w:tcW w:w="0" w:type="auto"/>
            <w:gridSpan w:val="3"/>
            <w:vAlign w:val="center"/>
            <w:hideMark/>
          </w:tcPr>
          <w:p w14:paraId="218A3CCD" w14:textId="77777777" w:rsidR="00000000" w:rsidRDefault="0068293C">
            <w:pPr>
              <w:spacing w:after="100"/>
              <w:jc w:val="right"/>
              <w:rPr>
                <w:rFonts w:eastAsia="Times New Roman"/>
                <w:sz w:val="20"/>
                <w:szCs w:val="20"/>
              </w:rPr>
            </w:pPr>
          </w:p>
        </w:tc>
        <w:tc>
          <w:tcPr>
            <w:tcW w:w="0" w:type="auto"/>
            <w:gridSpan w:val="3"/>
            <w:vAlign w:val="center"/>
            <w:hideMark/>
          </w:tcPr>
          <w:p w14:paraId="4F4B3E3E" w14:textId="77777777" w:rsidR="00000000" w:rsidRDefault="0068293C">
            <w:pPr>
              <w:spacing w:after="100"/>
              <w:rPr>
                <w:rFonts w:eastAsia="Times New Roman"/>
                <w:sz w:val="20"/>
                <w:szCs w:val="20"/>
              </w:rPr>
            </w:pPr>
          </w:p>
        </w:tc>
        <w:tc>
          <w:tcPr>
            <w:tcW w:w="0" w:type="auto"/>
            <w:gridSpan w:val="3"/>
            <w:vAlign w:val="center"/>
            <w:hideMark/>
          </w:tcPr>
          <w:p w14:paraId="149FAC17" w14:textId="77777777" w:rsidR="00000000" w:rsidRDefault="0068293C">
            <w:pPr>
              <w:spacing w:after="100"/>
              <w:rPr>
                <w:rFonts w:eastAsia="Times New Roman"/>
                <w:sz w:val="20"/>
                <w:szCs w:val="20"/>
              </w:rPr>
            </w:pPr>
          </w:p>
        </w:tc>
        <w:tc>
          <w:tcPr>
            <w:tcW w:w="0" w:type="auto"/>
            <w:gridSpan w:val="3"/>
            <w:vAlign w:val="center"/>
            <w:hideMark/>
          </w:tcPr>
          <w:p w14:paraId="4C99A07B" w14:textId="77777777" w:rsidR="00000000" w:rsidRDefault="0068293C">
            <w:pPr>
              <w:spacing w:after="100"/>
              <w:rPr>
                <w:rFonts w:eastAsia="Times New Roman"/>
                <w:sz w:val="20"/>
                <w:szCs w:val="20"/>
              </w:rPr>
            </w:pPr>
          </w:p>
        </w:tc>
      </w:tr>
      <w:tr w:rsidR="00000000" w14:paraId="22874324" w14:textId="77777777">
        <w:trPr>
          <w:divId w:val="676275637"/>
        </w:trPr>
        <w:tc>
          <w:tcPr>
            <w:tcW w:w="0" w:type="auto"/>
            <w:gridSpan w:val="3"/>
            <w:vAlign w:val="center"/>
            <w:hideMark/>
          </w:tcPr>
          <w:p w14:paraId="0CE66C15" w14:textId="77777777" w:rsidR="00000000" w:rsidRDefault="0068293C">
            <w:pPr>
              <w:spacing w:after="100"/>
              <w:rPr>
                <w:rFonts w:eastAsia="Times New Roman"/>
                <w:sz w:val="20"/>
                <w:szCs w:val="20"/>
              </w:rPr>
            </w:pPr>
          </w:p>
        </w:tc>
        <w:tc>
          <w:tcPr>
            <w:tcW w:w="0" w:type="auto"/>
            <w:gridSpan w:val="3"/>
            <w:vAlign w:val="center"/>
            <w:hideMark/>
          </w:tcPr>
          <w:p w14:paraId="7ECD291B" w14:textId="77777777" w:rsidR="00000000" w:rsidRDefault="0068293C">
            <w:pPr>
              <w:spacing w:after="100"/>
              <w:rPr>
                <w:rFonts w:eastAsia="Times New Roman"/>
                <w:sz w:val="20"/>
                <w:szCs w:val="20"/>
              </w:rPr>
            </w:pPr>
          </w:p>
        </w:tc>
        <w:tc>
          <w:tcPr>
            <w:tcW w:w="0" w:type="auto"/>
            <w:gridSpan w:val="3"/>
            <w:vAlign w:val="center"/>
            <w:hideMark/>
          </w:tcPr>
          <w:p w14:paraId="1FAEFBF4" w14:textId="77777777" w:rsidR="00000000" w:rsidRDefault="0068293C">
            <w:pPr>
              <w:spacing w:after="100"/>
              <w:rPr>
                <w:rFonts w:eastAsia="Times New Roman"/>
                <w:sz w:val="20"/>
                <w:szCs w:val="20"/>
              </w:rPr>
            </w:pPr>
          </w:p>
        </w:tc>
        <w:tc>
          <w:tcPr>
            <w:tcW w:w="0" w:type="auto"/>
            <w:gridSpan w:val="3"/>
            <w:vAlign w:val="center"/>
            <w:hideMark/>
          </w:tcPr>
          <w:p w14:paraId="17047EF5" w14:textId="77777777" w:rsidR="00000000" w:rsidRDefault="0068293C">
            <w:pPr>
              <w:spacing w:after="100"/>
              <w:rPr>
                <w:rFonts w:eastAsia="Times New Roman"/>
                <w:sz w:val="20"/>
                <w:szCs w:val="20"/>
              </w:rPr>
            </w:pPr>
          </w:p>
        </w:tc>
      </w:tr>
      <w:tr w:rsidR="00000000" w14:paraId="59BF2E38" w14:textId="77777777">
        <w:trPr>
          <w:divId w:val="676275637"/>
        </w:trPr>
        <w:tc>
          <w:tcPr>
            <w:tcW w:w="0" w:type="auto"/>
            <w:gridSpan w:val="3"/>
            <w:shd w:val="clear" w:color="auto" w:fill="CCEEFF"/>
            <w:tcMar>
              <w:top w:w="30" w:type="dxa"/>
              <w:left w:w="380" w:type="dxa"/>
              <w:bottom w:w="30" w:type="dxa"/>
              <w:right w:w="20" w:type="dxa"/>
            </w:tcMar>
            <w:hideMark/>
          </w:tcPr>
          <w:p w14:paraId="3A277027" w14:textId="77777777" w:rsidR="00000000" w:rsidRDefault="0068293C">
            <w:pPr>
              <w:spacing w:after="100"/>
              <w:rPr>
                <w:rFonts w:eastAsia="Times New Roman"/>
              </w:rPr>
            </w:pPr>
            <w:r>
              <w:rPr>
                <w:rFonts w:eastAsia="Times New Roman"/>
                <w:color w:val="000000"/>
                <w:sz w:val="20"/>
                <w:szCs w:val="20"/>
              </w:rPr>
              <w:t>Pension contributions</w:t>
            </w:r>
          </w:p>
        </w:tc>
        <w:tc>
          <w:tcPr>
            <w:tcW w:w="0" w:type="auto"/>
            <w:gridSpan w:val="2"/>
            <w:shd w:val="clear" w:color="auto" w:fill="CCEEFF"/>
            <w:tcMar>
              <w:top w:w="30" w:type="dxa"/>
              <w:left w:w="20" w:type="dxa"/>
              <w:bottom w:w="30" w:type="dxa"/>
              <w:right w:w="0" w:type="dxa"/>
            </w:tcMar>
            <w:vAlign w:val="bottom"/>
            <w:hideMark/>
          </w:tcPr>
          <w:p w14:paraId="16066B3A" w14:textId="77777777" w:rsidR="00000000" w:rsidRDefault="0068293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4C487F" w14:textId="77777777" w:rsidR="00000000" w:rsidRDefault="006829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5DAFE" w14:textId="77777777" w:rsidR="00000000" w:rsidRDefault="006829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F3E95" w14:textId="77777777" w:rsidR="00000000" w:rsidRDefault="0068293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4D809ACB" w14:textId="77777777" w:rsidR="00000000" w:rsidRDefault="0068293C">
            <w:pPr>
              <w:spacing w:after="100"/>
              <w:jc w:val="right"/>
              <w:rPr>
                <w:rFonts w:eastAsia="Times New Roman"/>
              </w:rPr>
            </w:pPr>
          </w:p>
        </w:tc>
      </w:tr>
      <w:tr w:rsidR="00000000" w14:paraId="011CB17F" w14:textId="77777777">
        <w:trPr>
          <w:divId w:val="676275637"/>
        </w:trPr>
        <w:tc>
          <w:tcPr>
            <w:tcW w:w="0" w:type="auto"/>
            <w:gridSpan w:val="3"/>
            <w:shd w:val="clear" w:color="auto" w:fill="FFFFFF"/>
            <w:tcMar>
              <w:top w:w="30" w:type="dxa"/>
              <w:left w:w="20" w:type="dxa"/>
              <w:bottom w:w="30" w:type="dxa"/>
              <w:right w:w="20" w:type="dxa"/>
            </w:tcMar>
            <w:hideMark/>
          </w:tcPr>
          <w:p w14:paraId="165CF755" w14:textId="77777777" w:rsidR="00000000" w:rsidRDefault="0068293C">
            <w:pPr>
              <w:spacing w:after="100"/>
              <w:rPr>
                <w:rFonts w:eastAsia="Times New Roman"/>
              </w:rPr>
            </w:pPr>
            <w:r>
              <w:rPr>
                <w:rFonts w:eastAsia="Times New Roman"/>
                <w:color w:val="000000"/>
                <w:sz w:val="20"/>
                <w:szCs w:val="20"/>
              </w:rPr>
              <w:t>Free cash flow (non-GAAP)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893B51" w14:textId="77777777" w:rsidR="00000000" w:rsidRDefault="0068293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B5582F" w14:textId="77777777" w:rsidR="00000000" w:rsidRDefault="0068293C">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04E108" w14:textId="77777777" w:rsidR="00000000" w:rsidRDefault="006829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9E791" w14:textId="77777777" w:rsidR="00000000" w:rsidRDefault="006829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758297" w14:textId="77777777" w:rsidR="00000000" w:rsidRDefault="006829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1F9752" w14:textId="77777777" w:rsidR="00000000" w:rsidRDefault="0068293C">
            <w:pPr>
              <w:spacing w:after="100"/>
              <w:jc w:val="right"/>
              <w:rPr>
                <w:rFonts w:eastAsia="Times New Roman"/>
              </w:rPr>
            </w:pPr>
            <w:r>
              <w:rPr>
                <w:rFonts w:eastAsia="Times New Roman"/>
                <w:color w:val="000000"/>
                <w:sz w:val="20"/>
                <w:szCs w:val="20"/>
              </w:rPr>
              <w:t>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FD1508" w14:textId="77777777" w:rsidR="00000000" w:rsidRDefault="0068293C">
            <w:pPr>
              <w:spacing w:after="100"/>
              <w:jc w:val="right"/>
              <w:rPr>
                <w:rFonts w:eastAsia="Times New Roman"/>
              </w:rPr>
            </w:pPr>
          </w:p>
        </w:tc>
      </w:tr>
    </w:tbl>
    <w:p w14:paraId="44D20398" w14:textId="77777777" w:rsidR="00000000" w:rsidRDefault="0068293C">
      <w:pPr>
        <w:divId w:val="426854375"/>
        <w:rPr>
          <w:rFonts w:eastAsia="Times New Roman"/>
        </w:rPr>
      </w:pPr>
    </w:p>
    <w:p w14:paraId="47E0A95F" w14:textId="77777777" w:rsidR="00000000" w:rsidRDefault="0068293C">
      <w:pPr>
        <w:jc w:val="both"/>
        <w:rPr>
          <w:rFonts w:eastAsia="Times New Roman"/>
        </w:rPr>
      </w:pPr>
      <w:r>
        <w:rPr>
          <w:rFonts w:eastAsia="Times New Roman"/>
          <w:color w:val="000000"/>
          <w:sz w:val="20"/>
          <w:szCs w:val="20"/>
        </w:rPr>
        <w:t>Financing activities and certain other investing activities are not included in our calculation of free cash flow. Other investing activities primarily include business acquisitions, divestitures and investments. During the three months ended March 31, 202</w:t>
      </w:r>
      <w:r>
        <w:rPr>
          <w:rFonts w:eastAsia="Times New Roman"/>
          <w:color w:val="000000"/>
          <w:sz w:val="20"/>
          <w:szCs w:val="20"/>
        </w:rPr>
        <w:t>2, the payments for business combinations totaled $1 million, net of cash acquired, for the cash consideration paid related to the acquisition of LibertyX completed in January of 2022 and the acquisition of Cardtronics in June of 2021. The LibertyX acquisi</w:t>
      </w:r>
      <w:r>
        <w:rPr>
          <w:rFonts w:eastAsia="Times New Roman"/>
          <w:color w:val="000000"/>
          <w:sz w:val="20"/>
          <w:szCs w:val="20"/>
        </w:rPr>
        <w:t>tion was completed via issuance of NCR common stock in exchange for the outstanding shares of LibertyX. During the three months ended March 31, 2021, the payments for business combinations was $157 million, mainly related to the acquisitions completed in t</w:t>
      </w:r>
      <w:r>
        <w:rPr>
          <w:rFonts w:eastAsia="Times New Roman"/>
          <w:color w:val="000000"/>
          <w:sz w:val="20"/>
          <w:szCs w:val="20"/>
        </w:rPr>
        <w:t>he first quarter of 2021.</w:t>
      </w:r>
    </w:p>
    <w:p w14:paraId="10CE8DF0" w14:textId="77777777" w:rsidR="00000000" w:rsidRDefault="0068293C">
      <w:pPr>
        <w:jc w:val="both"/>
        <w:rPr>
          <w:rFonts w:eastAsia="Times New Roman"/>
        </w:rPr>
      </w:pPr>
    </w:p>
    <w:p w14:paraId="5F27DD4B" w14:textId="77777777" w:rsidR="00000000" w:rsidRDefault="0068293C">
      <w:pPr>
        <w:jc w:val="both"/>
        <w:rPr>
          <w:rFonts w:eastAsia="Times New Roman"/>
        </w:rPr>
      </w:pPr>
      <w:r>
        <w:rPr>
          <w:rFonts w:eastAsia="Times New Roman"/>
          <w:color w:val="000000"/>
          <w:sz w:val="20"/>
          <w:szCs w:val="20"/>
        </w:rPr>
        <w:t>Our financing activities include borrowings and repayments of credit facilities. Financing activities during the three months ended March 31, 2022 also included dividends paid on the Series A preferred stock of $4 million, proceeds from employee stock plan</w:t>
      </w:r>
      <w:r>
        <w:rPr>
          <w:rFonts w:eastAsia="Times New Roman"/>
          <w:color w:val="000000"/>
          <w:sz w:val="20"/>
          <w:szCs w:val="20"/>
        </w:rPr>
        <w:t>s of $6 million as well as tax withholding payments on behalf of employees for stock based awards that vested of $36 million. Financing activities during the three months ended March 31, 2021 included dividends paid on the Series A preferred stock of $4 mi</w:t>
      </w:r>
      <w:r>
        <w:rPr>
          <w:rFonts w:eastAsia="Times New Roman"/>
          <w:color w:val="000000"/>
          <w:sz w:val="20"/>
          <w:szCs w:val="20"/>
        </w:rPr>
        <w:t>llion, proceeds from stock employee plans of $8 million, and tax withholding payments on behalf of employees for stock based awards that vested of $22 million.</w:t>
      </w:r>
    </w:p>
    <w:p w14:paraId="17616D6D" w14:textId="77777777" w:rsidR="00000000" w:rsidRDefault="0068293C">
      <w:pPr>
        <w:jc w:val="both"/>
        <w:rPr>
          <w:rFonts w:eastAsia="Times New Roman"/>
        </w:rPr>
      </w:pPr>
    </w:p>
    <w:p w14:paraId="0FAFA6A6" w14:textId="77777777" w:rsidR="00000000" w:rsidRDefault="0068293C">
      <w:pPr>
        <w:jc w:val="both"/>
        <w:rPr>
          <w:rFonts w:eastAsia="Times New Roman"/>
        </w:rPr>
      </w:pPr>
      <w:r>
        <w:rPr>
          <w:rFonts w:eastAsia="Times New Roman"/>
          <w:b/>
          <w:bCs/>
          <w:color w:val="000000"/>
          <w:sz w:val="20"/>
          <w:szCs w:val="20"/>
        </w:rPr>
        <w:t>Long Term Borrowings</w:t>
      </w:r>
      <w:r>
        <w:rPr>
          <w:rFonts w:eastAsia="Times New Roman"/>
          <w:color w:val="000000"/>
          <w:sz w:val="20"/>
          <w:szCs w:val="20"/>
        </w:rPr>
        <w:t xml:space="preserve"> The senior secured credit facility consists of term loan facilities in an</w:t>
      </w:r>
      <w:r>
        <w:rPr>
          <w:rFonts w:eastAsia="Times New Roman"/>
          <w:color w:val="000000"/>
          <w:sz w:val="20"/>
          <w:szCs w:val="20"/>
        </w:rPr>
        <w:t xml:space="preserve"> aggregate principal amount of $2.055 billion, of which $1.94 billion was outstanding as of March 31, 2022. Additionally, the senior secured credit facility provides for a five-year revolving credit facility with an aggregate principal amount of $1.3 billi</w:t>
      </w:r>
      <w:r>
        <w:rPr>
          <w:rFonts w:eastAsia="Times New Roman"/>
          <w:color w:val="000000"/>
          <w:sz w:val="20"/>
          <w:szCs w:val="20"/>
        </w:rPr>
        <w:t xml:space="preserve">on, of which $415 million was outstanding as of March 31, 2022. The Revolving Credit Facility also contains a sub-facility to be used for letters of credit, and as of March 31, 2022, there were $24 million letters of credit outstanding. </w:t>
      </w:r>
    </w:p>
    <w:p w14:paraId="6098DCAF" w14:textId="77777777" w:rsidR="00000000" w:rsidRDefault="0068293C">
      <w:pPr>
        <w:jc w:val="both"/>
        <w:rPr>
          <w:rFonts w:eastAsia="Times New Roman"/>
        </w:rPr>
      </w:pPr>
    </w:p>
    <w:p w14:paraId="6357101F" w14:textId="77777777" w:rsidR="00000000" w:rsidRDefault="0068293C">
      <w:pPr>
        <w:jc w:val="both"/>
        <w:rPr>
          <w:rFonts w:eastAsia="Times New Roman"/>
        </w:rPr>
      </w:pPr>
      <w:r>
        <w:rPr>
          <w:rFonts w:eastAsia="Times New Roman"/>
          <w:color w:val="000000"/>
          <w:sz w:val="20"/>
          <w:szCs w:val="20"/>
        </w:rPr>
        <w:t xml:space="preserve">As of March 31, </w:t>
      </w:r>
      <w:r>
        <w:rPr>
          <w:rFonts w:eastAsia="Times New Roman"/>
          <w:color w:val="000000"/>
          <w:sz w:val="20"/>
          <w:szCs w:val="20"/>
        </w:rPr>
        <w:t xml:space="preserve">2022, we had outstanding $1.2 billion in aggregate principal balance of 5.125% senior unsecured notes due in 2029, $500 million in aggregate principal balance of 5.750% senior unsecured notes due in 2027, $650 million aggregate principal balance of 5.000% </w:t>
      </w:r>
      <w:r>
        <w:rPr>
          <w:rFonts w:eastAsia="Times New Roman"/>
          <w:color w:val="000000"/>
          <w:sz w:val="20"/>
          <w:szCs w:val="20"/>
        </w:rPr>
        <w:t>senior unsecured notes due in 2028, $500 million in aggregate principal balance of 6.125% senior unsecured notes due in 2029, and $450 million in aggregate principal balance of 5.250% senior unsecured notes due in 2030.</w:t>
      </w:r>
    </w:p>
    <w:p w14:paraId="1E125A58" w14:textId="77777777" w:rsidR="00000000" w:rsidRDefault="0068293C">
      <w:pPr>
        <w:jc w:val="both"/>
        <w:rPr>
          <w:rFonts w:eastAsia="Times New Roman"/>
        </w:rPr>
      </w:pPr>
    </w:p>
    <w:p w14:paraId="412096B8" w14:textId="77777777" w:rsidR="00000000" w:rsidRDefault="0068293C">
      <w:pPr>
        <w:jc w:val="both"/>
        <w:rPr>
          <w:rFonts w:eastAsia="Times New Roman"/>
        </w:rPr>
      </w:pPr>
      <w:r>
        <w:rPr>
          <w:rFonts w:eastAsia="Times New Roman"/>
          <w:color w:val="000000"/>
          <w:sz w:val="20"/>
          <w:szCs w:val="20"/>
        </w:rPr>
        <w:t>See Note 5, “Debt Obligations”, of</w:t>
      </w:r>
      <w:r>
        <w:rPr>
          <w:rFonts w:eastAsia="Times New Roman"/>
          <w:color w:val="000000"/>
          <w:sz w:val="20"/>
          <w:szCs w:val="20"/>
        </w:rPr>
        <w:t xml:space="preserve"> the Notes to Condensed Consolidated Financial Statements included in Item 1 of this Report for further information on the senior secured credit facility.</w:t>
      </w:r>
    </w:p>
    <w:p w14:paraId="1A42E5E4" w14:textId="77777777" w:rsidR="00000000" w:rsidRDefault="0068293C">
      <w:pPr>
        <w:jc w:val="both"/>
        <w:rPr>
          <w:rFonts w:eastAsia="Times New Roman"/>
        </w:rPr>
      </w:pPr>
    </w:p>
    <w:p w14:paraId="137A1587" w14:textId="77777777" w:rsidR="00000000" w:rsidRDefault="0068293C">
      <w:pPr>
        <w:jc w:val="both"/>
        <w:rPr>
          <w:rFonts w:eastAsia="Times New Roman"/>
        </w:rPr>
      </w:pPr>
      <w:r>
        <w:rPr>
          <w:rFonts w:eastAsia="Times New Roman"/>
          <w:b/>
          <w:bCs/>
          <w:color w:val="000000"/>
          <w:sz w:val="20"/>
          <w:szCs w:val="20"/>
        </w:rPr>
        <w:t xml:space="preserve">Employee Benefit Plans </w:t>
      </w:r>
      <w:r>
        <w:rPr>
          <w:rFonts w:eastAsia="Times New Roman"/>
          <w:color w:val="000000"/>
          <w:sz w:val="20"/>
          <w:szCs w:val="20"/>
        </w:rPr>
        <w:t>In 2022, we expect to make contributions of $17 million to our international</w:t>
      </w:r>
      <w:r>
        <w:rPr>
          <w:rFonts w:eastAsia="Times New Roman"/>
          <w:color w:val="000000"/>
          <w:sz w:val="20"/>
          <w:szCs w:val="20"/>
        </w:rPr>
        <w:t xml:space="preserve"> pension plans, $30 million to our postemployment plan and $1 million to our postretirement plan. For additional information, refer to Note 9, “Employee Benefit Plans” of the Notes to Condensed Consolidated Financial Statements.</w:t>
      </w:r>
    </w:p>
    <w:p w14:paraId="4D988A46" w14:textId="77777777" w:rsidR="00000000" w:rsidRDefault="0068293C">
      <w:pPr>
        <w:jc w:val="both"/>
        <w:rPr>
          <w:rFonts w:eastAsia="Times New Roman"/>
        </w:rPr>
      </w:pPr>
    </w:p>
    <w:p w14:paraId="6FFD7C0A" w14:textId="77777777" w:rsidR="00000000" w:rsidRDefault="0068293C">
      <w:pPr>
        <w:jc w:val="both"/>
        <w:rPr>
          <w:rFonts w:eastAsia="Times New Roman"/>
        </w:rPr>
      </w:pPr>
      <w:r>
        <w:rPr>
          <w:rFonts w:eastAsia="Times New Roman"/>
          <w:b/>
          <w:bCs/>
          <w:color w:val="000000"/>
          <w:sz w:val="20"/>
          <w:szCs w:val="20"/>
        </w:rPr>
        <w:t>Series A Convertible Pref</w:t>
      </w:r>
      <w:r>
        <w:rPr>
          <w:rFonts w:eastAsia="Times New Roman"/>
          <w:b/>
          <w:bCs/>
          <w:color w:val="000000"/>
          <w:sz w:val="20"/>
          <w:szCs w:val="20"/>
        </w:rPr>
        <w:t>erred Stock</w:t>
      </w:r>
      <w:r>
        <w:rPr>
          <w:rFonts w:eastAsia="Times New Roman"/>
          <w:color w:val="000000"/>
          <w:sz w:val="20"/>
          <w:szCs w:val="20"/>
        </w:rPr>
        <w:t xml:space="preserve"> As of March 31, 2022, the redemption value of the Series A Preferred Stock was approximately $276 million. Holders of Series A Convertible Preferred Stock are entitled to a cumulative dividend at the rate of 5.5% per annum, payable quarterly in</w:t>
      </w:r>
      <w:r>
        <w:rPr>
          <w:rFonts w:eastAsia="Times New Roman"/>
          <w:color w:val="000000"/>
          <w:sz w:val="20"/>
          <w:szCs w:val="20"/>
        </w:rPr>
        <w:t xml:space="preserve"> arrears. Beginning in the first quarter of 2020, dividends are payable in cash or in-kind at the option of the Company. During the three months ended March 31, 2022 and 2021, the Company paid cash dividends of $4 million.</w:t>
      </w:r>
    </w:p>
    <w:p w14:paraId="6A8C78F3" w14:textId="77777777" w:rsidR="00000000" w:rsidRDefault="0068293C">
      <w:pPr>
        <w:jc w:val="both"/>
        <w:rPr>
          <w:rFonts w:eastAsia="Times New Roman"/>
        </w:rPr>
      </w:pPr>
    </w:p>
    <w:p w14:paraId="2A090315" w14:textId="77777777" w:rsidR="00000000" w:rsidRDefault="0068293C">
      <w:pPr>
        <w:jc w:val="both"/>
        <w:rPr>
          <w:rFonts w:eastAsia="Times New Roman"/>
        </w:rPr>
      </w:pPr>
      <w:r>
        <w:rPr>
          <w:rFonts w:eastAsia="Times New Roman"/>
          <w:color w:val="000000"/>
          <w:sz w:val="20"/>
          <w:szCs w:val="20"/>
        </w:rPr>
        <w:t>The Series A Convertible Prefer</w:t>
      </w:r>
      <w:r>
        <w:rPr>
          <w:rFonts w:eastAsia="Times New Roman"/>
          <w:color w:val="000000"/>
          <w:sz w:val="20"/>
          <w:szCs w:val="20"/>
        </w:rPr>
        <w:t>red Stock is convertible at the option of the holders at any time into shares of common stock at a conversion price of $30.00 per share, or a conversion rate of 33.333 shares of common stock per share of Series A Convertible Preferred Stock. As of March 31</w:t>
      </w:r>
      <w:r>
        <w:rPr>
          <w:rFonts w:eastAsia="Times New Roman"/>
          <w:color w:val="000000"/>
          <w:sz w:val="20"/>
          <w:szCs w:val="20"/>
        </w:rPr>
        <w:t xml:space="preserve">, 2022 and December 31, 2021, the maximum number of common shares that </w:t>
      </w:r>
    </w:p>
    <w:p w14:paraId="36C7F952" w14:textId="77777777" w:rsidR="00000000" w:rsidRDefault="0068293C">
      <w:pPr>
        <w:jc w:val="center"/>
        <w:divId w:val="424497732"/>
        <w:rPr>
          <w:rFonts w:eastAsia="Times New Roman"/>
        </w:rPr>
      </w:pPr>
      <w:r>
        <w:rPr>
          <w:rFonts w:eastAsia="Times New Roman"/>
          <w:color w:val="000000"/>
          <w:sz w:val="20"/>
          <w:szCs w:val="20"/>
        </w:rPr>
        <w:t>45</w:t>
      </w:r>
    </w:p>
    <w:p w14:paraId="30B49D93" w14:textId="77777777" w:rsidR="00000000" w:rsidRDefault="0068293C">
      <w:pPr>
        <w:rPr>
          <w:rFonts w:eastAsia="Times New Roman"/>
        </w:rPr>
      </w:pPr>
      <w:r>
        <w:rPr>
          <w:rFonts w:eastAsia="Times New Roman"/>
        </w:rPr>
        <w:pict w14:anchorId="1B1F2B32">
          <v:rect id="_x0000_i1070" style="width:0;height:1.5pt" o:hralign="center" o:hrstd="t" o:hr="t" fillcolor="#a0a0a0" stroked="f"/>
        </w:pict>
      </w:r>
    </w:p>
    <w:p w14:paraId="1C0DE1A1" w14:textId="77777777" w:rsidR="00000000" w:rsidRDefault="0068293C">
      <w:pPr>
        <w:divId w:val="180319151"/>
        <w:rPr>
          <w:rFonts w:eastAsia="Times New Roman"/>
        </w:rPr>
      </w:pPr>
      <w:hyperlink w:anchor="i78484f3d0d8e4e36a7c87ddd6ea9d725_7" w:history="1">
        <w:r>
          <w:rPr>
            <w:rStyle w:val="a3"/>
            <w:rFonts w:eastAsia="Times New Roman"/>
            <w:sz w:val="16"/>
            <w:szCs w:val="16"/>
          </w:rPr>
          <w:t>Table of Contents</w:t>
        </w:r>
      </w:hyperlink>
    </w:p>
    <w:p w14:paraId="5B958D11" w14:textId="77777777" w:rsidR="00000000" w:rsidRDefault="0068293C">
      <w:pPr>
        <w:jc w:val="both"/>
        <w:rPr>
          <w:rFonts w:eastAsia="Times New Roman"/>
        </w:rPr>
      </w:pPr>
      <w:r>
        <w:rPr>
          <w:rFonts w:eastAsia="Times New Roman"/>
          <w:color w:val="000000"/>
          <w:sz w:val="20"/>
          <w:szCs w:val="20"/>
        </w:rPr>
        <w:t>could be required to be issued upon conversion of the outstanding sh</w:t>
      </w:r>
      <w:r>
        <w:rPr>
          <w:rFonts w:eastAsia="Times New Roman"/>
          <w:color w:val="000000"/>
          <w:sz w:val="20"/>
          <w:szCs w:val="20"/>
        </w:rPr>
        <w:t>ares of the Series A Convertible Preferred Stock was 9.2 million shares.</w:t>
      </w:r>
    </w:p>
    <w:p w14:paraId="1351AC21" w14:textId="77777777" w:rsidR="00000000" w:rsidRDefault="0068293C">
      <w:pPr>
        <w:jc w:val="both"/>
        <w:rPr>
          <w:rFonts w:eastAsia="Times New Roman"/>
        </w:rPr>
      </w:pPr>
    </w:p>
    <w:p w14:paraId="3F45377E" w14:textId="77777777" w:rsidR="00000000" w:rsidRDefault="0068293C">
      <w:pPr>
        <w:jc w:val="both"/>
        <w:rPr>
          <w:rFonts w:eastAsia="Times New Roman"/>
        </w:rPr>
      </w:pPr>
      <w:r>
        <w:rPr>
          <w:rFonts w:eastAsia="Times New Roman"/>
          <w:b/>
          <w:bCs/>
          <w:color w:val="000000"/>
          <w:sz w:val="20"/>
          <w:szCs w:val="20"/>
        </w:rPr>
        <w:t xml:space="preserve">Cash and Cash Equivalents Held by Foreign Subsidiaries </w:t>
      </w:r>
      <w:r>
        <w:rPr>
          <w:rFonts w:eastAsia="Times New Roman"/>
          <w:color w:val="000000"/>
          <w:sz w:val="20"/>
          <w:szCs w:val="20"/>
        </w:rPr>
        <w:t xml:space="preserve">Cash and cash equivalents held by the Company's foreign subsidiaries at March 31, 2022 and December 31, 2021 were </w:t>
      </w:r>
      <w:r>
        <w:rPr>
          <w:rFonts w:eastAsia="Times New Roman"/>
          <w:color w:val="000000"/>
          <w:sz w:val="20"/>
          <w:szCs w:val="20"/>
          <w:shd w:val="clear" w:color="auto" w:fill="FFFFFF"/>
        </w:rPr>
        <w:t>$336 million</w:t>
      </w:r>
      <w:r>
        <w:rPr>
          <w:rFonts w:eastAsia="Times New Roman"/>
          <w:color w:val="000000"/>
          <w:sz w:val="20"/>
          <w:szCs w:val="20"/>
          <w:shd w:val="clear" w:color="auto" w:fill="FFFFFF"/>
        </w:rPr>
        <w:t xml:space="preserve"> </w:t>
      </w:r>
      <w:r>
        <w:rPr>
          <w:rFonts w:eastAsia="Times New Roman"/>
          <w:color w:val="000000"/>
          <w:sz w:val="20"/>
          <w:szCs w:val="20"/>
        </w:rPr>
        <w:t>and $412 million, respectively. Under current tax laws and regulations, if cash and cash equivalents and short-term investments held outside the U.S. are distributed to the U.S. in the form of dividends or otherwise, we may be subject to additional U.S. i</w:t>
      </w:r>
      <w:r>
        <w:rPr>
          <w:rFonts w:eastAsia="Times New Roman"/>
          <w:color w:val="000000"/>
          <w:sz w:val="20"/>
          <w:szCs w:val="20"/>
        </w:rPr>
        <w:t>ncome taxes and foreign withholding taxes, which could be significant.</w:t>
      </w:r>
    </w:p>
    <w:p w14:paraId="5D6EBDE1" w14:textId="77777777" w:rsidR="00000000" w:rsidRDefault="0068293C">
      <w:pPr>
        <w:jc w:val="both"/>
        <w:rPr>
          <w:rFonts w:eastAsia="Times New Roman"/>
        </w:rPr>
      </w:pPr>
    </w:p>
    <w:p w14:paraId="7C774A29" w14:textId="77777777" w:rsidR="00000000" w:rsidRDefault="0068293C">
      <w:pPr>
        <w:jc w:val="both"/>
        <w:rPr>
          <w:rFonts w:eastAsia="Times New Roman"/>
        </w:rPr>
      </w:pPr>
      <w:r>
        <w:rPr>
          <w:rFonts w:eastAsia="Times New Roman"/>
          <w:b/>
          <w:bCs/>
          <w:color w:val="000000"/>
          <w:sz w:val="20"/>
          <w:szCs w:val="20"/>
        </w:rPr>
        <w:t xml:space="preserve">Summary </w:t>
      </w:r>
      <w:r>
        <w:rPr>
          <w:rFonts w:eastAsia="Times New Roman"/>
          <w:color w:val="000000"/>
          <w:sz w:val="20"/>
          <w:szCs w:val="20"/>
        </w:rPr>
        <w:t>As of March 31, 2022, our cash and cash equivalents totaled $412 million and our total debt was $5.66 billion, excluding deferred fees. As of March 31, 2022, our borrowing cap</w:t>
      </w:r>
      <w:r>
        <w:rPr>
          <w:rFonts w:eastAsia="Times New Roman"/>
          <w:color w:val="000000"/>
          <w:sz w:val="20"/>
          <w:szCs w:val="20"/>
        </w:rPr>
        <w:t>acity under the revolving credit facility was approximately $861 million. Our ability to generate positive cash flows from operations is dependent on general economic conditions, the competitive environment in our industry, and is subject to the business a</w:t>
      </w:r>
      <w:r>
        <w:rPr>
          <w:rFonts w:eastAsia="Times New Roman"/>
          <w:color w:val="000000"/>
          <w:sz w:val="20"/>
          <w:szCs w:val="20"/>
        </w:rPr>
        <w:t>nd other risk factors described in Item 1A of Part I of the Company’s 2021 Annual Report on Form 10-K and Item 1A of Part II of this Quarterly Report on Form 10-Q (as applicable). If we are unable to generate sufficient cash flows from operations, or other</w:t>
      </w:r>
      <w:r>
        <w:rPr>
          <w:rFonts w:eastAsia="Times New Roman"/>
          <w:color w:val="000000"/>
          <w:sz w:val="20"/>
          <w:szCs w:val="20"/>
        </w:rPr>
        <w:t>wise comply with the terms of our credit facilities, we may be required to seek additional financing alternatives.</w:t>
      </w:r>
    </w:p>
    <w:p w14:paraId="0764F68B" w14:textId="77777777" w:rsidR="00000000" w:rsidRDefault="0068293C">
      <w:pPr>
        <w:jc w:val="both"/>
        <w:rPr>
          <w:rFonts w:eastAsia="Times New Roman"/>
        </w:rPr>
      </w:pPr>
    </w:p>
    <w:p w14:paraId="4752D87C" w14:textId="77777777" w:rsidR="00000000" w:rsidRDefault="0068293C">
      <w:pPr>
        <w:jc w:val="both"/>
        <w:rPr>
          <w:rFonts w:eastAsia="Times New Roman"/>
        </w:rPr>
      </w:pPr>
      <w:r>
        <w:rPr>
          <w:rFonts w:eastAsia="Times New Roman"/>
          <w:color w:val="000000"/>
          <w:sz w:val="20"/>
          <w:szCs w:val="20"/>
        </w:rPr>
        <w:t xml:space="preserve">We believe that we have sufficient liquidity based on our current cash position, cash flows from operations and existing financing to meet </w:t>
      </w:r>
      <w:r>
        <w:rPr>
          <w:rFonts w:eastAsia="Times New Roman"/>
          <w:color w:val="000000"/>
          <w:sz w:val="20"/>
          <w:szCs w:val="20"/>
        </w:rPr>
        <w:t>our expected pension, postemployment, and postretirement plan contributions, remediation payments related to environmental matters, debt servicing obligations, payments related to transformation initiatives, and in the long-term (i.e., beyond March 31, 202</w:t>
      </w:r>
      <w:r>
        <w:rPr>
          <w:rFonts w:eastAsia="Times New Roman"/>
          <w:color w:val="000000"/>
          <w:sz w:val="20"/>
          <w:szCs w:val="20"/>
        </w:rPr>
        <w:t>3) to meet our material cash requirements.</w:t>
      </w:r>
    </w:p>
    <w:p w14:paraId="5047EA68" w14:textId="77777777" w:rsidR="00000000" w:rsidRDefault="0068293C">
      <w:pPr>
        <w:jc w:val="both"/>
        <w:rPr>
          <w:rFonts w:eastAsia="Times New Roman"/>
        </w:rPr>
      </w:pPr>
    </w:p>
    <w:p w14:paraId="71F87E0E" w14:textId="77777777" w:rsidR="00000000" w:rsidRDefault="0068293C">
      <w:pPr>
        <w:jc w:val="both"/>
        <w:rPr>
          <w:rFonts w:eastAsia="Times New Roman"/>
        </w:rPr>
      </w:pPr>
      <w:r>
        <w:rPr>
          <w:rFonts w:eastAsia="Times New Roman"/>
          <w:i/>
          <w:iCs/>
          <w:color w:val="000000"/>
          <w:sz w:val="20"/>
          <w:szCs w:val="20"/>
          <w:u w:val="single"/>
        </w:rPr>
        <w:t>Material Cash Requirements from Contractual and Other Obligations</w:t>
      </w:r>
    </w:p>
    <w:p w14:paraId="6508DCF7" w14:textId="77777777" w:rsidR="00000000" w:rsidRDefault="0068293C">
      <w:pPr>
        <w:jc w:val="both"/>
        <w:rPr>
          <w:rFonts w:eastAsia="Times New Roman"/>
        </w:rPr>
      </w:pPr>
    </w:p>
    <w:p w14:paraId="2011CF91" w14:textId="77777777" w:rsidR="00000000" w:rsidRDefault="0068293C">
      <w:pPr>
        <w:jc w:val="both"/>
        <w:rPr>
          <w:rFonts w:eastAsia="Times New Roman"/>
        </w:rPr>
      </w:pPr>
      <w:r>
        <w:rPr>
          <w:rFonts w:eastAsia="Times New Roman"/>
          <w:color w:val="000000"/>
          <w:sz w:val="20"/>
          <w:szCs w:val="20"/>
        </w:rPr>
        <w:t xml:space="preserve">There have been no significant changes in our contractual and other commercial obligations as described in our Form 10-K for the year ended December 31, 2021. </w:t>
      </w:r>
    </w:p>
    <w:p w14:paraId="6654AD5D" w14:textId="77777777" w:rsidR="00000000" w:rsidRDefault="0068293C">
      <w:pPr>
        <w:jc w:val="both"/>
        <w:divId w:val="1309476478"/>
        <w:rPr>
          <w:rFonts w:eastAsia="Times New Roman"/>
        </w:rPr>
      </w:pPr>
      <w:r>
        <w:rPr>
          <w:rFonts w:eastAsia="Times New Roman"/>
          <w:i/>
          <w:iCs/>
          <w:color w:val="000000"/>
          <w:sz w:val="20"/>
          <w:szCs w:val="20"/>
          <w:u w:val="single"/>
        </w:rPr>
        <w:t>Critical Accounting Policies and Estimates</w:t>
      </w:r>
    </w:p>
    <w:p w14:paraId="598BB1C2" w14:textId="77777777" w:rsidR="00000000" w:rsidRDefault="0068293C">
      <w:pPr>
        <w:jc w:val="both"/>
        <w:divId w:val="598024808"/>
        <w:rPr>
          <w:rFonts w:eastAsia="Times New Roman"/>
        </w:rPr>
      </w:pPr>
      <w:r>
        <w:rPr>
          <w:rFonts w:eastAsia="Times New Roman"/>
          <w:color w:val="000000"/>
          <w:sz w:val="20"/>
          <w:szCs w:val="20"/>
        </w:rPr>
        <w:t>Critical accounting policies are those that are most important to the portrayal of our financial position and results of operations. These policies require highly subjective or complex judgments, often employing the use of estimates about the effect of mat</w:t>
      </w:r>
      <w:r>
        <w:rPr>
          <w:rFonts w:eastAsia="Times New Roman"/>
          <w:color w:val="000000"/>
          <w:sz w:val="20"/>
          <w:szCs w:val="20"/>
        </w:rPr>
        <w:t xml:space="preserve">ters that are inherently uncertain. Our most critical accounting estimates pertain to revenue recognition, inventory valuation, goodwill and intangible assets, pension, postretirement and postemployment benefits, environmental and legal contingencies, and </w:t>
      </w:r>
      <w:r>
        <w:rPr>
          <w:rFonts w:eastAsia="Times New Roman"/>
          <w:color w:val="000000"/>
          <w:sz w:val="20"/>
          <w:szCs w:val="20"/>
        </w:rPr>
        <w:t>income taxes, which are described in Item 7. of our 2021 Form 10-K. </w:t>
      </w:r>
    </w:p>
    <w:p w14:paraId="5F2F4BAC" w14:textId="77777777" w:rsidR="00000000" w:rsidRDefault="0068293C">
      <w:pPr>
        <w:jc w:val="both"/>
        <w:divId w:val="10422562"/>
        <w:rPr>
          <w:rFonts w:eastAsia="Times New Roman"/>
        </w:rPr>
      </w:pPr>
      <w:r>
        <w:rPr>
          <w:rFonts w:eastAsia="Times New Roman"/>
          <w:i/>
          <w:iCs/>
          <w:color w:val="000000"/>
          <w:sz w:val="20"/>
          <w:szCs w:val="20"/>
          <w:u w:val="single"/>
        </w:rPr>
        <w:t>New Accounting Pronouncements</w:t>
      </w:r>
    </w:p>
    <w:p w14:paraId="3476EA6A" w14:textId="77777777" w:rsidR="00000000" w:rsidRDefault="0068293C">
      <w:pPr>
        <w:jc w:val="both"/>
        <w:divId w:val="1814329071"/>
        <w:rPr>
          <w:rFonts w:eastAsia="Times New Roman"/>
        </w:rPr>
      </w:pPr>
      <w:r>
        <w:rPr>
          <w:rFonts w:eastAsia="Times New Roman"/>
          <w:color w:val="000000"/>
          <w:sz w:val="20"/>
          <w:szCs w:val="20"/>
        </w:rPr>
        <w:t xml:space="preserve">See discussion in Note 1, “Basis of Presentation and Summary of Significant Accounting Policies” of the Notes to Condensed Consolidated Financial Statements </w:t>
      </w:r>
      <w:r>
        <w:rPr>
          <w:rFonts w:eastAsia="Times New Roman"/>
          <w:color w:val="000000"/>
          <w:sz w:val="20"/>
          <w:szCs w:val="20"/>
        </w:rPr>
        <w:t>for new accounting pronouncements.</w:t>
      </w:r>
    </w:p>
    <w:p w14:paraId="510BB1AF" w14:textId="77777777" w:rsidR="00000000" w:rsidRDefault="0068293C">
      <w:pPr>
        <w:jc w:val="both"/>
        <w:divId w:val="1343243809"/>
        <w:rPr>
          <w:rFonts w:eastAsia="Times New Roman"/>
        </w:rPr>
      </w:pPr>
      <w:r>
        <w:rPr>
          <w:rFonts w:eastAsia="Times New Roman"/>
          <w:i/>
          <w:iCs/>
          <w:color w:val="000000"/>
          <w:sz w:val="20"/>
          <w:szCs w:val="20"/>
          <w:u w:val="single"/>
        </w:rPr>
        <w:t>Forward-Looking Statements</w:t>
      </w:r>
    </w:p>
    <w:p w14:paraId="48AC63DC" w14:textId="77777777" w:rsidR="00000000" w:rsidRDefault="0068293C">
      <w:pPr>
        <w:jc w:val="both"/>
        <w:rPr>
          <w:rFonts w:eastAsia="Times New Roman"/>
        </w:rPr>
      </w:pPr>
      <w:r>
        <w:rPr>
          <w:rFonts w:eastAsia="Times New Roman"/>
          <w:color w:val="000000"/>
          <w:sz w:val="20"/>
          <w:szCs w:val="20"/>
        </w:rPr>
        <w:t>This quarterly report on Form 10-Q contains “forward-looking statements” within the meaning of Section 27A of the Securities Act of 1933, as amended and Section 21E of the Securities Exchange Ac</w:t>
      </w:r>
      <w:r>
        <w:rPr>
          <w:rFonts w:eastAsia="Times New Roman"/>
          <w:color w:val="000000"/>
          <w:sz w:val="20"/>
          <w:szCs w:val="20"/>
        </w:rPr>
        <w:t>t of 1934, as amended, pursuant to the safe harbor provisions of the Private Securities Litigation Reform Act of 1995 (the “Act”).</w:t>
      </w:r>
      <w:r>
        <w:rPr>
          <w:rFonts w:eastAsia="Times New Roman"/>
          <w:color w:val="000000"/>
        </w:rPr>
        <w:t xml:space="preserve"> </w:t>
      </w:r>
      <w:r>
        <w:rPr>
          <w:rFonts w:eastAsia="Times New Roman"/>
          <w:color w:val="000000"/>
          <w:sz w:val="20"/>
          <w:szCs w:val="20"/>
        </w:rPr>
        <w:t>Forward-looking statements use words such as “expect,” “anticipate,” “outlook,” “intend,” “plan,” “confident,” “believe,” “wi</w:t>
      </w:r>
      <w:r>
        <w:rPr>
          <w:rFonts w:eastAsia="Times New Roman"/>
          <w:color w:val="000000"/>
          <w:sz w:val="20"/>
          <w:szCs w:val="20"/>
        </w:rPr>
        <w:t>ll,” “should,” “would,” “potential,” “positioning,” “proposed,” “objective,” “could,” “may,” and words of similar meaning, as well as other words or expressions referencing future events, conditions or circumstances. We intend these forward-looking stateme</w:t>
      </w:r>
      <w:r>
        <w:rPr>
          <w:rFonts w:eastAsia="Times New Roman"/>
          <w:color w:val="000000"/>
          <w:sz w:val="20"/>
          <w:szCs w:val="20"/>
        </w:rPr>
        <w:t xml:space="preserve">nts to be covered by the safe harbor provisions for forward-looking statements contained in the Act. Statements that describe or relate to NCR’s plans, goals, intentions, strategies, or financial outlook, and statements that do not relate to historical or </w:t>
      </w:r>
      <w:r>
        <w:rPr>
          <w:rFonts w:eastAsia="Times New Roman"/>
          <w:color w:val="000000"/>
          <w:sz w:val="20"/>
          <w:szCs w:val="20"/>
        </w:rPr>
        <w:t>current fact, are examples of forward-looking statements. Forward-looking statements are based on our current beliefs, expectations and assumptions, which may not prove to be accurate, and involve a number of known and unknown risks and uncertainties, many</w:t>
      </w:r>
      <w:r>
        <w:rPr>
          <w:rFonts w:eastAsia="Times New Roman"/>
          <w:color w:val="000000"/>
          <w:sz w:val="20"/>
          <w:szCs w:val="20"/>
        </w:rPr>
        <w:t xml:space="preserve"> of which are out of NCR’s control. Forward-looking statements are not guarantees of future performance, and there are a number of important factors that could cause actual outcomes and results to differ materially from the results contemplated by such for</w:t>
      </w:r>
      <w:r>
        <w:rPr>
          <w:rFonts w:eastAsia="Times New Roman"/>
          <w:color w:val="000000"/>
          <w:sz w:val="20"/>
          <w:szCs w:val="20"/>
        </w:rPr>
        <w:t xml:space="preserve">ward-looking statements, including those factors relating to: </w:t>
      </w:r>
    </w:p>
    <w:p w14:paraId="187FCE3C" w14:textId="77777777" w:rsidR="00000000" w:rsidRDefault="0068293C">
      <w:pPr>
        <w:ind w:hanging="360"/>
        <w:jc w:val="both"/>
        <w:rPr>
          <w:rFonts w:eastAsia="Times New Roman"/>
        </w:rPr>
      </w:pPr>
      <w:r>
        <w:rPr>
          <w:rFonts w:eastAsia="Times New Roman"/>
          <w:color w:val="000000"/>
        </w:rPr>
        <w:t>•</w:t>
      </w:r>
      <w:r>
        <w:rPr>
          <w:rFonts w:eastAsia="Times New Roman"/>
          <w:color w:val="000000"/>
          <w:sz w:val="20"/>
          <w:szCs w:val="20"/>
        </w:rPr>
        <w:t>Strategy and Technology: transforming our business model; development and introduction of new solutions; competition in the technology industry; integration of acquisitions and management of a</w:t>
      </w:r>
      <w:r>
        <w:rPr>
          <w:rFonts w:eastAsia="Times New Roman"/>
          <w:color w:val="000000"/>
          <w:sz w:val="20"/>
          <w:szCs w:val="20"/>
        </w:rPr>
        <w:t xml:space="preserve">lliance activities; our multinational operations; and our strategic review announced on February 8, 2022 </w:t>
      </w:r>
    </w:p>
    <w:p w14:paraId="7A178911" w14:textId="77777777" w:rsidR="00000000" w:rsidRDefault="0068293C">
      <w:pPr>
        <w:ind w:hanging="360"/>
        <w:jc w:val="both"/>
        <w:rPr>
          <w:rFonts w:eastAsia="Times New Roman"/>
        </w:rPr>
      </w:pPr>
      <w:r>
        <w:rPr>
          <w:rFonts w:eastAsia="Times New Roman"/>
          <w:color w:val="000000"/>
        </w:rPr>
        <w:t>•</w:t>
      </w:r>
      <w:r>
        <w:rPr>
          <w:rFonts w:eastAsia="Times New Roman"/>
          <w:color w:val="000000"/>
          <w:sz w:val="20"/>
          <w:szCs w:val="20"/>
        </w:rPr>
        <w:t>Business Operations: domestic and global economic and credit conditions; risks and uncertainties from the payments-related business and industry; dis</w:t>
      </w:r>
      <w:r>
        <w:rPr>
          <w:rFonts w:eastAsia="Times New Roman"/>
          <w:color w:val="000000"/>
          <w:sz w:val="20"/>
          <w:szCs w:val="20"/>
        </w:rPr>
        <w:t xml:space="preserve">ruptions in our data center hosting and public cloud facilities; retention and attraction </w:t>
      </w:r>
    </w:p>
    <w:p w14:paraId="73F256FF" w14:textId="77777777" w:rsidR="00000000" w:rsidRDefault="0068293C">
      <w:pPr>
        <w:jc w:val="center"/>
        <w:divId w:val="1896966533"/>
        <w:rPr>
          <w:rFonts w:eastAsia="Times New Roman"/>
        </w:rPr>
      </w:pPr>
      <w:r>
        <w:rPr>
          <w:rFonts w:eastAsia="Times New Roman"/>
          <w:color w:val="000000"/>
          <w:sz w:val="20"/>
          <w:szCs w:val="20"/>
        </w:rPr>
        <w:t>46</w:t>
      </w:r>
    </w:p>
    <w:p w14:paraId="33005E5D" w14:textId="77777777" w:rsidR="00000000" w:rsidRDefault="0068293C">
      <w:pPr>
        <w:rPr>
          <w:rFonts w:eastAsia="Times New Roman"/>
        </w:rPr>
      </w:pPr>
      <w:r>
        <w:rPr>
          <w:rFonts w:eastAsia="Times New Roman"/>
        </w:rPr>
        <w:pict w14:anchorId="15C8CD45">
          <v:rect id="_x0000_i1071" style="width:0;height:1.5pt" o:hralign="center" o:hrstd="t" o:hr="t" fillcolor="#a0a0a0" stroked="f"/>
        </w:pict>
      </w:r>
    </w:p>
    <w:p w14:paraId="3030D4A7" w14:textId="77777777" w:rsidR="00000000" w:rsidRDefault="0068293C">
      <w:pPr>
        <w:divId w:val="151986968"/>
        <w:rPr>
          <w:rFonts w:eastAsia="Times New Roman"/>
        </w:rPr>
      </w:pPr>
      <w:hyperlink w:anchor="i78484f3d0d8e4e36a7c87ddd6ea9d725_7" w:history="1">
        <w:r>
          <w:rPr>
            <w:rStyle w:val="a3"/>
            <w:rFonts w:eastAsia="Times New Roman"/>
            <w:sz w:val="16"/>
            <w:szCs w:val="16"/>
          </w:rPr>
          <w:t>Table of Contents</w:t>
        </w:r>
      </w:hyperlink>
    </w:p>
    <w:p w14:paraId="5C5ACD5A" w14:textId="77777777" w:rsidR="00000000" w:rsidRDefault="0068293C">
      <w:pPr>
        <w:jc w:val="both"/>
        <w:rPr>
          <w:rFonts w:eastAsia="Times New Roman"/>
        </w:rPr>
      </w:pPr>
      <w:r>
        <w:rPr>
          <w:rFonts w:eastAsia="Times New Roman"/>
          <w:color w:val="000000"/>
          <w:sz w:val="20"/>
          <w:szCs w:val="20"/>
        </w:rPr>
        <w:t>of key employees; defects, errors, installation di</w:t>
      </w:r>
      <w:r>
        <w:rPr>
          <w:rFonts w:eastAsia="Times New Roman"/>
          <w:color w:val="000000"/>
          <w:sz w:val="20"/>
          <w:szCs w:val="20"/>
        </w:rPr>
        <w:t>fficulties or development delays; failure of third-party suppliers; the impact of the coronavirus (COVID-19) pandemic and geopolitical and macroeconomic challenges; environmental exposures from historical and ongoing manufacturing activities; and climate c</w:t>
      </w:r>
      <w:r>
        <w:rPr>
          <w:rFonts w:eastAsia="Times New Roman"/>
          <w:color w:val="000000"/>
          <w:sz w:val="20"/>
          <w:szCs w:val="20"/>
        </w:rPr>
        <w:t>hange</w:t>
      </w:r>
    </w:p>
    <w:p w14:paraId="2284E8DD" w14:textId="77777777" w:rsidR="00000000" w:rsidRDefault="0068293C">
      <w:pPr>
        <w:ind w:hanging="360"/>
        <w:jc w:val="both"/>
        <w:rPr>
          <w:rFonts w:eastAsia="Times New Roman"/>
        </w:rPr>
      </w:pPr>
      <w:r>
        <w:rPr>
          <w:rFonts w:eastAsia="Times New Roman"/>
          <w:color w:val="000000"/>
        </w:rPr>
        <w:t>•</w:t>
      </w:r>
      <w:r>
        <w:rPr>
          <w:rFonts w:eastAsia="Times New Roman"/>
          <w:color w:val="000000"/>
          <w:sz w:val="20"/>
          <w:szCs w:val="20"/>
        </w:rPr>
        <w:t xml:space="preserve">Data Privacy &amp; Security: impact of data protection, cybersecurity and data privacy including any related issues </w:t>
      </w:r>
    </w:p>
    <w:p w14:paraId="5FE620BA" w14:textId="77777777" w:rsidR="00000000" w:rsidRDefault="0068293C">
      <w:pPr>
        <w:ind w:hanging="360"/>
        <w:jc w:val="both"/>
        <w:rPr>
          <w:rFonts w:eastAsia="Times New Roman"/>
        </w:rPr>
      </w:pPr>
      <w:r>
        <w:rPr>
          <w:rFonts w:eastAsia="Times New Roman"/>
          <w:color w:val="000000"/>
        </w:rPr>
        <w:t>•</w:t>
      </w:r>
      <w:r>
        <w:rPr>
          <w:rFonts w:eastAsia="Times New Roman"/>
          <w:color w:val="000000"/>
          <w:sz w:val="20"/>
          <w:szCs w:val="20"/>
        </w:rPr>
        <w:t>Finance and Accounting: our level of indebtedness; the terms governing our indebtedness; incurrence of additional debt or similar liabi</w:t>
      </w:r>
      <w:r>
        <w:rPr>
          <w:rFonts w:eastAsia="Times New Roman"/>
          <w:color w:val="000000"/>
          <w:sz w:val="20"/>
          <w:szCs w:val="20"/>
        </w:rPr>
        <w:t>lities or obligations; access or renewal of financing sources; our cash flow sufficiency to service our indebtedness; interest rate risks; the terms governing our trade receivables facility; the impact of certain changes in control relating to acceleration</w:t>
      </w:r>
      <w:r>
        <w:rPr>
          <w:rFonts w:eastAsia="Times New Roman"/>
          <w:color w:val="000000"/>
          <w:sz w:val="20"/>
          <w:szCs w:val="20"/>
        </w:rPr>
        <w:t xml:space="preserve"> of our indebtedness, our obligations under other financing arrangements, or required repurchase of our senior unsecured notes; and any lowering or withdrawal of the ratings assigned to our debt securities by rating agencies; our pension liabilities; and w</w:t>
      </w:r>
      <w:r>
        <w:rPr>
          <w:rFonts w:eastAsia="Times New Roman"/>
          <w:color w:val="000000"/>
          <w:sz w:val="20"/>
          <w:szCs w:val="20"/>
        </w:rPr>
        <w:t xml:space="preserve">rite down of the value of certain significant assets </w:t>
      </w:r>
    </w:p>
    <w:p w14:paraId="1A82737D" w14:textId="77777777" w:rsidR="00000000" w:rsidRDefault="0068293C">
      <w:pPr>
        <w:ind w:hanging="360"/>
        <w:jc w:val="both"/>
        <w:rPr>
          <w:rFonts w:eastAsia="Times New Roman"/>
        </w:rPr>
      </w:pPr>
      <w:r>
        <w:rPr>
          <w:rFonts w:eastAsia="Times New Roman"/>
          <w:color w:val="000000"/>
        </w:rPr>
        <w:t>•</w:t>
      </w:r>
      <w:r>
        <w:rPr>
          <w:rFonts w:eastAsia="Times New Roman"/>
          <w:color w:val="000000"/>
          <w:sz w:val="20"/>
          <w:szCs w:val="20"/>
        </w:rPr>
        <w:t>Law and Compliance: protection of our intellectual property; changes to our tax rates and additional income tax liabilities; uncertainties regarding regulations, lawsuits and other related matters; and</w:t>
      </w:r>
      <w:r>
        <w:rPr>
          <w:rFonts w:eastAsia="Times New Roman"/>
          <w:color w:val="000000"/>
          <w:sz w:val="20"/>
          <w:szCs w:val="20"/>
        </w:rPr>
        <w:t xml:space="preserve"> changes to cryptocurrency regulations </w:t>
      </w:r>
    </w:p>
    <w:p w14:paraId="199535D0" w14:textId="77777777" w:rsidR="00000000" w:rsidRDefault="0068293C">
      <w:pPr>
        <w:ind w:hanging="360"/>
        <w:jc w:val="both"/>
        <w:rPr>
          <w:rFonts w:eastAsia="Times New Roman"/>
        </w:rPr>
      </w:pPr>
      <w:r>
        <w:rPr>
          <w:rFonts w:eastAsia="Times New Roman"/>
          <w:color w:val="000000"/>
        </w:rPr>
        <w:t>•</w:t>
      </w:r>
      <w:r>
        <w:rPr>
          <w:rFonts w:eastAsia="Times New Roman"/>
          <w:color w:val="000000"/>
          <w:sz w:val="20"/>
          <w:szCs w:val="20"/>
        </w:rPr>
        <w:t xml:space="preserve">Governance: impact of the terms of our Series A Convertible Preferred (“Series A”) Stock relating to voting power, share dilution and market price of our common stock; rights, preferences and privileges of Series A </w:t>
      </w:r>
      <w:r>
        <w:rPr>
          <w:rFonts w:eastAsia="Times New Roman"/>
          <w:color w:val="000000"/>
          <w:sz w:val="20"/>
          <w:szCs w:val="20"/>
        </w:rPr>
        <w:t xml:space="preserve">stockholders compared to the rights of our common stockholders; and actions or proposals from stockholders that do not align with our business strategies or the interests of our other stockholders </w:t>
      </w:r>
    </w:p>
    <w:p w14:paraId="0C3E3745" w14:textId="77777777" w:rsidR="00000000" w:rsidRDefault="0068293C">
      <w:pPr>
        <w:divId w:val="1265763900"/>
        <w:rPr>
          <w:rFonts w:eastAsia="Times New Roman"/>
        </w:rPr>
      </w:pPr>
    </w:p>
    <w:p w14:paraId="49DB0937" w14:textId="77777777" w:rsidR="00000000" w:rsidRDefault="0068293C">
      <w:pPr>
        <w:jc w:val="both"/>
        <w:rPr>
          <w:rFonts w:eastAsia="Times New Roman"/>
        </w:rPr>
      </w:pPr>
      <w:r>
        <w:rPr>
          <w:rFonts w:eastAsia="Times New Roman"/>
          <w:color w:val="000000"/>
          <w:sz w:val="20"/>
          <w:szCs w:val="20"/>
        </w:rPr>
        <w:t>Additional information concerning these and other factor</w:t>
      </w:r>
      <w:r>
        <w:rPr>
          <w:rFonts w:eastAsia="Times New Roman"/>
          <w:color w:val="000000"/>
          <w:sz w:val="20"/>
          <w:szCs w:val="20"/>
        </w:rPr>
        <w:t>s can be found in the Company’s filings with the U.S. Securities and Exchange Commission, including the Company’s most recent annual report on Form 10-K, quarterly reports on Form 10-Q and current reports on Form 8-K. Any forward-looking statement speaks o</w:t>
      </w:r>
      <w:r>
        <w:rPr>
          <w:rFonts w:eastAsia="Times New Roman"/>
          <w:color w:val="000000"/>
          <w:sz w:val="20"/>
          <w:szCs w:val="20"/>
        </w:rPr>
        <w:t>nly as of the date on which it is made. The Company does not undertake any obligation to publicly update or revise any forward-looking statements, whether as a result of new information, future events or otherwise, except as required by law.</w:t>
      </w:r>
    </w:p>
    <w:p w14:paraId="72FD50D4" w14:textId="77777777" w:rsidR="00000000" w:rsidRDefault="0068293C">
      <w:pPr>
        <w:divId w:val="1168670230"/>
        <w:rPr>
          <w:rFonts w:eastAsia="Times New Roman"/>
        </w:rPr>
      </w:pPr>
    </w:p>
    <w:p w14:paraId="7B12CAA6" w14:textId="77777777" w:rsidR="00000000" w:rsidRDefault="0068293C">
      <w:pPr>
        <w:divId w:val="1158884697"/>
        <w:rPr>
          <w:rFonts w:eastAsia="Times New Roman"/>
        </w:rPr>
      </w:pPr>
      <w:r>
        <w:rPr>
          <w:rFonts w:eastAsia="Times New Roman"/>
          <w:i/>
          <w:iCs/>
          <w:color w:val="000000"/>
          <w:sz w:val="20"/>
          <w:szCs w:val="20"/>
          <w:u w:val="single"/>
        </w:rPr>
        <w:t xml:space="preserve">Information </w:t>
      </w:r>
      <w:r>
        <w:rPr>
          <w:rFonts w:eastAsia="Times New Roman"/>
          <w:i/>
          <w:iCs/>
          <w:color w:val="000000"/>
          <w:sz w:val="20"/>
          <w:szCs w:val="20"/>
          <w:u w:val="single"/>
        </w:rPr>
        <w:t>About NCR</w:t>
      </w:r>
    </w:p>
    <w:p w14:paraId="1AF54967" w14:textId="77777777" w:rsidR="00000000" w:rsidRDefault="0068293C">
      <w:pPr>
        <w:divId w:val="908534940"/>
        <w:rPr>
          <w:rFonts w:eastAsia="Times New Roman"/>
        </w:rPr>
      </w:pPr>
    </w:p>
    <w:p w14:paraId="4F0DBB13" w14:textId="77777777" w:rsidR="00000000" w:rsidRDefault="0068293C">
      <w:pPr>
        <w:jc w:val="both"/>
        <w:rPr>
          <w:rFonts w:eastAsia="Times New Roman"/>
        </w:rPr>
      </w:pPr>
      <w:r>
        <w:rPr>
          <w:rFonts w:eastAsia="Times New Roman"/>
          <w:color w:val="000000"/>
          <w:sz w:val="20"/>
          <w:szCs w:val="20"/>
        </w:rPr>
        <w:t>NCR encourages investors to visit its web site (</w:t>
      </w:r>
      <w:r>
        <w:rPr>
          <w:rFonts w:eastAsia="Times New Roman"/>
          <w:color w:val="0000FF"/>
          <w:sz w:val="20"/>
          <w:szCs w:val="20"/>
          <w:u w:val="single"/>
        </w:rPr>
        <w:t>http://www.ncr.com</w:t>
      </w:r>
      <w:r>
        <w:rPr>
          <w:rFonts w:eastAsia="Times New Roman"/>
          <w:color w:val="000000"/>
          <w:sz w:val="20"/>
          <w:szCs w:val="20"/>
        </w:rPr>
        <w:t xml:space="preserve">), which is updated regularly with financial and other important information about NCR. The contents of the Company’s web site are not incorporated into this quarterly report or </w:t>
      </w:r>
      <w:r>
        <w:rPr>
          <w:rFonts w:eastAsia="Times New Roman"/>
          <w:color w:val="000000"/>
          <w:sz w:val="20"/>
          <w:szCs w:val="20"/>
        </w:rPr>
        <w:t>the Company’s other filings with the U.S. Securities and Exchange Commission.</w:t>
      </w:r>
    </w:p>
    <w:p w14:paraId="5CCEACC1" w14:textId="77777777" w:rsidR="00000000" w:rsidRDefault="0068293C">
      <w:pPr>
        <w:jc w:val="center"/>
        <w:divId w:val="132020506"/>
        <w:rPr>
          <w:rFonts w:eastAsia="Times New Roman"/>
        </w:rPr>
      </w:pPr>
      <w:r>
        <w:rPr>
          <w:rFonts w:eastAsia="Times New Roman"/>
          <w:color w:val="000000"/>
          <w:sz w:val="20"/>
          <w:szCs w:val="20"/>
        </w:rPr>
        <w:t>47</w:t>
      </w:r>
    </w:p>
    <w:p w14:paraId="7FC654AE" w14:textId="77777777" w:rsidR="00000000" w:rsidRDefault="0068293C">
      <w:pPr>
        <w:rPr>
          <w:rFonts w:eastAsia="Times New Roman"/>
        </w:rPr>
      </w:pPr>
      <w:r>
        <w:rPr>
          <w:rFonts w:eastAsia="Times New Roman"/>
        </w:rPr>
        <w:pict w14:anchorId="53779B12">
          <v:rect id="_x0000_i1072" style="width:0;height:1.5pt" o:hralign="center" o:hrstd="t" o:hr="t" fillcolor="#a0a0a0" stroked="f"/>
        </w:pict>
      </w:r>
    </w:p>
    <w:p w14:paraId="76AB9EFA" w14:textId="77777777" w:rsidR="00000000" w:rsidRDefault="0068293C">
      <w:pPr>
        <w:divId w:val="2106340075"/>
        <w:rPr>
          <w:rFonts w:eastAsia="Times New Roman"/>
        </w:rPr>
      </w:pPr>
      <w:hyperlink w:anchor="i78484f3d0d8e4e36a7c87ddd6ea9d725_7" w:history="1">
        <w:r>
          <w:rPr>
            <w:rStyle w:val="a3"/>
            <w:rFonts w:eastAsia="Times New Roman"/>
            <w:sz w:val="16"/>
            <w:szCs w:val="16"/>
          </w:rPr>
          <w:t>Table of Contents</w:t>
        </w:r>
      </w:hyperlink>
    </w:p>
    <w:p w14:paraId="30FEE21E" w14:textId="77777777" w:rsidR="00000000" w:rsidRDefault="0068293C">
      <w:pPr>
        <w:ind w:hanging="1170"/>
        <w:jc w:val="both"/>
        <w:rPr>
          <w:rFonts w:eastAsia="Times New Roman"/>
        </w:rPr>
      </w:pPr>
      <w:r>
        <w:rPr>
          <w:rFonts w:eastAsia="Times New Roman"/>
          <w:b/>
          <w:bCs/>
          <w:color w:val="000000"/>
          <w:sz w:val="20"/>
          <w:szCs w:val="20"/>
        </w:rPr>
        <w:t>Item 3.    </w:t>
      </w:r>
      <w:r>
        <w:rPr>
          <w:rFonts w:eastAsia="Times New Roman"/>
          <w:b/>
          <w:bCs/>
          <w:color w:val="000000"/>
          <w:sz w:val="20"/>
          <w:szCs w:val="20"/>
        </w:rPr>
        <w:t>QUANTITATIVE AND QUALITATIVE DISCLOSURES ABOUT MARKET RISK</w:t>
      </w:r>
    </w:p>
    <w:p w14:paraId="3D357822" w14:textId="77777777" w:rsidR="00000000" w:rsidRDefault="0068293C">
      <w:pPr>
        <w:jc w:val="both"/>
        <w:rPr>
          <w:rFonts w:eastAsia="Times New Roman"/>
        </w:rPr>
      </w:pPr>
    </w:p>
    <w:p w14:paraId="474E8505" w14:textId="77777777" w:rsidR="00000000" w:rsidRDefault="0068293C">
      <w:pPr>
        <w:jc w:val="both"/>
        <w:rPr>
          <w:rFonts w:eastAsia="Times New Roman"/>
        </w:rPr>
      </w:pPr>
      <w:r>
        <w:rPr>
          <w:rFonts w:eastAsia="Times New Roman"/>
          <w:i/>
          <w:iCs/>
          <w:color w:val="000000"/>
          <w:sz w:val="20"/>
          <w:szCs w:val="20"/>
        </w:rPr>
        <w:t>Market Risk</w:t>
      </w:r>
    </w:p>
    <w:p w14:paraId="2A51F466" w14:textId="77777777" w:rsidR="00000000" w:rsidRDefault="0068293C">
      <w:pPr>
        <w:jc w:val="both"/>
        <w:rPr>
          <w:rFonts w:eastAsia="Times New Roman"/>
        </w:rPr>
      </w:pPr>
    </w:p>
    <w:p w14:paraId="2519AFE5" w14:textId="77777777" w:rsidR="00000000" w:rsidRDefault="0068293C">
      <w:pPr>
        <w:jc w:val="both"/>
        <w:rPr>
          <w:rFonts w:eastAsia="Times New Roman"/>
        </w:rPr>
      </w:pPr>
      <w:r>
        <w:rPr>
          <w:rFonts w:eastAsia="Times New Roman"/>
          <w:color w:val="000000"/>
          <w:sz w:val="20"/>
          <w:szCs w:val="20"/>
        </w:rPr>
        <w:t xml:space="preserve">We are exposed to market risks primarily from changes in foreign currency exchange rates and interest rates. It is our policy to manage our foreign exchange exposure and debt structure in order to manage capital costs, control financial risks and maintain </w:t>
      </w:r>
      <w:r>
        <w:rPr>
          <w:rFonts w:eastAsia="Times New Roman"/>
          <w:color w:val="000000"/>
          <w:sz w:val="20"/>
          <w:szCs w:val="20"/>
        </w:rPr>
        <w:t>financial flexibility over the long term. In managing market risks, we employ derivatives according to documented policies and procedures, including foreign currency contracts and interest rate swaps. We do not use derivatives for trading or speculative pu</w:t>
      </w:r>
      <w:r>
        <w:rPr>
          <w:rFonts w:eastAsia="Times New Roman"/>
          <w:color w:val="000000"/>
          <w:sz w:val="20"/>
          <w:szCs w:val="20"/>
        </w:rPr>
        <w:t xml:space="preserve">rposes. </w:t>
      </w:r>
    </w:p>
    <w:p w14:paraId="657D9890" w14:textId="77777777" w:rsidR="00000000" w:rsidRDefault="0068293C">
      <w:pPr>
        <w:jc w:val="both"/>
        <w:rPr>
          <w:rFonts w:eastAsia="Times New Roman"/>
        </w:rPr>
      </w:pPr>
    </w:p>
    <w:p w14:paraId="1E52CB3E" w14:textId="77777777" w:rsidR="00000000" w:rsidRDefault="0068293C">
      <w:pPr>
        <w:jc w:val="both"/>
        <w:rPr>
          <w:rFonts w:eastAsia="Times New Roman"/>
        </w:rPr>
      </w:pPr>
      <w:r>
        <w:rPr>
          <w:rFonts w:eastAsia="Times New Roman"/>
          <w:i/>
          <w:iCs/>
          <w:color w:val="000000"/>
          <w:sz w:val="20"/>
          <w:szCs w:val="20"/>
        </w:rPr>
        <w:t>Foreign Exchange Risk</w:t>
      </w:r>
    </w:p>
    <w:p w14:paraId="694BD7D2" w14:textId="77777777" w:rsidR="00000000" w:rsidRDefault="0068293C">
      <w:pPr>
        <w:jc w:val="both"/>
        <w:rPr>
          <w:rFonts w:eastAsia="Times New Roman"/>
        </w:rPr>
      </w:pPr>
    </w:p>
    <w:p w14:paraId="1DA38C60" w14:textId="77777777" w:rsidR="00000000" w:rsidRDefault="0068293C">
      <w:pPr>
        <w:jc w:val="both"/>
        <w:rPr>
          <w:rFonts w:eastAsia="Times New Roman"/>
        </w:rPr>
      </w:pPr>
      <w:r>
        <w:rPr>
          <w:rFonts w:eastAsia="Times New Roman"/>
          <w:color w:val="000000"/>
          <w:sz w:val="20"/>
          <w:szCs w:val="20"/>
          <w:shd w:val="clear" w:color="auto" w:fill="FFFFFF"/>
        </w:rPr>
        <w:t>Since a substantial portion of our operations and revenue occur outside the United States, and in currencies other than the U.S. Dollar, our results can be significantly impacted by changes in foreign currency exchange ra</w:t>
      </w:r>
      <w:r>
        <w:rPr>
          <w:rFonts w:eastAsia="Times New Roman"/>
          <w:color w:val="000000"/>
          <w:sz w:val="20"/>
          <w:szCs w:val="20"/>
          <w:shd w:val="clear" w:color="auto" w:fill="FFFFFF"/>
        </w:rPr>
        <w:t xml:space="preserve">tes. We have exposure to approximately 50 functional currencies and are exposed to foreign currency exchange risk with respect to our sales, profits and assets and liabilities denominated in currencies other than the U.S. Dollar. Although we use financial </w:t>
      </w:r>
      <w:r>
        <w:rPr>
          <w:rFonts w:eastAsia="Times New Roman"/>
          <w:color w:val="000000"/>
          <w:sz w:val="20"/>
          <w:szCs w:val="20"/>
          <w:shd w:val="clear" w:color="auto" w:fill="FFFFFF"/>
        </w:rPr>
        <w:t>instruments to hedge certain foreign currency risks, we are not fully protected against foreign currency fluctuations and our reported results of operations could be affected by changes in foreign currency exchange rates. To manage our exposures and mitiga</w:t>
      </w:r>
      <w:r>
        <w:rPr>
          <w:rFonts w:eastAsia="Times New Roman"/>
          <w:color w:val="000000"/>
          <w:sz w:val="20"/>
          <w:szCs w:val="20"/>
          <w:shd w:val="clear" w:color="auto" w:fill="FFFFFF"/>
        </w:rPr>
        <w:t>te the impact of currency fluctuations on the operations of our foreign subsidiaries, we hedge our main transactional exposures through the use of foreign exchange forward and option contracts. This is primarily done through the hedging of foreign currency</w:t>
      </w:r>
      <w:r>
        <w:rPr>
          <w:rFonts w:eastAsia="Times New Roman"/>
          <w:color w:val="000000"/>
          <w:sz w:val="20"/>
          <w:szCs w:val="20"/>
          <w:shd w:val="clear" w:color="auto" w:fill="FFFFFF"/>
        </w:rPr>
        <w:t xml:space="preserve"> denominated inter-company inventory purchases by the marketing units and the foreign currency denominated inputs to our manufacturing units. All of these transactions are forecasted. If these contracts are designated as highly effective cash flow hedges, </w:t>
      </w:r>
      <w:r>
        <w:rPr>
          <w:rFonts w:eastAsia="Times New Roman"/>
          <w:color w:val="000000"/>
          <w:sz w:val="20"/>
          <w:szCs w:val="20"/>
          <w:shd w:val="clear" w:color="auto" w:fill="FFFFFF"/>
        </w:rPr>
        <w:t>the gains or losses are deferred into accumulated other comprehensive income (</w:t>
      </w:r>
      <w:r>
        <w:rPr>
          <w:rFonts w:eastAsia="Times New Roman"/>
          <w:color w:val="000000"/>
          <w:sz w:val="20"/>
          <w:szCs w:val="20"/>
        </w:rPr>
        <w:t>“</w:t>
      </w:r>
      <w:r>
        <w:rPr>
          <w:rFonts w:eastAsia="Times New Roman"/>
          <w:color w:val="000000"/>
          <w:sz w:val="20"/>
          <w:szCs w:val="20"/>
          <w:shd w:val="clear" w:color="auto" w:fill="FFFFFF"/>
        </w:rPr>
        <w:t>AOCI</w:t>
      </w:r>
      <w:r>
        <w:rPr>
          <w:rFonts w:eastAsia="Times New Roman"/>
          <w:color w:val="000000"/>
          <w:sz w:val="20"/>
          <w:szCs w:val="20"/>
        </w:rPr>
        <w:t>”</w:t>
      </w:r>
      <w:r>
        <w:rPr>
          <w:rFonts w:eastAsia="Times New Roman"/>
          <w:color w:val="000000"/>
          <w:sz w:val="20"/>
          <w:szCs w:val="20"/>
          <w:shd w:val="clear" w:color="auto" w:fill="FFFFFF"/>
        </w:rPr>
        <w:t>). The gains or losses from derivative contracts that are designated as highly effective cash flow hedges related to inventory purchases are recorded in cost of products wh</w:t>
      </w:r>
      <w:r>
        <w:rPr>
          <w:rFonts w:eastAsia="Times New Roman"/>
          <w:color w:val="000000"/>
          <w:sz w:val="20"/>
          <w:szCs w:val="20"/>
          <w:shd w:val="clear" w:color="auto" w:fill="FFFFFF"/>
        </w:rPr>
        <w:t>en the inventory is sold to an unrelated third party. Otherwise, the gains or losses from these contracts are recognized in earnings as exchange rates change. We also use derivatives not designated as hedging instruments consisting primarily of forward con</w:t>
      </w:r>
      <w:r>
        <w:rPr>
          <w:rFonts w:eastAsia="Times New Roman"/>
          <w:color w:val="000000"/>
          <w:sz w:val="20"/>
          <w:szCs w:val="20"/>
          <w:shd w:val="clear" w:color="auto" w:fill="FFFFFF"/>
        </w:rPr>
        <w:t xml:space="preserve">tracts to hedge foreign currency denominated balance sheet exposures. For these derivatives we recognize gains and losses in the same period as the remeasurement losses and gains of the related foreign currency-denominated exposures. </w:t>
      </w:r>
    </w:p>
    <w:p w14:paraId="264D06BC" w14:textId="77777777" w:rsidR="00000000" w:rsidRDefault="0068293C">
      <w:pPr>
        <w:jc w:val="both"/>
        <w:rPr>
          <w:rFonts w:eastAsia="Times New Roman"/>
        </w:rPr>
      </w:pPr>
    </w:p>
    <w:p w14:paraId="74081530" w14:textId="77777777" w:rsidR="00000000" w:rsidRDefault="0068293C">
      <w:pPr>
        <w:jc w:val="both"/>
        <w:rPr>
          <w:rFonts w:eastAsia="Times New Roman"/>
        </w:rPr>
      </w:pPr>
      <w:r>
        <w:rPr>
          <w:rFonts w:eastAsia="Times New Roman"/>
          <w:color w:val="000000"/>
          <w:sz w:val="20"/>
          <w:szCs w:val="20"/>
          <w:shd w:val="clear" w:color="auto" w:fill="FFFFFF"/>
        </w:rPr>
        <w:t>We utilize non-exch</w:t>
      </w:r>
      <w:r>
        <w:rPr>
          <w:rFonts w:eastAsia="Times New Roman"/>
          <w:color w:val="000000"/>
          <w:sz w:val="20"/>
          <w:szCs w:val="20"/>
          <w:shd w:val="clear" w:color="auto" w:fill="FFFFFF"/>
        </w:rPr>
        <w:t>ange traded financial instruments, such as foreign exchange forward and option contracts, that we purchase exclusively from highly rated financial institutions. We record these contracts on our balance sheet at fair market value based upon market price quo</w:t>
      </w:r>
      <w:r>
        <w:rPr>
          <w:rFonts w:eastAsia="Times New Roman"/>
          <w:color w:val="000000"/>
          <w:sz w:val="20"/>
          <w:szCs w:val="20"/>
          <w:shd w:val="clear" w:color="auto" w:fill="FFFFFF"/>
        </w:rPr>
        <w:t>tations from the financial institutions. We do not enter into non-exchange traded contracts that require the use of fair value estimation techniques, but if we did, they could have a material impact on our financial results.</w:t>
      </w:r>
      <w:r>
        <w:rPr>
          <w:rFonts w:eastAsia="Times New Roman"/>
          <w:color w:val="000000"/>
          <w:sz w:val="20"/>
          <w:szCs w:val="20"/>
        </w:rPr>
        <w:t xml:space="preserve"> </w:t>
      </w:r>
    </w:p>
    <w:p w14:paraId="7521C9CC" w14:textId="77777777" w:rsidR="00000000" w:rsidRDefault="0068293C">
      <w:pPr>
        <w:jc w:val="both"/>
        <w:rPr>
          <w:rFonts w:eastAsia="Times New Roman"/>
        </w:rPr>
      </w:pPr>
    </w:p>
    <w:p w14:paraId="2C477E96" w14:textId="77777777" w:rsidR="00000000" w:rsidRDefault="0068293C">
      <w:pPr>
        <w:jc w:val="both"/>
        <w:rPr>
          <w:rFonts w:eastAsia="Times New Roman"/>
        </w:rPr>
      </w:pPr>
      <w:r>
        <w:rPr>
          <w:rFonts w:eastAsia="Times New Roman"/>
          <w:color w:val="000000"/>
          <w:sz w:val="20"/>
          <w:szCs w:val="20"/>
          <w:shd w:val="clear" w:color="auto" w:fill="FFFFFF"/>
        </w:rPr>
        <w:t>For purposes of analyzing po</w:t>
      </w:r>
      <w:r>
        <w:rPr>
          <w:rFonts w:eastAsia="Times New Roman"/>
          <w:color w:val="000000"/>
          <w:sz w:val="20"/>
          <w:szCs w:val="20"/>
          <w:shd w:val="clear" w:color="auto" w:fill="FFFFFF"/>
        </w:rPr>
        <w:t>tential risk, we use sensitivity analysis to quantify potential impacts that market rate changes may have on the fair values of our hedge portfolio related to firmly committed or forecasted transactions. The sensitivity analysis represents the hypothetical</w:t>
      </w:r>
      <w:r>
        <w:rPr>
          <w:rFonts w:eastAsia="Times New Roman"/>
          <w:color w:val="000000"/>
          <w:sz w:val="20"/>
          <w:szCs w:val="20"/>
          <w:shd w:val="clear" w:color="auto" w:fill="FFFFFF"/>
        </w:rPr>
        <w:t xml:space="preserve"> changes in value of the hedge position and does not reflect the related gain or loss on the forecasted underlying transaction. A 10% appreciation in the value of the U.S. Dollar against foreign currencies from the prevailing market rates would have result</w:t>
      </w:r>
      <w:r>
        <w:rPr>
          <w:rFonts w:eastAsia="Times New Roman"/>
          <w:color w:val="000000"/>
          <w:sz w:val="20"/>
          <w:szCs w:val="20"/>
          <w:shd w:val="clear" w:color="auto" w:fill="FFFFFF"/>
        </w:rPr>
        <w:t>ed in a corresponding decrease in the fair value of the hedge portfolio of $23 million as of March 31, 2022. A 10% depreciation in the value of the U.S. Dollar against foreign currencies from the prevailing market rates would have resulted in a correspondi</w:t>
      </w:r>
      <w:r>
        <w:rPr>
          <w:rFonts w:eastAsia="Times New Roman"/>
          <w:color w:val="000000"/>
          <w:sz w:val="20"/>
          <w:szCs w:val="20"/>
          <w:shd w:val="clear" w:color="auto" w:fill="FFFFFF"/>
        </w:rPr>
        <w:t>ng increase in the fair value of the hedge portfolio of $23 million as of March 31, 2022. The Company expects that any increase or decrease in the fair value of the portfolio would be substantially offset by increases or decreases in the underlying exposur</w:t>
      </w:r>
      <w:r>
        <w:rPr>
          <w:rFonts w:eastAsia="Times New Roman"/>
          <w:color w:val="000000"/>
          <w:sz w:val="20"/>
          <w:szCs w:val="20"/>
          <w:shd w:val="clear" w:color="auto" w:fill="FFFFFF"/>
        </w:rPr>
        <w:t xml:space="preserve">es being hedged. </w:t>
      </w:r>
    </w:p>
    <w:p w14:paraId="4DD0147C" w14:textId="77777777" w:rsidR="00000000" w:rsidRDefault="0068293C">
      <w:pPr>
        <w:jc w:val="both"/>
        <w:rPr>
          <w:rFonts w:eastAsia="Times New Roman"/>
        </w:rPr>
      </w:pPr>
    </w:p>
    <w:p w14:paraId="42AECAA3" w14:textId="77777777" w:rsidR="00000000" w:rsidRDefault="0068293C">
      <w:pPr>
        <w:jc w:val="both"/>
        <w:rPr>
          <w:rFonts w:eastAsia="Times New Roman"/>
        </w:rPr>
      </w:pPr>
      <w:r>
        <w:rPr>
          <w:rFonts w:eastAsia="Times New Roman"/>
          <w:color w:val="000000"/>
          <w:sz w:val="20"/>
          <w:szCs w:val="20"/>
          <w:shd w:val="clear" w:color="auto" w:fill="FFFFFF"/>
        </w:rPr>
        <w:t>The U.S. Dollar was stronger in the first quarter of 2022 compared to the first quarter of 2021 based on comparable weighted averages for our functional currencies. This excludes the effects of our hedging activities and, therefore, doe</w:t>
      </w:r>
      <w:r>
        <w:rPr>
          <w:rFonts w:eastAsia="Times New Roman"/>
          <w:color w:val="000000"/>
          <w:sz w:val="20"/>
          <w:szCs w:val="20"/>
          <w:shd w:val="clear" w:color="auto" w:fill="FFFFFF"/>
        </w:rPr>
        <w:t xml:space="preserve">s not reflect the actual impact of fluctuations in exchange rates on our operating income. </w:t>
      </w:r>
    </w:p>
    <w:p w14:paraId="46A0B724" w14:textId="77777777" w:rsidR="00000000" w:rsidRDefault="0068293C">
      <w:pPr>
        <w:jc w:val="both"/>
        <w:rPr>
          <w:rFonts w:eastAsia="Times New Roman"/>
        </w:rPr>
      </w:pPr>
    </w:p>
    <w:p w14:paraId="1E9EB772" w14:textId="77777777" w:rsidR="00000000" w:rsidRDefault="0068293C">
      <w:pPr>
        <w:jc w:val="both"/>
        <w:rPr>
          <w:rFonts w:eastAsia="Times New Roman"/>
        </w:rPr>
      </w:pPr>
      <w:r>
        <w:rPr>
          <w:rFonts w:eastAsia="Times New Roman"/>
          <w:i/>
          <w:iCs/>
          <w:color w:val="000000"/>
          <w:sz w:val="20"/>
          <w:szCs w:val="20"/>
          <w:shd w:val="clear" w:color="auto" w:fill="FFFFFF"/>
        </w:rPr>
        <w:t>Interest Rate Risk</w:t>
      </w:r>
    </w:p>
    <w:p w14:paraId="49F0624F" w14:textId="77777777" w:rsidR="00000000" w:rsidRDefault="0068293C">
      <w:pPr>
        <w:jc w:val="both"/>
        <w:rPr>
          <w:rFonts w:eastAsia="Times New Roman"/>
        </w:rPr>
      </w:pPr>
    </w:p>
    <w:p w14:paraId="25F85EFF" w14:textId="77777777" w:rsidR="00000000" w:rsidRDefault="0068293C">
      <w:pPr>
        <w:jc w:val="both"/>
        <w:rPr>
          <w:rFonts w:eastAsia="Times New Roman"/>
        </w:rPr>
      </w:pPr>
      <w:r>
        <w:rPr>
          <w:rFonts w:eastAsia="Times New Roman"/>
          <w:color w:val="000000"/>
          <w:sz w:val="20"/>
          <w:szCs w:val="20"/>
          <w:shd w:val="clear" w:color="auto" w:fill="FFFFFF"/>
        </w:rPr>
        <w:t xml:space="preserve">We are subject to interest rate risk principally in relation to variable-rate debt. Approximately 58% of our borrowings were on a fixed rate </w:t>
      </w:r>
      <w:r>
        <w:rPr>
          <w:rFonts w:eastAsia="Times New Roman"/>
          <w:color w:val="000000"/>
          <w:sz w:val="20"/>
          <w:szCs w:val="20"/>
          <w:shd w:val="clear" w:color="auto" w:fill="FFFFFF"/>
        </w:rPr>
        <w:t xml:space="preserve">basis as of March 31, 2022. The increase in pre-tax interest expense for the three months ended March 31, 2022 from a hypothetical 100 basis point increase in variable interest rates would be approximately $6 million, including the impact from outstanding </w:t>
      </w:r>
      <w:r>
        <w:rPr>
          <w:rFonts w:eastAsia="Times New Roman"/>
          <w:color w:val="000000"/>
          <w:sz w:val="20"/>
          <w:szCs w:val="20"/>
          <w:shd w:val="clear" w:color="auto" w:fill="FFFFFF"/>
        </w:rPr>
        <w:t>interest rate swaps.</w:t>
      </w:r>
    </w:p>
    <w:p w14:paraId="44611E80" w14:textId="77777777" w:rsidR="00000000" w:rsidRDefault="0068293C">
      <w:pPr>
        <w:jc w:val="both"/>
        <w:rPr>
          <w:rFonts w:eastAsia="Times New Roman"/>
        </w:rPr>
      </w:pPr>
    </w:p>
    <w:p w14:paraId="5CDBE160" w14:textId="77777777" w:rsidR="00000000" w:rsidRDefault="0068293C">
      <w:pPr>
        <w:jc w:val="center"/>
        <w:divId w:val="1335373555"/>
        <w:rPr>
          <w:rFonts w:eastAsia="Times New Roman"/>
        </w:rPr>
      </w:pPr>
      <w:r>
        <w:rPr>
          <w:rFonts w:eastAsia="Times New Roman"/>
          <w:color w:val="000000"/>
          <w:sz w:val="20"/>
          <w:szCs w:val="20"/>
        </w:rPr>
        <w:t>48</w:t>
      </w:r>
    </w:p>
    <w:p w14:paraId="7A6207A6" w14:textId="77777777" w:rsidR="00000000" w:rsidRDefault="0068293C">
      <w:pPr>
        <w:rPr>
          <w:rFonts w:eastAsia="Times New Roman"/>
        </w:rPr>
      </w:pPr>
      <w:r>
        <w:rPr>
          <w:rFonts w:eastAsia="Times New Roman"/>
        </w:rPr>
        <w:pict w14:anchorId="2E84D490">
          <v:rect id="_x0000_i1073" style="width:0;height:1.5pt" o:hralign="center" o:hrstd="t" o:hr="t" fillcolor="#a0a0a0" stroked="f"/>
        </w:pict>
      </w:r>
    </w:p>
    <w:p w14:paraId="1DCC5B1A" w14:textId="77777777" w:rsidR="00000000" w:rsidRDefault="0068293C">
      <w:pPr>
        <w:divId w:val="1909875167"/>
        <w:rPr>
          <w:rFonts w:eastAsia="Times New Roman"/>
        </w:rPr>
      </w:pPr>
      <w:hyperlink w:anchor="i78484f3d0d8e4e36a7c87ddd6ea9d725_7" w:history="1">
        <w:r>
          <w:rPr>
            <w:rStyle w:val="a3"/>
            <w:rFonts w:eastAsia="Times New Roman"/>
            <w:sz w:val="16"/>
            <w:szCs w:val="16"/>
          </w:rPr>
          <w:t>Table of Contents</w:t>
        </w:r>
      </w:hyperlink>
    </w:p>
    <w:p w14:paraId="43CFA839" w14:textId="77777777" w:rsidR="00000000" w:rsidRDefault="0068293C">
      <w:pPr>
        <w:jc w:val="both"/>
        <w:rPr>
          <w:rFonts w:eastAsia="Times New Roman"/>
        </w:rPr>
      </w:pPr>
      <w:r>
        <w:rPr>
          <w:rFonts w:eastAsia="Times New Roman"/>
          <w:color w:val="000000"/>
          <w:sz w:val="20"/>
          <w:szCs w:val="20"/>
        </w:rPr>
        <w:t>We utilize interest rate swap contracts and interest rate cap agreements to add stability to interest expense and to m</w:t>
      </w:r>
      <w:r>
        <w:rPr>
          <w:rFonts w:eastAsia="Times New Roman"/>
          <w:color w:val="000000"/>
          <w:sz w:val="20"/>
          <w:szCs w:val="20"/>
        </w:rPr>
        <w:t>anage exposure to interest rate movements as part of our interest rate risk management strategy. Payments and receipts related to interest rate cap agreements and interest rate swap contracts are included in cash flows from operating activities in the Cond</w:t>
      </w:r>
      <w:r>
        <w:rPr>
          <w:rFonts w:eastAsia="Times New Roman"/>
          <w:color w:val="000000"/>
          <w:sz w:val="20"/>
          <w:szCs w:val="20"/>
        </w:rPr>
        <w:t xml:space="preserve">ensed Consolidated Statements of Cash Flows. Refer to Note 13, “Derivatives and Hedging Instruments”, for further information on our interest rate derivative contracts in effect as of </w:t>
      </w:r>
      <w:r>
        <w:rPr>
          <w:rFonts w:eastAsia="Times New Roman"/>
          <w:color w:val="000000"/>
          <w:sz w:val="20"/>
          <w:szCs w:val="20"/>
          <w:shd w:val="clear" w:color="auto" w:fill="FFFFFF"/>
        </w:rPr>
        <w:t>March 31, 2022</w:t>
      </w:r>
      <w:r>
        <w:rPr>
          <w:rFonts w:eastAsia="Times New Roman"/>
          <w:color w:val="000000"/>
          <w:sz w:val="20"/>
          <w:szCs w:val="20"/>
        </w:rPr>
        <w:t>.</w:t>
      </w:r>
    </w:p>
    <w:p w14:paraId="107559E4" w14:textId="77777777" w:rsidR="00000000" w:rsidRDefault="0068293C">
      <w:pPr>
        <w:jc w:val="both"/>
        <w:rPr>
          <w:rFonts w:eastAsia="Times New Roman"/>
        </w:rPr>
      </w:pPr>
    </w:p>
    <w:p w14:paraId="010648BD" w14:textId="77777777" w:rsidR="00000000" w:rsidRDefault="0068293C">
      <w:pPr>
        <w:jc w:val="both"/>
        <w:rPr>
          <w:rFonts w:eastAsia="Times New Roman"/>
        </w:rPr>
      </w:pPr>
      <w:r>
        <w:rPr>
          <w:rFonts w:eastAsia="Times New Roman"/>
          <w:color w:val="000000"/>
          <w:sz w:val="20"/>
          <w:szCs w:val="20"/>
        </w:rPr>
        <w:t>As our ATM vault cash rental expense is based on market rates of interest, it is sensitive to changes in the general level of interest rates in the respective countries in which we operate. We pay a monthly fee on the average outstanding vault cash balance</w:t>
      </w:r>
      <w:r>
        <w:rPr>
          <w:rFonts w:eastAsia="Times New Roman"/>
          <w:color w:val="000000"/>
          <w:sz w:val="20"/>
          <w:szCs w:val="20"/>
        </w:rPr>
        <w:t xml:space="preserve">s in our ATMs under floating rate formulas based on a spread above various interbank offered rates. The increase in vault cash rental expense for the three months ended March 31, 2022 from a hypothetical 100 basis point increase in variable interest rates </w:t>
      </w:r>
      <w:r>
        <w:rPr>
          <w:rFonts w:eastAsia="Times New Roman"/>
          <w:color w:val="000000"/>
          <w:sz w:val="20"/>
          <w:szCs w:val="20"/>
        </w:rPr>
        <w:t>would be approximately $11 million, excluding the impact from outstanding interest rate swap agreements.</w:t>
      </w:r>
    </w:p>
    <w:p w14:paraId="69212405" w14:textId="77777777" w:rsidR="00000000" w:rsidRDefault="0068293C">
      <w:pPr>
        <w:jc w:val="both"/>
        <w:rPr>
          <w:rFonts w:eastAsia="Times New Roman"/>
        </w:rPr>
      </w:pPr>
    </w:p>
    <w:p w14:paraId="376FB7D9" w14:textId="77777777" w:rsidR="00000000" w:rsidRDefault="0068293C">
      <w:pPr>
        <w:jc w:val="both"/>
        <w:rPr>
          <w:rFonts w:eastAsia="Times New Roman"/>
        </w:rPr>
      </w:pPr>
      <w:r>
        <w:rPr>
          <w:rFonts w:eastAsia="Times New Roman"/>
          <w:i/>
          <w:iCs/>
          <w:color w:val="000000"/>
          <w:sz w:val="20"/>
          <w:szCs w:val="20"/>
        </w:rPr>
        <w:t>Concentrations of Credit Risk</w:t>
      </w:r>
    </w:p>
    <w:p w14:paraId="53ECD194" w14:textId="77777777" w:rsidR="00000000" w:rsidRDefault="0068293C">
      <w:pPr>
        <w:jc w:val="both"/>
        <w:rPr>
          <w:rFonts w:eastAsia="Times New Roman"/>
        </w:rPr>
      </w:pPr>
    </w:p>
    <w:p w14:paraId="3F30FB20" w14:textId="77777777" w:rsidR="00000000" w:rsidRDefault="0068293C">
      <w:pPr>
        <w:jc w:val="both"/>
        <w:rPr>
          <w:rFonts w:eastAsia="Times New Roman"/>
        </w:rPr>
      </w:pPr>
      <w:r>
        <w:rPr>
          <w:rFonts w:eastAsia="Times New Roman"/>
          <w:color w:val="000000"/>
          <w:sz w:val="20"/>
          <w:szCs w:val="20"/>
        </w:rPr>
        <w:t>We are potentially subject to concentrations of credit risk on accounts receivable and financial instruments, such as hedging instruments and cash and cash equivalents. Credit risk includes the risk of nonperformance by counterparties. The maximum potentia</w:t>
      </w:r>
      <w:r>
        <w:rPr>
          <w:rFonts w:eastAsia="Times New Roman"/>
          <w:color w:val="000000"/>
          <w:sz w:val="20"/>
          <w:szCs w:val="20"/>
        </w:rPr>
        <w:t>l loss may exceed the amount recognized on the balance sheet. Exposure to credit risk is managed through credit approvals, credit limits, selecting major international financial institutions as counterparties to hedging transactions, and monitoring procedu</w:t>
      </w:r>
      <w:r>
        <w:rPr>
          <w:rFonts w:eastAsia="Times New Roman"/>
          <w:color w:val="000000"/>
          <w:sz w:val="20"/>
          <w:szCs w:val="20"/>
        </w:rPr>
        <w:t>res. Our business often involves large transactions with customers for which we do not require collateral. If one or more of those customers were to default in its obligations under applicable contractual arrangements, we could be exposed to potentially si</w:t>
      </w:r>
      <w:r>
        <w:rPr>
          <w:rFonts w:eastAsia="Times New Roman"/>
          <w:color w:val="000000"/>
          <w:sz w:val="20"/>
          <w:szCs w:val="20"/>
        </w:rPr>
        <w:t xml:space="preserve">gnificant losses. Moreover, a prolonged downturn in the global economy could have an adverse impact on the ability of our customers to pay their obligations on a timely basis. We believe that the reserves for potential losses are adequate. As of March 31, </w:t>
      </w:r>
      <w:r>
        <w:rPr>
          <w:rFonts w:eastAsia="Times New Roman"/>
          <w:color w:val="000000"/>
          <w:sz w:val="20"/>
          <w:szCs w:val="20"/>
        </w:rPr>
        <w:t>2022, we did not have any significant concentration of credit risk related to financial instruments.</w:t>
      </w:r>
    </w:p>
    <w:p w14:paraId="551EC4BA" w14:textId="77777777" w:rsidR="00000000" w:rsidRDefault="0068293C">
      <w:pPr>
        <w:jc w:val="both"/>
        <w:rPr>
          <w:rFonts w:eastAsia="Times New Roman"/>
        </w:rPr>
      </w:pPr>
    </w:p>
    <w:p w14:paraId="186E0610" w14:textId="77777777" w:rsidR="00000000" w:rsidRDefault="0068293C">
      <w:pPr>
        <w:ind w:hanging="1170"/>
        <w:jc w:val="both"/>
        <w:rPr>
          <w:rFonts w:eastAsia="Times New Roman"/>
        </w:rPr>
      </w:pPr>
      <w:r>
        <w:rPr>
          <w:rFonts w:eastAsia="Times New Roman"/>
          <w:b/>
          <w:bCs/>
          <w:color w:val="000000"/>
          <w:sz w:val="20"/>
          <w:szCs w:val="20"/>
        </w:rPr>
        <w:t>Item 4.    CONTROLS AND PROCEDURES</w:t>
      </w:r>
    </w:p>
    <w:p w14:paraId="4FEB5C44" w14:textId="77777777" w:rsidR="00000000" w:rsidRDefault="0068293C">
      <w:pPr>
        <w:jc w:val="both"/>
        <w:rPr>
          <w:rFonts w:eastAsia="Times New Roman"/>
        </w:rPr>
      </w:pPr>
    </w:p>
    <w:p w14:paraId="133F8F59" w14:textId="77777777" w:rsidR="00000000" w:rsidRDefault="0068293C">
      <w:pPr>
        <w:jc w:val="both"/>
        <w:rPr>
          <w:rFonts w:eastAsia="Times New Roman"/>
        </w:rPr>
      </w:pPr>
      <w:r>
        <w:rPr>
          <w:rFonts w:eastAsia="Times New Roman"/>
          <w:i/>
          <w:iCs/>
          <w:color w:val="000000"/>
          <w:sz w:val="20"/>
          <w:szCs w:val="20"/>
        </w:rPr>
        <w:t>Evaluation of Disclosure Controls and Procedures</w:t>
      </w:r>
    </w:p>
    <w:p w14:paraId="086AF95D" w14:textId="77777777" w:rsidR="00000000" w:rsidRDefault="0068293C">
      <w:pPr>
        <w:jc w:val="both"/>
        <w:divId w:val="1523472216"/>
        <w:rPr>
          <w:rFonts w:eastAsia="Times New Roman"/>
        </w:rPr>
      </w:pPr>
      <w:r>
        <w:rPr>
          <w:rFonts w:eastAsia="Times New Roman"/>
          <w:color w:val="000000"/>
          <w:sz w:val="20"/>
          <w:szCs w:val="20"/>
        </w:rPr>
        <w:t xml:space="preserve">NCR has established disclosure controls and procedures (as defined </w:t>
      </w:r>
      <w:r>
        <w:rPr>
          <w:rFonts w:eastAsia="Times New Roman"/>
          <w:color w:val="000000"/>
          <w:sz w:val="20"/>
          <w:szCs w:val="20"/>
        </w:rPr>
        <w:t>in Rules 13a-15(e) and 15d-15(e) of the Securities Exchange Act of 1934 (the Exchange Act)) to provide reasonable assurance that information required to be disclosed by NCR in the reports that it files or submits under the Exchange Act is recorded, process</w:t>
      </w:r>
      <w:r>
        <w:rPr>
          <w:rFonts w:eastAsia="Times New Roman"/>
          <w:color w:val="000000"/>
          <w:sz w:val="20"/>
          <w:szCs w:val="20"/>
        </w:rPr>
        <w:t>ed, summarized and reported within the time periods specified in the SEC’s rules and forms. Disclosure controls and procedures include, without limitation, controls and procedures designed to provide reasonable assurance that information required to be dis</w:t>
      </w:r>
      <w:r>
        <w:rPr>
          <w:rFonts w:eastAsia="Times New Roman"/>
          <w:color w:val="000000"/>
          <w:sz w:val="20"/>
          <w:szCs w:val="20"/>
        </w:rPr>
        <w:t>closed by NCR in the reports that it files or submits under the Exchange Act is accumulated and communicated to NCR’s management, including its Chief Executive and Chief Financial Officers, as appropriate to allow timely decisions regarding required disclo</w:t>
      </w:r>
      <w:r>
        <w:rPr>
          <w:rFonts w:eastAsia="Times New Roman"/>
          <w:color w:val="000000"/>
          <w:sz w:val="20"/>
          <w:szCs w:val="20"/>
        </w:rPr>
        <w:t>sure. Based on their evaluation as of the end of the first quarter of 2022, conducted under their supervision and with the participation of management, the Company’s Chief Executive and Chief Financial Officers have concluded that NCR’s disclosure controls</w:t>
      </w:r>
      <w:r>
        <w:rPr>
          <w:rFonts w:eastAsia="Times New Roman"/>
          <w:color w:val="000000"/>
          <w:sz w:val="20"/>
          <w:szCs w:val="20"/>
        </w:rPr>
        <w:t xml:space="preserve"> and procedures are effective to meet such objectives and that NCR’s disclosure controls and procedures adequately alert them on a timely basis to material information relating to the Company (including its consolidated subsidiaries) required to be include</w:t>
      </w:r>
      <w:r>
        <w:rPr>
          <w:rFonts w:eastAsia="Times New Roman"/>
          <w:color w:val="000000"/>
          <w:sz w:val="20"/>
          <w:szCs w:val="20"/>
        </w:rPr>
        <w:t xml:space="preserve">d in NCR’s Exchange Act filings. </w:t>
      </w:r>
    </w:p>
    <w:p w14:paraId="0AED28D3" w14:textId="77777777" w:rsidR="00000000" w:rsidRDefault="0068293C">
      <w:pPr>
        <w:jc w:val="both"/>
        <w:divId w:val="1606959046"/>
        <w:rPr>
          <w:rFonts w:eastAsia="Times New Roman"/>
        </w:rPr>
      </w:pPr>
    </w:p>
    <w:p w14:paraId="4743D76E" w14:textId="77777777" w:rsidR="00000000" w:rsidRDefault="0068293C">
      <w:pPr>
        <w:jc w:val="both"/>
        <w:divId w:val="819999001"/>
        <w:rPr>
          <w:rFonts w:eastAsia="Times New Roman"/>
        </w:rPr>
      </w:pPr>
      <w:r>
        <w:rPr>
          <w:rFonts w:eastAsia="Times New Roman"/>
          <w:i/>
          <w:iCs/>
          <w:color w:val="000000"/>
          <w:sz w:val="20"/>
          <w:szCs w:val="20"/>
        </w:rPr>
        <w:t>Changes in Internal Control over Financial Reporting</w:t>
      </w:r>
    </w:p>
    <w:p w14:paraId="10AC7A52" w14:textId="77777777" w:rsidR="00000000" w:rsidRDefault="0068293C">
      <w:pPr>
        <w:jc w:val="both"/>
        <w:rPr>
          <w:rFonts w:eastAsia="Times New Roman"/>
        </w:rPr>
      </w:pPr>
    </w:p>
    <w:p w14:paraId="43DD49B8" w14:textId="77777777" w:rsidR="00000000" w:rsidRDefault="0068293C">
      <w:pPr>
        <w:jc w:val="both"/>
        <w:rPr>
          <w:rFonts w:eastAsia="Times New Roman"/>
        </w:rPr>
      </w:pPr>
      <w:r>
        <w:rPr>
          <w:rFonts w:eastAsia="Times New Roman"/>
          <w:color w:val="000000"/>
          <w:sz w:val="20"/>
          <w:szCs w:val="20"/>
        </w:rPr>
        <w:t>There have been no changes in our internal control over financial reporting that occurred during the three months ended March 31, 2022 that have materially affected,</w:t>
      </w:r>
      <w:r>
        <w:rPr>
          <w:rFonts w:eastAsia="Times New Roman"/>
          <w:color w:val="000000"/>
          <w:sz w:val="20"/>
          <w:szCs w:val="20"/>
        </w:rPr>
        <w:t xml:space="preserve"> or are reasonably likely to materially affect, our internal control over financial reporting.</w:t>
      </w:r>
    </w:p>
    <w:p w14:paraId="1B61FEF3" w14:textId="77777777" w:rsidR="00000000" w:rsidRDefault="0068293C">
      <w:pPr>
        <w:jc w:val="both"/>
        <w:rPr>
          <w:rFonts w:eastAsia="Times New Roman"/>
        </w:rPr>
      </w:pPr>
    </w:p>
    <w:p w14:paraId="197E615C" w14:textId="77777777" w:rsidR="00000000" w:rsidRDefault="0068293C">
      <w:pPr>
        <w:jc w:val="center"/>
        <w:divId w:val="689378862"/>
        <w:rPr>
          <w:rFonts w:eastAsia="Times New Roman"/>
        </w:rPr>
      </w:pPr>
      <w:r>
        <w:rPr>
          <w:rFonts w:eastAsia="Times New Roman"/>
          <w:color w:val="000000"/>
          <w:sz w:val="20"/>
          <w:szCs w:val="20"/>
        </w:rPr>
        <w:t>49</w:t>
      </w:r>
    </w:p>
    <w:p w14:paraId="2069B8ED" w14:textId="77777777" w:rsidR="00000000" w:rsidRDefault="0068293C">
      <w:pPr>
        <w:rPr>
          <w:rFonts w:eastAsia="Times New Roman"/>
        </w:rPr>
      </w:pPr>
      <w:r>
        <w:rPr>
          <w:rFonts w:eastAsia="Times New Roman"/>
        </w:rPr>
        <w:pict w14:anchorId="38DB55AE">
          <v:rect id="_x0000_i1074" style="width:0;height:1.5pt" o:hralign="center" o:hrstd="t" o:hr="t" fillcolor="#a0a0a0" stroked="f"/>
        </w:pict>
      </w:r>
    </w:p>
    <w:p w14:paraId="12E81FE9" w14:textId="77777777" w:rsidR="00000000" w:rsidRDefault="0068293C">
      <w:pPr>
        <w:divId w:val="30109327"/>
        <w:rPr>
          <w:rFonts w:eastAsia="Times New Roman"/>
        </w:rPr>
      </w:pPr>
      <w:hyperlink w:anchor="i78484f3d0d8e4e36a7c87ddd6ea9d725_7" w:history="1">
        <w:r>
          <w:rPr>
            <w:rStyle w:val="a3"/>
            <w:rFonts w:eastAsia="Times New Roman"/>
            <w:sz w:val="16"/>
            <w:szCs w:val="16"/>
          </w:rPr>
          <w:t>Table of Contents</w:t>
        </w:r>
      </w:hyperlink>
    </w:p>
    <w:p w14:paraId="6E1CEFE1" w14:textId="77777777" w:rsidR="00000000" w:rsidRDefault="0068293C">
      <w:pPr>
        <w:jc w:val="center"/>
        <w:rPr>
          <w:rFonts w:eastAsia="Times New Roman"/>
        </w:rPr>
      </w:pPr>
      <w:r>
        <w:rPr>
          <w:rFonts w:eastAsia="Times New Roman"/>
          <w:b/>
          <w:bCs/>
          <w:color w:val="000000"/>
          <w:sz w:val="20"/>
          <w:szCs w:val="20"/>
        </w:rPr>
        <w:t>Part II. Other Information</w:t>
      </w:r>
    </w:p>
    <w:p w14:paraId="672B7A74" w14:textId="77777777" w:rsidR="00000000" w:rsidRDefault="0068293C">
      <w:pPr>
        <w:divId w:val="1568570226"/>
        <w:rPr>
          <w:rFonts w:eastAsia="Times New Roman"/>
        </w:rPr>
      </w:pPr>
    </w:p>
    <w:p w14:paraId="0A05ADC1" w14:textId="77777777" w:rsidR="00000000" w:rsidRDefault="0068293C">
      <w:pPr>
        <w:ind w:hanging="1170"/>
        <w:jc w:val="both"/>
        <w:rPr>
          <w:rFonts w:eastAsia="Times New Roman"/>
        </w:rPr>
      </w:pPr>
      <w:r>
        <w:rPr>
          <w:rFonts w:eastAsia="Times New Roman"/>
          <w:b/>
          <w:bCs/>
          <w:color w:val="000000"/>
          <w:sz w:val="20"/>
          <w:szCs w:val="20"/>
        </w:rPr>
        <w:t>Item 1.    LEGA</w:t>
      </w:r>
      <w:r>
        <w:rPr>
          <w:rFonts w:eastAsia="Times New Roman"/>
          <w:b/>
          <w:bCs/>
          <w:color w:val="000000"/>
          <w:sz w:val="20"/>
          <w:szCs w:val="20"/>
        </w:rPr>
        <w:t>L PROCEEDINGS</w:t>
      </w:r>
    </w:p>
    <w:p w14:paraId="16E77106" w14:textId="77777777" w:rsidR="00000000" w:rsidRDefault="0068293C">
      <w:pPr>
        <w:jc w:val="both"/>
        <w:rPr>
          <w:rFonts w:eastAsia="Times New Roman"/>
        </w:rPr>
      </w:pPr>
    </w:p>
    <w:p w14:paraId="47E7B797" w14:textId="77777777" w:rsidR="00000000" w:rsidRDefault="0068293C">
      <w:pPr>
        <w:jc w:val="both"/>
        <w:rPr>
          <w:rFonts w:eastAsia="Times New Roman"/>
        </w:rPr>
      </w:pPr>
      <w:r>
        <w:rPr>
          <w:rFonts w:eastAsia="Times New Roman"/>
          <w:color w:val="000000"/>
          <w:sz w:val="20"/>
          <w:szCs w:val="20"/>
        </w:rPr>
        <w:t>The information required by this item is included in Note 10, “Commitments and Contingencies” of the Notes to Condensed Consolidated Financial Statements in this quarterly report and is incorporated herein by reference.</w:t>
      </w:r>
    </w:p>
    <w:p w14:paraId="1F7AEF7A" w14:textId="77777777" w:rsidR="00000000" w:rsidRDefault="0068293C">
      <w:pPr>
        <w:divId w:val="1608851060"/>
        <w:rPr>
          <w:rFonts w:eastAsia="Times New Roman"/>
        </w:rPr>
      </w:pPr>
    </w:p>
    <w:p w14:paraId="4A41EA12" w14:textId="77777777" w:rsidR="00000000" w:rsidRDefault="0068293C">
      <w:pPr>
        <w:jc w:val="both"/>
        <w:rPr>
          <w:rFonts w:eastAsia="Times New Roman"/>
        </w:rPr>
      </w:pPr>
      <w:r>
        <w:rPr>
          <w:rFonts w:eastAsia="Times New Roman"/>
          <w:b/>
          <w:bCs/>
          <w:color w:val="000000"/>
          <w:sz w:val="20"/>
          <w:szCs w:val="20"/>
        </w:rPr>
        <w:t>Item 1A.    RISK F</w:t>
      </w:r>
      <w:r>
        <w:rPr>
          <w:rFonts w:eastAsia="Times New Roman"/>
          <w:b/>
          <w:bCs/>
          <w:color w:val="000000"/>
          <w:sz w:val="20"/>
          <w:szCs w:val="20"/>
        </w:rPr>
        <w:t>ACTORS</w:t>
      </w:r>
    </w:p>
    <w:p w14:paraId="5DBD8AB5" w14:textId="77777777" w:rsidR="00000000" w:rsidRDefault="0068293C">
      <w:pPr>
        <w:jc w:val="both"/>
        <w:rPr>
          <w:rFonts w:eastAsia="Times New Roman"/>
        </w:rPr>
      </w:pPr>
    </w:p>
    <w:p w14:paraId="4B7F173F" w14:textId="77777777" w:rsidR="00000000" w:rsidRDefault="0068293C">
      <w:pPr>
        <w:jc w:val="both"/>
        <w:rPr>
          <w:rFonts w:eastAsia="Times New Roman"/>
        </w:rPr>
      </w:pPr>
      <w:r>
        <w:rPr>
          <w:rFonts w:eastAsia="Times New Roman"/>
          <w:color w:val="000000"/>
          <w:sz w:val="20"/>
          <w:szCs w:val="20"/>
        </w:rPr>
        <w:t>There have been no material changes to the risk factors previously set forth under Part I, Item IA (“Risk Factors”) of the Company's 2021 Annual Report on Form 10-K (“Form 10-K”). Additional risks and uncertainties not presently known to us or tha</w:t>
      </w:r>
      <w:r>
        <w:rPr>
          <w:rFonts w:eastAsia="Times New Roman"/>
          <w:color w:val="000000"/>
          <w:sz w:val="20"/>
          <w:szCs w:val="20"/>
        </w:rPr>
        <w:t>t are currently not believed to be significant to our business may also affect our actual results and could harm our business, financial conditions and results of operations. If any additional risks and uncertainties actually occur, our business, results o</w:t>
      </w:r>
      <w:r>
        <w:rPr>
          <w:rFonts w:eastAsia="Times New Roman"/>
          <w:color w:val="000000"/>
          <w:sz w:val="20"/>
          <w:szCs w:val="20"/>
        </w:rPr>
        <w:t xml:space="preserve">f operations and financial condition could be materially and adversely affected. </w:t>
      </w:r>
    </w:p>
    <w:p w14:paraId="65ABAF64" w14:textId="77777777" w:rsidR="00000000" w:rsidRDefault="0068293C">
      <w:pPr>
        <w:jc w:val="both"/>
        <w:rPr>
          <w:rFonts w:eastAsia="Times New Roman"/>
        </w:rPr>
      </w:pPr>
    </w:p>
    <w:p w14:paraId="06747190" w14:textId="77777777" w:rsidR="00000000" w:rsidRDefault="0068293C">
      <w:pPr>
        <w:ind w:hanging="1170"/>
        <w:jc w:val="both"/>
        <w:rPr>
          <w:rFonts w:eastAsia="Times New Roman"/>
        </w:rPr>
      </w:pPr>
    </w:p>
    <w:p w14:paraId="3C3559CF" w14:textId="77777777" w:rsidR="00000000" w:rsidRDefault="0068293C">
      <w:pPr>
        <w:ind w:hanging="1170"/>
        <w:jc w:val="both"/>
        <w:rPr>
          <w:rFonts w:eastAsia="Times New Roman"/>
        </w:rPr>
      </w:pPr>
      <w:r>
        <w:rPr>
          <w:rFonts w:eastAsia="Times New Roman"/>
          <w:b/>
          <w:bCs/>
          <w:color w:val="000000"/>
          <w:sz w:val="20"/>
          <w:szCs w:val="20"/>
        </w:rPr>
        <w:t>Item 2.    UNREGISTERED SALES OF EQUITY SECURITIES AND USE OF PROCEEDS</w:t>
      </w:r>
    </w:p>
    <w:p w14:paraId="65C33263" w14:textId="77777777" w:rsidR="00000000" w:rsidRDefault="0068293C">
      <w:pPr>
        <w:jc w:val="both"/>
        <w:rPr>
          <w:rFonts w:eastAsia="Times New Roman"/>
        </w:rPr>
      </w:pPr>
    </w:p>
    <w:p w14:paraId="0C70F827" w14:textId="77777777" w:rsidR="00000000" w:rsidRDefault="0068293C">
      <w:pPr>
        <w:jc w:val="both"/>
        <w:rPr>
          <w:rFonts w:eastAsia="Times New Roman"/>
        </w:rPr>
      </w:pPr>
      <w:r>
        <w:rPr>
          <w:rFonts w:eastAsia="Times New Roman"/>
          <w:color w:val="000000"/>
          <w:sz w:val="20"/>
          <w:szCs w:val="20"/>
        </w:rPr>
        <w:t>On October 19, 2016, the Board approved a share repurchase program, with no expiration from the date of authorization, for the systematic repurchase of the Company’s common stock to offset the dilutive effects of the Company’s employee stock purchase plan,</w:t>
      </w:r>
      <w:r>
        <w:rPr>
          <w:rFonts w:eastAsia="Times New Roman"/>
          <w:color w:val="000000"/>
          <w:sz w:val="20"/>
          <w:szCs w:val="20"/>
        </w:rPr>
        <w:t xml:space="preserve"> equity awards and in-kind dividends on the Company’s Series A Convertible Preferred Stock. Availability under this program accrues quarterly based on the average value of dilutive issuances during the quarter.</w:t>
      </w:r>
    </w:p>
    <w:p w14:paraId="64ECB121" w14:textId="77777777" w:rsidR="00000000" w:rsidRDefault="0068293C">
      <w:pPr>
        <w:jc w:val="both"/>
        <w:rPr>
          <w:rFonts w:eastAsia="Times New Roman"/>
        </w:rPr>
      </w:pPr>
    </w:p>
    <w:p w14:paraId="67542B55" w14:textId="77777777" w:rsidR="00000000" w:rsidRDefault="0068293C">
      <w:pPr>
        <w:jc w:val="both"/>
        <w:rPr>
          <w:rFonts w:eastAsia="Times New Roman"/>
        </w:rPr>
      </w:pPr>
      <w:r>
        <w:rPr>
          <w:rFonts w:eastAsia="Times New Roman"/>
          <w:color w:val="000000"/>
          <w:sz w:val="20"/>
          <w:szCs w:val="20"/>
        </w:rPr>
        <w:t>On March 12, 2017, the Board approved a sec</w:t>
      </w:r>
      <w:r>
        <w:rPr>
          <w:rFonts w:eastAsia="Times New Roman"/>
          <w:color w:val="000000"/>
          <w:sz w:val="20"/>
          <w:szCs w:val="20"/>
        </w:rPr>
        <w:t>ond share repurchase program, with no expiration from the date of authorization, that provides for the repurchase of up to $300 million of the Company’s common stock. On July 25, 2018, the Board authorized an incremental $200 million of share repurchases u</w:t>
      </w:r>
      <w:r>
        <w:rPr>
          <w:rFonts w:eastAsia="Times New Roman"/>
          <w:color w:val="000000"/>
          <w:sz w:val="20"/>
          <w:szCs w:val="20"/>
        </w:rPr>
        <w:t xml:space="preserve">nder this program. </w:t>
      </w:r>
    </w:p>
    <w:p w14:paraId="230F4EBF" w14:textId="77777777" w:rsidR="00000000" w:rsidRDefault="0068293C">
      <w:pPr>
        <w:jc w:val="both"/>
        <w:rPr>
          <w:rFonts w:eastAsia="Times New Roman"/>
        </w:rPr>
      </w:pPr>
    </w:p>
    <w:p w14:paraId="1D4CBA53" w14:textId="77777777" w:rsidR="00000000" w:rsidRDefault="0068293C">
      <w:pPr>
        <w:jc w:val="both"/>
        <w:rPr>
          <w:rFonts w:eastAsia="Times New Roman"/>
        </w:rPr>
      </w:pPr>
      <w:r>
        <w:rPr>
          <w:rFonts w:eastAsia="Times New Roman"/>
          <w:color w:val="000000"/>
          <w:sz w:val="20"/>
          <w:szCs w:val="20"/>
        </w:rPr>
        <w:t>As of March 31, 2022, $153 million was available for repurchases under the March 2017 program, and approximately $768 million was available for repurchases under the October 2016 dilution offset program. The timing and amount of repur</w:t>
      </w:r>
      <w:r>
        <w:rPr>
          <w:rFonts w:eastAsia="Times New Roman"/>
          <w:color w:val="000000"/>
          <w:sz w:val="20"/>
          <w:szCs w:val="20"/>
        </w:rPr>
        <w:t xml:space="preserve">chases under these programs depend upon market conditions and may be made from time to time in open market purchases, privately negotiated transactions, accelerated stock repurchase programs, issuer self-tender offers or otherwise. The repurchases will be </w:t>
      </w:r>
      <w:r>
        <w:rPr>
          <w:rFonts w:eastAsia="Times New Roman"/>
          <w:color w:val="000000"/>
          <w:sz w:val="20"/>
          <w:szCs w:val="20"/>
        </w:rPr>
        <w:t>made in compliance with applicable securities laws and may be discontinued at any time.</w:t>
      </w:r>
    </w:p>
    <w:p w14:paraId="2394B9D3" w14:textId="77777777" w:rsidR="00000000" w:rsidRDefault="0068293C">
      <w:pPr>
        <w:jc w:val="both"/>
        <w:rPr>
          <w:rFonts w:eastAsia="Times New Roman"/>
        </w:rPr>
      </w:pPr>
    </w:p>
    <w:p w14:paraId="1BA9ABEC" w14:textId="77777777" w:rsidR="00000000" w:rsidRDefault="0068293C">
      <w:pPr>
        <w:jc w:val="both"/>
        <w:rPr>
          <w:rFonts w:eastAsia="Times New Roman"/>
        </w:rPr>
      </w:pPr>
      <w:r>
        <w:rPr>
          <w:rFonts w:eastAsia="Times New Roman"/>
          <w:color w:val="000000"/>
          <w:sz w:val="20"/>
          <w:szCs w:val="20"/>
        </w:rPr>
        <w:t>The Company occasionally purchases vested restricted stock or exercised stock options at the current market price to cover withholding taxes</w:t>
      </w:r>
      <w:r>
        <w:rPr>
          <w:rFonts w:eastAsia="Times New Roman"/>
          <w:color w:val="000000"/>
          <w:sz w:val="20"/>
          <w:szCs w:val="20"/>
          <w:shd w:val="clear" w:color="auto" w:fill="FFFFFF"/>
        </w:rPr>
        <w:t>. For the three months end</w:t>
      </w:r>
      <w:r>
        <w:rPr>
          <w:rFonts w:eastAsia="Times New Roman"/>
          <w:color w:val="000000"/>
          <w:sz w:val="20"/>
          <w:szCs w:val="20"/>
          <w:shd w:val="clear" w:color="auto" w:fill="FFFFFF"/>
        </w:rPr>
        <w:t>ed March 31, 2022, 0.5 million shares were purchased at an average price of $39.03 per share.</w:t>
      </w:r>
    </w:p>
    <w:p w14:paraId="57352F29" w14:textId="77777777" w:rsidR="00000000" w:rsidRDefault="0068293C">
      <w:pPr>
        <w:jc w:val="both"/>
        <w:rPr>
          <w:rFonts w:eastAsia="Times New Roman"/>
        </w:rPr>
      </w:pPr>
    </w:p>
    <w:p w14:paraId="2E5F1B1A" w14:textId="77777777" w:rsidR="00000000" w:rsidRDefault="0068293C">
      <w:pPr>
        <w:jc w:val="both"/>
        <w:rPr>
          <w:rFonts w:eastAsia="Times New Roman"/>
        </w:rPr>
      </w:pPr>
      <w:r>
        <w:rPr>
          <w:rFonts w:eastAsia="Times New Roman"/>
          <w:color w:val="000000"/>
          <w:sz w:val="20"/>
          <w:szCs w:val="20"/>
        </w:rPr>
        <w:t>The Company’s ability to repurchase its common stock is restricted under the Company’s senior secured credit facility and terms of the indentures for the Compan</w:t>
      </w:r>
      <w:r>
        <w:rPr>
          <w:rFonts w:eastAsia="Times New Roman"/>
          <w:color w:val="000000"/>
          <w:sz w:val="20"/>
          <w:szCs w:val="20"/>
        </w:rPr>
        <w:t>y’s senior unsecured notes, which prohibit certain share repurchases, including during the occurrence of an event of default, and establish limits on the amount that the Company is permitted to allocate to share repurchases and other restricted payments. T</w:t>
      </w:r>
      <w:r>
        <w:rPr>
          <w:rFonts w:eastAsia="Times New Roman"/>
          <w:color w:val="000000"/>
          <w:sz w:val="20"/>
          <w:szCs w:val="20"/>
        </w:rPr>
        <w:t>he limitations are calculated using formulas based generally on 50% of the Company’s consolidated net income for the period beginning in the third quarter of 2012 through the end of the most recently ended fiscal quarter, subject to certain other adjustmen</w:t>
      </w:r>
      <w:r>
        <w:rPr>
          <w:rFonts w:eastAsia="Times New Roman"/>
          <w:color w:val="000000"/>
          <w:sz w:val="20"/>
          <w:szCs w:val="20"/>
        </w:rPr>
        <w:t>ts and deductions, with certain prescribed minimums. These formulas are described in greater detail in the Company’s senior secured credit facility and the indentures for the Company’s senior unsecured notes, each of which is filed with the SEC.</w:t>
      </w:r>
    </w:p>
    <w:p w14:paraId="119F7ACE" w14:textId="77777777" w:rsidR="00000000" w:rsidRDefault="0068293C">
      <w:pPr>
        <w:jc w:val="center"/>
        <w:divId w:val="1747529391"/>
        <w:rPr>
          <w:rFonts w:eastAsia="Times New Roman"/>
        </w:rPr>
      </w:pPr>
      <w:r>
        <w:rPr>
          <w:rFonts w:eastAsia="Times New Roman"/>
          <w:color w:val="000000"/>
          <w:sz w:val="20"/>
          <w:szCs w:val="20"/>
        </w:rPr>
        <w:t>50</w:t>
      </w:r>
    </w:p>
    <w:p w14:paraId="2E36F9D1" w14:textId="77777777" w:rsidR="00000000" w:rsidRDefault="0068293C">
      <w:pPr>
        <w:rPr>
          <w:rFonts w:eastAsia="Times New Roman"/>
        </w:rPr>
      </w:pPr>
      <w:r>
        <w:rPr>
          <w:rFonts w:eastAsia="Times New Roman"/>
        </w:rPr>
        <w:pict w14:anchorId="5172C4FC">
          <v:rect id="_x0000_i1075" style="width:0;height:1.5pt" o:hralign="center" o:hrstd="t" o:hr="t" fillcolor="#a0a0a0" stroked="f"/>
        </w:pict>
      </w:r>
    </w:p>
    <w:p w14:paraId="0E1A9D9F" w14:textId="77777777" w:rsidR="00000000" w:rsidRDefault="0068293C">
      <w:pPr>
        <w:divId w:val="1777863386"/>
        <w:rPr>
          <w:rFonts w:eastAsia="Times New Roman"/>
        </w:rPr>
      </w:pPr>
      <w:hyperlink w:anchor="i78484f3d0d8e4e36a7c87ddd6ea9d725_7" w:history="1">
        <w:r>
          <w:rPr>
            <w:rStyle w:val="a3"/>
            <w:rFonts w:eastAsia="Times New Roman"/>
            <w:sz w:val="16"/>
            <w:szCs w:val="16"/>
          </w:rPr>
          <w:t>Table of Contents</w:t>
        </w:r>
      </w:hyperlink>
    </w:p>
    <w:p w14:paraId="2E1D964F" w14:textId="77777777" w:rsidR="00000000" w:rsidRDefault="0068293C">
      <w:pPr>
        <w:ind w:hanging="450"/>
        <w:divId w:val="221451711"/>
        <w:rPr>
          <w:rFonts w:eastAsia="Times New Roman"/>
        </w:rPr>
      </w:pPr>
      <w:r>
        <w:rPr>
          <w:rFonts w:eastAsia="Times New Roman"/>
          <w:b/>
          <w:bCs/>
          <w:color w:val="000000"/>
          <w:sz w:val="20"/>
          <w:szCs w:val="20"/>
        </w:rPr>
        <w:t>    Item 6.     EXHIBITS</w:t>
      </w:r>
    </w:p>
    <w:tbl>
      <w:tblPr>
        <w:tblW w:w="4919" w:type="pct"/>
        <w:tblCellMar>
          <w:top w:w="15" w:type="dxa"/>
          <w:left w:w="15" w:type="dxa"/>
          <w:bottom w:w="15" w:type="dxa"/>
          <w:right w:w="15" w:type="dxa"/>
        </w:tblCellMar>
        <w:tblLook w:val="04A0" w:firstRow="1" w:lastRow="0" w:firstColumn="1" w:lastColumn="0" w:noHBand="0" w:noVBand="1"/>
      </w:tblPr>
      <w:tblGrid>
        <w:gridCol w:w="67"/>
        <w:gridCol w:w="769"/>
        <w:gridCol w:w="36"/>
        <w:gridCol w:w="68"/>
        <w:gridCol w:w="7194"/>
        <w:gridCol w:w="37"/>
      </w:tblGrid>
      <w:tr w:rsidR="00000000" w14:paraId="65558C2E" w14:textId="77777777">
        <w:trPr>
          <w:divId w:val="1704397889"/>
        </w:trPr>
        <w:tc>
          <w:tcPr>
            <w:tcW w:w="50" w:type="pct"/>
            <w:vAlign w:val="center"/>
            <w:hideMark/>
          </w:tcPr>
          <w:p w14:paraId="401C1B5B" w14:textId="77777777" w:rsidR="00000000" w:rsidRDefault="0068293C">
            <w:pPr>
              <w:ind w:hanging="450"/>
              <w:rPr>
                <w:rFonts w:eastAsia="Times New Roman"/>
              </w:rPr>
            </w:pPr>
          </w:p>
        </w:tc>
        <w:tc>
          <w:tcPr>
            <w:tcW w:w="479" w:type="pct"/>
            <w:vAlign w:val="center"/>
            <w:hideMark/>
          </w:tcPr>
          <w:p w14:paraId="115256EA" w14:textId="77777777" w:rsidR="00000000" w:rsidRDefault="0068293C">
            <w:pPr>
              <w:spacing w:after="100"/>
              <w:rPr>
                <w:rFonts w:eastAsia="Times New Roman"/>
                <w:sz w:val="20"/>
                <w:szCs w:val="20"/>
              </w:rPr>
            </w:pPr>
          </w:p>
        </w:tc>
        <w:tc>
          <w:tcPr>
            <w:tcW w:w="5" w:type="pct"/>
            <w:vAlign w:val="center"/>
            <w:hideMark/>
          </w:tcPr>
          <w:p w14:paraId="1EDD1538" w14:textId="77777777" w:rsidR="00000000" w:rsidRDefault="0068293C">
            <w:pPr>
              <w:spacing w:after="100"/>
              <w:rPr>
                <w:rFonts w:eastAsia="Times New Roman"/>
                <w:sz w:val="20"/>
                <w:szCs w:val="20"/>
              </w:rPr>
            </w:pPr>
          </w:p>
        </w:tc>
        <w:tc>
          <w:tcPr>
            <w:tcW w:w="50" w:type="pct"/>
            <w:vAlign w:val="center"/>
            <w:hideMark/>
          </w:tcPr>
          <w:p w14:paraId="2283C064" w14:textId="77777777" w:rsidR="00000000" w:rsidRDefault="0068293C">
            <w:pPr>
              <w:spacing w:after="100"/>
              <w:rPr>
                <w:rFonts w:eastAsia="Times New Roman"/>
                <w:sz w:val="20"/>
                <w:szCs w:val="20"/>
              </w:rPr>
            </w:pPr>
          </w:p>
        </w:tc>
        <w:tc>
          <w:tcPr>
            <w:tcW w:w="4410" w:type="pct"/>
            <w:vAlign w:val="center"/>
            <w:hideMark/>
          </w:tcPr>
          <w:p w14:paraId="337874E6" w14:textId="77777777" w:rsidR="00000000" w:rsidRDefault="0068293C">
            <w:pPr>
              <w:spacing w:after="100"/>
              <w:rPr>
                <w:rFonts w:eastAsia="Times New Roman"/>
                <w:sz w:val="20"/>
                <w:szCs w:val="20"/>
              </w:rPr>
            </w:pPr>
          </w:p>
        </w:tc>
        <w:tc>
          <w:tcPr>
            <w:tcW w:w="5" w:type="pct"/>
            <w:vAlign w:val="center"/>
            <w:hideMark/>
          </w:tcPr>
          <w:p w14:paraId="2F297AB7" w14:textId="77777777" w:rsidR="00000000" w:rsidRDefault="0068293C">
            <w:pPr>
              <w:spacing w:after="100"/>
              <w:rPr>
                <w:rFonts w:eastAsia="Times New Roman"/>
                <w:sz w:val="20"/>
                <w:szCs w:val="20"/>
              </w:rPr>
            </w:pPr>
          </w:p>
        </w:tc>
      </w:tr>
      <w:tr w:rsidR="00000000" w14:paraId="7D24845A" w14:textId="77777777">
        <w:trPr>
          <w:divId w:val="1704397889"/>
        </w:trPr>
        <w:tc>
          <w:tcPr>
            <w:tcW w:w="0" w:type="auto"/>
            <w:gridSpan w:val="3"/>
            <w:tcMar>
              <w:top w:w="30" w:type="dxa"/>
              <w:left w:w="20" w:type="dxa"/>
              <w:bottom w:w="30" w:type="dxa"/>
              <w:right w:w="20" w:type="dxa"/>
            </w:tcMar>
            <w:hideMark/>
          </w:tcPr>
          <w:p w14:paraId="1DEFA86A" w14:textId="77777777" w:rsidR="00000000" w:rsidRDefault="0068293C">
            <w:pPr>
              <w:spacing w:after="100"/>
              <w:jc w:val="both"/>
              <w:rPr>
                <w:rFonts w:eastAsia="Times New Roman"/>
              </w:rPr>
            </w:pPr>
            <w:hyperlink r:id="rId5" w:history="1">
              <w:r>
                <w:rPr>
                  <w:rStyle w:val="a3"/>
                  <w:rFonts w:eastAsia="Times New Roman"/>
                  <w:sz w:val="20"/>
                  <w:szCs w:val="20"/>
                </w:rPr>
                <w:t>10.1</w:t>
              </w:r>
            </w:hyperlink>
          </w:p>
        </w:tc>
        <w:tc>
          <w:tcPr>
            <w:tcW w:w="0" w:type="auto"/>
            <w:gridSpan w:val="3"/>
            <w:tcMar>
              <w:top w:w="30" w:type="dxa"/>
              <w:left w:w="20" w:type="dxa"/>
              <w:bottom w:w="30" w:type="dxa"/>
              <w:right w:w="20" w:type="dxa"/>
            </w:tcMar>
            <w:hideMark/>
          </w:tcPr>
          <w:p w14:paraId="0E1CACF9" w14:textId="77777777" w:rsidR="00000000" w:rsidRDefault="0068293C">
            <w:pPr>
              <w:spacing w:after="100"/>
              <w:jc w:val="both"/>
              <w:rPr>
                <w:rFonts w:eastAsia="Times New Roman"/>
              </w:rPr>
            </w:pPr>
            <w:r>
              <w:rPr>
                <w:rFonts w:eastAsia="Times New Roman"/>
                <w:color w:val="000000"/>
                <w:sz w:val="20"/>
                <w:szCs w:val="20"/>
              </w:rPr>
              <w:t>Form of Senior Executive Team Performance-Based Restricted Stock Unit Award Agreement (With Relative TSR Metric) under the NCR Corporation 2017 Stock Incentive Plan. *</w:t>
            </w:r>
          </w:p>
        </w:tc>
      </w:tr>
      <w:tr w:rsidR="00000000" w14:paraId="346CCF2E" w14:textId="77777777">
        <w:trPr>
          <w:divId w:val="1704397889"/>
          <w:trHeight w:val="100"/>
        </w:trPr>
        <w:tc>
          <w:tcPr>
            <w:tcW w:w="0" w:type="auto"/>
            <w:gridSpan w:val="3"/>
            <w:tcMar>
              <w:top w:w="0" w:type="dxa"/>
              <w:left w:w="20" w:type="dxa"/>
              <w:bottom w:w="0" w:type="dxa"/>
              <w:right w:w="20" w:type="dxa"/>
            </w:tcMar>
            <w:vAlign w:val="center"/>
            <w:hideMark/>
          </w:tcPr>
          <w:p w14:paraId="7CF65DDD" w14:textId="77777777" w:rsidR="00000000" w:rsidRDefault="0068293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27BDA27" w14:textId="77777777" w:rsidR="00000000" w:rsidRDefault="0068293C">
            <w:pPr>
              <w:spacing w:after="100"/>
              <w:rPr>
                <w:rFonts w:eastAsia="Times New Roman"/>
                <w:sz w:val="20"/>
                <w:szCs w:val="20"/>
              </w:rPr>
            </w:pPr>
          </w:p>
        </w:tc>
      </w:tr>
      <w:tr w:rsidR="00000000" w14:paraId="5F362745" w14:textId="77777777">
        <w:trPr>
          <w:divId w:val="1704397889"/>
        </w:trPr>
        <w:tc>
          <w:tcPr>
            <w:tcW w:w="0" w:type="auto"/>
            <w:gridSpan w:val="3"/>
            <w:tcMar>
              <w:top w:w="30" w:type="dxa"/>
              <w:left w:w="20" w:type="dxa"/>
              <w:bottom w:w="30" w:type="dxa"/>
              <w:right w:w="20" w:type="dxa"/>
            </w:tcMar>
            <w:hideMark/>
          </w:tcPr>
          <w:p w14:paraId="4D54D65A" w14:textId="77777777" w:rsidR="00000000" w:rsidRDefault="0068293C">
            <w:pPr>
              <w:spacing w:after="100"/>
              <w:jc w:val="both"/>
              <w:rPr>
                <w:rFonts w:eastAsia="Times New Roman"/>
              </w:rPr>
            </w:pPr>
            <w:hyperlink r:id="rId6"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14:paraId="4AB00ED7" w14:textId="77777777" w:rsidR="00000000" w:rsidRDefault="0068293C">
            <w:pPr>
              <w:spacing w:after="100"/>
              <w:rPr>
                <w:rFonts w:eastAsia="Times New Roman"/>
              </w:rPr>
            </w:pPr>
            <w:r>
              <w:rPr>
                <w:rFonts w:eastAsia="Times New Roman"/>
                <w:color w:val="000000"/>
                <w:sz w:val="20"/>
                <w:szCs w:val="20"/>
              </w:rPr>
              <w:t>Letter Agreement, dated</w:t>
            </w:r>
            <w:r>
              <w:rPr>
                <w:rFonts w:eastAsia="Times New Roman"/>
                <w:color w:val="000000"/>
                <w:sz w:val="20"/>
                <w:szCs w:val="20"/>
              </w:rPr>
              <w:t xml:space="preserve"> October 1, 2021, between Don Layden and NCR Corporation. * </w:t>
            </w:r>
          </w:p>
        </w:tc>
      </w:tr>
      <w:tr w:rsidR="00000000" w14:paraId="28384181" w14:textId="77777777">
        <w:trPr>
          <w:divId w:val="1704397889"/>
          <w:trHeight w:val="100"/>
        </w:trPr>
        <w:tc>
          <w:tcPr>
            <w:tcW w:w="0" w:type="auto"/>
            <w:gridSpan w:val="3"/>
            <w:tcMar>
              <w:top w:w="0" w:type="dxa"/>
              <w:left w:w="20" w:type="dxa"/>
              <w:bottom w:w="0" w:type="dxa"/>
              <w:right w:w="20" w:type="dxa"/>
            </w:tcMar>
            <w:vAlign w:val="center"/>
            <w:hideMark/>
          </w:tcPr>
          <w:p w14:paraId="3B8D61C0"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39EBDADE" w14:textId="77777777" w:rsidR="00000000" w:rsidRDefault="0068293C">
            <w:pPr>
              <w:spacing w:after="100"/>
              <w:rPr>
                <w:rFonts w:eastAsia="Times New Roman"/>
                <w:sz w:val="20"/>
                <w:szCs w:val="20"/>
              </w:rPr>
            </w:pPr>
          </w:p>
        </w:tc>
      </w:tr>
      <w:tr w:rsidR="00000000" w14:paraId="3D90CD7D" w14:textId="77777777">
        <w:trPr>
          <w:divId w:val="1704397889"/>
        </w:trPr>
        <w:tc>
          <w:tcPr>
            <w:tcW w:w="0" w:type="auto"/>
            <w:gridSpan w:val="3"/>
            <w:tcMar>
              <w:top w:w="30" w:type="dxa"/>
              <w:left w:w="20" w:type="dxa"/>
              <w:bottom w:w="30" w:type="dxa"/>
              <w:right w:w="20" w:type="dxa"/>
            </w:tcMar>
            <w:hideMark/>
          </w:tcPr>
          <w:p w14:paraId="1135B6F3" w14:textId="77777777" w:rsidR="00000000" w:rsidRDefault="0068293C">
            <w:pPr>
              <w:spacing w:after="100"/>
              <w:jc w:val="both"/>
              <w:rPr>
                <w:rFonts w:eastAsia="Times New Roman"/>
              </w:rPr>
            </w:pPr>
            <w:hyperlink r:id="rId7"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14:paraId="54B84DE3" w14:textId="77777777" w:rsidR="00000000" w:rsidRDefault="0068293C">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14:paraId="1F7355B7" w14:textId="77777777">
        <w:trPr>
          <w:divId w:val="1704397889"/>
          <w:trHeight w:val="100"/>
        </w:trPr>
        <w:tc>
          <w:tcPr>
            <w:tcW w:w="0" w:type="auto"/>
            <w:gridSpan w:val="3"/>
            <w:tcMar>
              <w:top w:w="0" w:type="dxa"/>
              <w:left w:w="20" w:type="dxa"/>
              <w:bottom w:w="0" w:type="dxa"/>
              <w:right w:w="20" w:type="dxa"/>
            </w:tcMar>
            <w:vAlign w:val="center"/>
            <w:hideMark/>
          </w:tcPr>
          <w:p w14:paraId="77280DF2" w14:textId="77777777" w:rsidR="00000000" w:rsidRDefault="0068293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6ABFF70" w14:textId="77777777" w:rsidR="00000000" w:rsidRDefault="0068293C">
            <w:pPr>
              <w:spacing w:after="100"/>
              <w:rPr>
                <w:rFonts w:eastAsia="Times New Roman"/>
                <w:sz w:val="20"/>
                <w:szCs w:val="20"/>
              </w:rPr>
            </w:pPr>
          </w:p>
        </w:tc>
      </w:tr>
      <w:tr w:rsidR="00000000" w14:paraId="6C67BB08" w14:textId="77777777">
        <w:trPr>
          <w:divId w:val="1704397889"/>
        </w:trPr>
        <w:tc>
          <w:tcPr>
            <w:tcW w:w="0" w:type="auto"/>
            <w:gridSpan w:val="3"/>
            <w:tcMar>
              <w:top w:w="30" w:type="dxa"/>
              <w:left w:w="20" w:type="dxa"/>
              <w:bottom w:w="30" w:type="dxa"/>
              <w:right w:w="20" w:type="dxa"/>
            </w:tcMar>
            <w:hideMark/>
          </w:tcPr>
          <w:p w14:paraId="26AC01C8" w14:textId="77777777" w:rsidR="00000000" w:rsidRDefault="0068293C">
            <w:pPr>
              <w:spacing w:after="100"/>
              <w:jc w:val="both"/>
              <w:rPr>
                <w:rFonts w:eastAsia="Times New Roman"/>
              </w:rPr>
            </w:pPr>
            <w:hyperlink r:id="rId8"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14:paraId="2FCD2741" w14:textId="77777777" w:rsidR="00000000" w:rsidRDefault="0068293C">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14:paraId="733A83A9" w14:textId="77777777">
        <w:trPr>
          <w:divId w:val="1704397889"/>
          <w:trHeight w:val="120"/>
        </w:trPr>
        <w:tc>
          <w:tcPr>
            <w:tcW w:w="0" w:type="auto"/>
            <w:gridSpan w:val="3"/>
            <w:tcMar>
              <w:top w:w="0" w:type="dxa"/>
              <w:left w:w="20" w:type="dxa"/>
              <w:bottom w:w="0" w:type="dxa"/>
              <w:right w:w="20" w:type="dxa"/>
            </w:tcMar>
            <w:vAlign w:val="center"/>
            <w:hideMark/>
          </w:tcPr>
          <w:p w14:paraId="627F1A9D" w14:textId="77777777" w:rsidR="00000000" w:rsidRDefault="0068293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12CEADA" w14:textId="77777777" w:rsidR="00000000" w:rsidRDefault="0068293C">
            <w:pPr>
              <w:spacing w:after="100"/>
              <w:rPr>
                <w:rFonts w:eastAsia="Times New Roman"/>
                <w:sz w:val="20"/>
                <w:szCs w:val="20"/>
              </w:rPr>
            </w:pPr>
          </w:p>
        </w:tc>
      </w:tr>
      <w:tr w:rsidR="00000000" w14:paraId="73D4AD85" w14:textId="77777777">
        <w:trPr>
          <w:divId w:val="1704397889"/>
        </w:trPr>
        <w:tc>
          <w:tcPr>
            <w:tcW w:w="0" w:type="auto"/>
            <w:gridSpan w:val="3"/>
            <w:tcMar>
              <w:top w:w="30" w:type="dxa"/>
              <w:left w:w="20" w:type="dxa"/>
              <w:bottom w:w="30" w:type="dxa"/>
              <w:right w:w="20" w:type="dxa"/>
            </w:tcMar>
            <w:hideMark/>
          </w:tcPr>
          <w:p w14:paraId="26D9DBC3" w14:textId="77777777" w:rsidR="00000000" w:rsidRDefault="0068293C">
            <w:pPr>
              <w:spacing w:after="100"/>
              <w:jc w:val="both"/>
              <w:rPr>
                <w:rFonts w:eastAsia="Times New Roman"/>
              </w:rPr>
            </w:pPr>
            <w:hyperlink r:id="rId9" w:history="1">
              <w:r>
                <w:rPr>
                  <w:rStyle w:val="a3"/>
                  <w:rFonts w:eastAsia="Times New Roman"/>
                  <w:sz w:val="20"/>
                  <w:szCs w:val="20"/>
                </w:rPr>
                <w:t>32</w:t>
              </w:r>
            </w:hyperlink>
          </w:p>
        </w:tc>
        <w:tc>
          <w:tcPr>
            <w:tcW w:w="0" w:type="auto"/>
            <w:gridSpan w:val="3"/>
            <w:tcMar>
              <w:top w:w="30" w:type="dxa"/>
              <w:left w:w="20" w:type="dxa"/>
              <w:bottom w:w="30" w:type="dxa"/>
              <w:right w:w="20" w:type="dxa"/>
            </w:tcMar>
            <w:hideMark/>
          </w:tcPr>
          <w:p w14:paraId="0ED09AF0" w14:textId="77777777" w:rsidR="00000000" w:rsidRDefault="0068293C">
            <w:pPr>
              <w:spacing w:after="100"/>
              <w:jc w:val="both"/>
              <w:rPr>
                <w:rFonts w:eastAsia="Times New Roman"/>
              </w:rPr>
            </w:pPr>
            <w:r>
              <w:rPr>
                <w:rFonts w:eastAsia="Times New Roman"/>
                <w:color w:val="000000"/>
                <w:sz w:val="20"/>
                <w:szCs w:val="20"/>
              </w:rPr>
              <w:t>Certification pursuant to 18 U.S.C. Section 1350 as adopted pursuant to Section 906 of the Sar</w:t>
            </w:r>
            <w:r>
              <w:rPr>
                <w:rFonts w:eastAsia="Times New Roman"/>
                <w:color w:val="000000"/>
                <w:sz w:val="20"/>
                <w:szCs w:val="20"/>
              </w:rPr>
              <w:t>banes-Oxley Act of 2002.</w:t>
            </w:r>
          </w:p>
        </w:tc>
      </w:tr>
      <w:tr w:rsidR="00000000" w14:paraId="31EC786A" w14:textId="77777777">
        <w:trPr>
          <w:divId w:val="1704397889"/>
          <w:trHeight w:val="120"/>
        </w:trPr>
        <w:tc>
          <w:tcPr>
            <w:tcW w:w="0" w:type="auto"/>
            <w:gridSpan w:val="3"/>
            <w:tcMar>
              <w:top w:w="0" w:type="dxa"/>
              <w:left w:w="20" w:type="dxa"/>
              <w:bottom w:w="0" w:type="dxa"/>
              <w:right w:w="20" w:type="dxa"/>
            </w:tcMar>
            <w:vAlign w:val="center"/>
            <w:hideMark/>
          </w:tcPr>
          <w:p w14:paraId="4111BA55" w14:textId="77777777" w:rsidR="00000000" w:rsidRDefault="0068293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02621D3" w14:textId="77777777" w:rsidR="00000000" w:rsidRDefault="0068293C">
            <w:pPr>
              <w:spacing w:after="100"/>
              <w:rPr>
                <w:rFonts w:eastAsia="Times New Roman"/>
                <w:sz w:val="20"/>
                <w:szCs w:val="20"/>
              </w:rPr>
            </w:pPr>
          </w:p>
        </w:tc>
      </w:tr>
      <w:tr w:rsidR="00000000" w14:paraId="4B102EF8" w14:textId="77777777">
        <w:trPr>
          <w:divId w:val="1704397889"/>
        </w:trPr>
        <w:tc>
          <w:tcPr>
            <w:tcW w:w="0" w:type="auto"/>
            <w:gridSpan w:val="3"/>
            <w:tcMar>
              <w:top w:w="30" w:type="dxa"/>
              <w:left w:w="20" w:type="dxa"/>
              <w:bottom w:w="30" w:type="dxa"/>
              <w:right w:w="20" w:type="dxa"/>
            </w:tcMar>
            <w:hideMark/>
          </w:tcPr>
          <w:p w14:paraId="57D44F67" w14:textId="77777777" w:rsidR="00000000" w:rsidRDefault="0068293C">
            <w:pPr>
              <w:spacing w:after="100"/>
              <w:jc w:val="both"/>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14:paraId="06F6F48B" w14:textId="77777777" w:rsidR="00000000" w:rsidRDefault="0068293C">
            <w:pPr>
              <w:spacing w:after="100"/>
              <w:jc w:val="both"/>
              <w:rPr>
                <w:rFonts w:eastAsia="Times New Roman"/>
              </w:rPr>
            </w:pPr>
            <w:r>
              <w:rPr>
                <w:rFonts w:eastAsia="Times New Roman"/>
                <w:color w:val="000000"/>
                <w:sz w:val="20"/>
                <w:szCs w:val="20"/>
              </w:rPr>
              <w:t>The following materials from NCR Corporation’</w:t>
            </w:r>
            <w:r>
              <w:rPr>
                <w:rFonts w:eastAsia="Times New Roman"/>
                <w:color w:val="000000"/>
                <w:sz w:val="20"/>
                <w:szCs w:val="20"/>
              </w:rPr>
              <w:t>s Quarterly Report on Form 10-Q for the quarter ended March 31, 2022, formatted in iXBRL (Inline Extensible Business Reporting Language): (i) our condensed consolidated statements of operations for the three months ended March 31, 2022 and 2021; (ii) our c</w:t>
            </w:r>
            <w:r>
              <w:rPr>
                <w:rFonts w:eastAsia="Times New Roman"/>
                <w:color w:val="000000"/>
                <w:sz w:val="20"/>
                <w:szCs w:val="20"/>
              </w:rPr>
              <w:t>ondensed consolidated statements of comprehensive income for the three months ended March 31, 2022 and 2021; (iii) our condensed consolidated balance sheets as of March 31, 2022 and December 31, 2021; (iv) our condensed consolidated statements of cash flow</w:t>
            </w:r>
            <w:r>
              <w:rPr>
                <w:rFonts w:eastAsia="Times New Roman"/>
                <w:color w:val="000000"/>
                <w:sz w:val="20"/>
                <w:szCs w:val="20"/>
              </w:rPr>
              <w:t>s for the three months ended March 31, 2022 and 2021; (v) our condensed consolidated statements of changes in stockholder's equity for the three months ended March 31, 2022 and 2021; and (vi) the notes to our condensed consolidated financial statements.</w:t>
            </w:r>
          </w:p>
        </w:tc>
      </w:tr>
      <w:tr w:rsidR="00000000" w14:paraId="5E002793" w14:textId="77777777">
        <w:trPr>
          <w:divId w:val="1704397889"/>
          <w:trHeight w:val="120"/>
        </w:trPr>
        <w:tc>
          <w:tcPr>
            <w:tcW w:w="0" w:type="auto"/>
            <w:gridSpan w:val="3"/>
            <w:tcMar>
              <w:top w:w="0" w:type="dxa"/>
              <w:left w:w="20" w:type="dxa"/>
              <w:bottom w:w="0" w:type="dxa"/>
              <w:right w:w="20" w:type="dxa"/>
            </w:tcMar>
            <w:vAlign w:val="center"/>
            <w:hideMark/>
          </w:tcPr>
          <w:p w14:paraId="46E6BBF5" w14:textId="77777777" w:rsidR="00000000" w:rsidRDefault="0068293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CC57402" w14:textId="77777777" w:rsidR="00000000" w:rsidRDefault="0068293C">
            <w:pPr>
              <w:spacing w:after="100"/>
              <w:rPr>
                <w:rFonts w:eastAsia="Times New Roman"/>
                <w:sz w:val="20"/>
                <w:szCs w:val="20"/>
              </w:rPr>
            </w:pPr>
          </w:p>
        </w:tc>
      </w:tr>
      <w:tr w:rsidR="00000000" w14:paraId="23BCA9BE" w14:textId="77777777">
        <w:trPr>
          <w:divId w:val="1704397889"/>
        </w:trPr>
        <w:tc>
          <w:tcPr>
            <w:tcW w:w="0" w:type="auto"/>
            <w:gridSpan w:val="3"/>
            <w:tcMar>
              <w:top w:w="30" w:type="dxa"/>
              <w:left w:w="20" w:type="dxa"/>
              <w:bottom w:w="30" w:type="dxa"/>
              <w:right w:w="20" w:type="dxa"/>
            </w:tcMar>
            <w:hideMark/>
          </w:tcPr>
          <w:p w14:paraId="46FB0ABE" w14:textId="77777777" w:rsidR="00000000" w:rsidRDefault="0068293C">
            <w:pPr>
              <w:spacing w:after="100"/>
              <w:jc w:val="both"/>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14:paraId="27D7FAC9" w14:textId="77777777" w:rsidR="00000000" w:rsidRDefault="0068293C">
            <w:pPr>
              <w:spacing w:after="100"/>
              <w:jc w:val="both"/>
              <w:rPr>
                <w:rFonts w:eastAsia="Times New Roman"/>
              </w:rPr>
            </w:pPr>
            <w:r>
              <w:rPr>
                <w:rFonts w:eastAsia="Times New Roman"/>
                <w:color w:val="000000"/>
                <w:sz w:val="20"/>
                <w:szCs w:val="20"/>
              </w:rPr>
              <w:t>Cover Page Interactive Data File, formatted in Inline XBRL and contained in Exhibit 101.</w:t>
            </w:r>
          </w:p>
        </w:tc>
      </w:tr>
    </w:tbl>
    <w:p w14:paraId="17C8A4C2" w14:textId="77777777" w:rsidR="00000000" w:rsidRDefault="0068293C">
      <w:pPr>
        <w:divId w:val="840512443"/>
        <w:rPr>
          <w:rFonts w:eastAsia="Times New Roman"/>
        </w:rPr>
      </w:pPr>
      <w:r>
        <w:rPr>
          <w:rFonts w:eastAsia="Times New Roman"/>
          <w:color w:val="000000"/>
          <w:sz w:val="20"/>
          <w:szCs w:val="20"/>
        </w:rPr>
        <w:t>* Management contracts or compensatory plans/arrangements.</w:t>
      </w:r>
    </w:p>
    <w:p w14:paraId="07656BF0" w14:textId="77777777" w:rsidR="00000000" w:rsidRDefault="0068293C">
      <w:pPr>
        <w:divId w:val="799759642"/>
        <w:rPr>
          <w:rFonts w:eastAsia="Times New Roman"/>
        </w:rPr>
      </w:pPr>
    </w:p>
    <w:p w14:paraId="58EA9846" w14:textId="77777777" w:rsidR="00000000" w:rsidRDefault="0068293C">
      <w:pPr>
        <w:jc w:val="center"/>
        <w:divId w:val="1495801766"/>
        <w:rPr>
          <w:rFonts w:eastAsia="Times New Roman"/>
        </w:rPr>
      </w:pPr>
      <w:r>
        <w:rPr>
          <w:rFonts w:eastAsia="Times New Roman"/>
          <w:color w:val="000000"/>
          <w:sz w:val="20"/>
          <w:szCs w:val="20"/>
        </w:rPr>
        <w:t>51</w:t>
      </w:r>
    </w:p>
    <w:p w14:paraId="3AE09736" w14:textId="77777777" w:rsidR="00000000" w:rsidRDefault="0068293C">
      <w:pPr>
        <w:rPr>
          <w:rFonts w:eastAsia="Times New Roman"/>
        </w:rPr>
      </w:pPr>
      <w:r>
        <w:rPr>
          <w:rFonts w:eastAsia="Times New Roman"/>
        </w:rPr>
        <w:pict w14:anchorId="3AFBCA0B">
          <v:rect id="_x0000_i1076" style="width:0;height:1.5pt" o:hralign="center" o:hrstd="t" o:hr="t" fillcolor="#a0a0a0" stroked="f"/>
        </w:pict>
      </w:r>
    </w:p>
    <w:p w14:paraId="5515CE07" w14:textId="77777777" w:rsidR="00000000" w:rsidRDefault="0068293C">
      <w:pPr>
        <w:divId w:val="1782257162"/>
        <w:rPr>
          <w:rFonts w:eastAsia="Times New Roman"/>
        </w:rPr>
      </w:pPr>
      <w:hyperlink w:anchor="i78484f3d0d8e4e36a7c87ddd6ea9d725_7" w:history="1">
        <w:r>
          <w:rPr>
            <w:rStyle w:val="a3"/>
            <w:rFonts w:eastAsia="Times New Roman"/>
            <w:sz w:val="16"/>
            <w:szCs w:val="16"/>
          </w:rPr>
          <w:t>Table of Contents</w:t>
        </w:r>
      </w:hyperlink>
    </w:p>
    <w:p w14:paraId="408DD376" w14:textId="77777777" w:rsidR="00000000" w:rsidRDefault="0068293C">
      <w:pPr>
        <w:jc w:val="center"/>
        <w:rPr>
          <w:rFonts w:eastAsia="Times New Roman"/>
        </w:rPr>
      </w:pPr>
      <w:r>
        <w:rPr>
          <w:rFonts w:eastAsia="Times New Roman"/>
          <w:b/>
          <w:bCs/>
          <w:color w:val="000000"/>
          <w:sz w:val="20"/>
          <w:szCs w:val="20"/>
        </w:rPr>
        <w:t>SIGNATURES</w:t>
      </w:r>
    </w:p>
    <w:p w14:paraId="1BF62572" w14:textId="77777777" w:rsidR="00000000" w:rsidRDefault="0068293C">
      <w:pPr>
        <w:divId w:val="2063476985"/>
        <w:rPr>
          <w:rFonts w:eastAsia="Times New Roman"/>
        </w:rPr>
      </w:pPr>
      <w:r>
        <w:rPr>
          <w:rFonts w:eastAsia="Times New Roman"/>
          <w:color w:val="000000"/>
          <w:sz w:val="20"/>
          <w:szCs w:val="20"/>
        </w:rPr>
        <w:t>Pursuant to the requirements of the Securities Exchange Act of 1934, the registrant has duly caused this report to be signed on its b</w:t>
      </w:r>
      <w:r>
        <w:rPr>
          <w:rFonts w:eastAsia="Times New Roman"/>
          <w:color w:val="000000"/>
          <w:sz w:val="20"/>
          <w:szCs w:val="20"/>
        </w:rPr>
        <w:t>ehalf by the undersigned, thereunto duly authorized.</w:t>
      </w:r>
    </w:p>
    <w:p w14:paraId="4D073625" w14:textId="77777777" w:rsidR="00000000" w:rsidRDefault="0068293C">
      <w:pPr>
        <w:divId w:val="1943949298"/>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2"/>
        <w:gridCol w:w="384"/>
        <w:gridCol w:w="36"/>
        <w:gridCol w:w="37"/>
        <w:gridCol w:w="3437"/>
        <w:gridCol w:w="36"/>
        <w:gridCol w:w="81"/>
        <w:gridCol w:w="240"/>
        <w:gridCol w:w="37"/>
        <w:gridCol w:w="37"/>
        <w:gridCol w:w="116"/>
        <w:gridCol w:w="37"/>
        <w:gridCol w:w="64"/>
        <w:gridCol w:w="3633"/>
        <w:gridCol w:w="36"/>
      </w:tblGrid>
      <w:tr w:rsidR="00000000" w14:paraId="3EDF3065" w14:textId="77777777">
        <w:trPr>
          <w:divId w:val="910233236"/>
        </w:trPr>
        <w:tc>
          <w:tcPr>
            <w:tcW w:w="50" w:type="pct"/>
            <w:vAlign w:val="center"/>
            <w:hideMark/>
          </w:tcPr>
          <w:p w14:paraId="28B4F7F8" w14:textId="77777777" w:rsidR="00000000" w:rsidRDefault="0068293C">
            <w:pPr>
              <w:rPr>
                <w:rFonts w:eastAsia="Times New Roman"/>
              </w:rPr>
            </w:pPr>
          </w:p>
        </w:tc>
        <w:tc>
          <w:tcPr>
            <w:tcW w:w="237" w:type="pct"/>
            <w:vAlign w:val="center"/>
            <w:hideMark/>
          </w:tcPr>
          <w:p w14:paraId="4199A65B" w14:textId="77777777" w:rsidR="00000000" w:rsidRDefault="0068293C">
            <w:pPr>
              <w:spacing w:after="100"/>
              <w:rPr>
                <w:rFonts w:eastAsia="Times New Roman"/>
                <w:sz w:val="20"/>
                <w:szCs w:val="20"/>
              </w:rPr>
            </w:pPr>
          </w:p>
        </w:tc>
        <w:tc>
          <w:tcPr>
            <w:tcW w:w="5" w:type="pct"/>
            <w:vAlign w:val="center"/>
            <w:hideMark/>
          </w:tcPr>
          <w:p w14:paraId="3E8FD2EA" w14:textId="77777777" w:rsidR="00000000" w:rsidRDefault="0068293C">
            <w:pPr>
              <w:spacing w:after="100"/>
              <w:rPr>
                <w:rFonts w:eastAsia="Times New Roman"/>
                <w:sz w:val="20"/>
                <w:szCs w:val="20"/>
              </w:rPr>
            </w:pPr>
          </w:p>
        </w:tc>
        <w:tc>
          <w:tcPr>
            <w:tcW w:w="50" w:type="pct"/>
            <w:vAlign w:val="center"/>
            <w:hideMark/>
          </w:tcPr>
          <w:p w14:paraId="2E9B3D64" w14:textId="77777777" w:rsidR="00000000" w:rsidRDefault="0068293C">
            <w:pPr>
              <w:spacing w:after="100"/>
              <w:rPr>
                <w:rFonts w:eastAsia="Times New Roman"/>
                <w:sz w:val="20"/>
                <w:szCs w:val="20"/>
              </w:rPr>
            </w:pPr>
          </w:p>
        </w:tc>
        <w:tc>
          <w:tcPr>
            <w:tcW w:w="2082" w:type="pct"/>
            <w:vAlign w:val="center"/>
            <w:hideMark/>
          </w:tcPr>
          <w:p w14:paraId="148EEBC4" w14:textId="77777777" w:rsidR="00000000" w:rsidRDefault="0068293C">
            <w:pPr>
              <w:spacing w:after="100"/>
              <w:rPr>
                <w:rFonts w:eastAsia="Times New Roman"/>
                <w:sz w:val="20"/>
                <w:szCs w:val="20"/>
              </w:rPr>
            </w:pPr>
          </w:p>
        </w:tc>
        <w:tc>
          <w:tcPr>
            <w:tcW w:w="5" w:type="pct"/>
            <w:vAlign w:val="center"/>
            <w:hideMark/>
          </w:tcPr>
          <w:p w14:paraId="49F767CA" w14:textId="77777777" w:rsidR="00000000" w:rsidRDefault="0068293C">
            <w:pPr>
              <w:spacing w:after="100"/>
              <w:rPr>
                <w:rFonts w:eastAsia="Times New Roman"/>
                <w:sz w:val="20"/>
                <w:szCs w:val="20"/>
              </w:rPr>
            </w:pPr>
          </w:p>
        </w:tc>
        <w:tc>
          <w:tcPr>
            <w:tcW w:w="50" w:type="pct"/>
            <w:vAlign w:val="center"/>
            <w:hideMark/>
          </w:tcPr>
          <w:p w14:paraId="335582F4" w14:textId="77777777" w:rsidR="00000000" w:rsidRDefault="0068293C">
            <w:pPr>
              <w:spacing w:after="100"/>
              <w:rPr>
                <w:rFonts w:eastAsia="Times New Roman"/>
                <w:sz w:val="20"/>
                <w:szCs w:val="20"/>
              </w:rPr>
            </w:pPr>
          </w:p>
        </w:tc>
        <w:tc>
          <w:tcPr>
            <w:tcW w:w="149" w:type="pct"/>
            <w:vAlign w:val="center"/>
            <w:hideMark/>
          </w:tcPr>
          <w:p w14:paraId="728DAAEC" w14:textId="77777777" w:rsidR="00000000" w:rsidRDefault="0068293C">
            <w:pPr>
              <w:spacing w:after="100"/>
              <w:rPr>
                <w:rFonts w:eastAsia="Times New Roman"/>
                <w:sz w:val="20"/>
                <w:szCs w:val="20"/>
              </w:rPr>
            </w:pPr>
          </w:p>
        </w:tc>
        <w:tc>
          <w:tcPr>
            <w:tcW w:w="5" w:type="pct"/>
            <w:vAlign w:val="center"/>
            <w:hideMark/>
          </w:tcPr>
          <w:p w14:paraId="3FE3093C" w14:textId="77777777" w:rsidR="00000000" w:rsidRDefault="0068293C">
            <w:pPr>
              <w:spacing w:after="100"/>
              <w:rPr>
                <w:rFonts w:eastAsia="Times New Roman"/>
                <w:sz w:val="20"/>
                <w:szCs w:val="20"/>
              </w:rPr>
            </w:pPr>
          </w:p>
        </w:tc>
        <w:tc>
          <w:tcPr>
            <w:tcW w:w="5" w:type="pct"/>
            <w:vAlign w:val="center"/>
            <w:hideMark/>
          </w:tcPr>
          <w:p w14:paraId="03E6130D" w14:textId="77777777" w:rsidR="00000000" w:rsidRDefault="0068293C">
            <w:pPr>
              <w:spacing w:after="100"/>
              <w:rPr>
                <w:rFonts w:eastAsia="Times New Roman"/>
                <w:sz w:val="20"/>
                <w:szCs w:val="20"/>
              </w:rPr>
            </w:pPr>
          </w:p>
        </w:tc>
        <w:tc>
          <w:tcPr>
            <w:tcW w:w="99" w:type="pct"/>
            <w:vAlign w:val="center"/>
            <w:hideMark/>
          </w:tcPr>
          <w:p w14:paraId="2C757B71" w14:textId="77777777" w:rsidR="00000000" w:rsidRDefault="0068293C">
            <w:pPr>
              <w:spacing w:after="100"/>
              <w:rPr>
                <w:rFonts w:eastAsia="Times New Roman"/>
                <w:sz w:val="20"/>
                <w:szCs w:val="20"/>
              </w:rPr>
            </w:pPr>
          </w:p>
        </w:tc>
        <w:tc>
          <w:tcPr>
            <w:tcW w:w="5" w:type="pct"/>
            <w:vAlign w:val="center"/>
            <w:hideMark/>
          </w:tcPr>
          <w:p w14:paraId="320D6DDA" w14:textId="77777777" w:rsidR="00000000" w:rsidRDefault="0068293C">
            <w:pPr>
              <w:spacing w:after="100"/>
              <w:rPr>
                <w:rFonts w:eastAsia="Times New Roman"/>
                <w:sz w:val="20"/>
                <w:szCs w:val="20"/>
              </w:rPr>
            </w:pPr>
          </w:p>
        </w:tc>
        <w:tc>
          <w:tcPr>
            <w:tcW w:w="50" w:type="pct"/>
            <w:vAlign w:val="center"/>
            <w:hideMark/>
          </w:tcPr>
          <w:p w14:paraId="483C08D4" w14:textId="77777777" w:rsidR="00000000" w:rsidRDefault="0068293C">
            <w:pPr>
              <w:spacing w:after="100"/>
              <w:rPr>
                <w:rFonts w:eastAsia="Times New Roman"/>
                <w:sz w:val="20"/>
                <w:szCs w:val="20"/>
              </w:rPr>
            </w:pPr>
          </w:p>
        </w:tc>
        <w:tc>
          <w:tcPr>
            <w:tcW w:w="2199" w:type="pct"/>
            <w:vAlign w:val="center"/>
            <w:hideMark/>
          </w:tcPr>
          <w:p w14:paraId="422B958A" w14:textId="77777777" w:rsidR="00000000" w:rsidRDefault="0068293C">
            <w:pPr>
              <w:spacing w:after="100"/>
              <w:rPr>
                <w:rFonts w:eastAsia="Times New Roman"/>
                <w:sz w:val="20"/>
                <w:szCs w:val="20"/>
              </w:rPr>
            </w:pPr>
          </w:p>
        </w:tc>
        <w:tc>
          <w:tcPr>
            <w:tcW w:w="5" w:type="pct"/>
            <w:vAlign w:val="center"/>
            <w:hideMark/>
          </w:tcPr>
          <w:p w14:paraId="1D14B7E3" w14:textId="77777777" w:rsidR="00000000" w:rsidRDefault="0068293C">
            <w:pPr>
              <w:spacing w:after="100"/>
              <w:rPr>
                <w:rFonts w:eastAsia="Times New Roman"/>
                <w:sz w:val="20"/>
                <w:szCs w:val="20"/>
              </w:rPr>
            </w:pPr>
          </w:p>
        </w:tc>
      </w:tr>
      <w:tr w:rsidR="00000000" w14:paraId="4F4F41E8" w14:textId="77777777">
        <w:trPr>
          <w:divId w:val="910233236"/>
        </w:trPr>
        <w:tc>
          <w:tcPr>
            <w:tcW w:w="0" w:type="auto"/>
            <w:gridSpan w:val="3"/>
            <w:tcMar>
              <w:top w:w="0" w:type="dxa"/>
              <w:left w:w="20" w:type="dxa"/>
              <w:bottom w:w="0" w:type="dxa"/>
              <w:right w:w="20" w:type="dxa"/>
            </w:tcMar>
            <w:vAlign w:val="center"/>
            <w:hideMark/>
          </w:tcPr>
          <w:p w14:paraId="13505D9F"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2468D1" w14:textId="77777777" w:rsidR="00000000" w:rsidRDefault="0068293C">
            <w:pPr>
              <w:spacing w:after="100"/>
              <w:rPr>
                <w:rFonts w:eastAsia="Times New Roman"/>
                <w:sz w:val="20"/>
                <w:szCs w:val="20"/>
              </w:rPr>
            </w:pPr>
          </w:p>
        </w:tc>
        <w:tc>
          <w:tcPr>
            <w:tcW w:w="0" w:type="auto"/>
            <w:gridSpan w:val="9"/>
            <w:tcMar>
              <w:top w:w="30" w:type="dxa"/>
              <w:left w:w="20" w:type="dxa"/>
              <w:bottom w:w="30" w:type="dxa"/>
              <w:right w:w="20" w:type="dxa"/>
            </w:tcMar>
            <w:hideMark/>
          </w:tcPr>
          <w:p w14:paraId="48D5DB6A" w14:textId="77777777" w:rsidR="00000000" w:rsidRDefault="0068293C">
            <w:pPr>
              <w:spacing w:after="100"/>
              <w:rPr>
                <w:rFonts w:eastAsia="Times New Roman"/>
              </w:rPr>
            </w:pPr>
            <w:r>
              <w:rPr>
                <w:rFonts w:eastAsia="Times New Roman"/>
                <w:color w:val="000000"/>
                <w:sz w:val="20"/>
                <w:szCs w:val="20"/>
              </w:rPr>
              <w:t>NCR CORPORATION</w:t>
            </w:r>
          </w:p>
        </w:tc>
      </w:tr>
      <w:tr w:rsidR="00000000" w14:paraId="32432444" w14:textId="77777777">
        <w:trPr>
          <w:divId w:val="910233236"/>
          <w:trHeight w:val="300"/>
        </w:trPr>
        <w:tc>
          <w:tcPr>
            <w:tcW w:w="0" w:type="auto"/>
            <w:gridSpan w:val="3"/>
            <w:tcMar>
              <w:top w:w="0" w:type="dxa"/>
              <w:left w:w="20" w:type="dxa"/>
              <w:bottom w:w="0" w:type="dxa"/>
              <w:right w:w="20" w:type="dxa"/>
            </w:tcMar>
            <w:vAlign w:val="center"/>
            <w:hideMark/>
          </w:tcPr>
          <w:p w14:paraId="2EA0374D" w14:textId="77777777" w:rsidR="00000000" w:rsidRDefault="0068293C">
            <w:pPr>
              <w:spacing w:after="100"/>
              <w:rPr>
                <w:rFonts w:eastAsia="Times New Roman"/>
              </w:rPr>
            </w:pPr>
          </w:p>
        </w:tc>
        <w:tc>
          <w:tcPr>
            <w:tcW w:w="0" w:type="auto"/>
            <w:gridSpan w:val="3"/>
            <w:tcMar>
              <w:top w:w="0" w:type="dxa"/>
              <w:left w:w="20" w:type="dxa"/>
              <w:bottom w:w="0" w:type="dxa"/>
              <w:right w:w="20" w:type="dxa"/>
            </w:tcMar>
            <w:vAlign w:val="center"/>
            <w:hideMark/>
          </w:tcPr>
          <w:p w14:paraId="53764C87"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62C2C9" w14:textId="77777777" w:rsidR="00000000" w:rsidRDefault="0068293C">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73D7A0DD" w14:textId="77777777" w:rsidR="00000000" w:rsidRDefault="0068293C">
            <w:pPr>
              <w:spacing w:after="100"/>
              <w:rPr>
                <w:rFonts w:eastAsia="Times New Roman"/>
                <w:sz w:val="20"/>
                <w:szCs w:val="20"/>
              </w:rPr>
            </w:pPr>
          </w:p>
        </w:tc>
      </w:tr>
      <w:tr w:rsidR="00000000" w14:paraId="4C223F60" w14:textId="77777777">
        <w:trPr>
          <w:divId w:val="910233236"/>
        </w:trPr>
        <w:tc>
          <w:tcPr>
            <w:tcW w:w="0" w:type="auto"/>
            <w:gridSpan w:val="3"/>
            <w:tcMar>
              <w:top w:w="30" w:type="dxa"/>
              <w:left w:w="20" w:type="dxa"/>
              <w:bottom w:w="30" w:type="dxa"/>
              <w:right w:w="20" w:type="dxa"/>
            </w:tcMar>
            <w:hideMark/>
          </w:tcPr>
          <w:p w14:paraId="54D3006C" w14:textId="77777777" w:rsidR="00000000" w:rsidRDefault="0068293C">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14:paraId="3DC40028" w14:textId="77777777" w:rsidR="00000000" w:rsidRDefault="0068293C">
            <w:pPr>
              <w:spacing w:after="100"/>
              <w:rPr>
                <w:rFonts w:eastAsia="Times New Roman"/>
              </w:rPr>
            </w:pPr>
            <w:r>
              <w:rPr>
                <w:rFonts w:eastAsia="Times New Roman"/>
                <w:color w:val="000000"/>
                <w:sz w:val="20"/>
                <w:szCs w:val="20"/>
              </w:rPr>
              <w:t>April 29, 2022</w:t>
            </w:r>
          </w:p>
        </w:tc>
        <w:tc>
          <w:tcPr>
            <w:tcW w:w="0" w:type="auto"/>
            <w:gridSpan w:val="3"/>
            <w:tcMar>
              <w:top w:w="30" w:type="dxa"/>
              <w:left w:w="20" w:type="dxa"/>
              <w:bottom w:w="30" w:type="dxa"/>
              <w:right w:w="20" w:type="dxa"/>
            </w:tcMar>
            <w:hideMark/>
          </w:tcPr>
          <w:p w14:paraId="2346DEF7" w14:textId="77777777" w:rsidR="00000000" w:rsidRDefault="0068293C">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70E47ACD"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0847F8D9" w14:textId="77777777" w:rsidR="00000000" w:rsidRDefault="0068293C">
            <w:pPr>
              <w:spacing w:after="100"/>
              <w:jc w:val="center"/>
              <w:rPr>
                <w:rFonts w:eastAsia="Times New Roman"/>
              </w:rPr>
            </w:pPr>
            <w:r>
              <w:rPr>
                <w:rFonts w:eastAsia="Times New Roman"/>
                <w:color w:val="000000"/>
                <w:sz w:val="20"/>
                <w:szCs w:val="20"/>
              </w:rPr>
              <w:t>/s/ Timothy C. Oliver</w:t>
            </w:r>
          </w:p>
        </w:tc>
      </w:tr>
      <w:tr w:rsidR="00000000" w14:paraId="01266D0F" w14:textId="77777777">
        <w:trPr>
          <w:divId w:val="910233236"/>
        </w:trPr>
        <w:tc>
          <w:tcPr>
            <w:tcW w:w="0" w:type="auto"/>
            <w:gridSpan w:val="3"/>
            <w:tcMar>
              <w:top w:w="0" w:type="dxa"/>
              <w:left w:w="20" w:type="dxa"/>
              <w:bottom w:w="0" w:type="dxa"/>
              <w:right w:w="20" w:type="dxa"/>
            </w:tcMar>
            <w:vAlign w:val="center"/>
            <w:hideMark/>
          </w:tcPr>
          <w:p w14:paraId="58E61599" w14:textId="77777777" w:rsidR="00000000" w:rsidRDefault="0068293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DD7729D" w14:textId="77777777" w:rsidR="00000000" w:rsidRDefault="006829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54B752" w14:textId="77777777" w:rsidR="00000000" w:rsidRDefault="006829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60986CD" w14:textId="77777777" w:rsidR="00000000" w:rsidRDefault="0068293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6854149" w14:textId="77777777" w:rsidR="00000000" w:rsidRDefault="0068293C">
            <w:pPr>
              <w:spacing w:after="100"/>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r>
            <w:r>
              <w:rPr>
                <w:rFonts w:eastAsia="Times New Roman"/>
                <w:b/>
                <w:bCs/>
                <w:color w:val="000000"/>
                <w:sz w:val="16"/>
                <w:szCs w:val="16"/>
              </w:rPr>
              <w:t>Senior Executive Vice President and Chief Financial Officer</w:t>
            </w:r>
          </w:p>
        </w:tc>
      </w:tr>
    </w:tbl>
    <w:p w14:paraId="3A327C44" w14:textId="77777777" w:rsidR="00000000" w:rsidRDefault="0068293C">
      <w:pPr>
        <w:divId w:val="910233236"/>
        <w:rPr>
          <w:rFonts w:eastAsia="Times New Roman"/>
        </w:rPr>
      </w:pPr>
      <w:r>
        <w:rPr>
          <w:rFonts w:eastAsia="Times New Roman"/>
          <w:color w:val="000000"/>
          <w:sz w:val="20"/>
          <w:szCs w:val="20"/>
        </w:rPr>
        <w:t>    </w:t>
      </w:r>
    </w:p>
    <w:p w14:paraId="3DD60FCD" w14:textId="77777777" w:rsidR="0068293C" w:rsidRDefault="0068293C">
      <w:pPr>
        <w:jc w:val="center"/>
        <w:divId w:val="1352804817"/>
        <w:rPr>
          <w:rFonts w:eastAsia="Times New Roman"/>
        </w:rPr>
      </w:pPr>
      <w:r>
        <w:rPr>
          <w:rFonts w:eastAsia="Times New Roman"/>
          <w:color w:val="000000"/>
          <w:sz w:val="20"/>
          <w:szCs w:val="20"/>
        </w:rPr>
        <w:t>52</w:t>
      </w:r>
    </w:p>
    <w:sectPr w:rsidR="0068293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293C"/>
    <w:rsid w:val="0068293C"/>
  </w:rsids>
  <m:mathPr>
    <m:mathFont m:val="Cambria Math"/>
    <m:brkBin m:val="before"/>
    <m:brkBinSub m:val="--"/>
    <m:smallFrac m:val="0"/>
    <m:dispDef/>
    <m:lMargin m:val="0"/>
    <m:rMargin m:val="0"/>
    <m:defJc m:val="centerGroup"/>
    <m:wrapIndent m:val="1440"/>
    <m:intLim m:val="subSup"/>
    <m:naryLim m:val="undOvr"/>
  </m:mathPr>
  <w:attachedSchema w:val="http://xbrl.sec.gov/dei/2021q4"/>
  <w:attachedSchema w:val="http://www.xbrl.org/2003/instance"/>
  <w:attachedSchema w:val="http://fasb.org/us-gaap/2021-01-31"/>
  <w:attachedSchema w:val="http://www.w3.org/1999/xlink"/>
  <w:attachedSchema w:val="http://www.xbrl.org/inlineXBRL/transformation/2020-02-12"/>
  <w:attachedSchema w:val="http://www.sec.gov/inlineXBRL/transformation/2015-08-31"/>
  <w:attachedSchema w:val="http://xbrl.org/2006/xbrldi"/>
  <w:attachedSchema w:val="http://www.xbrl.org/2009/utr"/>
  <w:attachedSchema w:val="http://www.ncr.com/20220331"/>
  <w:attachedSchema w:val="http://www.xbrl.org/2003/linkbase"/>
  <w:attachedSchema w:val="http://www.xbrl.org/2003/iso4217"/>
  <w:attachedSchema w:val="http://fasb.org/srt/2021-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A815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66">
      <w:marLeft w:val="0"/>
      <w:marRight w:val="0"/>
      <w:marTop w:val="0"/>
      <w:marBottom w:val="0"/>
      <w:divBdr>
        <w:top w:val="none" w:sz="0" w:space="0" w:color="auto"/>
        <w:left w:val="none" w:sz="0" w:space="0" w:color="auto"/>
        <w:bottom w:val="none" w:sz="0" w:space="0" w:color="auto"/>
        <w:right w:val="none" w:sz="0" w:space="0" w:color="auto"/>
      </w:divBdr>
    </w:div>
    <w:div w:id="10422562">
      <w:marLeft w:val="0"/>
      <w:marRight w:val="0"/>
      <w:marTop w:val="180"/>
      <w:marBottom w:val="180"/>
      <w:divBdr>
        <w:top w:val="none" w:sz="0" w:space="0" w:color="auto"/>
        <w:left w:val="none" w:sz="0" w:space="0" w:color="auto"/>
        <w:bottom w:val="none" w:sz="0" w:space="0" w:color="auto"/>
        <w:right w:val="none" w:sz="0" w:space="0" w:color="auto"/>
      </w:divBdr>
    </w:div>
    <w:div w:id="17584183">
      <w:marLeft w:val="0"/>
      <w:marRight w:val="0"/>
      <w:marTop w:val="0"/>
      <w:marBottom w:val="0"/>
      <w:divBdr>
        <w:top w:val="none" w:sz="0" w:space="0" w:color="auto"/>
        <w:left w:val="none" w:sz="0" w:space="0" w:color="auto"/>
        <w:bottom w:val="none" w:sz="0" w:space="0" w:color="auto"/>
        <w:right w:val="none" w:sz="0" w:space="0" w:color="auto"/>
      </w:divBdr>
    </w:div>
    <w:div w:id="17657591">
      <w:marLeft w:val="0"/>
      <w:marRight w:val="0"/>
      <w:marTop w:val="100"/>
      <w:marBottom w:val="0"/>
      <w:divBdr>
        <w:top w:val="none" w:sz="0" w:space="0" w:color="auto"/>
        <w:left w:val="none" w:sz="0" w:space="0" w:color="auto"/>
        <w:bottom w:val="none" w:sz="0" w:space="0" w:color="auto"/>
        <w:right w:val="none" w:sz="0" w:space="0" w:color="auto"/>
      </w:divBdr>
      <w:divsChild>
        <w:div w:id="1749840825">
          <w:marLeft w:val="0"/>
          <w:marRight w:val="0"/>
          <w:marTop w:val="0"/>
          <w:marBottom w:val="0"/>
          <w:divBdr>
            <w:top w:val="none" w:sz="0" w:space="0" w:color="auto"/>
            <w:left w:val="none" w:sz="0" w:space="0" w:color="auto"/>
            <w:bottom w:val="none" w:sz="0" w:space="0" w:color="auto"/>
            <w:right w:val="none" w:sz="0" w:space="0" w:color="auto"/>
          </w:divBdr>
        </w:div>
        <w:div w:id="932713022">
          <w:marLeft w:val="0"/>
          <w:marRight w:val="0"/>
          <w:marTop w:val="0"/>
          <w:marBottom w:val="0"/>
          <w:divBdr>
            <w:top w:val="none" w:sz="0" w:space="0" w:color="auto"/>
            <w:left w:val="none" w:sz="0" w:space="0" w:color="auto"/>
            <w:bottom w:val="none" w:sz="0" w:space="0" w:color="auto"/>
            <w:right w:val="none" w:sz="0" w:space="0" w:color="auto"/>
          </w:divBdr>
        </w:div>
        <w:div w:id="1942562188">
          <w:marLeft w:val="0"/>
          <w:marRight w:val="0"/>
          <w:marTop w:val="0"/>
          <w:marBottom w:val="0"/>
          <w:divBdr>
            <w:top w:val="none" w:sz="0" w:space="0" w:color="auto"/>
            <w:left w:val="none" w:sz="0" w:space="0" w:color="auto"/>
            <w:bottom w:val="none" w:sz="0" w:space="0" w:color="auto"/>
            <w:right w:val="none" w:sz="0" w:space="0" w:color="auto"/>
          </w:divBdr>
        </w:div>
        <w:div w:id="2085639141">
          <w:marLeft w:val="0"/>
          <w:marRight w:val="0"/>
          <w:marTop w:val="0"/>
          <w:marBottom w:val="0"/>
          <w:divBdr>
            <w:top w:val="none" w:sz="0" w:space="0" w:color="auto"/>
            <w:left w:val="none" w:sz="0" w:space="0" w:color="auto"/>
            <w:bottom w:val="none" w:sz="0" w:space="0" w:color="auto"/>
            <w:right w:val="none" w:sz="0" w:space="0" w:color="auto"/>
          </w:divBdr>
        </w:div>
        <w:div w:id="379747118">
          <w:marLeft w:val="0"/>
          <w:marRight w:val="0"/>
          <w:marTop w:val="0"/>
          <w:marBottom w:val="0"/>
          <w:divBdr>
            <w:top w:val="none" w:sz="0" w:space="0" w:color="auto"/>
            <w:left w:val="none" w:sz="0" w:space="0" w:color="auto"/>
            <w:bottom w:val="none" w:sz="0" w:space="0" w:color="auto"/>
            <w:right w:val="none" w:sz="0" w:space="0" w:color="auto"/>
          </w:divBdr>
        </w:div>
        <w:div w:id="1248922974">
          <w:marLeft w:val="0"/>
          <w:marRight w:val="0"/>
          <w:marTop w:val="0"/>
          <w:marBottom w:val="0"/>
          <w:divBdr>
            <w:top w:val="none" w:sz="0" w:space="0" w:color="auto"/>
            <w:left w:val="none" w:sz="0" w:space="0" w:color="auto"/>
            <w:bottom w:val="none" w:sz="0" w:space="0" w:color="auto"/>
            <w:right w:val="none" w:sz="0" w:space="0" w:color="auto"/>
          </w:divBdr>
        </w:div>
        <w:div w:id="1758356088">
          <w:marLeft w:val="0"/>
          <w:marRight w:val="0"/>
          <w:marTop w:val="0"/>
          <w:marBottom w:val="0"/>
          <w:divBdr>
            <w:top w:val="none" w:sz="0" w:space="0" w:color="auto"/>
            <w:left w:val="none" w:sz="0" w:space="0" w:color="auto"/>
            <w:bottom w:val="none" w:sz="0" w:space="0" w:color="auto"/>
            <w:right w:val="none" w:sz="0" w:space="0" w:color="auto"/>
          </w:divBdr>
        </w:div>
        <w:div w:id="1268006023">
          <w:marLeft w:val="0"/>
          <w:marRight w:val="0"/>
          <w:marTop w:val="0"/>
          <w:marBottom w:val="0"/>
          <w:divBdr>
            <w:top w:val="none" w:sz="0" w:space="0" w:color="auto"/>
            <w:left w:val="none" w:sz="0" w:space="0" w:color="auto"/>
            <w:bottom w:val="none" w:sz="0" w:space="0" w:color="auto"/>
            <w:right w:val="none" w:sz="0" w:space="0" w:color="auto"/>
          </w:divBdr>
        </w:div>
        <w:div w:id="332999242">
          <w:marLeft w:val="0"/>
          <w:marRight w:val="0"/>
          <w:marTop w:val="0"/>
          <w:marBottom w:val="0"/>
          <w:divBdr>
            <w:top w:val="none" w:sz="0" w:space="0" w:color="auto"/>
            <w:left w:val="none" w:sz="0" w:space="0" w:color="auto"/>
            <w:bottom w:val="none" w:sz="0" w:space="0" w:color="auto"/>
            <w:right w:val="none" w:sz="0" w:space="0" w:color="auto"/>
          </w:divBdr>
        </w:div>
      </w:divsChild>
    </w:div>
    <w:div w:id="19552596">
      <w:marLeft w:val="0"/>
      <w:marRight w:val="0"/>
      <w:marTop w:val="0"/>
      <w:marBottom w:val="0"/>
      <w:divBdr>
        <w:top w:val="none" w:sz="0" w:space="0" w:color="auto"/>
        <w:left w:val="none" w:sz="0" w:space="0" w:color="auto"/>
        <w:bottom w:val="none" w:sz="0" w:space="0" w:color="auto"/>
        <w:right w:val="none" w:sz="0" w:space="0" w:color="auto"/>
      </w:divBdr>
      <w:divsChild>
        <w:div w:id="1171723696">
          <w:marLeft w:val="0"/>
          <w:marRight w:val="0"/>
          <w:marTop w:val="0"/>
          <w:marBottom w:val="0"/>
          <w:divBdr>
            <w:top w:val="none" w:sz="0" w:space="0" w:color="auto"/>
            <w:left w:val="none" w:sz="0" w:space="0" w:color="auto"/>
            <w:bottom w:val="none" w:sz="0" w:space="0" w:color="auto"/>
            <w:right w:val="none" w:sz="0" w:space="0" w:color="auto"/>
          </w:divBdr>
        </w:div>
      </w:divsChild>
    </w:div>
    <w:div w:id="21899767">
      <w:marLeft w:val="0"/>
      <w:marRight w:val="0"/>
      <w:marTop w:val="0"/>
      <w:marBottom w:val="0"/>
      <w:divBdr>
        <w:top w:val="none" w:sz="0" w:space="0" w:color="auto"/>
        <w:left w:val="none" w:sz="0" w:space="0" w:color="auto"/>
        <w:bottom w:val="none" w:sz="0" w:space="0" w:color="auto"/>
        <w:right w:val="none" w:sz="0" w:space="0" w:color="auto"/>
      </w:divBdr>
      <w:divsChild>
        <w:div w:id="1646859469">
          <w:marLeft w:val="0"/>
          <w:marRight w:val="0"/>
          <w:marTop w:val="0"/>
          <w:marBottom w:val="0"/>
          <w:divBdr>
            <w:top w:val="none" w:sz="0" w:space="0" w:color="auto"/>
            <w:left w:val="none" w:sz="0" w:space="0" w:color="auto"/>
            <w:bottom w:val="none" w:sz="0" w:space="0" w:color="auto"/>
            <w:right w:val="none" w:sz="0" w:space="0" w:color="auto"/>
          </w:divBdr>
        </w:div>
      </w:divsChild>
    </w:div>
    <w:div w:id="26806072">
      <w:marLeft w:val="0"/>
      <w:marRight w:val="0"/>
      <w:marTop w:val="0"/>
      <w:marBottom w:val="0"/>
      <w:divBdr>
        <w:top w:val="none" w:sz="0" w:space="0" w:color="auto"/>
        <w:left w:val="none" w:sz="0" w:space="0" w:color="auto"/>
        <w:bottom w:val="none" w:sz="0" w:space="0" w:color="auto"/>
        <w:right w:val="none" w:sz="0" w:space="0" w:color="auto"/>
      </w:divBdr>
    </w:div>
    <w:div w:id="31615438">
      <w:marLeft w:val="0"/>
      <w:marRight w:val="0"/>
      <w:marTop w:val="60"/>
      <w:marBottom w:val="0"/>
      <w:divBdr>
        <w:top w:val="none" w:sz="0" w:space="0" w:color="auto"/>
        <w:left w:val="none" w:sz="0" w:space="0" w:color="auto"/>
        <w:bottom w:val="none" w:sz="0" w:space="0" w:color="auto"/>
        <w:right w:val="none" w:sz="0" w:space="0" w:color="auto"/>
      </w:divBdr>
      <w:divsChild>
        <w:div w:id="1439982094">
          <w:marLeft w:val="0"/>
          <w:marRight w:val="0"/>
          <w:marTop w:val="180"/>
          <w:marBottom w:val="0"/>
          <w:divBdr>
            <w:top w:val="none" w:sz="0" w:space="0" w:color="auto"/>
            <w:left w:val="none" w:sz="0" w:space="0" w:color="auto"/>
            <w:bottom w:val="none" w:sz="0" w:space="0" w:color="auto"/>
            <w:right w:val="none" w:sz="0" w:space="0" w:color="auto"/>
          </w:divBdr>
        </w:div>
      </w:divsChild>
    </w:div>
    <w:div w:id="34162252">
      <w:marLeft w:val="0"/>
      <w:marRight w:val="0"/>
      <w:marTop w:val="0"/>
      <w:marBottom w:val="0"/>
      <w:divBdr>
        <w:top w:val="none" w:sz="0" w:space="0" w:color="auto"/>
        <w:left w:val="none" w:sz="0" w:space="0" w:color="auto"/>
        <w:bottom w:val="none" w:sz="0" w:space="0" w:color="auto"/>
        <w:right w:val="none" w:sz="0" w:space="0" w:color="auto"/>
      </w:divBdr>
    </w:div>
    <w:div w:id="34359076">
      <w:marLeft w:val="0"/>
      <w:marRight w:val="0"/>
      <w:marTop w:val="0"/>
      <w:marBottom w:val="0"/>
      <w:divBdr>
        <w:top w:val="none" w:sz="0" w:space="0" w:color="auto"/>
        <w:left w:val="none" w:sz="0" w:space="0" w:color="auto"/>
        <w:bottom w:val="none" w:sz="0" w:space="0" w:color="auto"/>
        <w:right w:val="none" w:sz="0" w:space="0" w:color="auto"/>
      </w:divBdr>
      <w:divsChild>
        <w:div w:id="30109327">
          <w:marLeft w:val="0"/>
          <w:marRight w:val="0"/>
          <w:marTop w:val="0"/>
          <w:marBottom w:val="0"/>
          <w:divBdr>
            <w:top w:val="none" w:sz="0" w:space="0" w:color="auto"/>
            <w:left w:val="none" w:sz="0" w:space="0" w:color="auto"/>
            <w:bottom w:val="none" w:sz="0" w:space="0" w:color="auto"/>
            <w:right w:val="none" w:sz="0" w:space="0" w:color="auto"/>
          </w:divBdr>
        </w:div>
      </w:divsChild>
    </w:div>
    <w:div w:id="34891251">
      <w:marLeft w:val="0"/>
      <w:marRight w:val="0"/>
      <w:marTop w:val="0"/>
      <w:marBottom w:val="0"/>
      <w:divBdr>
        <w:top w:val="none" w:sz="0" w:space="0" w:color="auto"/>
        <w:left w:val="none" w:sz="0" w:space="0" w:color="auto"/>
        <w:bottom w:val="none" w:sz="0" w:space="0" w:color="auto"/>
        <w:right w:val="none" w:sz="0" w:space="0" w:color="auto"/>
      </w:divBdr>
    </w:div>
    <w:div w:id="52896694">
      <w:marLeft w:val="0"/>
      <w:marRight w:val="0"/>
      <w:marTop w:val="0"/>
      <w:marBottom w:val="0"/>
      <w:divBdr>
        <w:top w:val="none" w:sz="0" w:space="0" w:color="auto"/>
        <w:left w:val="none" w:sz="0" w:space="0" w:color="auto"/>
        <w:bottom w:val="none" w:sz="0" w:space="0" w:color="auto"/>
        <w:right w:val="none" w:sz="0" w:space="0" w:color="auto"/>
      </w:divBdr>
      <w:divsChild>
        <w:div w:id="1341345871">
          <w:marLeft w:val="0"/>
          <w:marRight w:val="0"/>
          <w:marTop w:val="0"/>
          <w:marBottom w:val="0"/>
          <w:divBdr>
            <w:top w:val="none" w:sz="0" w:space="0" w:color="auto"/>
            <w:left w:val="none" w:sz="0" w:space="0" w:color="auto"/>
            <w:bottom w:val="none" w:sz="0" w:space="0" w:color="auto"/>
            <w:right w:val="none" w:sz="0" w:space="0" w:color="auto"/>
          </w:divBdr>
        </w:div>
      </w:divsChild>
    </w:div>
    <w:div w:id="56057718">
      <w:marLeft w:val="0"/>
      <w:marRight w:val="0"/>
      <w:marTop w:val="0"/>
      <w:marBottom w:val="0"/>
      <w:divBdr>
        <w:top w:val="none" w:sz="0" w:space="0" w:color="auto"/>
        <w:left w:val="none" w:sz="0" w:space="0" w:color="auto"/>
        <w:bottom w:val="none" w:sz="0" w:space="0" w:color="auto"/>
        <w:right w:val="none" w:sz="0" w:space="0" w:color="auto"/>
      </w:divBdr>
      <w:divsChild>
        <w:div w:id="1012607983">
          <w:marLeft w:val="0"/>
          <w:marRight w:val="0"/>
          <w:marTop w:val="0"/>
          <w:marBottom w:val="0"/>
          <w:divBdr>
            <w:top w:val="none" w:sz="0" w:space="0" w:color="auto"/>
            <w:left w:val="none" w:sz="0" w:space="0" w:color="auto"/>
            <w:bottom w:val="none" w:sz="0" w:space="0" w:color="auto"/>
            <w:right w:val="none" w:sz="0" w:space="0" w:color="auto"/>
          </w:divBdr>
        </w:div>
      </w:divsChild>
    </w:div>
    <w:div w:id="57094860">
      <w:marLeft w:val="0"/>
      <w:marRight w:val="0"/>
      <w:marTop w:val="0"/>
      <w:marBottom w:val="0"/>
      <w:divBdr>
        <w:top w:val="none" w:sz="0" w:space="0" w:color="auto"/>
        <w:left w:val="none" w:sz="0" w:space="0" w:color="auto"/>
        <w:bottom w:val="none" w:sz="0" w:space="0" w:color="auto"/>
        <w:right w:val="none" w:sz="0" w:space="0" w:color="auto"/>
      </w:divBdr>
    </w:div>
    <w:div w:id="71239898">
      <w:marLeft w:val="0"/>
      <w:marRight w:val="0"/>
      <w:marTop w:val="0"/>
      <w:marBottom w:val="0"/>
      <w:divBdr>
        <w:top w:val="none" w:sz="0" w:space="0" w:color="auto"/>
        <w:left w:val="none" w:sz="0" w:space="0" w:color="auto"/>
        <w:bottom w:val="none" w:sz="0" w:space="0" w:color="auto"/>
        <w:right w:val="none" w:sz="0" w:space="0" w:color="auto"/>
      </w:divBdr>
    </w:div>
    <w:div w:id="77791550">
      <w:marLeft w:val="0"/>
      <w:marRight w:val="0"/>
      <w:marTop w:val="0"/>
      <w:marBottom w:val="0"/>
      <w:divBdr>
        <w:top w:val="none" w:sz="0" w:space="0" w:color="auto"/>
        <w:left w:val="none" w:sz="0" w:space="0" w:color="auto"/>
        <w:bottom w:val="none" w:sz="0" w:space="0" w:color="auto"/>
        <w:right w:val="none" w:sz="0" w:space="0" w:color="auto"/>
      </w:divBdr>
      <w:divsChild>
        <w:div w:id="1900240029">
          <w:marLeft w:val="0"/>
          <w:marRight w:val="0"/>
          <w:marTop w:val="0"/>
          <w:marBottom w:val="0"/>
          <w:divBdr>
            <w:top w:val="none" w:sz="0" w:space="0" w:color="auto"/>
            <w:left w:val="none" w:sz="0" w:space="0" w:color="auto"/>
            <w:bottom w:val="none" w:sz="0" w:space="0" w:color="auto"/>
            <w:right w:val="none" w:sz="0" w:space="0" w:color="auto"/>
          </w:divBdr>
        </w:div>
      </w:divsChild>
    </w:div>
    <w:div w:id="78412767">
      <w:marLeft w:val="0"/>
      <w:marRight w:val="0"/>
      <w:marTop w:val="0"/>
      <w:marBottom w:val="0"/>
      <w:divBdr>
        <w:top w:val="none" w:sz="0" w:space="0" w:color="auto"/>
        <w:left w:val="none" w:sz="0" w:space="0" w:color="auto"/>
        <w:bottom w:val="none" w:sz="0" w:space="0" w:color="auto"/>
        <w:right w:val="none" w:sz="0" w:space="0" w:color="auto"/>
      </w:divBdr>
      <w:divsChild>
        <w:div w:id="1538548166">
          <w:marLeft w:val="0"/>
          <w:marRight w:val="0"/>
          <w:marTop w:val="0"/>
          <w:marBottom w:val="0"/>
          <w:divBdr>
            <w:top w:val="none" w:sz="0" w:space="0" w:color="auto"/>
            <w:left w:val="none" w:sz="0" w:space="0" w:color="auto"/>
            <w:bottom w:val="none" w:sz="0" w:space="0" w:color="auto"/>
            <w:right w:val="none" w:sz="0" w:space="0" w:color="auto"/>
          </w:divBdr>
        </w:div>
      </w:divsChild>
    </w:div>
    <w:div w:id="90200169">
      <w:marLeft w:val="0"/>
      <w:marRight w:val="0"/>
      <w:marTop w:val="100"/>
      <w:marBottom w:val="0"/>
      <w:divBdr>
        <w:top w:val="none" w:sz="0" w:space="0" w:color="auto"/>
        <w:left w:val="none" w:sz="0" w:space="0" w:color="auto"/>
        <w:bottom w:val="none" w:sz="0" w:space="0" w:color="auto"/>
        <w:right w:val="none" w:sz="0" w:space="0" w:color="auto"/>
      </w:divBdr>
      <w:divsChild>
        <w:div w:id="1885557865">
          <w:marLeft w:val="0"/>
          <w:marRight w:val="0"/>
          <w:marTop w:val="0"/>
          <w:marBottom w:val="0"/>
          <w:divBdr>
            <w:top w:val="none" w:sz="0" w:space="0" w:color="auto"/>
            <w:left w:val="none" w:sz="0" w:space="0" w:color="auto"/>
            <w:bottom w:val="none" w:sz="0" w:space="0" w:color="auto"/>
            <w:right w:val="none" w:sz="0" w:space="0" w:color="auto"/>
          </w:divBdr>
        </w:div>
      </w:divsChild>
    </w:div>
    <w:div w:id="94836838">
      <w:marLeft w:val="0"/>
      <w:marRight w:val="0"/>
      <w:marTop w:val="0"/>
      <w:marBottom w:val="0"/>
      <w:divBdr>
        <w:top w:val="none" w:sz="0" w:space="0" w:color="auto"/>
        <w:left w:val="none" w:sz="0" w:space="0" w:color="auto"/>
        <w:bottom w:val="none" w:sz="0" w:space="0" w:color="auto"/>
        <w:right w:val="none" w:sz="0" w:space="0" w:color="auto"/>
      </w:divBdr>
    </w:div>
    <w:div w:id="107432280">
      <w:marLeft w:val="0"/>
      <w:marRight w:val="0"/>
      <w:marTop w:val="60"/>
      <w:marBottom w:val="60"/>
      <w:divBdr>
        <w:top w:val="none" w:sz="0" w:space="0" w:color="auto"/>
        <w:left w:val="none" w:sz="0" w:space="0" w:color="auto"/>
        <w:bottom w:val="none" w:sz="0" w:space="0" w:color="auto"/>
        <w:right w:val="none" w:sz="0" w:space="0" w:color="auto"/>
      </w:divBdr>
    </w:div>
    <w:div w:id="107824339">
      <w:marLeft w:val="0"/>
      <w:marRight w:val="0"/>
      <w:marTop w:val="0"/>
      <w:marBottom w:val="0"/>
      <w:divBdr>
        <w:top w:val="none" w:sz="0" w:space="0" w:color="auto"/>
        <w:left w:val="none" w:sz="0" w:space="0" w:color="auto"/>
        <w:bottom w:val="none" w:sz="0" w:space="0" w:color="auto"/>
        <w:right w:val="none" w:sz="0" w:space="0" w:color="auto"/>
      </w:divBdr>
    </w:div>
    <w:div w:id="111751985">
      <w:marLeft w:val="0"/>
      <w:marRight w:val="0"/>
      <w:marTop w:val="100"/>
      <w:marBottom w:val="0"/>
      <w:divBdr>
        <w:top w:val="none" w:sz="0" w:space="0" w:color="auto"/>
        <w:left w:val="none" w:sz="0" w:space="0" w:color="auto"/>
        <w:bottom w:val="none" w:sz="0" w:space="0" w:color="auto"/>
        <w:right w:val="none" w:sz="0" w:space="0" w:color="auto"/>
      </w:divBdr>
    </w:div>
    <w:div w:id="140509453">
      <w:marLeft w:val="0"/>
      <w:marRight w:val="0"/>
      <w:marTop w:val="0"/>
      <w:marBottom w:val="0"/>
      <w:divBdr>
        <w:top w:val="none" w:sz="0" w:space="0" w:color="auto"/>
        <w:left w:val="none" w:sz="0" w:space="0" w:color="auto"/>
        <w:bottom w:val="none" w:sz="0" w:space="0" w:color="auto"/>
        <w:right w:val="none" w:sz="0" w:space="0" w:color="auto"/>
      </w:divBdr>
      <w:divsChild>
        <w:div w:id="954100864">
          <w:marLeft w:val="0"/>
          <w:marRight w:val="0"/>
          <w:marTop w:val="0"/>
          <w:marBottom w:val="0"/>
          <w:divBdr>
            <w:top w:val="none" w:sz="0" w:space="0" w:color="auto"/>
            <w:left w:val="none" w:sz="0" w:space="0" w:color="auto"/>
            <w:bottom w:val="none" w:sz="0" w:space="0" w:color="auto"/>
            <w:right w:val="none" w:sz="0" w:space="0" w:color="auto"/>
          </w:divBdr>
        </w:div>
      </w:divsChild>
    </w:div>
    <w:div w:id="159394132">
      <w:marLeft w:val="0"/>
      <w:marRight w:val="0"/>
      <w:marTop w:val="0"/>
      <w:marBottom w:val="0"/>
      <w:divBdr>
        <w:top w:val="none" w:sz="0" w:space="0" w:color="auto"/>
        <w:left w:val="none" w:sz="0" w:space="0" w:color="auto"/>
        <w:bottom w:val="none" w:sz="0" w:space="0" w:color="auto"/>
        <w:right w:val="none" w:sz="0" w:space="0" w:color="auto"/>
      </w:divBdr>
    </w:div>
    <w:div w:id="160127778">
      <w:marLeft w:val="0"/>
      <w:marRight w:val="0"/>
      <w:marTop w:val="80"/>
      <w:marBottom w:val="0"/>
      <w:divBdr>
        <w:top w:val="none" w:sz="0" w:space="0" w:color="auto"/>
        <w:left w:val="none" w:sz="0" w:space="0" w:color="auto"/>
        <w:bottom w:val="none" w:sz="0" w:space="0" w:color="auto"/>
        <w:right w:val="none" w:sz="0" w:space="0" w:color="auto"/>
      </w:divBdr>
    </w:div>
    <w:div w:id="170294731">
      <w:marLeft w:val="0"/>
      <w:marRight w:val="0"/>
      <w:marTop w:val="0"/>
      <w:marBottom w:val="0"/>
      <w:divBdr>
        <w:top w:val="none" w:sz="0" w:space="0" w:color="auto"/>
        <w:left w:val="none" w:sz="0" w:space="0" w:color="auto"/>
        <w:bottom w:val="none" w:sz="0" w:space="0" w:color="auto"/>
        <w:right w:val="none" w:sz="0" w:space="0" w:color="auto"/>
      </w:divBdr>
      <w:divsChild>
        <w:div w:id="2085450160">
          <w:marLeft w:val="0"/>
          <w:marRight w:val="0"/>
          <w:marTop w:val="0"/>
          <w:marBottom w:val="0"/>
          <w:divBdr>
            <w:top w:val="none" w:sz="0" w:space="0" w:color="auto"/>
            <w:left w:val="none" w:sz="0" w:space="0" w:color="auto"/>
            <w:bottom w:val="none" w:sz="0" w:space="0" w:color="auto"/>
            <w:right w:val="none" w:sz="0" w:space="0" w:color="auto"/>
          </w:divBdr>
        </w:div>
      </w:divsChild>
    </w:div>
    <w:div w:id="170485084">
      <w:marLeft w:val="0"/>
      <w:marRight w:val="0"/>
      <w:marTop w:val="100"/>
      <w:marBottom w:val="0"/>
      <w:divBdr>
        <w:top w:val="none" w:sz="0" w:space="0" w:color="auto"/>
        <w:left w:val="none" w:sz="0" w:space="0" w:color="auto"/>
        <w:bottom w:val="none" w:sz="0" w:space="0" w:color="auto"/>
        <w:right w:val="none" w:sz="0" w:space="0" w:color="auto"/>
      </w:divBdr>
    </w:div>
    <w:div w:id="170678704">
      <w:marLeft w:val="0"/>
      <w:marRight w:val="0"/>
      <w:marTop w:val="0"/>
      <w:marBottom w:val="0"/>
      <w:divBdr>
        <w:top w:val="none" w:sz="0" w:space="0" w:color="auto"/>
        <w:left w:val="none" w:sz="0" w:space="0" w:color="auto"/>
        <w:bottom w:val="none" w:sz="0" w:space="0" w:color="auto"/>
        <w:right w:val="none" w:sz="0" w:space="0" w:color="auto"/>
      </w:divBdr>
    </w:div>
    <w:div w:id="176425966">
      <w:marLeft w:val="0"/>
      <w:marRight w:val="0"/>
      <w:marTop w:val="0"/>
      <w:marBottom w:val="0"/>
      <w:divBdr>
        <w:top w:val="none" w:sz="0" w:space="0" w:color="auto"/>
        <w:left w:val="none" w:sz="0" w:space="0" w:color="auto"/>
        <w:bottom w:val="none" w:sz="0" w:space="0" w:color="auto"/>
        <w:right w:val="none" w:sz="0" w:space="0" w:color="auto"/>
      </w:divBdr>
    </w:div>
    <w:div w:id="180627023">
      <w:marLeft w:val="0"/>
      <w:marRight w:val="0"/>
      <w:marTop w:val="80"/>
      <w:marBottom w:val="0"/>
      <w:divBdr>
        <w:top w:val="none" w:sz="0" w:space="0" w:color="auto"/>
        <w:left w:val="none" w:sz="0" w:space="0" w:color="auto"/>
        <w:bottom w:val="none" w:sz="0" w:space="0" w:color="auto"/>
        <w:right w:val="none" w:sz="0" w:space="0" w:color="auto"/>
      </w:divBdr>
    </w:div>
    <w:div w:id="181629657">
      <w:marLeft w:val="0"/>
      <w:marRight w:val="0"/>
      <w:marTop w:val="0"/>
      <w:marBottom w:val="0"/>
      <w:divBdr>
        <w:top w:val="none" w:sz="0" w:space="0" w:color="auto"/>
        <w:left w:val="none" w:sz="0" w:space="0" w:color="auto"/>
        <w:bottom w:val="none" w:sz="0" w:space="0" w:color="auto"/>
        <w:right w:val="none" w:sz="0" w:space="0" w:color="auto"/>
      </w:divBdr>
      <w:divsChild>
        <w:div w:id="1527021567">
          <w:marLeft w:val="0"/>
          <w:marRight w:val="0"/>
          <w:marTop w:val="0"/>
          <w:marBottom w:val="0"/>
          <w:divBdr>
            <w:top w:val="none" w:sz="0" w:space="0" w:color="auto"/>
            <w:left w:val="none" w:sz="0" w:space="0" w:color="auto"/>
            <w:bottom w:val="none" w:sz="0" w:space="0" w:color="auto"/>
            <w:right w:val="none" w:sz="0" w:space="0" w:color="auto"/>
          </w:divBdr>
        </w:div>
      </w:divsChild>
    </w:div>
    <w:div w:id="182206938">
      <w:marLeft w:val="0"/>
      <w:marRight w:val="0"/>
      <w:marTop w:val="60"/>
      <w:marBottom w:val="60"/>
      <w:divBdr>
        <w:top w:val="none" w:sz="0" w:space="0" w:color="auto"/>
        <w:left w:val="none" w:sz="0" w:space="0" w:color="auto"/>
        <w:bottom w:val="none" w:sz="0" w:space="0" w:color="auto"/>
        <w:right w:val="none" w:sz="0" w:space="0" w:color="auto"/>
      </w:divBdr>
    </w:div>
    <w:div w:id="192772496">
      <w:marLeft w:val="0"/>
      <w:marRight w:val="0"/>
      <w:marTop w:val="100"/>
      <w:marBottom w:val="0"/>
      <w:divBdr>
        <w:top w:val="none" w:sz="0" w:space="0" w:color="auto"/>
        <w:left w:val="none" w:sz="0" w:space="0" w:color="auto"/>
        <w:bottom w:val="none" w:sz="0" w:space="0" w:color="auto"/>
        <w:right w:val="none" w:sz="0" w:space="0" w:color="auto"/>
      </w:divBdr>
      <w:divsChild>
        <w:div w:id="1905792532">
          <w:marLeft w:val="0"/>
          <w:marRight w:val="0"/>
          <w:marTop w:val="180"/>
          <w:marBottom w:val="0"/>
          <w:divBdr>
            <w:top w:val="none" w:sz="0" w:space="0" w:color="auto"/>
            <w:left w:val="none" w:sz="0" w:space="0" w:color="auto"/>
            <w:bottom w:val="none" w:sz="0" w:space="0" w:color="auto"/>
            <w:right w:val="none" w:sz="0" w:space="0" w:color="auto"/>
          </w:divBdr>
        </w:div>
        <w:div w:id="2035108296">
          <w:marLeft w:val="0"/>
          <w:marRight w:val="0"/>
          <w:marTop w:val="180"/>
          <w:marBottom w:val="0"/>
          <w:divBdr>
            <w:top w:val="none" w:sz="0" w:space="0" w:color="auto"/>
            <w:left w:val="none" w:sz="0" w:space="0" w:color="auto"/>
            <w:bottom w:val="none" w:sz="0" w:space="0" w:color="auto"/>
            <w:right w:val="none" w:sz="0" w:space="0" w:color="auto"/>
          </w:divBdr>
        </w:div>
        <w:div w:id="650644322">
          <w:marLeft w:val="0"/>
          <w:marRight w:val="0"/>
          <w:marTop w:val="180"/>
          <w:marBottom w:val="0"/>
          <w:divBdr>
            <w:top w:val="none" w:sz="0" w:space="0" w:color="auto"/>
            <w:left w:val="none" w:sz="0" w:space="0" w:color="auto"/>
            <w:bottom w:val="none" w:sz="0" w:space="0" w:color="auto"/>
            <w:right w:val="none" w:sz="0" w:space="0" w:color="auto"/>
          </w:divBdr>
        </w:div>
        <w:div w:id="1220701657">
          <w:marLeft w:val="0"/>
          <w:marRight w:val="0"/>
          <w:marTop w:val="180"/>
          <w:marBottom w:val="0"/>
          <w:divBdr>
            <w:top w:val="none" w:sz="0" w:space="0" w:color="auto"/>
            <w:left w:val="none" w:sz="0" w:space="0" w:color="auto"/>
            <w:bottom w:val="none" w:sz="0" w:space="0" w:color="auto"/>
            <w:right w:val="none" w:sz="0" w:space="0" w:color="auto"/>
          </w:divBdr>
        </w:div>
        <w:div w:id="1289970546">
          <w:marLeft w:val="0"/>
          <w:marRight w:val="0"/>
          <w:marTop w:val="180"/>
          <w:marBottom w:val="0"/>
          <w:divBdr>
            <w:top w:val="none" w:sz="0" w:space="0" w:color="auto"/>
            <w:left w:val="none" w:sz="0" w:space="0" w:color="auto"/>
            <w:bottom w:val="none" w:sz="0" w:space="0" w:color="auto"/>
            <w:right w:val="none" w:sz="0" w:space="0" w:color="auto"/>
          </w:divBdr>
        </w:div>
      </w:divsChild>
    </w:div>
    <w:div w:id="194118475">
      <w:marLeft w:val="0"/>
      <w:marRight w:val="0"/>
      <w:marTop w:val="0"/>
      <w:marBottom w:val="0"/>
      <w:divBdr>
        <w:top w:val="none" w:sz="0" w:space="0" w:color="auto"/>
        <w:left w:val="none" w:sz="0" w:space="0" w:color="auto"/>
        <w:bottom w:val="none" w:sz="0" w:space="0" w:color="auto"/>
        <w:right w:val="none" w:sz="0" w:space="0" w:color="auto"/>
      </w:divBdr>
    </w:div>
    <w:div w:id="195705717">
      <w:marLeft w:val="0"/>
      <w:marRight w:val="0"/>
      <w:marTop w:val="0"/>
      <w:marBottom w:val="0"/>
      <w:divBdr>
        <w:top w:val="none" w:sz="0" w:space="0" w:color="auto"/>
        <w:left w:val="none" w:sz="0" w:space="0" w:color="auto"/>
        <w:bottom w:val="none" w:sz="0" w:space="0" w:color="auto"/>
        <w:right w:val="none" w:sz="0" w:space="0" w:color="auto"/>
      </w:divBdr>
    </w:div>
    <w:div w:id="196743033">
      <w:marLeft w:val="0"/>
      <w:marRight w:val="0"/>
      <w:marTop w:val="100"/>
      <w:marBottom w:val="0"/>
      <w:divBdr>
        <w:top w:val="none" w:sz="0" w:space="0" w:color="auto"/>
        <w:left w:val="none" w:sz="0" w:space="0" w:color="auto"/>
        <w:bottom w:val="none" w:sz="0" w:space="0" w:color="auto"/>
        <w:right w:val="none" w:sz="0" w:space="0" w:color="auto"/>
      </w:divBdr>
    </w:div>
    <w:div w:id="196894216">
      <w:marLeft w:val="0"/>
      <w:marRight w:val="0"/>
      <w:marTop w:val="0"/>
      <w:marBottom w:val="0"/>
      <w:divBdr>
        <w:top w:val="none" w:sz="0" w:space="0" w:color="auto"/>
        <w:left w:val="none" w:sz="0" w:space="0" w:color="auto"/>
        <w:bottom w:val="none" w:sz="0" w:space="0" w:color="auto"/>
        <w:right w:val="none" w:sz="0" w:space="0" w:color="auto"/>
      </w:divBdr>
      <w:divsChild>
        <w:div w:id="1747529391">
          <w:marLeft w:val="0"/>
          <w:marRight w:val="0"/>
          <w:marTop w:val="0"/>
          <w:marBottom w:val="0"/>
          <w:divBdr>
            <w:top w:val="none" w:sz="0" w:space="0" w:color="auto"/>
            <w:left w:val="none" w:sz="0" w:space="0" w:color="auto"/>
            <w:bottom w:val="none" w:sz="0" w:space="0" w:color="auto"/>
            <w:right w:val="none" w:sz="0" w:space="0" w:color="auto"/>
          </w:divBdr>
        </w:div>
      </w:divsChild>
    </w:div>
    <w:div w:id="205875097">
      <w:marLeft w:val="0"/>
      <w:marRight w:val="0"/>
      <w:marTop w:val="0"/>
      <w:marBottom w:val="0"/>
      <w:divBdr>
        <w:top w:val="none" w:sz="0" w:space="0" w:color="auto"/>
        <w:left w:val="none" w:sz="0" w:space="0" w:color="auto"/>
        <w:bottom w:val="none" w:sz="0" w:space="0" w:color="auto"/>
        <w:right w:val="none" w:sz="0" w:space="0" w:color="auto"/>
      </w:divBdr>
      <w:divsChild>
        <w:div w:id="1320769526">
          <w:marLeft w:val="0"/>
          <w:marRight w:val="0"/>
          <w:marTop w:val="0"/>
          <w:marBottom w:val="0"/>
          <w:divBdr>
            <w:top w:val="none" w:sz="0" w:space="0" w:color="auto"/>
            <w:left w:val="none" w:sz="0" w:space="0" w:color="auto"/>
            <w:bottom w:val="none" w:sz="0" w:space="0" w:color="auto"/>
            <w:right w:val="none" w:sz="0" w:space="0" w:color="auto"/>
          </w:divBdr>
        </w:div>
      </w:divsChild>
    </w:div>
    <w:div w:id="207186304">
      <w:marLeft w:val="0"/>
      <w:marRight w:val="0"/>
      <w:marTop w:val="180"/>
      <w:marBottom w:val="0"/>
      <w:divBdr>
        <w:top w:val="none" w:sz="0" w:space="0" w:color="auto"/>
        <w:left w:val="none" w:sz="0" w:space="0" w:color="auto"/>
        <w:bottom w:val="none" w:sz="0" w:space="0" w:color="auto"/>
        <w:right w:val="none" w:sz="0" w:space="0" w:color="auto"/>
      </w:divBdr>
    </w:div>
    <w:div w:id="211573774">
      <w:marLeft w:val="0"/>
      <w:marRight w:val="0"/>
      <w:marTop w:val="0"/>
      <w:marBottom w:val="0"/>
      <w:divBdr>
        <w:top w:val="none" w:sz="0" w:space="0" w:color="auto"/>
        <w:left w:val="none" w:sz="0" w:space="0" w:color="auto"/>
        <w:bottom w:val="none" w:sz="0" w:space="0" w:color="auto"/>
        <w:right w:val="none" w:sz="0" w:space="0" w:color="auto"/>
      </w:divBdr>
    </w:div>
    <w:div w:id="214511534">
      <w:marLeft w:val="0"/>
      <w:marRight w:val="0"/>
      <w:marTop w:val="0"/>
      <w:marBottom w:val="0"/>
      <w:divBdr>
        <w:top w:val="none" w:sz="0" w:space="0" w:color="auto"/>
        <w:left w:val="none" w:sz="0" w:space="0" w:color="auto"/>
        <w:bottom w:val="none" w:sz="0" w:space="0" w:color="auto"/>
        <w:right w:val="none" w:sz="0" w:space="0" w:color="auto"/>
      </w:divBdr>
      <w:divsChild>
        <w:div w:id="1702707211">
          <w:marLeft w:val="0"/>
          <w:marRight w:val="0"/>
          <w:marTop w:val="0"/>
          <w:marBottom w:val="0"/>
          <w:divBdr>
            <w:top w:val="none" w:sz="0" w:space="0" w:color="auto"/>
            <w:left w:val="none" w:sz="0" w:space="0" w:color="auto"/>
            <w:bottom w:val="none" w:sz="0" w:space="0" w:color="auto"/>
            <w:right w:val="none" w:sz="0" w:space="0" w:color="auto"/>
          </w:divBdr>
        </w:div>
      </w:divsChild>
    </w:div>
    <w:div w:id="216821908">
      <w:marLeft w:val="0"/>
      <w:marRight w:val="0"/>
      <w:marTop w:val="280"/>
      <w:marBottom w:val="0"/>
      <w:divBdr>
        <w:top w:val="none" w:sz="0" w:space="0" w:color="auto"/>
        <w:left w:val="none" w:sz="0" w:space="0" w:color="auto"/>
        <w:bottom w:val="none" w:sz="0" w:space="0" w:color="auto"/>
        <w:right w:val="none" w:sz="0" w:space="0" w:color="auto"/>
      </w:divBdr>
    </w:div>
    <w:div w:id="219557478">
      <w:marLeft w:val="0"/>
      <w:marRight w:val="0"/>
      <w:marTop w:val="0"/>
      <w:marBottom w:val="0"/>
      <w:divBdr>
        <w:top w:val="none" w:sz="0" w:space="0" w:color="auto"/>
        <w:left w:val="none" w:sz="0" w:space="0" w:color="auto"/>
        <w:bottom w:val="none" w:sz="0" w:space="0" w:color="auto"/>
        <w:right w:val="none" w:sz="0" w:space="0" w:color="auto"/>
      </w:divBdr>
      <w:divsChild>
        <w:div w:id="1461415410">
          <w:marLeft w:val="0"/>
          <w:marRight w:val="0"/>
          <w:marTop w:val="0"/>
          <w:marBottom w:val="0"/>
          <w:divBdr>
            <w:top w:val="none" w:sz="0" w:space="0" w:color="auto"/>
            <w:left w:val="none" w:sz="0" w:space="0" w:color="auto"/>
            <w:bottom w:val="none" w:sz="0" w:space="0" w:color="auto"/>
            <w:right w:val="none" w:sz="0" w:space="0" w:color="auto"/>
          </w:divBdr>
        </w:div>
      </w:divsChild>
    </w:div>
    <w:div w:id="221451711">
      <w:marLeft w:val="0"/>
      <w:marRight w:val="0"/>
      <w:marTop w:val="0"/>
      <w:marBottom w:val="0"/>
      <w:divBdr>
        <w:top w:val="none" w:sz="0" w:space="0" w:color="auto"/>
        <w:left w:val="none" w:sz="0" w:space="0" w:color="auto"/>
        <w:bottom w:val="none" w:sz="0" w:space="0" w:color="auto"/>
        <w:right w:val="none" w:sz="0" w:space="0" w:color="auto"/>
      </w:divBdr>
    </w:div>
    <w:div w:id="229275385">
      <w:marLeft w:val="0"/>
      <w:marRight w:val="0"/>
      <w:marTop w:val="0"/>
      <w:marBottom w:val="0"/>
      <w:divBdr>
        <w:top w:val="none" w:sz="0" w:space="0" w:color="auto"/>
        <w:left w:val="none" w:sz="0" w:space="0" w:color="auto"/>
        <w:bottom w:val="none" w:sz="0" w:space="0" w:color="auto"/>
        <w:right w:val="none" w:sz="0" w:space="0" w:color="auto"/>
      </w:divBdr>
      <w:divsChild>
        <w:div w:id="730420380">
          <w:marLeft w:val="0"/>
          <w:marRight w:val="0"/>
          <w:marTop w:val="0"/>
          <w:marBottom w:val="0"/>
          <w:divBdr>
            <w:top w:val="none" w:sz="0" w:space="0" w:color="auto"/>
            <w:left w:val="none" w:sz="0" w:space="0" w:color="auto"/>
            <w:bottom w:val="none" w:sz="0" w:space="0" w:color="auto"/>
            <w:right w:val="none" w:sz="0" w:space="0" w:color="auto"/>
          </w:divBdr>
        </w:div>
      </w:divsChild>
    </w:div>
    <w:div w:id="238559643">
      <w:marLeft w:val="0"/>
      <w:marRight w:val="0"/>
      <w:marTop w:val="100"/>
      <w:marBottom w:val="0"/>
      <w:divBdr>
        <w:top w:val="none" w:sz="0" w:space="0" w:color="auto"/>
        <w:left w:val="none" w:sz="0" w:space="0" w:color="auto"/>
        <w:bottom w:val="none" w:sz="0" w:space="0" w:color="auto"/>
        <w:right w:val="none" w:sz="0" w:space="0" w:color="auto"/>
      </w:divBdr>
    </w:div>
    <w:div w:id="253561285">
      <w:marLeft w:val="0"/>
      <w:marRight w:val="0"/>
      <w:marTop w:val="0"/>
      <w:marBottom w:val="0"/>
      <w:divBdr>
        <w:top w:val="none" w:sz="0" w:space="0" w:color="auto"/>
        <w:left w:val="none" w:sz="0" w:space="0" w:color="auto"/>
        <w:bottom w:val="none" w:sz="0" w:space="0" w:color="auto"/>
        <w:right w:val="none" w:sz="0" w:space="0" w:color="auto"/>
      </w:divBdr>
    </w:div>
    <w:div w:id="255751372">
      <w:marLeft w:val="0"/>
      <w:marRight w:val="0"/>
      <w:marTop w:val="0"/>
      <w:marBottom w:val="0"/>
      <w:divBdr>
        <w:top w:val="none" w:sz="0" w:space="0" w:color="auto"/>
        <w:left w:val="none" w:sz="0" w:space="0" w:color="auto"/>
        <w:bottom w:val="none" w:sz="0" w:space="0" w:color="auto"/>
        <w:right w:val="none" w:sz="0" w:space="0" w:color="auto"/>
      </w:divBdr>
    </w:div>
    <w:div w:id="255988997">
      <w:marLeft w:val="0"/>
      <w:marRight w:val="0"/>
      <w:marTop w:val="0"/>
      <w:marBottom w:val="0"/>
      <w:divBdr>
        <w:top w:val="none" w:sz="0" w:space="0" w:color="auto"/>
        <w:left w:val="none" w:sz="0" w:space="0" w:color="auto"/>
        <w:bottom w:val="none" w:sz="0" w:space="0" w:color="auto"/>
        <w:right w:val="none" w:sz="0" w:space="0" w:color="auto"/>
      </w:divBdr>
      <w:divsChild>
        <w:div w:id="504786548">
          <w:marLeft w:val="0"/>
          <w:marRight w:val="0"/>
          <w:marTop w:val="0"/>
          <w:marBottom w:val="0"/>
          <w:divBdr>
            <w:top w:val="none" w:sz="0" w:space="0" w:color="auto"/>
            <w:left w:val="none" w:sz="0" w:space="0" w:color="auto"/>
            <w:bottom w:val="none" w:sz="0" w:space="0" w:color="auto"/>
            <w:right w:val="none" w:sz="0" w:space="0" w:color="auto"/>
          </w:divBdr>
        </w:div>
      </w:divsChild>
    </w:div>
    <w:div w:id="256132022">
      <w:marLeft w:val="0"/>
      <w:marRight w:val="0"/>
      <w:marTop w:val="100"/>
      <w:marBottom w:val="0"/>
      <w:divBdr>
        <w:top w:val="none" w:sz="0" w:space="0" w:color="auto"/>
        <w:left w:val="none" w:sz="0" w:space="0" w:color="auto"/>
        <w:bottom w:val="none" w:sz="0" w:space="0" w:color="auto"/>
        <w:right w:val="none" w:sz="0" w:space="0" w:color="auto"/>
      </w:divBdr>
    </w:div>
    <w:div w:id="256983439">
      <w:marLeft w:val="0"/>
      <w:marRight w:val="0"/>
      <w:marTop w:val="0"/>
      <w:marBottom w:val="0"/>
      <w:divBdr>
        <w:top w:val="none" w:sz="0" w:space="0" w:color="auto"/>
        <w:left w:val="none" w:sz="0" w:space="0" w:color="auto"/>
        <w:bottom w:val="none" w:sz="0" w:space="0" w:color="auto"/>
        <w:right w:val="none" w:sz="0" w:space="0" w:color="auto"/>
      </w:divBdr>
    </w:div>
    <w:div w:id="263347874">
      <w:marLeft w:val="0"/>
      <w:marRight w:val="0"/>
      <w:marTop w:val="100"/>
      <w:marBottom w:val="0"/>
      <w:divBdr>
        <w:top w:val="none" w:sz="0" w:space="0" w:color="auto"/>
        <w:left w:val="none" w:sz="0" w:space="0" w:color="auto"/>
        <w:bottom w:val="none" w:sz="0" w:space="0" w:color="auto"/>
        <w:right w:val="none" w:sz="0" w:space="0" w:color="auto"/>
      </w:divBdr>
    </w:div>
    <w:div w:id="270551181">
      <w:marLeft w:val="0"/>
      <w:marRight w:val="0"/>
      <w:marTop w:val="80"/>
      <w:marBottom w:val="0"/>
      <w:divBdr>
        <w:top w:val="none" w:sz="0" w:space="0" w:color="auto"/>
        <w:left w:val="none" w:sz="0" w:space="0" w:color="auto"/>
        <w:bottom w:val="none" w:sz="0" w:space="0" w:color="auto"/>
        <w:right w:val="none" w:sz="0" w:space="0" w:color="auto"/>
      </w:divBdr>
    </w:div>
    <w:div w:id="277371146">
      <w:marLeft w:val="0"/>
      <w:marRight w:val="0"/>
      <w:marTop w:val="0"/>
      <w:marBottom w:val="0"/>
      <w:divBdr>
        <w:top w:val="none" w:sz="0" w:space="0" w:color="auto"/>
        <w:left w:val="none" w:sz="0" w:space="0" w:color="auto"/>
        <w:bottom w:val="none" w:sz="0" w:space="0" w:color="auto"/>
        <w:right w:val="none" w:sz="0" w:space="0" w:color="auto"/>
      </w:divBdr>
    </w:div>
    <w:div w:id="281352346">
      <w:marLeft w:val="0"/>
      <w:marRight w:val="0"/>
      <w:marTop w:val="180"/>
      <w:marBottom w:val="0"/>
      <w:divBdr>
        <w:top w:val="none" w:sz="0" w:space="0" w:color="auto"/>
        <w:left w:val="none" w:sz="0" w:space="0" w:color="auto"/>
        <w:bottom w:val="none" w:sz="0" w:space="0" w:color="auto"/>
        <w:right w:val="none" w:sz="0" w:space="0" w:color="auto"/>
      </w:divBdr>
      <w:divsChild>
        <w:div w:id="1459181494">
          <w:marLeft w:val="0"/>
          <w:marRight w:val="0"/>
          <w:marTop w:val="180"/>
          <w:marBottom w:val="0"/>
          <w:divBdr>
            <w:top w:val="none" w:sz="0" w:space="0" w:color="auto"/>
            <w:left w:val="none" w:sz="0" w:space="0" w:color="auto"/>
            <w:bottom w:val="none" w:sz="0" w:space="0" w:color="auto"/>
            <w:right w:val="none" w:sz="0" w:space="0" w:color="auto"/>
          </w:divBdr>
        </w:div>
        <w:div w:id="1887333803">
          <w:marLeft w:val="0"/>
          <w:marRight w:val="0"/>
          <w:marTop w:val="180"/>
          <w:marBottom w:val="0"/>
          <w:divBdr>
            <w:top w:val="none" w:sz="0" w:space="0" w:color="auto"/>
            <w:left w:val="none" w:sz="0" w:space="0" w:color="auto"/>
            <w:bottom w:val="none" w:sz="0" w:space="0" w:color="auto"/>
            <w:right w:val="none" w:sz="0" w:space="0" w:color="auto"/>
          </w:divBdr>
        </w:div>
        <w:div w:id="1698777794">
          <w:marLeft w:val="0"/>
          <w:marRight w:val="0"/>
          <w:marTop w:val="180"/>
          <w:marBottom w:val="0"/>
          <w:divBdr>
            <w:top w:val="none" w:sz="0" w:space="0" w:color="auto"/>
            <w:left w:val="none" w:sz="0" w:space="0" w:color="auto"/>
            <w:bottom w:val="none" w:sz="0" w:space="0" w:color="auto"/>
            <w:right w:val="none" w:sz="0" w:space="0" w:color="auto"/>
          </w:divBdr>
        </w:div>
        <w:div w:id="522403900">
          <w:marLeft w:val="0"/>
          <w:marRight w:val="0"/>
          <w:marTop w:val="180"/>
          <w:marBottom w:val="0"/>
          <w:divBdr>
            <w:top w:val="none" w:sz="0" w:space="0" w:color="auto"/>
            <w:left w:val="none" w:sz="0" w:space="0" w:color="auto"/>
            <w:bottom w:val="none" w:sz="0" w:space="0" w:color="auto"/>
            <w:right w:val="none" w:sz="0" w:space="0" w:color="auto"/>
          </w:divBdr>
        </w:div>
        <w:div w:id="1210532995">
          <w:marLeft w:val="0"/>
          <w:marRight w:val="0"/>
          <w:marTop w:val="180"/>
          <w:marBottom w:val="0"/>
          <w:divBdr>
            <w:top w:val="none" w:sz="0" w:space="0" w:color="auto"/>
            <w:left w:val="none" w:sz="0" w:space="0" w:color="auto"/>
            <w:bottom w:val="none" w:sz="0" w:space="0" w:color="auto"/>
            <w:right w:val="none" w:sz="0" w:space="0" w:color="auto"/>
          </w:divBdr>
        </w:div>
        <w:div w:id="1911619932">
          <w:marLeft w:val="0"/>
          <w:marRight w:val="0"/>
          <w:marTop w:val="180"/>
          <w:marBottom w:val="0"/>
          <w:divBdr>
            <w:top w:val="none" w:sz="0" w:space="0" w:color="auto"/>
            <w:left w:val="none" w:sz="0" w:space="0" w:color="auto"/>
            <w:bottom w:val="none" w:sz="0" w:space="0" w:color="auto"/>
            <w:right w:val="none" w:sz="0" w:space="0" w:color="auto"/>
          </w:divBdr>
        </w:div>
        <w:div w:id="643391064">
          <w:marLeft w:val="0"/>
          <w:marRight w:val="0"/>
          <w:marTop w:val="180"/>
          <w:marBottom w:val="0"/>
          <w:divBdr>
            <w:top w:val="none" w:sz="0" w:space="0" w:color="auto"/>
            <w:left w:val="none" w:sz="0" w:space="0" w:color="auto"/>
            <w:bottom w:val="none" w:sz="0" w:space="0" w:color="auto"/>
            <w:right w:val="none" w:sz="0" w:space="0" w:color="auto"/>
          </w:divBdr>
        </w:div>
        <w:div w:id="2077163889">
          <w:marLeft w:val="0"/>
          <w:marRight w:val="0"/>
          <w:marTop w:val="180"/>
          <w:marBottom w:val="0"/>
          <w:divBdr>
            <w:top w:val="none" w:sz="0" w:space="0" w:color="auto"/>
            <w:left w:val="none" w:sz="0" w:space="0" w:color="auto"/>
            <w:bottom w:val="none" w:sz="0" w:space="0" w:color="auto"/>
            <w:right w:val="none" w:sz="0" w:space="0" w:color="auto"/>
          </w:divBdr>
        </w:div>
        <w:div w:id="1709330361">
          <w:marLeft w:val="0"/>
          <w:marRight w:val="0"/>
          <w:marTop w:val="180"/>
          <w:marBottom w:val="0"/>
          <w:divBdr>
            <w:top w:val="none" w:sz="0" w:space="0" w:color="auto"/>
            <w:left w:val="none" w:sz="0" w:space="0" w:color="auto"/>
            <w:bottom w:val="none" w:sz="0" w:space="0" w:color="auto"/>
            <w:right w:val="none" w:sz="0" w:space="0" w:color="auto"/>
          </w:divBdr>
        </w:div>
        <w:div w:id="78716904">
          <w:marLeft w:val="0"/>
          <w:marRight w:val="0"/>
          <w:marTop w:val="180"/>
          <w:marBottom w:val="0"/>
          <w:divBdr>
            <w:top w:val="none" w:sz="0" w:space="0" w:color="auto"/>
            <w:left w:val="none" w:sz="0" w:space="0" w:color="auto"/>
            <w:bottom w:val="none" w:sz="0" w:space="0" w:color="auto"/>
            <w:right w:val="none" w:sz="0" w:space="0" w:color="auto"/>
          </w:divBdr>
        </w:div>
      </w:divsChild>
    </w:div>
    <w:div w:id="304241547">
      <w:marLeft w:val="0"/>
      <w:marRight w:val="0"/>
      <w:marTop w:val="0"/>
      <w:marBottom w:val="60"/>
      <w:divBdr>
        <w:top w:val="none" w:sz="0" w:space="0" w:color="auto"/>
        <w:left w:val="none" w:sz="0" w:space="0" w:color="auto"/>
        <w:bottom w:val="none" w:sz="0" w:space="0" w:color="auto"/>
        <w:right w:val="none" w:sz="0" w:space="0" w:color="auto"/>
      </w:divBdr>
    </w:div>
    <w:div w:id="312568970">
      <w:marLeft w:val="0"/>
      <w:marRight w:val="0"/>
      <w:marTop w:val="100"/>
      <w:marBottom w:val="0"/>
      <w:divBdr>
        <w:top w:val="none" w:sz="0" w:space="0" w:color="auto"/>
        <w:left w:val="none" w:sz="0" w:space="0" w:color="auto"/>
        <w:bottom w:val="none" w:sz="0" w:space="0" w:color="auto"/>
        <w:right w:val="none" w:sz="0" w:space="0" w:color="auto"/>
      </w:divBdr>
    </w:div>
    <w:div w:id="319432453">
      <w:marLeft w:val="0"/>
      <w:marRight w:val="0"/>
      <w:marTop w:val="0"/>
      <w:marBottom w:val="0"/>
      <w:divBdr>
        <w:top w:val="none" w:sz="0" w:space="0" w:color="auto"/>
        <w:left w:val="none" w:sz="0" w:space="0" w:color="auto"/>
        <w:bottom w:val="none" w:sz="0" w:space="0" w:color="auto"/>
        <w:right w:val="none" w:sz="0" w:space="0" w:color="auto"/>
      </w:divBdr>
    </w:div>
    <w:div w:id="324943886">
      <w:marLeft w:val="0"/>
      <w:marRight w:val="0"/>
      <w:marTop w:val="0"/>
      <w:marBottom w:val="0"/>
      <w:divBdr>
        <w:top w:val="none" w:sz="0" w:space="0" w:color="auto"/>
        <w:left w:val="none" w:sz="0" w:space="0" w:color="auto"/>
        <w:bottom w:val="none" w:sz="0" w:space="0" w:color="auto"/>
        <w:right w:val="none" w:sz="0" w:space="0" w:color="auto"/>
      </w:divBdr>
    </w:div>
    <w:div w:id="325062096">
      <w:marLeft w:val="0"/>
      <w:marRight w:val="0"/>
      <w:marTop w:val="180"/>
      <w:marBottom w:val="0"/>
      <w:divBdr>
        <w:top w:val="none" w:sz="0" w:space="0" w:color="auto"/>
        <w:left w:val="none" w:sz="0" w:space="0" w:color="auto"/>
        <w:bottom w:val="none" w:sz="0" w:space="0" w:color="auto"/>
        <w:right w:val="none" w:sz="0" w:space="0" w:color="auto"/>
      </w:divBdr>
    </w:div>
    <w:div w:id="335378105">
      <w:marLeft w:val="0"/>
      <w:marRight w:val="0"/>
      <w:marTop w:val="100"/>
      <w:marBottom w:val="0"/>
      <w:divBdr>
        <w:top w:val="none" w:sz="0" w:space="0" w:color="auto"/>
        <w:left w:val="none" w:sz="0" w:space="0" w:color="auto"/>
        <w:bottom w:val="none" w:sz="0" w:space="0" w:color="auto"/>
        <w:right w:val="none" w:sz="0" w:space="0" w:color="auto"/>
      </w:divBdr>
    </w:div>
    <w:div w:id="349183034">
      <w:marLeft w:val="0"/>
      <w:marRight w:val="0"/>
      <w:marTop w:val="0"/>
      <w:marBottom w:val="0"/>
      <w:divBdr>
        <w:top w:val="none" w:sz="0" w:space="0" w:color="auto"/>
        <w:left w:val="none" w:sz="0" w:space="0" w:color="auto"/>
        <w:bottom w:val="none" w:sz="0" w:space="0" w:color="auto"/>
        <w:right w:val="none" w:sz="0" w:space="0" w:color="auto"/>
      </w:divBdr>
      <w:divsChild>
        <w:div w:id="132020506">
          <w:marLeft w:val="0"/>
          <w:marRight w:val="0"/>
          <w:marTop w:val="0"/>
          <w:marBottom w:val="0"/>
          <w:divBdr>
            <w:top w:val="none" w:sz="0" w:space="0" w:color="auto"/>
            <w:left w:val="none" w:sz="0" w:space="0" w:color="auto"/>
            <w:bottom w:val="none" w:sz="0" w:space="0" w:color="auto"/>
            <w:right w:val="none" w:sz="0" w:space="0" w:color="auto"/>
          </w:divBdr>
        </w:div>
      </w:divsChild>
    </w:div>
    <w:div w:id="349572401">
      <w:marLeft w:val="0"/>
      <w:marRight w:val="0"/>
      <w:marTop w:val="100"/>
      <w:marBottom w:val="0"/>
      <w:divBdr>
        <w:top w:val="none" w:sz="0" w:space="0" w:color="auto"/>
        <w:left w:val="none" w:sz="0" w:space="0" w:color="auto"/>
        <w:bottom w:val="none" w:sz="0" w:space="0" w:color="auto"/>
        <w:right w:val="none" w:sz="0" w:space="0" w:color="auto"/>
      </w:divBdr>
    </w:div>
    <w:div w:id="349986310">
      <w:marLeft w:val="0"/>
      <w:marRight w:val="0"/>
      <w:marTop w:val="0"/>
      <w:marBottom w:val="0"/>
      <w:divBdr>
        <w:top w:val="none" w:sz="0" w:space="0" w:color="auto"/>
        <w:left w:val="none" w:sz="0" w:space="0" w:color="auto"/>
        <w:bottom w:val="none" w:sz="0" w:space="0" w:color="auto"/>
        <w:right w:val="none" w:sz="0" w:space="0" w:color="auto"/>
      </w:divBdr>
    </w:div>
    <w:div w:id="355077546">
      <w:marLeft w:val="0"/>
      <w:marRight w:val="0"/>
      <w:marTop w:val="0"/>
      <w:marBottom w:val="0"/>
      <w:divBdr>
        <w:top w:val="none" w:sz="0" w:space="0" w:color="auto"/>
        <w:left w:val="none" w:sz="0" w:space="0" w:color="auto"/>
        <w:bottom w:val="none" w:sz="0" w:space="0" w:color="auto"/>
        <w:right w:val="none" w:sz="0" w:space="0" w:color="auto"/>
      </w:divBdr>
    </w:div>
    <w:div w:id="382296805">
      <w:marLeft w:val="0"/>
      <w:marRight w:val="0"/>
      <w:marTop w:val="20"/>
      <w:marBottom w:val="0"/>
      <w:divBdr>
        <w:top w:val="none" w:sz="0" w:space="0" w:color="auto"/>
        <w:left w:val="none" w:sz="0" w:space="0" w:color="auto"/>
        <w:bottom w:val="none" w:sz="0" w:space="0" w:color="auto"/>
        <w:right w:val="none" w:sz="0" w:space="0" w:color="auto"/>
      </w:divBdr>
    </w:div>
    <w:div w:id="384766070">
      <w:marLeft w:val="0"/>
      <w:marRight w:val="0"/>
      <w:marTop w:val="180"/>
      <w:marBottom w:val="0"/>
      <w:divBdr>
        <w:top w:val="none" w:sz="0" w:space="0" w:color="auto"/>
        <w:left w:val="none" w:sz="0" w:space="0" w:color="auto"/>
        <w:bottom w:val="none" w:sz="0" w:space="0" w:color="auto"/>
        <w:right w:val="none" w:sz="0" w:space="0" w:color="auto"/>
      </w:divBdr>
    </w:div>
    <w:div w:id="387580033">
      <w:marLeft w:val="0"/>
      <w:marRight w:val="0"/>
      <w:marTop w:val="80"/>
      <w:marBottom w:val="0"/>
      <w:divBdr>
        <w:top w:val="none" w:sz="0" w:space="0" w:color="auto"/>
        <w:left w:val="none" w:sz="0" w:space="0" w:color="auto"/>
        <w:bottom w:val="none" w:sz="0" w:space="0" w:color="auto"/>
        <w:right w:val="none" w:sz="0" w:space="0" w:color="auto"/>
      </w:divBdr>
    </w:div>
    <w:div w:id="390424163">
      <w:marLeft w:val="0"/>
      <w:marRight w:val="0"/>
      <w:marTop w:val="0"/>
      <w:marBottom w:val="0"/>
      <w:divBdr>
        <w:top w:val="none" w:sz="0" w:space="0" w:color="auto"/>
        <w:left w:val="none" w:sz="0" w:space="0" w:color="auto"/>
        <w:bottom w:val="none" w:sz="0" w:space="0" w:color="auto"/>
        <w:right w:val="none" w:sz="0" w:space="0" w:color="auto"/>
      </w:divBdr>
    </w:div>
    <w:div w:id="391469474">
      <w:marLeft w:val="0"/>
      <w:marRight w:val="0"/>
      <w:marTop w:val="180"/>
      <w:marBottom w:val="0"/>
      <w:divBdr>
        <w:top w:val="none" w:sz="0" w:space="0" w:color="auto"/>
        <w:left w:val="none" w:sz="0" w:space="0" w:color="auto"/>
        <w:bottom w:val="none" w:sz="0" w:space="0" w:color="auto"/>
        <w:right w:val="none" w:sz="0" w:space="0" w:color="auto"/>
      </w:divBdr>
    </w:div>
    <w:div w:id="399060851">
      <w:marLeft w:val="0"/>
      <w:marRight w:val="0"/>
      <w:marTop w:val="100"/>
      <w:marBottom w:val="0"/>
      <w:divBdr>
        <w:top w:val="none" w:sz="0" w:space="0" w:color="auto"/>
        <w:left w:val="none" w:sz="0" w:space="0" w:color="auto"/>
        <w:bottom w:val="none" w:sz="0" w:space="0" w:color="auto"/>
        <w:right w:val="none" w:sz="0" w:space="0" w:color="auto"/>
      </w:divBdr>
    </w:div>
    <w:div w:id="405225397">
      <w:marLeft w:val="0"/>
      <w:marRight w:val="0"/>
      <w:marTop w:val="100"/>
      <w:marBottom w:val="0"/>
      <w:divBdr>
        <w:top w:val="none" w:sz="0" w:space="0" w:color="auto"/>
        <w:left w:val="none" w:sz="0" w:space="0" w:color="auto"/>
        <w:bottom w:val="none" w:sz="0" w:space="0" w:color="auto"/>
        <w:right w:val="none" w:sz="0" w:space="0" w:color="auto"/>
      </w:divBdr>
    </w:div>
    <w:div w:id="424303512">
      <w:marLeft w:val="0"/>
      <w:marRight w:val="0"/>
      <w:marTop w:val="0"/>
      <w:marBottom w:val="0"/>
      <w:divBdr>
        <w:top w:val="none" w:sz="0" w:space="0" w:color="auto"/>
        <w:left w:val="none" w:sz="0" w:space="0" w:color="auto"/>
        <w:bottom w:val="none" w:sz="0" w:space="0" w:color="auto"/>
        <w:right w:val="none" w:sz="0" w:space="0" w:color="auto"/>
      </w:divBdr>
    </w:div>
    <w:div w:id="426854375">
      <w:marLeft w:val="0"/>
      <w:marRight w:val="0"/>
      <w:marTop w:val="0"/>
      <w:marBottom w:val="0"/>
      <w:divBdr>
        <w:top w:val="none" w:sz="0" w:space="0" w:color="auto"/>
        <w:left w:val="none" w:sz="0" w:space="0" w:color="auto"/>
        <w:bottom w:val="none" w:sz="0" w:space="0" w:color="auto"/>
        <w:right w:val="none" w:sz="0" w:space="0" w:color="auto"/>
      </w:divBdr>
    </w:div>
    <w:div w:id="428507048">
      <w:marLeft w:val="0"/>
      <w:marRight w:val="0"/>
      <w:marTop w:val="0"/>
      <w:marBottom w:val="0"/>
      <w:divBdr>
        <w:top w:val="none" w:sz="0" w:space="0" w:color="auto"/>
        <w:left w:val="none" w:sz="0" w:space="0" w:color="auto"/>
        <w:bottom w:val="none" w:sz="0" w:space="0" w:color="auto"/>
        <w:right w:val="none" w:sz="0" w:space="0" w:color="auto"/>
      </w:divBdr>
      <w:divsChild>
        <w:div w:id="171604901">
          <w:marLeft w:val="0"/>
          <w:marRight w:val="0"/>
          <w:marTop w:val="0"/>
          <w:marBottom w:val="0"/>
          <w:divBdr>
            <w:top w:val="none" w:sz="0" w:space="0" w:color="auto"/>
            <w:left w:val="none" w:sz="0" w:space="0" w:color="auto"/>
            <w:bottom w:val="none" w:sz="0" w:space="0" w:color="auto"/>
            <w:right w:val="none" w:sz="0" w:space="0" w:color="auto"/>
          </w:divBdr>
        </w:div>
      </w:divsChild>
    </w:div>
    <w:div w:id="429476663">
      <w:marLeft w:val="0"/>
      <w:marRight w:val="0"/>
      <w:marTop w:val="0"/>
      <w:marBottom w:val="0"/>
      <w:divBdr>
        <w:top w:val="none" w:sz="0" w:space="0" w:color="auto"/>
        <w:left w:val="none" w:sz="0" w:space="0" w:color="auto"/>
        <w:bottom w:val="none" w:sz="0" w:space="0" w:color="auto"/>
        <w:right w:val="none" w:sz="0" w:space="0" w:color="auto"/>
      </w:divBdr>
    </w:div>
    <w:div w:id="431709507">
      <w:marLeft w:val="0"/>
      <w:marRight w:val="0"/>
      <w:marTop w:val="0"/>
      <w:marBottom w:val="0"/>
      <w:divBdr>
        <w:top w:val="none" w:sz="0" w:space="0" w:color="auto"/>
        <w:left w:val="none" w:sz="0" w:space="0" w:color="auto"/>
        <w:bottom w:val="none" w:sz="0" w:space="0" w:color="auto"/>
        <w:right w:val="none" w:sz="0" w:space="0" w:color="auto"/>
      </w:divBdr>
      <w:divsChild>
        <w:div w:id="2017880499">
          <w:marLeft w:val="0"/>
          <w:marRight w:val="0"/>
          <w:marTop w:val="0"/>
          <w:marBottom w:val="0"/>
          <w:divBdr>
            <w:top w:val="none" w:sz="0" w:space="0" w:color="auto"/>
            <w:left w:val="none" w:sz="0" w:space="0" w:color="auto"/>
            <w:bottom w:val="none" w:sz="0" w:space="0" w:color="auto"/>
            <w:right w:val="none" w:sz="0" w:space="0" w:color="auto"/>
          </w:divBdr>
        </w:div>
      </w:divsChild>
    </w:div>
    <w:div w:id="436024150">
      <w:marLeft w:val="0"/>
      <w:marRight w:val="0"/>
      <w:marTop w:val="0"/>
      <w:marBottom w:val="0"/>
      <w:divBdr>
        <w:top w:val="none" w:sz="0" w:space="0" w:color="auto"/>
        <w:left w:val="none" w:sz="0" w:space="0" w:color="auto"/>
        <w:bottom w:val="none" w:sz="0" w:space="0" w:color="auto"/>
        <w:right w:val="none" w:sz="0" w:space="0" w:color="auto"/>
      </w:divBdr>
    </w:div>
    <w:div w:id="449781624">
      <w:marLeft w:val="0"/>
      <w:marRight w:val="0"/>
      <w:marTop w:val="0"/>
      <w:marBottom w:val="0"/>
      <w:divBdr>
        <w:top w:val="none" w:sz="0" w:space="0" w:color="auto"/>
        <w:left w:val="none" w:sz="0" w:space="0" w:color="auto"/>
        <w:bottom w:val="none" w:sz="0" w:space="0" w:color="auto"/>
        <w:right w:val="none" w:sz="0" w:space="0" w:color="auto"/>
      </w:divBdr>
      <w:divsChild>
        <w:div w:id="1181122346">
          <w:marLeft w:val="0"/>
          <w:marRight w:val="0"/>
          <w:marTop w:val="0"/>
          <w:marBottom w:val="0"/>
          <w:divBdr>
            <w:top w:val="none" w:sz="0" w:space="0" w:color="auto"/>
            <w:left w:val="none" w:sz="0" w:space="0" w:color="auto"/>
            <w:bottom w:val="none" w:sz="0" w:space="0" w:color="auto"/>
            <w:right w:val="none" w:sz="0" w:space="0" w:color="auto"/>
          </w:divBdr>
        </w:div>
      </w:divsChild>
    </w:div>
    <w:div w:id="452479181">
      <w:marLeft w:val="0"/>
      <w:marRight w:val="0"/>
      <w:marTop w:val="0"/>
      <w:marBottom w:val="0"/>
      <w:divBdr>
        <w:top w:val="none" w:sz="0" w:space="0" w:color="auto"/>
        <w:left w:val="none" w:sz="0" w:space="0" w:color="auto"/>
        <w:bottom w:val="none" w:sz="0" w:space="0" w:color="auto"/>
        <w:right w:val="none" w:sz="0" w:space="0" w:color="auto"/>
      </w:divBdr>
      <w:divsChild>
        <w:div w:id="1782257162">
          <w:marLeft w:val="0"/>
          <w:marRight w:val="0"/>
          <w:marTop w:val="0"/>
          <w:marBottom w:val="0"/>
          <w:divBdr>
            <w:top w:val="none" w:sz="0" w:space="0" w:color="auto"/>
            <w:left w:val="none" w:sz="0" w:space="0" w:color="auto"/>
            <w:bottom w:val="none" w:sz="0" w:space="0" w:color="auto"/>
            <w:right w:val="none" w:sz="0" w:space="0" w:color="auto"/>
          </w:divBdr>
        </w:div>
      </w:divsChild>
    </w:div>
    <w:div w:id="457260507">
      <w:marLeft w:val="0"/>
      <w:marRight w:val="0"/>
      <w:marTop w:val="0"/>
      <w:marBottom w:val="0"/>
      <w:divBdr>
        <w:top w:val="none" w:sz="0" w:space="0" w:color="auto"/>
        <w:left w:val="none" w:sz="0" w:space="0" w:color="auto"/>
        <w:bottom w:val="none" w:sz="0" w:space="0" w:color="auto"/>
        <w:right w:val="none" w:sz="0" w:space="0" w:color="auto"/>
      </w:divBdr>
    </w:div>
    <w:div w:id="464664675">
      <w:marLeft w:val="0"/>
      <w:marRight w:val="0"/>
      <w:marTop w:val="100"/>
      <w:marBottom w:val="0"/>
      <w:divBdr>
        <w:top w:val="none" w:sz="0" w:space="0" w:color="auto"/>
        <w:left w:val="none" w:sz="0" w:space="0" w:color="auto"/>
        <w:bottom w:val="none" w:sz="0" w:space="0" w:color="auto"/>
        <w:right w:val="none" w:sz="0" w:space="0" w:color="auto"/>
      </w:divBdr>
    </w:div>
    <w:div w:id="465120697">
      <w:marLeft w:val="0"/>
      <w:marRight w:val="0"/>
      <w:marTop w:val="0"/>
      <w:marBottom w:val="0"/>
      <w:divBdr>
        <w:top w:val="none" w:sz="0" w:space="0" w:color="auto"/>
        <w:left w:val="none" w:sz="0" w:space="0" w:color="auto"/>
        <w:bottom w:val="none" w:sz="0" w:space="0" w:color="auto"/>
        <w:right w:val="none" w:sz="0" w:space="0" w:color="auto"/>
      </w:divBdr>
    </w:div>
    <w:div w:id="472216505">
      <w:marLeft w:val="0"/>
      <w:marRight w:val="0"/>
      <w:marTop w:val="0"/>
      <w:marBottom w:val="0"/>
      <w:divBdr>
        <w:top w:val="none" w:sz="0" w:space="0" w:color="auto"/>
        <w:left w:val="none" w:sz="0" w:space="0" w:color="auto"/>
        <w:bottom w:val="none" w:sz="0" w:space="0" w:color="auto"/>
        <w:right w:val="none" w:sz="0" w:space="0" w:color="auto"/>
      </w:divBdr>
    </w:div>
    <w:div w:id="490563846">
      <w:marLeft w:val="0"/>
      <w:marRight w:val="0"/>
      <w:marTop w:val="0"/>
      <w:marBottom w:val="0"/>
      <w:divBdr>
        <w:top w:val="none" w:sz="0" w:space="0" w:color="auto"/>
        <w:left w:val="none" w:sz="0" w:space="0" w:color="auto"/>
        <w:bottom w:val="none" w:sz="0" w:space="0" w:color="auto"/>
        <w:right w:val="none" w:sz="0" w:space="0" w:color="auto"/>
      </w:divBdr>
    </w:div>
    <w:div w:id="492457272">
      <w:marLeft w:val="0"/>
      <w:marRight w:val="0"/>
      <w:marTop w:val="0"/>
      <w:marBottom w:val="0"/>
      <w:divBdr>
        <w:top w:val="none" w:sz="0" w:space="0" w:color="auto"/>
        <w:left w:val="none" w:sz="0" w:space="0" w:color="auto"/>
        <w:bottom w:val="none" w:sz="0" w:space="0" w:color="auto"/>
        <w:right w:val="none" w:sz="0" w:space="0" w:color="auto"/>
      </w:divBdr>
    </w:div>
    <w:div w:id="507016034">
      <w:marLeft w:val="0"/>
      <w:marRight w:val="0"/>
      <w:marTop w:val="0"/>
      <w:marBottom w:val="0"/>
      <w:divBdr>
        <w:top w:val="none" w:sz="0" w:space="0" w:color="auto"/>
        <w:left w:val="none" w:sz="0" w:space="0" w:color="auto"/>
        <w:bottom w:val="none" w:sz="0" w:space="0" w:color="auto"/>
        <w:right w:val="none" w:sz="0" w:space="0" w:color="auto"/>
      </w:divBdr>
    </w:div>
    <w:div w:id="509947434">
      <w:marLeft w:val="0"/>
      <w:marRight w:val="0"/>
      <w:marTop w:val="0"/>
      <w:marBottom w:val="0"/>
      <w:divBdr>
        <w:top w:val="none" w:sz="0" w:space="0" w:color="auto"/>
        <w:left w:val="none" w:sz="0" w:space="0" w:color="auto"/>
        <w:bottom w:val="none" w:sz="0" w:space="0" w:color="auto"/>
        <w:right w:val="none" w:sz="0" w:space="0" w:color="auto"/>
      </w:divBdr>
    </w:div>
    <w:div w:id="510072573">
      <w:marLeft w:val="0"/>
      <w:marRight w:val="0"/>
      <w:marTop w:val="0"/>
      <w:marBottom w:val="0"/>
      <w:divBdr>
        <w:top w:val="none" w:sz="0" w:space="0" w:color="auto"/>
        <w:left w:val="none" w:sz="0" w:space="0" w:color="auto"/>
        <w:bottom w:val="none" w:sz="0" w:space="0" w:color="auto"/>
        <w:right w:val="none" w:sz="0" w:space="0" w:color="auto"/>
      </w:divBdr>
      <w:divsChild>
        <w:div w:id="605692694">
          <w:marLeft w:val="0"/>
          <w:marRight w:val="0"/>
          <w:marTop w:val="0"/>
          <w:marBottom w:val="0"/>
          <w:divBdr>
            <w:top w:val="none" w:sz="0" w:space="0" w:color="auto"/>
            <w:left w:val="none" w:sz="0" w:space="0" w:color="auto"/>
            <w:bottom w:val="none" w:sz="0" w:space="0" w:color="auto"/>
            <w:right w:val="none" w:sz="0" w:space="0" w:color="auto"/>
          </w:divBdr>
        </w:div>
      </w:divsChild>
    </w:div>
    <w:div w:id="515078697">
      <w:marLeft w:val="0"/>
      <w:marRight w:val="0"/>
      <w:marTop w:val="20"/>
      <w:marBottom w:val="0"/>
      <w:divBdr>
        <w:top w:val="none" w:sz="0" w:space="0" w:color="auto"/>
        <w:left w:val="none" w:sz="0" w:space="0" w:color="auto"/>
        <w:bottom w:val="none" w:sz="0" w:space="0" w:color="auto"/>
        <w:right w:val="none" w:sz="0" w:space="0" w:color="auto"/>
      </w:divBdr>
    </w:div>
    <w:div w:id="531921155">
      <w:marLeft w:val="0"/>
      <w:marRight w:val="0"/>
      <w:marTop w:val="0"/>
      <w:marBottom w:val="0"/>
      <w:divBdr>
        <w:top w:val="none" w:sz="0" w:space="0" w:color="auto"/>
        <w:left w:val="none" w:sz="0" w:space="0" w:color="auto"/>
        <w:bottom w:val="none" w:sz="0" w:space="0" w:color="auto"/>
        <w:right w:val="none" w:sz="0" w:space="0" w:color="auto"/>
      </w:divBdr>
    </w:div>
    <w:div w:id="538009729">
      <w:marLeft w:val="0"/>
      <w:marRight w:val="0"/>
      <w:marTop w:val="100"/>
      <w:marBottom w:val="0"/>
      <w:divBdr>
        <w:top w:val="none" w:sz="0" w:space="0" w:color="auto"/>
        <w:left w:val="none" w:sz="0" w:space="0" w:color="auto"/>
        <w:bottom w:val="none" w:sz="0" w:space="0" w:color="auto"/>
        <w:right w:val="none" w:sz="0" w:space="0" w:color="auto"/>
      </w:divBdr>
    </w:div>
    <w:div w:id="543831174">
      <w:marLeft w:val="0"/>
      <w:marRight w:val="0"/>
      <w:marTop w:val="20"/>
      <w:marBottom w:val="0"/>
      <w:divBdr>
        <w:top w:val="none" w:sz="0" w:space="0" w:color="auto"/>
        <w:left w:val="none" w:sz="0" w:space="0" w:color="auto"/>
        <w:bottom w:val="none" w:sz="0" w:space="0" w:color="auto"/>
        <w:right w:val="none" w:sz="0" w:space="0" w:color="auto"/>
      </w:divBdr>
    </w:div>
    <w:div w:id="562331384">
      <w:marLeft w:val="0"/>
      <w:marRight w:val="0"/>
      <w:marTop w:val="0"/>
      <w:marBottom w:val="0"/>
      <w:divBdr>
        <w:top w:val="none" w:sz="0" w:space="0" w:color="auto"/>
        <w:left w:val="none" w:sz="0" w:space="0" w:color="auto"/>
        <w:bottom w:val="none" w:sz="0" w:space="0" w:color="auto"/>
        <w:right w:val="none" w:sz="0" w:space="0" w:color="auto"/>
      </w:divBdr>
      <w:divsChild>
        <w:div w:id="1658799934">
          <w:marLeft w:val="0"/>
          <w:marRight w:val="0"/>
          <w:marTop w:val="0"/>
          <w:marBottom w:val="0"/>
          <w:divBdr>
            <w:top w:val="none" w:sz="0" w:space="0" w:color="auto"/>
            <w:left w:val="none" w:sz="0" w:space="0" w:color="auto"/>
            <w:bottom w:val="none" w:sz="0" w:space="0" w:color="auto"/>
            <w:right w:val="none" w:sz="0" w:space="0" w:color="auto"/>
          </w:divBdr>
        </w:div>
      </w:divsChild>
    </w:div>
    <w:div w:id="570307865">
      <w:marLeft w:val="0"/>
      <w:marRight w:val="0"/>
      <w:marTop w:val="0"/>
      <w:marBottom w:val="0"/>
      <w:divBdr>
        <w:top w:val="none" w:sz="0" w:space="0" w:color="auto"/>
        <w:left w:val="none" w:sz="0" w:space="0" w:color="auto"/>
        <w:bottom w:val="none" w:sz="0" w:space="0" w:color="auto"/>
        <w:right w:val="none" w:sz="0" w:space="0" w:color="auto"/>
      </w:divBdr>
    </w:div>
    <w:div w:id="570702685">
      <w:marLeft w:val="0"/>
      <w:marRight w:val="0"/>
      <w:marTop w:val="0"/>
      <w:marBottom w:val="0"/>
      <w:divBdr>
        <w:top w:val="none" w:sz="0" w:space="0" w:color="auto"/>
        <w:left w:val="none" w:sz="0" w:space="0" w:color="auto"/>
        <w:bottom w:val="none" w:sz="0" w:space="0" w:color="auto"/>
        <w:right w:val="none" w:sz="0" w:space="0" w:color="auto"/>
      </w:divBdr>
    </w:div>
    <w:div w:id="598024808">
      <w:marLeft w:val="0"/>
      <w:marRight w:val="0"/>
      <w:marTop w:val="180"/>
      <w:marBottom w:val="180"/>
      <w:divBdr>
        <w:top w:val="none" w:sz="0" w:space="0" w:color="auto"/>
        <w:left w:val="none" w:sz="0" w:space="0" w:color="auto"/>
        <w:bottom w:val="none" w:sz="0" w:space="0" w:color="auto"/>
        <w:right w:val="none" w:sz="0" w:space="0" w:color="auto"/>
      </w:divBdr>
    </w:div>
    <w:div w:id="621231932">
      <w:marLeft w:val="0"/>
      <w:marRight w:val="0"/>
      <w:marTop w:val="0"/>
      <w:marBottom w:val="0"/>
      <w:divBdr>
        <w:top w:val="none" w:sz="0" w:space="0" w:color="auto"/>
        <w:left w:val="none" w:sz="0" w:space="0" w:color="auto"/>
        <w:bottom w:val="none" w:sz="0" w:space="0" w:color="auto"/>
        <w:right w:val="none" w:sz="0" w:space="0" w:color="auto"/>
      </w:divBdr>
    </w:div>
    <w:div w:id="625476061">
      <w:marLeft w:val="0"/>
      <w:marRight w:val="0"/>
      <w:marTop w:val="100"/>
      <w:marBottom w:val="0"/>
      <w:divBdr>
        <w:top w:val="none" w:sz="0" w:space="0" w:color="auto"/>
        <w:left w:val="none" w:sz="0" w:space="0" w:color="auto"/>
        <w:bottom w:val="none" w:sz="0" w:space="0" w:color="auto"/>
        <w:right w:val="none" w:sz="0" w:space="0" w:color="auto"/>
      </w:divBdr>
    </w:div>
    <w:div w:id="627399125">
      <w:marLeft w:val="0"/>
      <w:marRight w:val="0"/>
      <w:marTop w:val="100"/>
      <w:marBottom w:val="0"/>
      <w:divBdr>
        <w:top w:val="none" w:sz="0" w:space="0" w:color="auto"/>
        <w:left w:val="none" w:sz="0" w:space="0" w:color="auto"/>
        <w:bottom w:val="none" w:sz="0" w:space="0" w:color="auto"/>
        <w:right w:val="none" w:sz="0" w:space="0" w:color="auto"/>
      </w:divBdr>
    </w:div>
    <w:div w:id="630132535">
      <w:marLeft w:val="0"/>
      <w:marRight w:val="0"/>
      <w:marTop w:val="180"/>
      <w:marBottom w:val="180"/>
      <w:divBdr>
        <w:top w:val="none" w:sz="0" w:space="0" w:color="auto"/>
        <w:left w:val="none" w:sz="0" w:space="0" w:color="auto"/>
        <w:bottom w:val="none" w:sz="0" w:space="0" w:color="auto"/>
        <w:right w:val="none" w:sz="0" w:space="0" w:color="auto"/>
      </w:divBdr>
    </w:div>
    <w:div w:id="638533988">
      <w:marLeft w:val="0"/>
      <w:marRight w:val="0"/>
      <w:marTop w:val="0"/>
      <w:marBottom w:val="0"/>
      <w:divBdr>
        <w:top w:val="none" w:sz="0" w:space="0" w:color="auto"/>
        <w:left w:val="none" w:sz="0" w:space="0" w:color="auto"/>
        <w:bottom w:val="none" w:sz="0" w:space="0" w:color="auto"/>
        <w:right w:val="none" w:sz="0" w:space="0" w:color="auto"/>
      </w:divBdr>
    </w:div>
    <w:div w:id="641545451">
      <w:marLeft w:val="0"/>
      <w:marRight w:val="0"/>
      <w:marTop w:val="0"/>
      <w:marBottom w:val="0"/>
      <w:divBdr>
        <w:top w:val="none" w:sz="0" w:space="0" w:color="auto"/>
        <w:left w:val="none" w:sz="0" w:space="0" w:color="auto"/>
        <w:bottom w:val="none" w:sz="0" w:space="0" w:color="auto"/>
        <w:right w:val="none" w:sz="0" w:space="0" w:color="auto"/>
      </w:divBdr>
    </w:div>
    <w:div w:id="642122127">
      <w:marLeft w:val="0"/>
      <w:marRight w:val="0"/>
      <w:marTop w:val="0"/>
      <w:marBottom w:val="0"/>
      <w:divBdr>
        <w:top w:val="none" w:sz="0" w:space="0" w:color="auto"/>
        <w:left w:val="none" w:sz="0" w:space="0" w:color="auto"/>
        <w:bottom w:val="none" w:sz="0" w:space="0" w:color="auto"/>
        <w:right w:val="none" w:sz="0" w:space="0" w:color="auto"/>
      </w:divBdr>
    </w:div>
    <w:div w:id="657198638">
      <w:marLeft w:val="0"/>
      <w:marRight w:val="0"/>
      <w:marTop w:val="100"/>
      <w:marBottom w:val="0"/>
      <w:divBdr>
        <w:top w:val="none" w:sz="0" w:space="0" w:color="auto"/>
        <w:left w:val="none" w:sz="0" w:space="0" w:color="auto"/>
        <w:bottom w:val="none" w:sz="0" w:space="0" w:color="auto"/>
        <w:right w:val="none" w:sz="0" w:space="0" w:color="auto"/>
      </w:divBdr>
    </w:div>
    <w:div w:id="658117656">
      <w:marLeft w:val="0"/>
      <w:marRight w:val="0"/>
      <w:marTop w:val="80"/>
      <w:marBottom w:val="0"/>
      <w:divBdr>
        <w:top w:val="none" w:sz="0" w:space="0" w:color="auto"/>
        <w:left w:val="none" w:sz="0" w:space="0" w:color="auto"/>
        <w:bottom w:val="none" w:sz="0" w:space="0" w:color="auto"/>
        <w:right w:val="none" w:sz="0" w:space="0" w:color="auto"/>
      </w:divBdr>
    </w:div>
    <w:div w:id="659505647">
      <w:marLeft w:val="0"/>
      <w:marRight w:val="0"/>
      <w:marTop w:val="0"/>
      <w:marBottom w:val="0"/>
      <w:divBdr>
        <w:top w:val="none" w:sz="0" w:space="0" w:color="auto"/>
        <w:left w:val="none" w:sz="0" w:space="0" w:color="auto"/>
        <w:bottom w:val="none" w:sz="0" w:space="0" w:color="auto"/>
        <w:right w:val="none" w:sz="0" w:space="0" w:color="auto"/>
      </w:divBdr>
      <w:divsChild>
        <w:div w:id="421025349">
          <w:marLeft w:val="0"/>
          <w:marRight w:val="0"/>
          <w:marTop w:val="0"/>
          <w:marBottom w:val="0"/>
          <w:divBdr>
            <w:top w:val="none" w:sz="0" w:space="0" w:color="auto"/>
            <w:left w:val="none" w:sz="0" w:space="0" w:color="auto"/>
            <w:bottom w:val="none" w:sz="0" w:space="0" w:color="auto"/>
            <w:right w:val="none" w:sz="0" w:space="0" w:color="auto"/>
          </w:divBdr>
        </w:div>
      </w:divsChild>
    </w:div>
    <w:div w:id="662273731">
      <w:marLeft w:val="0"/>
      <w:marRight w:val="0"/>
      <w:marTop w:val="0"/>
      <w:marBottom w:val="0"/>
      <w:divBdr>
        <w:top w:val="none" w:sz="0" w:space="0" w:color="auto"/>
        <w:left w:val="none" w:sz="0" w:space="0" w:color="auto"/>
        <w:bottom w:val="none" w:sz="0" w:space="0" w:color="auto"/>
        <w:right w:val="none" w:sz="0" w:space="0" w:color="auto"/>
      </w:divBdr>
      <w:divsChild>
        <w:div w:id="2081755185">
          <w:marLeft w:val="0"/>
          <w:marRight w:val="0"/>
          <w:marTop w:val="0"/>
          <w:marBottom w:val="0"/>
          <w:divBdr>
            <w:top w:val="none" w:sz="0" w:space="0" w:color="auto"/>
            <w:left w:val="none" w:sz="0" w:space="0" w:color="auto"/>
            <w:bottom w:val="none" w:sz="0" w:space="0" w:color="auto"/>
            <w:right w:val="none" w:sz="0" w:space="0" w:color="auto"/>
          </w:divBdr>
        </w:div>
      </w:divsChild>
    </w:div>
    <w:div w:id="670374628">
      <w:marLeft w:val="0"/>
      <w:marRight w:val="0"/>
      <w:marTop w:val="0"/>
      <w:marBottom w:val="0"/>
      <w:divBdr>
        <w:top w:val="none" w:sz="0" w:space="0" w:color="auto"/>
        <w:left w:val="none" w:sz="0" w:space="0" w:color="auto"/>
        <w:bottom w:val="none" w:sz="0" w:space="0" w:color="auto"/>
        <w:right w:val="none" w:sz="0" w:space="0" w:color="auto"/>
      </w:divBdr>
      <w:divsChild>
        <w:div w:id="1426347192">
          <w:marLeft w:val="0"/>
          <w:marRight w:val="0"/>
          <w:marTop w:val="0"/>
          <w:marBottom w:val="0"/>
          <w:divBdr>
            <w:top w:val="none" w:sz="0" w:space="0" w:color="auto"/>
            <w:left w:val="none" w:sz="0" w:space="0" w:color="auto"/>
            <w:bottom w:val="none" w:sz="0" w:space="0" w:color="auto"/>
            <w:right w:val="none" w:sz="0" w:space="0" w:color="auto"/>
          </w:divBdr>
        </w:div>
      </w:divsChild>
    </w:div>
    <w:div w:id="675885067">
      <w:marLeft w:val="0"/>
      <w:marRight w:val="0"/>
      <w:marTop w:val="0"/>
      <w:marBottom w:val="0"/>
      <w:divBdr>
        <w:top w:val="none" w:sz="0" w:space="0" w:color="auto"/>
        <w:left w:val="none" w:sz="0" w:space="0" w:color="auto"/>
        <w:bottom w:val="none" w:sz="0" w:space="0" w:color="auto"/>
        <w:right w:val="none" w:sz="0" w:space="0" w:color="auto"/>
      </w:divBdr>
      <w:divsChild>
        <w:div w:id="2054840481">
          <w:marLeft w:val="0"/>
          <w:marRight w:val="0"/>
          <w:marTop w:val="0"/>
          <w:marBottom w:val="0"/>
          <w:divBdr>
            <w:top w:val="none" w:sz="0" w:space="0" w:color="auto"/>
            <w:left w:val="none" w:sz="0" w:space="0" w:color="auto"/>
            <w:bottom w:val="none" w:sz="0" w:space="0" w:color="auto"/>
            <w:right w:val="none" w:sz="0" w:space="0" w:color="auto"/>
          </w:divBdr>
        </w:div>
      </w:divsChild>
    </w:div>
    <w:div w:id="676275637">
      <w:marLeft w:val="0"/>
      <w:marRight w:val="0"/>
      <w:marTop w:val="100"/>
      <w:marBottom w:val="0"/>
      <w:divBdr>
        <w:top w:val="none" w:sz="0" w:space="0" w:color="auto"/>
        <w:left w:val="none" w:sz="0" w:space="0" w:color="auto"/>
        <w:bottom w:val="none" w:sz="0" w:space="0" w:color="auto"/>
        <w:right w:val="none" w:sz="0" w:space="0" w:color="auto"/>
      </w:divBdr>
    </w:div>
    <w:div w:id="678197373">
      <w:marLeft w:val="0"/>
      <w:marRight w:val="0"/>
      <w:marTop w:val="0"/>
      <w:marBottom w:val="0"/>
      <w:divBdr>
        <w:top w:val="none" w:sz="0" w:space="0" w:color="auto"/>
        <w:left w:val="none" w:sz="0" w:space="0" w:color="auto"/>
        <w:bottom w:val="none" w:sz="0" w:space="0" w:color="auto"/>
        <w:right w:val="none" w:sz="0" w:space="0" w:color="auto"/>
      </w:divBdr>
      <w:divsChild>
        <w:div w:id="424497732">
          <w:marLeft w:val="0"/>
          <w:marRight w:val="0"/>
          <w:marTop w:val="0"/>
          <w:marBottom w:val="0"/>
          <w:divBdr>
            <w:top w:val="none" w:sz="0" w:space="0" w:color="auto"/>
            <w:left w:val="none" w:sz="0" w:space="0" w:color="auto"/>
            <w:bottom w:val="none" w:sz="0" w:space="0" w:color="auto"/>
            <w:right w:val="none" w:sz="0" w:space="0" w:color="auto"/>
          </w:divBdr>
        </w:div>
      </w:divsChild>
    </w:div>
    <w:div w:id="683435708">
      <w:marLeft w:val="0"/>
      <w:marRight w:val="0"/>
      <w:marTop w:val="0"/>
      <w:marBottom w:val="0"/>
      <w:divBdr>
        <w:top w:val="none" w:sz="0" w:space="0" w:color="auto"/>
        <w:left w:val="none" w:sz="0" w:space="0" w:color="auto"/>
        <w:bottom w:val="none" w:sz="0" w:space="0" w:color="auto"/>
        <w:right w:val="none" w:sz="0" w:space="0" w:color="auto"/>
      </w:divBdr>
      <w:divsChild>
        <w:div w:id="583104955">
          <w:marLeft w:val="0"/>
          <w:marRight w:val="0"/>
          <w:marTop w:val="0"/>
          <w:marBottom w:val="0"/>
          <w:divBdr>
            <w:top w:val="none" w:sz="0" w:space="0" w:color="auto"/>
            <w:left w:val="none" w:sz="0" w:space="0" w:color="auto"/>
            <w:bottom w:val="none" w:sz="0" w:space="0" w:color="auto"/>
            <w:right w:val="none" w:sz="0" w:space="0" w:color="auto"/>
          </w:divBdr>
          <w:divsChild>
            <w:div w:id="16280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338">
      <w:marLeft w:val="0"/>
      <w:marRight w:val="0"/>
      <w:marTop w:val="100"/>
      <w:marBottom w:val="0"/>
      <w:divBdr>
        <w:top w:val="none" w:sz="0" w:space="0" w:color="auto"/>
        <w:left w:val="none" w:sz="0" w:space="0" w:color="auto"/>
        <w:bottom w:val="none" w:sz="0" w:space="0" w:color="auto"/>
        <w:right w:val="none" w:sz="0" w:space="0" w:color="auto"/>
      </w:divBdr>
    </w:div>
    <w:div w:id="690452519">
      <w:marLeft w:val="0"/>
      <w:marRight w:val="0"/>
      <w:marTop w:val="100"/>
      <w:marBottom w:val="0"/>
      <w:divBdr>
        <w:top w:val="none" w:sz="0" w:space="0" w:color="auto"/>
        <w:left w:val="none" w:sz="0" w:space="0" w:color="auto"/>
        <w:bottom w:val="none" w:sz="0" w:space="0" w:color="auto"/>
        <w:right w:val="none" w:sz="0" w:space="0" w:color="auto"/>
      </w:divBdr>
    </w:div>
    <w:div w:id="692847945">
      <w:marLeft w:val="0"/>
      <w:marRight w:val="0"/>
      <w:marTop w:val="0"/>
      <w:marBottom w:val="0"/>
      <w:divBdr>
        <w:top w:val="none" w:sz="0" w:space="0" w:color="auto"/>
        <w:left w:val="none" w:sz="0" w:space="0" w:color="auto"/>
        <w:bottom w:val="none" w:sz="0" w:space="0" w:color="auto"/>
        <w:right w:val="none" w:sz="0" w:space="0" w:color="auto"/>
      </w:divBdr>
    </w:div>
    <w:div w:id="695930200">
      <w:marLeft w:val="0"/>
      <w:marRight w:val="0"/>
      <w:marTop w:val="0"/>
      <w:marBottom w:val="0"/>
      <w:divBdr>
        <w:top w:val="none" w:sz="0" w:space="0" w:color="auto"/>
        <w:left w:val="none" w:sz="0" w:space="0" w:color="auto"/>
        <w:bottom w:val="none" w:sz="0" w:space="0" w:color="auto"/>
        <w:right w:val="none" w:sz="0" w:space="0" w:color="auto"/>
      </w:divBdr>
    </w:div>
    <w:div w:id="709912798">
      <w:marLeft w:val="0"/>
      <w:marRight w:val="0"/>
      <w:marTop w:val="0"/>
      <w:marBottom w:val="0"/>
      <w:divBdr>
        <w:top w:val="none" w:sz="0" w:space="0" w:color="auto"/>
        <w:left w:val="none" w:sz="0" w:space="0" w:color="auto"/>
        <w:bottom w:val="none" w:sz="0" w:space="0" w:color="auto"/>
        <w:right w:val="none" w:sz="0" w:space="0" w:color="auto"/>
      </w:divBdr>
    </w:div>
    <w:div w:id="714081626">
      <w:marLeft w:val="0"/>
      <w:marRight w:val="0"/>
      <w:marTop w:val="0"/>
      <w:marBottom w:val="0"/>
      <w:divBdr>
        <w:top w:val="none" w:sz="0" w:space="0" w:color="auto"/>
        <w:left w:val="none" w:sz="0" w:space="0" w:color="auto"/>
        <w:bottom w:val="none" w:sz="0" w:space="0" w:color="auto"/>
        <w:right w:val="none" w:sz="0" w:space="0" w:color="auto"/>
      </w:divBdr>
      <w:divsChild>
        <w:div w:id="1805349877">
          <w:marLeft w:val="0"/>
          <w:marRight w:val="0"/>
          <w:marTop w:val="0"/>
          <w:marBottom w:val="0"/>
          <w:divBdr>
            <w:top w:val="none" w:sz="0" w:space="0" w:color="auto"/>
            <w:left w:val="none" w:sz="0" w:space="0" w:color="auto"/>
            <w:bottom w:val="none" w:sz="0" w:space="0" w:color="auto"/>
            <w:right w:val="none" w:sz="0" w:space="0" w:color="auto"/>
          </w:divBdr>
        </w:div>
      </w:divsChild>
    </w:div>
    <w:div w:id="722097731">
      <w:marLeft w:val="0"/>
      <w:marRight w:val="0"/>
      <w:marTop w:val="0"/>
      <w:marBottom w:val="0"/>
      <w:divBdr>
        <w:top w:val="none" w:sz="0" w:space="0" w:color="auto"/>
        <w:left w:val="none" w:sz="0" w:space="0" w:color="auto"/>
        <w:bottom w:val="none" w:sz="0" w:space="0" w:color="auto"/>
        <w:right w:val="none" w:sz="0" w:space="0" w:color="auto"/>
      </w:divBdr>
      <w:divsChild>
        <w:div w:id="850070770">
          <w:marLeft w:val="0"/>
          <w:marRight w:val="0"/>
          <w:marTop w:val="0"/>
          <w:marBottom w:val="0"/>
          <w:divBdr>
            <w:top w:val="none" w:sz="0" w:space="0" w:color="auto"/>
            <w:left w:val="none" w:sz="0" w:space="0" w:color="auto"/>
            <w:bottom w:val="none" w:sz="0" w:space="0" w:color="auto"/>
            <w:right w:val="none" w:sz="0" w:space="0" w:color="auto"/>
          </w:divBdr>
        </w:div>
      </w:divsChild>
    </w:div>
    <w:div w:id="735861811">
      <w:marLeft w:val="0"/>
      <w:marRight w:val="0"/>
      <w:marTop w:val="0"/>
      <w:marBottom w:val="0"/>
      <w:divBdr>
        <w:top w:val="none" w:sz="0" w:space="0" w:color="auto"/>
        <w:left w:val="none" w:sz="0" w:space="0" w:color="auto"/>
        <w:bottom w:val="none" w:sz="0" w:space="0" w:color="auto"/>
        <w:right w:val="none" w:sz="0" w:space="0" w:color="auto"/>
      </w:divBdr>
      <w:divsChild>
        <w:div w:id="1218004718">
          <w:marLeft w:val="0"/>
          <w:marRight w:val="0"/>
          <w:marTop w:val="0"/>
          <w:marBottom w:val="0"/>
          <w:divBdr>
            <w:top w:val="none" w:sz="0" w:space="0" w:color="auto"/>
            <w:left w:val="none" w:sz="0" w:space="0" w:color="auto"/>
            <w:bottom w:val="none" w:sz="0" w:space="0" w:color="auto"/>
            <w:right w:val="none" w:sz="0" w:space="0" w:color="auto"/>
          </w:divBdr>
        </w:div>
      </w:divsChild>
    </w:div>
    <w:div w:id="745223304">
      <w:marLeft w:val="0"/>
      <w:marRight w:val="0"/>
      <w:marTop w:val="0"/>
      <w:marBottom w:val="0"/>
      <w:divBdr>
        <w:top w:val="none" w:sz="0" w:space="0" w:color="auto"/>
        <w:left w:val="none" w:sz="0" w:space="0" w:color="auto"/>
        <w:bottom w:val="none" w:sz="0" w:space="0" w:color="auto"/>
        <w:right w:val="none" w:sz="0" w:space="0" w:color="auto"/>
      </w:divBdr>
      <w:divsChild>
        <w:div w:id="1323776385">
          <w:marLeft w:val="0"/>
          <w:marRight w:val="0"/>
          <w:marTop w:val="0"/>
          <w:marBottom w:val="0"/>
          <w:divBdr>
            <w:top w:val="none" w:sz="0" w:space="0" w:color="auto"/>
            <w:left w:val="none" w:sz="0" w:space="0" w:color="auto"/>
            <w:bottom w:val="none" w:sz="0" w:space="0" w:color="auto"/>
            <w:right w:val="none" w:sz="0" w:space="0" w:color="auto"/>
          </w:divBdr>
        </w:div>
      </w:divsChild>
    </w:div>
    <w:div w:id="752510972">
      <w:marLeft w:val="0"/>
      <w:marRight w:val="0"/>
      <w:marTop w:val="0"/>
      <w:marBottom w:val="0"/>
      <w:divBdr>
        <w:top w:val="none" w:sz="0" w:space="0" w:color="auto"/>
        <w:left w:val="none" w:sz="0" w:space="0" w:color="auto"/>
        <w:bottom w:val="none" w:sz="0" w:space="0" w:color="auto"/>
        <w:right w:val="none" w:sz="0" w:space="0" w:color="auto"/>
      </w:divBdr>
    </w:div>
    <w:div w:id="754134596">
      <w:marLeft w:val="0"/>
      <w:marRight w:val="0"/>
      <w:marTop w:val="100"/>
      <w:marBottom w:val="0"/>
      <w:divBdr>
        <w:top w:val="none" w:sz="0" w:space="0" w:color="auto"/>
        <w:left w:val="none" w:sz="0" w:space="0" w:color="auto"/>
        <w:bottom w:val="none" w:sz="0" w:space="0" w:color="auto"/>
        <w:right w:val="none" w:sz="0" w:space="0" w:color="auto"/>
      </w:divBdr>
      <w:divsChild>
        <w:div w:id="492794449">
          <w:marLeft w:val="0"/>
          <w:marRight w:val="0"/>
          <w:marTop w:val="0"/>
          <w:marBottom w:val="0"/>
          <w:divBdr>
            <w:top w:val="none" w:sz="0" w:space="0" w:color="auto"/>
            <w:left w:val="none" w:sz="0" w:space="0" w:color="auto"/>
            <w:bottom w:val="none" w:sz="0" w:space="0" w:color="auto"/>
            <w:right w:val="none" w:sz="0" w:space="0" w:color="auto"/>
          </w:divBdr>
        </w:div>
        <w:div w:id="820315617">
          <w:marLeft w:val="0"/>
          <w:marRight w:val="0"/>
          <w:marTop w:val="0"/>
          <w:marBottom w:val="0"/>
          <w:divBdr>
            <w:top w:val="none" w:sz="0" w:space="0" w:color="auto"/>
            <w:left w:val="none" w:sz="0" w:space="0" w:color="auto"/>
            <w:bottom w:val="none" w:sz="0" w:space="0" w:color="auto"/>
            <w:right w:val="none" w:sz="0" w:space="0" w:color="auto"/>
          </w:divBdr>
        </w:div>
        <w:div w:id="179124136">
          <w:marLeft w:val="0"/>
          <w:marRight w:val="0"/>
          <w:marTop w:val="0"/>
          <w:marBottom w:val="0"/>
          <w:divBdr>
            <w:top w:val="none" w:sz="0" w:space="0" w:color="auto"/>
            <w:left w:val="none" w:sz="0" w:space="0" w:color="auto"/>
            <w:bottom w:val="none" w:sz="0" w:space="0" w:color="auto"/>
            <w:right w:val="none" w:sz="0" w:space="0" w:color="auto"/>
          </w:divBdr>
        </w:div>
        <w:div w:id="1152914702">
          <w:marLeft w:val="0"/>
          <w:marRight w:val="0"/>
          <w:marTop w:val="0"/>
          <w:marBottom w:val="0"/>
          <w:divBdr>
            <w:top w:val="none" w:sz="0" w:space="0" w:color="auto"/>
            <w:left w:val="none" w:sz="0" w:space="0" w:color="auto"/>
            <w:bottom w:val="none" w:sz="0" w:space="0" w:color="auto"/>
            <w:right w:val="none" w:sz="0" w:space="0" w:color="auto"/>
          </w:divBdr>
        </w:div>
        <w:div w:id="1102796280">
          <w:marLeft w:val="0"/>
          <w:marRight w:val="0"/>
          <w:marTop w:val="0"/>
          <w:marBottom w:val="0"/>
          <w:divBdr>
            <w:top w:val="none" w:sz="0" w:space="0" w:color="auto"/>
            <w:left w:val="none" w:sz="0" w:space="0" w:color="auto"/>
            <w:bottom w:val="none" w:sz="0" w:space="0" w:color="auto"/>
            <w:right w:val="none" w:sz="0" w:space="0" w:color="auto"/>
          </w:divBdr>
        </w:div>
        <w:div w:id="899630365">
          <w:marLeft w:val="0"/>
          <w:marRight w:val="0"/>
          <w:marTop w:val="0"/>
          <w:marBottom w:val="0"/>
          <w:divBdr>
            <w:top w:val="none" w:sz="0" w:space="0" w:color="auto"/>
            <w:left w:val="none" w:sz="0" w:space="0" w:color="auto"/>
            <w:bottom w:val="none" w:sz="0" w:space="0" w:color="auto"/>
            <w:right w:val="none" w:sz="0" w:space="0" w:color="auto"/>
          </w:divBdr>
        </w:div>
      </w:divsChild>
    </w:div>
    <w:div w:id="766534905">
      <w:marLeft w:val="0"/>
      <w:marRight w:val="0"/>
      <w:marTop w:val="100"/>
      <w:marBottom w:val="0"/>
      <w:divBdr>
        <w:top w:val="none" w:sz="0" w:space="0" w:color="auto"/>
        <w:left w:val="none" w:sz="0" w:space="0" w:color="auto"/>
        <w:bottom w:val="none" w:sz="0" w:space="0" w:color="auto"/>
        <w:right w:val="none" w:sz="0" w:space="0" w:color="auto"/>
      </w:divBdr>
    </w:div>
    <w:div w:id="767585221">
      <w:marLeft w:val="0"/>
      <w:marRight w:val="0"/>
      <w:marTop w:val="180"/>
      <w:marBottom w:val="0"/>
      <w:divBdr>
        <w:top w:val="none" w:sz="0" w:space="0" w:color="auto"/>
        <w:left w:val="none" w:sz="0" w:space="0" w:color="auto"/>
        <w:bottom w:val="none" w:sz="0" w:space="0" w:color="auto"/>
        <w:right w:val="none" w:sz="0" w:space="0" w:color="auto"/>
      </w:divBdr>
    </w:div>
    <w:div w:id="767651433">
      <w:marLeft w:val="0"/>
      <w:marRight w:val="0"/>
      <w:marTop w:val="0"/>
      <w:marBottom w:val="0"/>
      <w:divBdr>
        <w:top w:val="none" w:sz="0" w:space="0" w:color="auto"/>
        <w:left w:val="none" w:sz="0" w:space="0" w:color="auto"/>
        <w:bottom w:val="none" w:sz="0" w:space="0" w:color="auto"/>
        <w:right w:val="none" w:sz="0" w:space="0" w:color="auto"/>
      </w:divBdr>
    </w:div>
    <w:div w:id="779032559">
      <w:marLeft w:val="0"/>
      <w:marRight w:val="0"/>
      <w:marTop w:val="0"/>
      <w:marBottom w:val="0"/>
      <w:divBdr>
        <w:top w:val="none" w:sz="0" w:space="0" w:color="auto"/>
        <w:left w:val="none" w:sz="0" w:space="0" w:color="auto"/>
        <w:bottom w:val="none" w:sz="0" w:space="0" w:color="auto"/>
        <w:right w:val="none" w:sz="0" w:space="0" w:color="auto"/>
      </w:divBdr>
      <w:divsChild>
        <w:div w:id="741022216">
          <w:marLeft w:val="0"/>
          <w:marRight w:val="0"/>
          <w:marTop w:val="0"/>
          <w:marBottom w:val="0"/>
          <w:divBdr>
            <w:top w:val="none" w:sz="0" w:space="0" w:color="auto"/>
            <w:left w:val="none" w:sz="0" w:space="0" w:color="auto"/>
            <w:bottom w:val="none" w:sz="0" w:space="0" w:color="auto"/>
            <w:right w:val="none" w:sz="0" w:space="0" w:color="auto"/>
          </w:divBdr>
        </w:div>
      </w:divsChild>
    </w:div>
    <w:div w:id="780032207">
      <w:marLeft w:val="0"/>
      <w:marRight w:val="0"/>
      <w:marTop w:val="0"/>
      <w:marBottom w:val="0"/>
      <w:divBdr>
        <w:top w:val="none" w:sz="0" w:space="0" w:color="auto"/>
        <w:left w:val="none" w:sz="0" w:space="0" w:color="auto"/>
        <w:bottom w:val="none" w:sz="0" w:space="0" w:color="auto"/>
        <w:right w:val="none" w:sz="0" w:space="0" w:color="auto"/>
      </w:divBdr>
      <w:divsChild>
        <w:div w:id="462504352">
          <w:marLeft w:val="0"/>
          <w:marRight w:val="0"/>
          <w:marTop w:val="0"/>
          <w:marBottom w:val="0"/>
          <w:divBdr>
            <w:top w:val="none" w:sz="0" w:space="0" w:color="auto"/>
            <w:left w:val="none" w:sz="0" w:space="0" w:color="auto"/>
            <w:bottom w:val="none" w:sz="0" w:space="0" w:color="auto"/>
            <w:right w:val="none" w:sz="0" w:space="0" w:color="auto"/>
          </w:divBdr>
        </w:div>
      </w:divsChild>
    </w:div>
    <w:div w:id="781464079">
      <w:marLeft w:val="0"/>
      <w:marRight w:val="0"/>
      <w:marTop w:val="0"/>
      <w:marBottom w:val="0"/>
      <w:divBdr>
        <w:top w:val="none" w:sz="0" w:space="0" w:color="auto"/>
        <w:left w:val="none" w:sz="0" w:space="0" w:color="auto"/>
        <w:bottom w:val="none" w:sz="0" w:space="0" w:color="auto"/>
        <w:right w:val="none" w:sz="0" w:space="0" w:color="auto"/>
      </w:divBdr>
      <w:divsChild>
        <w:div w:id="505485992">
          <w:marLeft w:val="0"/>
          <w:marRight w:val="0"/>
          <w:marTop w:val="0"/>
          <w:marBottom w:val="0"/>
          <w:divBdr>
            <w:top w:val="none" w:sz="0" w:space="0" w:color="auto"/>
            <w:left w:val="none" w:sz="0" w:space="0" w:color="auto"/>
            <w:bottom w:val="none" w:sz="0" w:space="0" w:color="auto"/>
            <w:right w:val="none" w:sz="0" w:space="0" w:color="auto"/>
          </w:divBdr>
        </w:div>
      </w:divsChild>
    </w:div>
    <w:div w:id="782771320">
      <w:marLeft w:val="0"/>
      <w:marRight w:val="0"/>
      <w:marTop w:val="100"/>
      <w:marBottom w:val="0"/>
      <w:divBdr>
        <w:top w:val="none" w:sz="0" w:space="0" w:color="auto"/>
        <w:left w:val="none" w:sz="0" w:space="0" w:color="auto"/>
        <w:bottom w:val="none" w:sz="0" w:space="0" w:color="auto"/>
        <w:right w:val="none" w:sz="0" w:space="0" w:color="auto"/>
      </w:divBdr>
    </w:div>
    <w:div w:id="782924309">
      <w:marLeft w:val="0"/>
      <w:marRight w:val="0"/>
      <w:marTop w:val="0"/>
      <w:marBottom w:val="0"/>
      <w:divBdr>
        <w:top w:val="none" w:sz="0" w:space="0" w:color="auto"/>
        <w:left w:val="none" w:sz="0" w:space="0" w:color="auto"/>
        <w:bottom w:val="none" w:sz="0" w:space="0" w:color="auto"/>
        <w:right w:val="none" w:sz="0" w:space="0" w:color="auto"/>
      </w:divBdr>
    </w:div>
    <w:div w:id="787506856">
      <w:marLeft w:val="0"/>
      <w:marRight w:val="0"/>
      <w:marTop w:val="180"/>
      <w:marBottom w:val="0"/>
      <w:divBdr>
        <w:top w:val="none" w:sz="0" w:space="0" w:color="auto"/>
        <w:left w:val="none" w:sz="0" w:space="0" w:color="auto"/>
        <w:bottom w:val="none" w:sz="0" w:space="0" w:color="auto"/>
        <w:right w:val="none" w:sz="0" w:space="0" w:color="auto"/>
      </w:divBdr>
    </w:div>
    <w:div w:id="789782612">
      <w:marLeft w:val="0"/>
      <w:marRight w:val="0"/>
      <w:marTop w:val="0"/>
      <w:marBottom w:val="0"/>
      <w:divBdr>
        <w:top w:val="none" w:sz="0" w:space="0" w:color="auto"/>
        <w:left w:val="none" w:sz="0" w:space="0" w:color="auto"/>
        <w:bottom w:val="none" w:sz="0" w:space="0" w:color="auto"/>
        <w:right w:val="none" w:sz="0" w:space="0" w:color="auto"/>
      </w:divBdr>
      <w:divsChild>
        <w:div w:id="869730236">
          <w:marLeft w:val="0"/>
          <w:marRight w:val="0"/>
          <w:marTop w:val="0"/>
          <w:marBottom w:val="0"/>
          <w:divBdr>
            <w:top w:val="none" w:sz="0" w:space="0" w:color="auto"/>
            <w:left w:val="none" w:sz="0" w:space="0" w:color="auto"/>
            <w:bottom w:val="none" w:sz="0" w:space="0" w:color="auto"/>
            <w:right w:val="none" w:sz="0" w:space="0" w:color="auto"/>
          </w:divBdr>
        </w:div>
      </w:divsChild>
    </w:div>
    <w:div w:id="793717212">
      <w:marLeft w:val="0"/>
      <w:marRight w:val="0"/>
      <w:marTop w:val="100"/>
      <w:marBottom w:val="0"/>
      <w:divBdr>
        <w:top w:val="none" w:sz="0" w:space="0" w:color="auto"/>
        <w:left w:val="none" w:sz="0" w:space="0" w:color="auto"/>
        <w:bottom w:val="none" w:sz="0" w:space="0" w:color="auto"/>
        <w:right w:val="none" w:sz="0" w:space="0" w:color="auto"/>
      </w:divBdr>
    </w:div>
    <w:div w:id="799759642">
      <w:marLeft w:val="0"/>
      <w:marRight w:val="0"/>
      <w:marTop w:val="0"/>
      <w:marBottom w:val="0"/>
      <w:divBdr>
        <w:top w:val="none" w:sz="0" w:space="0" w:color="auto"/>
        <w:left w:val="none" w:sz="0" w:space="0" w:color="auto"/>
        <w:bottom w:val="none" w:sz="0" w:space="0" w:color="auto"/>
        <w:right w:val="none" w:sz="0" w:space="0" w:color="auto"/>
      </w:divBdr>
    </w:div>
    <w:div w:id="811868023">
      <w:marLeft w:val="0"/>
      <w:marRight w:val="0"/>
      <w:marTop w:val="0"/>
      <w:marBottom w:val="0"/>
      <w:divBdr>
        <w:top w:val="none" w:sz="0" w:space="0" w:color="auto"/>
        <w:left w:val="none" w:sz="0" w:space="0" w:color="auto"/>
        <w:bottom w:val="none" w:sz="0" w:space="0" w:color="auto"/>
        <w:right w:val="none" w:sz="0" w:space="0" w:color="auto"/>
      </w:divBdr>
    </w:div>
    <w:div w:id="818889618">
      <w:marLeft w:val="0"/>
      <w:marRight w:val="0"/>
      <w:marTop w:val="0"/>
      <w:marBottom w:val="0"/>
      <w:divBdr>
        <w:top w:val="none" w:sz="0" w:space="0" w:color="auto"/>
        <w:left w:val="none" w:sz="0" w:space="0" w:color="auto"/>
        <w:bottom w:val="none" w:sz="0" w:space="0" w:color="auto"/>
        <w:right w:val="none" w:sz="0" w:space="0" w:color="auto"/>
      </w:divBdr>
      <w:divsChild>
        <w:div w:id="1775129834">
          <w:marLeft w:val="0"/>
          <w:marRight w:val="0"/>
          <w:marTop w:val="0"/>
          <w:marBottom w:val="0"/>
          <w:divBdr>
            <w:top w:val="none" w:sz="0" w:space="0" w:color="auto"/>
            <w:left w:val="none" w:sz="0" w:space="0" w:color="auto"/>
            <w:bottom w:val="none" w:sz="0" w:space="0" w:color="auto"/>
            <w:right w:val="none" w:sz="0" w:space="0" w:color="auto"/>
          </w:divBdr>
        </w:div>
      </w:divsChild>
    </w:div>
    <w:div w:id="819999001">
      <w:marLeft w:val="0"/>
      <w:marRight w:val="0"/>
      <w:marTop w:val="100"/>
      <w:marBottom w:val="0"/>
      <w:divBdr>
        <w:top w:val="none" w:sz="0" w:space="0" w:color="auto"/>
        <w:left w:val="none" w:sz="0" w:space="0" w:color="auto"/>
        <w:bottom w:val="none" w:sz="0" w:space="0" w:color="auto"/>
        <w:right w:val="none" w:sz="0" w:space="0" w:color="auto"/>
      </w:divBdr>
    </w:div>
    <w:div w:id="825781596">
      <w:marLeft w:val="0"/>
      <w:marRight w:val="0"/>
      <w:marTop w:val="180"/>
      <w:marBottom w:val="0"/>
      <w:divBdr>
        <w:top w:val="none" w:sz="0" w:space="0" w:color="auto"/>
        <w:left w:val="none" w:sz="0" w:space="0" w:color="auto"/>
        <w:bottom w:val="none" w:sz="0" w:space="0" w:color="auto"/>
        <w:right w:val="none" w:sz="0" w:space="0" w:color="auto"/>
      </w:divBdr>
    </w:div>
    <w:div w:id="825785425">
      <w:marLeft w:val="0"/>
      <w:marRight w:val="0"/>
      <w:marTop w:val="0"/>
      <w:marBottom w:val="0"/>
      <w:divBdr>
        <w:top w:val="none" w:sz="0" w:space="0" w:color="auto"/>
        <w:left w:val="none" w:sz="0" w:space="0" w:color="auto"/>
        <w:bottom w:val="none" w:sz="0" w:space="0" w:color="auto"/>
        <w:right w:val="none" w:sz="0" w:space="0" w:color="auto"/>
      </w:divBdr>
    </w:div>
    <w:div w:id="827751372">
      <w:marLeft w:val="0"/>
      <w:marRight w:val="0"/>
      <w:marTop w:val="0"/>
      <w:marBottom w:val="0"/>
      <w:divBdr>
        <w:top w:val="none" w:sz="0" w:space="0" w:color="auto"/>
        <w:left w:val="none" w:sz="0" w:space="0" w:color="auto"/>
        <w:bottom w:val="none" w:sz="0" w:space="0" w:color="auto"/>
        <w:right w:val="none" w:sz="0" w:space="0" w:color="auto"/>
      </w:divBdr>
      <w:divsChild>
        <w:div w:id="1991864479">
          <w:marLeft w:val="0"/>
          <w:marRight w:val="0"/>
          <w:marTop w:val="0"/>
          <w:marBottom w:val="0"/>
          <w:divBdr>
            <w:top w:val="none" w:sz="0" w:space="0" w:color="auto"/>
            <w:left w:val="none" w:sz="0" w:space="0" w:color="auto"/>
            <w:bottom w:val="none" w:sz="0" w:space="0" w:color="auto"/>
            <w:right w:val="none" w:sz="0" w:space="0" w:color="auto"/>
          </w:divBdr>
        </w:div>
      </w:divsChild>
    </w:div>
    <w:div w:id="836917290">
      <w:marLeft w:val="0"/>
      <w:marRight w:val="0"/>
      <w:marTop w:val="0"/>
      <w:marBottom w:val="0"/>
      <w:divBdr>
        <w:top w:val="none" w:sz="0" w:space="0" w:color="auto"/>
        <w:left w:val="none" w:sz="0" w:space="0" w:color="auto"/>
        <w:bottom w:val="none" w:sz="0" w:space="0" w:color="auto"/>
        <w:right w:val="none" w:sz="0" w:space="0" w:color="auto"/>
      </w:divBdr>
      <w:divsChild>
        <w:div w:id="1335373555">
          <w:marLeft w:val="0"/>
          <w:marRight w:val="0"/>
          <w:marTop w:val="0"/>
          <w:marBottom w:val="0"/>
          <w:divBdr>
            <w:top w:val="none" w:sz="0" w:space="0" w:color="auto"/>
            <w:left w:val="none" w:sz="0" w:space="0" w:color="auto"/>
            <w:bottom w:val="none" w:sz="0" w:space="0" w:color="auto"/>
            <w:right w:val="none" w:sz="0" w:space="0" w:color="auto"/>
          </w:divBdr>
        </w:div>
      </w:divsChild>
    </w:div>
    <w:div w:id="839589453">
      <w:marLeft w:val="0"/>
      <w:marRight w:val="0"/>
      <w:marTop w:val="60"/>
      <w:marBottom w:val="60"/>
      <w:divBdr>
        <w:top w:val="none" w:sz="0" w:space="0" w:color="auto"/>
        <w:left w:val="none" w:sz="0" w:space="0" w:color="auto"/>
        <w:bottom w:val="none" w:sz="0" w:space="0" w:color="auto"/>
        <w:right w:val="none" w:sz="0" w:space="0" w:color="auto"/>
      </w:divBdr>
    </w:div>
    <w:div w:id="840512443">
      <w:marLeft w:val="0"/>
      <w:marRight w:val="0"/>
      <w:marTop w:val="0"/>
      <w:marBottom w:val="0"/>
      <w:divBdr>
        <w:top w:val="none" w:sz="0" w:space="0" w:color="auto"/>
        <w:left w:val="none" w:sz="0" w:space="0" w:color="auto"/>
        <w:bottom w:val="none" w:sz="0" w:space="0" w:color="auto"/>
        <w:right w:val="none" w:sz="0" w:space="0" w:color="auto"/>
      </w:divBdr>
    </w:div>
    <w:div w:id="851995133">
      <w:marLeft w:val="0"/>
      <w:marRight w:val="0"/>
      <w:marTop w:val="180"/>
      <w:marBottom w:val="180"/>
      <w:divBdr>
        <w:top w:val="none" w:sz="0" w:space="0" w:color="auto"/>
        <w:left w:val="none" w:sz="0" w:space="0" w:color="auto"/>
        <w:bottom w:val="none" w:sz="0" w:space="0" w:color="auto"/>
        <w:right w:val="none" w:sz="0" w:space="0" w:color="auto"/>
      </w:divBdr>
    </w:div>
    <w:div w:id="863324490">
      <w:marLeft w:val="0"/>
      <w:marRight w:val="0"/>
      <w:marTop w:val="0"/>
      <w:marBottom w:val="0"/>
      <w:divBdr>
        <w:top w:val="none" w:sz="0" w:space="0" w:color="auto"/>
        <w:left w:val="none" w:sz="0" w:space="0" w:color="auto"/>
        <w:bottom w:val="none" w:sz="0" w:space="0" w:color="auto"/>
        <w:right w:val="none" w:sz="0" w:space="0" w:color="auto"/>
      </w:divBdr>
    </w:div>
    <w:div w:id="879166969">
      <w:marLeft w:val="0"/>
      <w:marRight w:val="0"/>
      <w:marTop w:val="0"/>
      <w:marBottom w:val="0"/>
      <w:divBdr>
        <w:top w:val="none" w:sz="0" w:space="0" w:color="auto"/>
        <w:left w:val="none" w:sz="0" w:space="0" w:color="auto"/>
        <w:bottom w:val="none" w:sz="0" w:space="0" w:color="auto"/>
        <w:right w:val="none" w:sz="0" w:space="0" w:color="auto"/>
      </w:divBdr>
      <w:divsChild>
        <w:div w:id="1911380149">
          <w:marLeft w:val="0"/>
          <w:marRight w:val="0"/>
          <w:marTop w:val="0"/>
          <w:marBottom w:val="0"/>
          <w:divBdr>
            <w:top w:val="none" w:sz="0" w:space="0" w:color="auto"/>
            <w:left w:val="none" w:sz="0" w:space="0" w:color="auto"/>
            <w:bottom w:val="none" w:sz="0" w:space="0" w:color="auto"/>
            <w:right w:val="none" w:sz="0" w:space="0" w:color="auto"/>
          </w:divBdr>
        </w:div>
      </w:divsChild>
    </w:div>
    <w:div w:id="894510349">
      <w:marLeft w:val="0"/>
      <w:marRight w:val="0"/>
      <w:marTop w:val="0"/>
      <w:marBottom w:val="0"/>
      <w:divBdr>
        <w:top w:val="none" w:sz="0" w:space="0" w:color="auto"/>
        <w:left w:val="none" w:sz="0" w:space="0" w:color="auto"/>
        <w:bottom w:val="none" w:sz="0" w:space="0" w:color="auto"/>
        <w:right w:val="none" w:sz="0" w:space="0" w:color="auto"/>
      </w:divBdr>
      <w:divsChild>
        <w:div w:id="2062823856">
          <w:marLeft w:val="0"/>
          <w:marRight w:val="0"/>
          <w:marTop w:val="0"/>
          <w:marBottom w:val="0"/>
          <w:divBdr>
            <w:top w:val="none" w:sz="0" w:space="0" w:color="auto"/>
            <w:left w:val="none" w:sz="0" w:space="0" w:color="auto"/>
            <w:bottom w:val="none" w:sz="0" w:space="0" w:color="auto"/>
            <w:right w:val="none" w:sz="0" w:space="0" w:color="auto"/>
          </w:divBdr>
        </w:div>
      </w:divsChild>
    </w:div>
    <w:div w:id="899291013">
      <w:marLeft w:val="0"/>
      <w:marRight w:val="0"/>
      <w:marTop w:val="20"/>
      <w:marBottom w:val="0"/>
      <w:divBdr>
        <w:top w:val="none" w:sz="0" w:space="0" w:color="auto"/>
        <w:left w:val="none" w:sz="0" w:space="0" w:color="auto"/>
        <w:bottom w:val="none" w:sz="0" w:space="0" w:color="auto"/>
        <w:right w:val="none" w:sz="0" w:space="0" w:color="auto"/>
      </w:divBdr>
    </w:div>
    <w:div w:id="901479308">
      <w:marLeft w:val="0"/>
      <w:marRight w:val="0"/>
      <w:marTop w:val="0"/>
      <w:marBottom w:val="0"/>
      <w:divBdr>
        <w:top w:val="none" w:sz="0" w:space="0" w:color="auto"/>
        <w:left w:val="none" w:sz="0" w:space="0" w:color="auto"/>
        <w:bottom w:val="none" w:sz="0" w:space="0" w:color="auto"/>
        <w:right w:val="none" w:sz="0" w:space="0" w:color="auto"/>
      </w:divBdr>
      <w:divsChild>
        <w:div w:id="1117408393">
          <w:marLeft w:val="0"/>
          <w:marRight w:val="0"/>
          <w:marTop w:val="0"/>
          <w:marBottom w:val="0"/>
          <w:divBdr>
            <w:top w:val="none" w:sz="0" w:space="0" w:color="auto"/>
            <w:left w:val="none" w:sz="0" w:space="0" w:color="auto"/>
            <w:bottom w:val="none" w:sz="0" w:space="0" w:color="auto"/>
            <w:right w:val="none" w:sz="0" w:space="0" w:color="auto"/>
          </w:divBdr>
        </w:div>
      </w:divsChild>
    </w:div>
    <w:div w:id="908534940">
      <w:marLeft w:val="0"/>
      <w:marRight w:val="0"/>
      <w:marTop w:val="0"/>
      <w:marBottom w:val="0"/>
      <w:divBdr>
        <w:top w:val="none" w:sz="0" w:space="0" w:color="auto"/>
        <w:left w:val="none" w:sz="0" w:space="0" w:color="auto"/>
        <w:bottom w:val="none" w:sz="0" w:space="0" w:color="auto"/>
        <w:right w:val="none" w:sz="0" w:space="0" w:color="auto"/>
      </w:divBdr>
    </w:div>
    <w:div w:id="910233236">
      <w:marLeft w:val="0"/>
      <w:marRight w:val="0"/>
      <w:marTop w:val="100"/>
      <w:marBottom w:val="0"/>
      <w:divBdr>
        <w:top w:val="none" w:sz="0" w:space="0" w:color="auto"/>
        <w:left w:val="none" w:sz="0" w:space="0" w:color="auto"/>
        <w:bottom w:val="none" w:sz="0" w:space="0" w:color="auto"/>
        <w:right w:val="none" w:sz="0" w:space="0" w:color="auto"/>
      </w:divBdr>
    </w:div>
    <w:div w:id="913901594">
      <w:marLeft w:val="0"/>
      <w:marRight w:val="0"/>
      <w:marTop w:val="0"/>
      <w:marBottom w:val="0"/>
      <w:divBdr>
        <w:top w:val="none" w:sz="0" w:space="0" w:color="auto"/>
        <w:left w:val="none" w:sz="0" w:space="0" w:color="auto"/>
        <w:bottom w:val="none" w:sz="0" w:space="0" w:color="auto"/>
        <w:right w:val="none" w:sz="0" w:space="0" w:color="auto"/>
      </w:divBdr>
    </w:div>
    <w:div w:id="914970569">
      <w:marLeft w:val="0"/>
      <w:marRight w:val="0"/>
      <w:marTop w:val="180"/>
      <w:marBottom w:val="0"/>
      <w:divBdr>
        <w:top w:val="none" w:sz="0" w:space="0" w:color="auto"/>
        <w:left w:val="none" w:sz="0" w:space="0" w:color="auto"/>
        <w:bottom w:val="none" w:sz="0" w:space="0" w:color="auto"/>
        <w:right w:val="none" w:sz="0" w:space="0" w:color="auto"/>
      </w:divBdr>
    </w:div>
    <w:div w:id="920986348">
      <w:marLeft w:val="0"/>
      <w:marRight w:val="0"/>
      <w:marTop w:val="0"/>
      <w:marBottom w:val="0"/>
      <w:divBdr>
        <w:top w:val="none" w:sz="0" w:space="0" w:color="auto"/>
        <w:left w:val="none" w:sz="0" w:space="0" w:color="auto"/>
        <w:bottom w:val="none" w:sz="0" w:space="0" w:color="auto"/>
        <w:right w:val="none" w:sz="0" w:space="0" w:color="auto"/>
      </w:divBdr>
    </w:div>
    <w:div w:id="934478204">
      <w:marLeft w:val="0"/>
      <w:marRight w:val="0"/>
      <w:marTop w:val="0"/>
      <w:marBottom w:val="0"/>
      <w:divBdr>
        <w:top w:val="none" w:sz="0" w:space="0" w:color="auto"/>
        <w:left w:val="none" w:sz="0" w:space="0" w:color="auto"/>
        <w:bottom w:val="none" w:sz="0" w:space="0" w:color="auto"/>
        <w:right w:val="none" w:sz="0" w:space="0" w:color="auto"/>
      </w:divBdr>
    </w:div>
    <w:div w:id="936719746">
      <w:marLeft w:val="0"/>
      <w:marRight w:val="0"/>
      <w:marTop w:val="0"/>
      <w:marBottom w:val="0"/>
      <w:divBdr>
        <w:top w:val="none" w:sz="0" w:space="0" w:color="auto"/>
        <w:left w:val="none" w:sz="0" w:space="0" w:color="auto"/>
        <w:bottom w:val="none" w:sz="0" w:space="0" w:color="auto"/>
        <w:right w:val="none" w:sz="0" w:space="0" w:color="auto"/>
      </w:divBdr>
      <w:divsChild>
        <w:div w:id="1374042621">
          <w:marLeft w:val="0"/>
          <w:marRight w:val="0"/>
          <w:marTop w:val="0"/>
          <w:marBottom w:val="0"/>
          <w:divBdr>
            <w:top w:val="none" w:sz="0" w:space="0" w:color="auto"/>
            <w:left w:val="none" w:sz="0" w:space="0" w:color="auto"/>
            <w:bottom w:val="none" w:sz="0" w:space="0" w:color="auto"/>
            <w:right w:val="none" w:sz="0" w:space="0" w:color="auto"/>
          </w:divBdr>
        </w:div>
      </w:divsChild>
    </w:div>
    <w:div w:id="937786204">
      <w:marLeft w:val="0"/>
      <w:marRight w:val="0"/>
      <w:marTop w:val="0"/>
      <w:marBottom w:val="0"/>
      <w:divBdr>
        <w:top w:val="none" w:sz="0" w:space="0" w:color="auto"/>
        <w:left w:val="none" w:sz="0" w:space="0" w:color="auto"/>
        <w:bottom w:val="none" w:sz="0" w:space="0" w:color="auto"/>
        <w:right w:val="none" w:sz="0" w:space="0" w:color="auto"/>
      </w:divBdr>
    </w:div>
    <w:div w:id="937836818">
      <w:marLeft w:val="0"/>
      <w:marRight w:val="0"/>
      <w:marTop w:val="0"/>
      <w:marBottom w:val="0"/>
      <w:divBdr>
        <w:top w:val="none" w:sz="0" w:space="0" w:color="auto"/>
        <w:left w:val="none" w:sz="0" w:space="0" w:color="auto"/>
        <w:bottom w:val="none" w:sz="0" w:space="0" w:color="auto"/>
        <w:right w:val="none" w:sz="0" w:space="0" w:color="auto"/>
      </w:divBdr>
      <w:divsChild>
        <w:div w:id="1226260776">
          <w:marLeft w:val="0"/>
          <w:marRight w:val="0"/>
          <w:marTop w:val="0"/>
          <w:marBottom w:val="0"/>
          <w:divBdr>
            <w:top w:val="none" w:sz="0" w:space="0" w:color="auto"/>
            <w:left w:val="none" w:sz="0" w:space="0" w:color="auto"/>
            <w:bottom w:val="none" w:sz="0" w:space="0" w:color="auto"/>
            <w:right w:val="none" w:sz="0" w:space="0" w:color="auto"/>
          </w:divBdr>
        </w:div>
      </w:divsChild>
    </w:div>
    <w:div w:id="940067706">
      <w:marLeft w:val="0"/>
      <w:marRight w:val="0"/>
      <w:marTop w:val="0"/>
      <w:marBottom w:val="0"/>
      <w:divBdr>
        <w:top w:val="none" w:sz="0" w:space="0" w:color="auto"/>
        <w:left w:val="none" w:sz="0" w:space="0" w:color="auto"/>
        <w:bottom w:val="none" w:sz="0" w:space="0" w:color="auto"/>
        <w:right w:val="none" w:sz="0" w:space="0" w:color="auto"/>
      </w:divBdr>
    </w:div>
    <w:div w:id="942683789">
      <w:marLeft w:val="0"/>
      <w:marRight w:val="0"/>
      <w:marTop w:val="0"/>
      <w:marBottom w:val="0"/>
      <w:divBdr>
        <w:top w:val="none" w:sz="0" w:space="0" w:color="auto"/>
        <w:left w:val="none" w:sz="0" w:space="0" w:color="auto"/>
        <w:bottom w:val="none" w:sz="0" w:space="0" w:color="auto"/>
        <w:right w:val="none" w:sz="0" w:space="0" w:color="auto"/>
      </w:divBdr>
      <w:divsChild>
        <w:div w:id="1143811403">
          <w:marLeft w:val="0"/>
          <w:marRight w:val="0"/>
          <w:marTop w:val="0"/>
          <w:marBottom w:val="0"/>
          <w:divBdr>
            <w:top w:val="none" w:sz="0" w:space="0" w:color="auto"/>
            <w:left w:val="none" w:sz="0" w:space="0" w:color="auto"/>
            <w:bottom w:val="none" w:sz="0" w:space="0" w:color="auto"/>
            <w:right w:val="none" w:sz="0" w:space="0" w:color="auto"/>
          </w:divBdr>
        </w:div>
      </w:divsChild>
    </w:div>
    <w:div w:id="943223538">
      <w:marLeft w:val="0"/>
      <w:marRight w:val="0"/>
      <w:marTop w:val="0"/>
      <w:marBottom w:val="0"/>
      <w:divBdr>
        <w:top w:val="none" w:sz="0" w:space="0" w:color="auto"/>
        <w:left w:val="none" w:sz="0" w:space="0" w:color="auto"/>
        <w:bottom w:val="none" w:sz="0" w:space="0" w:color="auto"/>
        <w:right w:val="none" w:sz="0" w:space="0" w:color="auto"/>
      </w:divBdr>
      <w:divsChild>
        <w:div w:id="423958471">
          <w:marLeft w:val="0"/>
          <w:marRight w:val="0"/>
          <w:marTop w:val="0"/>
          <w:marBottom w:val="0"/>
          <w:divBdr>
            <w:top w:val="none" w:sz="0" w:space="0" w:color="auto"/>
            <w:left w:val="none" w:sz="0" w:space="0" w:color="auto"/>
            <w:bottom w:val="none" w:sz="0" w:space="0" w:color="auto"/>
            <w:right w:val="none" w:sz="0" w:space="0" w:color="auto"/>
          </w:divBdr>
        </w:div>
      </w:divsChild>
    </w:div>
    <w:div w:id="952635066">
      <w:marLeft w:val="0"/>
      <w:marRight w:val="0"/>
      <w:marTop w:val="0"/>
      <w:marBottom w:val="0"/>
      <w:divBdr>
        <w:top w:val="none" w:sz="0" w:space="0" w:color="auto"/>
        <w:left w:val="none" w:sz="0" w:space="0" w:color="auto"/>
        <w:bottom w:val="none" w:sz="0" w:space="0" w:color="auto"/>
        <w:right w:val="none" w:sz="0" w:space="0" w:color="auto"/>
      </w:divBdr>
    </w:div>
    <w:div w:id="952828266">
      <w:marLeft w:val="0"/>
      <w:marRight w:val="0"/>
      <w:marTop w:val="0"/>
      <w:marBottom w:val="0"/>
      <w:divBdr>
        <w:top w:val="none" w:sz="0" w:space="0" w:color="auto"/>
        <w:left w:val="none" w:sz="0" w:space="0" w:color="auto"/>
        <w:bottom w:val="none" w:sz="0" w:space="0" w:color="auto"/>
        <w:right w:val="none" w:sz="0" w:space="0" w:color="auto"/>
      </w:divBdr>
      <w:divsChild>
        <w:div w:id="180319151">
          <w:marLeft w:val="0"/>
          <w:marRight w:val="0"/>
          <w:marTop w:val="0"/>
          <w:marBottom w:val="0"/>
          <w:divBdr>
            <w:top w:val="none" w:sz="0" w:space="0" w:color="auto"/>
            <w:left w:val="none" w:sz="0" w:space="0" w:color="auto"/>
            <w:bottom w:val="none" w:sz="0" w:space="0" w:color="auto"/>
            <w:right w:val="none" w:sz="0" w:space="0" w:color="auto"/>
          </w:divBdr>
        </w:div>
      </w:divsChild>
    </w:div>
    <w:div w:id="960762854">
      <w:marLeft w:val="0"/>
      <w:marRight w:val="0"/>
      <w:marTop w:val="0"/>
      <w:marBottom w:val="0"/>
      <w:divBdr>
        <w:top w:val="none" w:sz="0" w:space="0" w:color="auto"/>
        <w:left w:val="none" w:sz="0" w:space="0" w:color="auto"/>
        <w:bottom w:val="none" w:sz="0" w:space="0" w:color="auto"/>
        <w:right w:val="none" w:sz="0" w:space="0" w:color="auto"/>
      </w:divBdr>
      <w:divsChild>
        <w:div w:id="726144043">
          <w:marLeft w:val="0"/>
          <w:marRight w:val="0"/>
          <w:marTop w:val="0"/>
          <w:marBottom w:val="0"/>
          <w:divBdr>
            <w:top w:val="none" w:sz="0" w:space="0" w:color="auto"/>
            <w:left w:val="none" w:sz="0" w:space="0" w:color="auto"/>
            <w:bottom w:val="none" w:sz="0" w:space="0" w:color="auto"/>
            <w:right w:val="none" w:sz="0" w:space="0" w:color="auto"/>
          </w:divBdr>
        </w:div>
      </w:divsChild>
    </w:div>
    <w:div w:id="968782817">
      <w:marLeft w:val="0"/>
      <w:marRight w:val="0"/>
      <w:marTop w:val="0"/>
      <w:marBottom w:val="0"/>
      <w:divBdr>
        <w:top w:val="none" w:sz="0" w:space="0" w:color="auto"/>
        <w:left w:val="none" w:sz="0" w:space="0" w:color="auto"/>
        <w:bottom w:val="none" w:sz="0" w:space="0" w:color="auto"/>
        <w:right w:val="none" w:sz="0" w:space="0" w:color="auto"/>
      </w:divBdr>
    </w:div>
    <w:div w:id="968896716">
      <w:marLeft w:val="0"/>
      <w:marRight w:val="0"/>
      <w:marTop w:val="100"/>
      <w:marBottom w:val="0"/>
      <w:divBdr>
        <w:top w:val="none" w:sz="0" w:space="0" w:color="auto"/>
        <w:left w:val="none" w:sz="0" w:space="0" w:color="auto"/>
        <w:bottom w:val="none" w:sz="0" w:space="0" w:color="auto"/>
        <w:right w:val="none" w:sz="0" w:space="0" w:color="auto"/>
      </w:divBdr>
    </w:div>
    <w:div w:id="974915758">
      <w:marLeft w:val="0"/>
      <w:marRight w:val="0"/>
      <w:marTop w:val="0"/>
      <w:marBottom w:val="0"/>
      <w:divBdr>
        <w:top w:val="none" w:sz="0" w:space="0" w:color="auto"/>
        <w:left w:val="none" w:sz="0" w:space="0" w:color="auto"/>
        <w:bottom w:val="none" w:sz="0" w:space="0" w:color="auto"/>
        <w:right w:val="none" w:sz="0" w:space="0" w:color="auto"/>
      </w:divBdr>
      <w:divsChild>
        <w:div w:id="1896966533">
          <w:marLeft w:val="0"/>
          <w:marRight w:val="0"/>
          <w:marTop w:val="0"/>
          <w:marBottom w:val="0"/>
          <w:divBdr>
            <w:top w:val="none" w:sz="0" w:space="0" w:color="auto"/>
            <w:left w:val="none" w:sz="0" w:space="0" w:color="auto"/>
            <w:bottom w:val="none" w:sz="0" w:space="0" w:color="auto"/>
            <w:right w:val="none" w:sz="0" w:space="0" w:color="auto"/>
          </w:divBdr>
        </w:div>
      </w:divsChild>
    </w:div>
    <w:div w:id="978457944">
      <w:marLeft w:val="0"/>
      <w:marRight w:val="0"/>
      <w:marTop w:val="0"/>
      <w:marBottom w:val="0"/>
      <w:divBdr>
        <w:top w:val="none" w:sz="0" w:space="0" w:color="auto"/>
        <w:left w:val="none" w:sz="0" w:space="0" w:color="auto"/>
        <w:bottom w:val="none" w:sz="0" w:space="0" w:color="auto"/>
        <w:right w:val="none" w:sz="0" w:space="0" w:color="auto"/>
      </w:divBdr>
      <w:divsChild>
        <w:div w:id="452553790">
          <w:marLeft w:val="0"/>
          <w:marRight w:val="0"/>
          <w:marTop w:val="0"/>
          <w:marBottom w:val="0"/>
          <w:divBdr>
            <w:top w:val="none" w:sz="0" w:space="0" w:color="auto"/>
            <w:left w:val="none" w:sz="0" w:space="0" w:color="auto"/>
            <w:bottom w:val="none" w:sz="0" w:space="0" w:color="auto"/>
            <w:right w:val="none" w:sz="0" w:space="0" w:color="auto"/>
          </w:divBdr>
        </w:div>
      </w:divsChild>
    </w:div>
    <w:div w:id="984360505">
      <w:marLeft w:val="0"/>
      <w:marRight w:val="0"/>
      <w:marTop w:val="0"/>
      <w:marBottom w:val="0"/>
      <w:divBdr>
        <w:top w:val="none" w:sz="0" w:space="0" w:color="auto"/>
        <w:left w:val="none" w:sz="0" w:space="0" w:color="auto"/>
        <w:bottom w:val="none" w:sz="0" w:space="0" w:color="auto"/>
        <w:right w:val="none" w:sz="0" w:space="0" w:color="auto"/>
      </w:divBdr>
    </w:div>
    <w:div w:id="1008605858">
      <w:marLeft w:val="0"/>
      <w:marRight w:val="0"/>
      <w:marTop w:val="0"/>
      <w:marBottom w:val="0"/>
      <w:divBdr>
        <w:top w:val="none" w:sz="0" w:space="0" w:color="auto"/>
        <w:left w:val="none" w:sz="0" w:space="0" w:color="auto"/>
        <w:bottom w:val="none" w:sz="0" w:space="0" w:color="auto"/>
        <w:right w:val="none" w:sz="0" w:space="0" w:color="auto"/>
      </w:divBdr>
    </w:div>
    <w:div w:id="1010987316">
      <w:marLeft w:val="0"/>
      <w:marRight w:val="0"/>
      <w:marTop w:val="0"/>
      <w:marBottom w:val="0"/>
      <w:divBdr>
        <w:top w:val="none" w:sz="0" w:space="0" w:color="auto"/>
        <w:left w:val="none" w:sz="0" w:space="0" w:color="auto"/>
        <w:bottom w:val="none" w:sz="0" w:space="0" w:color="auto"/>
        <w:right w:val="none" w:sz="0" w:space="0" w:color="auto"/>
      </w:divBdr>
    </w:div>
    <w:div w:id="1018507034">
      <w:marLeft w:val="0"/>
      <w:marRight w:val="0"/>
      <w:marTop w:val="0"/>
      <w:marBottom w:val="0"/>
      <w:divBdr>
        <w:top w:val="none" w:sz="0" w:space="0" w:color="auto"/>
        <w:left w:val="none" w:sz="0" w:space="0" w:color="auto"/>
        <w:bottom w:val="none" w:sz="0" w:space="0" w:color="auto"/>
        <w:right w:val="none" w:sz="0" w:space="0" w:color="auto"/>
      </w:divBdr>
    </w:div>
    <w:div w:id="1019308448">
      <w:marLeft w:val="0"/>
      <w:marRight w:val="0"/>
      <w:marTop w:val="0"/>
      <w:marBottom w:val="0"/>
      <w:divBdr>
        <w:top w:val="none" w:sz="0" w:space="0" w:color="auto"/>
        <w:left w:val="none" w:sz="0" w:space="0" w:color="auto"/>
        <w:bottom w:val="none" w:sz="0" w:space="0" w:color="auto"/>
        <w:right w:val="none" w:sz="0" w:space="0" w:color="auto"/>
      </w:divBdr>
    </w:div>
    <w:div w:id="1021469545">
      <w:marLeft w:val="0"/>
      <w:marRight w:val="0"/>
      <w:marTop w:val="0"/>
      <w:marBottom w:val="0"/>
      <w:divBdr>
        <w:top w:val="none" w:sz="0" w:space="0" w:color="auto"/>
        <w:left w:val="none" w:sz="0" w:space="0" w:color="auto"/>
        <w:bottom w:val="none" w:sz="0" w:space="0" w:color="auto"/>
        <w:right w:val="none" w:sz="0" w:space="0" w:color="auto"/>
      </w:divBdr>
    </w:div>
    <w:div w:id="1028217879">
      <w:marLeft w:val="0"/>
      <w:marRight w:val="0"/>
      <w:marTop w:val="0"/>
      <w:marBottom w:val="0"/>
      <w:divBdr>
        <w:top w:val="none" w:sz="0" w:space="0" w:color="auto"/>
        <w:left w:val="none" w:sz="0" w:space="0" w:color="auto"/>
        <w:bottom w:val="none" w:sz="0" w:space="0" w:color="auto"/>
        <w:right w:val="none" w:sz="0" w:space="0" w:color="auto"/>
      </w:divBdr>
      <w:divsChild>
        <w:div w:id="964967580">
          <w:marLeft w:val="0"/>
          <w:marRight w:val="0"/>
          <w:marTop w:val="0"/>
          <w:marBottom w:val="0"/>
          <w:divBdr>
            <w:top w:val="none" w:sz="0" w:space="0" w:color="auto"/>
            <w:left w:val="none" w:sz="0" w:space="0" w:color="auto"/>
            <w:bottom w:val="none" w:sz="0" w:space="0" w:color="auto"/>
            <w:right w:val="none" w:sz="0" w:space="0" w:color="auto"/>
          </w:divBdr>
        </w:div>
      </w:divsChild>
    </w:div>
    <w:div w:id="1036929109">
      <w:marLeft w:val="0"/>
      <w:marRight w:val="0"/>
      <w:marTop w:val="0"/>
      <w:marBottom w:val="0"/>
      <w:divBdr>
        <w:top w:val="none" w:sz="0" w:space="0" w:color="auto"/>
        <w:left w:val="none" w:sz="0" w:space="0" w:color="auto"/>
        <w:bottom w:val="none" w:sz="0" w:space="0" w:color="auto"/>
        <w:right w:val="none" w:sz="0" w:space="0" w:color="auto"/>
      </w:divBdr>
    </w:div>
    <w:div w:id="1047535873">
      <w:marLeft w:val="0"/>
      <w:marRight w:val="0"/>
      <w:marTop w:val="0"/>
      <w:marBottom w:val="0"/>
      <w:divBdr>
        <w:top w:val="none" w:sz="0" w:space="0" w:color="auto"/>
        <w:left w:val="none" w:sz="0" w:space="0" w:color="auto"/>
        <w:bottom w:val="none" w:sz="0" w:space="0" w:color="auto"/>
        <w:right w:val="none" w:sz="0" w:space="0" w:color="auto"/>
      </w:divBdr>
    </w:div>
    <w:div w:id="1068193048">
      <w:marLeft w:val="0"/>
      <w:marRight w:val="0"/>
      <w:marTop w:val="0"/>
      <w:marBottom w:val="0"/>
      <w:divBdr>
        <w:top w:val="none" w:sz="0" w:space="0" w:color="auto"/>
        <w:left w:val="none" w:sz="0" w:space="0" w:color="auto"/>
        <w:bottom w:val="none" w:sz="0" w:space="0" w:color="auto"/>
        <w:right w:val="none" w:sz="0" w:space="0" w:color="auto"/>
      </w:divBdr>
      <w:divsChild>
        <w:div w:id="1583752830">
          <w:marLeft w:val="0"/>
          <w:marRight w:val="0"/>
          <w:marTop w:val="0"/>
          <w:marBottom w:val="0"/>
          <w:divBdr>
            <w:top w:val="none" w:sz="0" w:space="0" w:color="auto"/>
            <w:left w:val="none" w:sz="0" w:space="0" w:color="auto"/>
            <w:bottom w:val="none" w:sz="0" w:space="0" w:color="auto"/>
            <w:right w:val="none" w:sz="0" w:space="0" w:color="auto"/>
          </w:divBdr>
        </w:div>
      </w:divsChild>
    </w:div>
    <w:div w:id="1069185717">
      <w:marLeft w:val="0"/>
      <w:marRight w:val="0"/>
      <w:marTop w:val="0"/>
      <w:marBottom w:val="0"/>
      <w:divBdr>
        <w:top w:val="none" w:sz="0" w:space="0" w:color="auto"/>
        <w:left w:val="none" w:sz="0" w:space="0" w:color="auto"/>
        <w:bottom w:val="none" w:sz="0" w:space="0" w:color="auto"/>
        <w:right w:val="none" w:sz="0" w:space="0" w:color="auto"/>
      </w:divBdr>
    </w:div>
    <w:div w:id="1078208969">
      <w:marLeft w:val="0"/>
      <w:marRight w:val="0"/>
      <w:marTop w:val="100"/>
      <w:marBottom w:val="0"/>
      <w:divBdr>
        <w:top w:val="none" w:sz="0" w:space="0" w:color="auto"/>
        <w:left w:val="none" w:sz="0" w:space="0" w:color="auto"/>
        <w:bottom w:val="none" w:sz="0" w:space="0" w:color="auto"/>
        <w:right w:val="none" w:sz="0" w:space="0" w:color="auto"/>
      </w:divBdr>
    </w:div>
    <w:div w:id="1079248947">
      <w:marLeft w:val="0"/>
      <w:marRight w:val="0"/>
      <w:marTop w:val="100"/>
      <w:marBottom w:val="0"/>
      <w:divBdr>
        <w:top w:val="none" w:sz="0" w:space="0" w:color="auto"/>
        <w:left w:val="none" w:sz="0" w:space="0" w:color="auto"/>
        <w:bottom w:val="none" w:sz="0" w:space="0" w:color="auto"/>
        <w:right w:val="none" w:sz="0" w:space="0" w:color="auto"/>
      </w:divBdr>
    </w:div>
    <w:div w:id="1092970706">
      <w:marLeft w:val="0"/>
      <w:marRight w:val="0"/>
      <w:marTop w:val="0"/>
      <w:marBottom w:val="0"/>
      <w:divBdr>
        <w:top w:val="none" w:sz="0" w:space="0" w:color="auto"/>
        <w:left w:val="none" w:sz="0" w:space="0" w:color="auto"/>
        <w:bottom w:val="none" w:sz="0" w:space="0" w:color="auto"/>
        <w:right w:val="none" w:sz="0" w:space="0" w:color="auto"/>
      </w:divBdr>
      <w:divsChild>
        <w:div w:id="1352804817">
          <w:marLeft w:val="0"/>
          <w:marRight w:val="0"/>
          <w:marTop w:val="0"/>
          <w:marBottom w:val="0"/>
          <w:divBdr>
            <w:top w:val="none" w:sz="0" w:space="0" w:color="auto"/>
            <w:left w:val="none" w:sz="0" w:space="0" w:color="auto"/>
            <w:bottom w:val="none" w:sz="0" w:space="0" w:color="auto"/>
            <w:right w:val="none" w:sz="0" w:space="0" w:color="auto"/>
          </w:divBdr>
        </w:div>
      </w:divsChild>
    </w:div>
    <w:div w:id="1096558884">
      <w:marLeft w:val="0"/>
      <w:marRight w:val="0"/>
      <w:marTop w:val="0"/>
      <w:marBottom w:val="0"/>
      <w:divBdr>
        <w:top w:val="none" w:sz="0" w:space="0" w:color="auto"/>
        <w:left w:val="none" w:sz="0" w:space="0" w:color="auto"/>
        <w:bottom w:val="none" w:sz="0" w:space="0" w:color="auto"/>
        <w:right w:val="none" w:sz="0" w:space="0" w:color="auto"/>
      </w:divBdr>
    </w:div>
    <w:div w:id="1112282886">
      <w:marLeft w:val="0"/>
      <w:marRight w:val="0"/>
      <w:marTop w:val="0"/>
      <w:marBottom w:val="0"/>
      <w:divBdr>
        <w:top w:val="none" w:sz="0" w:space="0" w:color="auto"/>
        <w:left w:val="none" w:sz="0" w:space="0" w:color="auto"/>
        <w:bottom w:val="none" w:sz="0" w:space="0" w:color="auto"/>
        <w:right w:val="none" w:sz="0" w:space="0" w:color="auto"/>
      </w:divBdr>
      <w:divsChild>
        <w:div w:id="1308703196">
          <w:marLeft w:val="0"/>
          <w:marRight w:val="0"/>
          <w:marTop w:val="0"/>
          <w:marBottom w:val="0"/>
          <w:divBdr>
            <w:top w:val="none" w:sz="0" w:space="0" w:color="auto"/>
            <w:left w:val="none" w:sz="0" w:space="0" w:color="auto"/>
            <w:bottom w:val="none" w:sz="0" w:space="0" w:color="auto"/>
            <w:right w:val="none" w:sz="0" w:space="0" w:color="auto"/>
          </w:divBdr>
        </w:div>
      </w:divsChild>
    </w:div>
    <w:div w:id="1114977593">
      <w:marLeft w:val="0"/>
      <w:marRight w:val="0"/>
      <w:marTop w:val="100"/>
      <w:marBottom w:val="0"/>
      <w:divBdr>
        <w:top w:val="none" w:sz="0" w:space="0" w:color="auto"/>
        <w:left w:val="none" w:sz="0" w:space="0" w:color="auto"/>
        <w:bottom w:val="none" w:sz="0" w:space="0" w:color="auto"/>
        <w:right w:val="none" w:sz="0" w:space="0" w:color="auto"/>
      </w:divBdr>
    </w:div>
    <w:div w:id="1128350750">
      <w:marLeft w:val="0"/>
      <w:marRight w:val="0"/>
      <w:marTop w:val="0"/>
      <w:marBottom w:val="0"/>
      <w:divBdr>
        <w:top w:val="none" w:sz="0" w:space="0" w:color="auto"/>
        <w:left w:val="none" w:sz="0" w:space="0" w:color="auto"/>
        <w:bottom w:val="none" w:sz="0" w:space="0" w:color="auto"/>
        <w:right w:val="none" w:sz="0" w:space="0" w:color="auto"/>
      </w:divBdr>
    </w:div>
    <w:div w:id="1136294069">
      <w:marLeft w:val="0"/>
      <w:marRight w:val="0"/>
      <w:marTop w:val="0"/>
      <w:marBottom w:val="0"/>
      <w:divBdr>
        <w:top w:val="none" w:sz="0" w:space="0" w:color="auto"/>
        <w:left w:val="none" w:sz="0" w:space="0" w:color="auto"/>
        <w:bottom w:val="none" w:sz="0" w:space="0" w:color="auto"/>
        <w:right w:val="none" w:sz="0" w:space="0" w:color="auto"/>
      </w:divBdr>
      <w:divsChild>
        <w:div w:id="1495801766">
          <w:marLeft w:val="0"/>
          <w:marRight w:val="0"/>
          <w:marTop w:val="0"/>
          <w:marBottom w:val="0"/>
          <w:divBdr>
            <w:top w:val="none" w:sz="0" w:space="0" w:color="auto"/>
            <w:left w:val="none" w:sz="0" w:space="0" w:color="auto"/>
            <w:bottom w:val="none" w:sz="0" w:space="0" w:color="auto"/>
            <w:right w:val="none" w:sz="0" w:space="0" w:color="auto"/>
          </w:divBdr>
        </w:div>
      </w:divsChild>
    </w:div>
    <w:div w:id="1143816618">
      <w:marLeft w:val="0"/>
      <w:marRight w:val="0"/>
      <w:marTop w:val="0"/>
      <w:marBottom w:val="0"/>
      <w:divBdr>
        <w:top w:val="none" w:sz="0" w:space="0" w:color="auto"/>
        <w:left w:val="none" w:sz="0" w:space="0" w:color="auto"/>
        <w:bottom w:val="none" w:sz="0" w:space="0" w:color="auto"/>
        <w:right w:val="none" w:sz="0" w:space="0" w:color="auto"/>
      </w:divBdr>
      <w:divsChild>
        <w:div w:id="706032348">
          <w:marLeft w:val="0"/>
          <w:marRight w:val="0"/>
          <w:marTop w:val="0"/>
          <w:marBottom w:val="0"/>
          <w:divBdr>
            <w:top w:val="none" w:sz="0" w:space="0" w:color="auto"/>
            <w:left w:val="none" w:sz="0" w:space="0" w:color="auto"/>
            <w:bottom w:val="none" w:sz="0" w:space="0" w:color="auto"/>
            <w:right w:val="none" w:sz="0" w:space="0" w:color="auto"/>
          </w:divBdr>
        </w:div>
      </w:divsChild>
    </w:div>
    <w:div w:id="1150706286">
      <w:marLeft w:val="0"/>
      <w:marRight w:val="0"/>
      <w:marTop w:val="0"/>
      <w:marBottom w:val="0"/>
      <w:divBdr>
        <w:top w:val="none" w:sz="0" w:space="0" w:color="auto"/>
        <w:left w:val="none" w:sz="0" w:space="0" w:color="auto"/>
        <w:bottom w:val="none" w:sz="0" w:space="0" w:color="auto"/>
        <w:right w:val="none" w:sz="0" w:space="0" w:color="auto"/>
      </w:divBdr>
      <w:divsChild>
        <w:div w:id="229077382">
          <w:marLeft w:val="0"/>
          <w:marRight w:val="0"/>
          <w:marTop w:val="0"/>
          <w:marBottom w:val="0"/>
          <w:divBdr>
            <w:top w:val="none" w:sz="0" w:space="0" w:color="auto"/>
            <w:left w:val="none" w:sz="0" w:space="0" w:color="auto"/>
            <w:bottom w:val="none" w:sz="0" w:space="0" w:color="auto"/>
            <w:right w:val="none" w:sz="0" w:space="0" w:color="auto"/>
          </w:divBdr>
        </w:div>
      </w:divsChild>
    </w:div>
    <w:div w:id="1158884697">
      <w:marLeft w:val="0"/>
      <w:marRight w:val="0"/>
      <w:marTop w:val="0"/>
      <w:marBottom w:val="0"/>
      <w:divBdr>
        <w:top w:val="none" w:sz="0" w:space="0" w:color="auto"/>
        <w:left w:val="none" w:sz="0" w:space="0" w:color="auto"/>
        <w:bottom w:val="none" w:sz="0" w:space="0" w:color="auto"/>
        <w:right w:val="none" w:sz="0" w:space="0" w:color="auto"/>
      </w:divBdr>
    </w:div>
    <w:div w:id="1165585522">
      <w:marLeft w:val="0"/>
      <w:marRight w:val="0"/>
      <w:marTop w:val="0"/>
      <w:marBottom w:val="0"/>
      <w:divBdr>
        <w:top w:val="none" w:sz="0" w:space="0" w:color="auto"/>
        <w:left w:val="none" w:sz="0" w:space="0" w:color="auto"/>
        <w:bottom w:val="none" w:sz="0" w:space="0" w:color="auto"/>
        <w:right w:val="none" w:sz="0" w:space="0" w:color="auto"/>
      </w:divBdr>
    </w:div>
    <w:div w:id="1165783678">
      <w:marLeft w:val="0"/>
      <w:marRight w:val="0"/>
      <w:marTop w:val="0"/>
      <w:marBottom w:val="0"/>
      <w:divBdr>
        <w:top w:val="none" w:sz="0" w:space="0" w:color="auto"/>
        <w:left w:val="none" w:sz="0" w:space="0" w:color="auto"/>
        <w:bottom w:val="none" w:sz="0" w:space="0" w:color="auto"/>
        <w:right w:val="none" w:sz="0" w:space="0" w:color="auto"/>
      </w:divBdr>
      <w:divsChild>
        <w:div w:id="786123409">
          <w:marLeft w:val="0"/>
          <w:marRight w:val="0"/>
          <w:marTop w:val="0"/>
          <w:marBottom w:val="0"/>
          <w:divBdr>
            <w:top w:val="none" w:sz="0" w:space="0" w:color="auto"/>
            <w:left w:val="none" w:sz="0" w:space="0" w:color="auto"/>
            <w:bottom w:val="none" w:sz="0" w:space="0" w:color="auto"/>
            <w:right w:val="none" w:sz="0" w:space="0" w:color="auto"/>
          </w:divBdr>
        </w:div>
      </w:divsChild>
    </w:div>
    <w:div w:id="1168670230">
      <w:marLeft w:val="0"/>
      <w:marRight w:val="0"/>
      <w:marTop w:val="0"/>
      <w:marBottom w:val="0"/>
      <w:divBdr>
        <w:top w:val="none" w:sz="0" w:space="0" w:color="auto"/>
        <w:left w:val="none" w:sz="0" w:space="0" w:color="auto"/>
        <w:bottom w:val="none" w:sz="0" w:space="0" w:color="auto"/>
        <w:right w:val="none" w:sz="0" w:space="0" w:color="auto"/>
      </w:divBdr>
    </w:div>
    <w:div w:id="1169758017">
      <w:marLeft w:val="0"/>
      <w:marRight w:val="0"/>
      <w:marTop w:val="200"/>
      <w:marBottom w:val="0"/>
      <w:divBdr>
        <w:top w:val="none" w:sz="0" w:space="0" w:color="auto"/>
        <w:left w:val="none" w:sz="0" w:space="0" w:color="auto"/>
        <w:bottom w:val="none" w:sz="0" w:space="0" w:color="auto"/>
        <w:right w:val="none" w:sz="0" w:space="0" w:color="auto"/>
      </w:divBdr>
      <w:divsChild>
        <w:div w:id="552084373">
          <w:marLeft w:val="0"/>
          <w:marRight w:val="0"/>
          <w:marTop w:val="0"/>
          <w:marBottom w:val="0"/>
          <w:divBdr>
            <w:top w:val="none" w:sz="0" w:space="0" w:color="auto"/>
            <w:left w:val="none" w:sz="0" w:space="0" w:color="auto"/>
            <w:bottom w:val="none" w:sz="0" w:space="0" w:color="auto"/>
            <w:right w:val="none" w:sz="0" w:space="0" w:color="auto"/>
          </w:divBdr>
        </w:div>
        <w:div w:id="488177982">
          <w:marLeft w:val="0"/>
          <w:marRight w:val="0"/>
          <w:marTop w:val="0"/>
          <w:marBottom w:val="0"/>
          <w:divBdr>
            <w:top w:val="none" w:sz="0" w:space="0" w:color="auto"/>
            <w:left w:val="none" w:sz="0" w:space="0" w:color="auto"/>
            <w:bottom w:val="none" w:sz="0" w:space="0" w:color="auto"/>
            <w:right w:val="none" w:sz="0" w:space="0" w:color="auto"/>
          </w:divBdr>
        </w:div>
        <w:div w:id="1002583882">
          <w:marLeft w:val="0"/>
          <w:marRight w:val="0"/>
          <w:marTop w:val="0"/>
          <w:marBottom w:val="0"/>
          <w:divBdr>
            <w:top w:val="none" w:sz="0" w:space="0" w:color="auto"/>
            <w:left w:val="none" w:sz="0" w:space="0" w:color="auto"/>
            <w:bottom w:val="none" w:sz="0" w:space="0" w:color="auto"/>
            <w:right w:val="none" w:sz="0" w:space="0" w:color="auto"/>
          </w:divBdr>
        </w:div>
        <w:div w:id="525798674">
          <w:marLeft w:val="0"/>
          <w:marRight w:val="0"/>
          <w:marTop w:val="0"/>
          <w:marBottom w:val="0"/>
          <w:divBdr>
            <w:top w:val="none" w:sz="0" w:space="0" w:color="auto"/>
            <w:left w:val="none" w:sz="0" w:space="0" w:color="auto"/>
            <w:bottom w:val="none" w:sz="0" w:space="0" w:color="auto"/>
            <w:right w:val="none" w:sz="0" w:space="0" w:color="auto"/>
          </w:divBdr>
        </w:div>
        <w:div w:id="1867525222">
          <w:marLeft w:val="0"/>
          <w:marRight w:val="0"/>
          <w:marTop w:val="0"/>
          <w:marBottom w:val="0"/>
          <w:divBdr>
            <w:top w:val="none" w:sz="0" w:space="0" w:color="auto"/>
            <w:left w:val="none" w:sz="0" w:space="0" w:color="auto"/>
            <w:bottom w:val="none" w:sz="0" w:space="0" w:color="auto"/>
            <w:right w:val="none" w:sz="0" w:space="0" w:color="auto"/>
          </w:divBdr>
        </w:div>
        <w:div w:id="1375348653">
          <w:marLeft w:val="0"/>
          <w:marRight w:val="0"/>
          <w:marTop w:val="0"/>
          <w:marBottom w:val="0"/>
          <w:divBdr>
            <w:top w:val="none" w:sz="0" w:space="0" w:color="auto"/>
            <w:left w:val="none" w:sz="0" w:space="0" w:color="auto"/>
            <w:bottom w:val="none" w:sz="0" w:space="0" w:color="auto"/>
            <w:right w:val="none" w:sz="0" w:space="0" w:color="auto"/>
          </w:divBdr>
        </w:div>
        <w:div w:id="983967229">
          <w:marLeft w:val="0"/>
          <w:marRight w:val="0"/>
          <w:marTop w:val="0"/>
          <w:marBottom w:val="0"/>
          <w:divBdr>
            <w:top w:val="none" w:sz="0" w:space="0" w:color="auto"/>
            <w:left w:val="none" w:sz="0" w:space="0" w:color="auto"/>
            <w:bottom w:val="none" w:sz="0" w:space="0" w:color="auto"/>
            <w:right w:val="none" w:sz="0" w:space="0" w:color="auto"/>
          </w:divBdr>
        </w:div>
        <w:div w:id="1579945972">
          <w:marLeft w:val="0"/>
          <w:marRight w:val="0"/>
          <w:marTop w:val="0"/>
          <w:marBottom w:val="0"/>
          <w:divBdr>
            <w:top w:val="none" w:sz="0" w:space="0" w:color="auto"/>
            <w:left w:val="none" w:sz="0" w:space="0" w:color="auto"/>
            <w:bottom w:val="none" w:sz="0" w:space="0" w:color="auto"/>
            <w:right w:val="none" w:sz="0" w:space="0" w:color="auto"/>
          </w:divBdr>
        </w:div>
        <w:div w:id="163280337">
          <w:marLeft w:val="0"/>
          <w:marRight w:val="0"/>
          <w:marTop w:val="0"/>
          <w:marBottom w:val="0"/>
          <w:divBdr>
            <w:top w:val="none" w:sz="0" w:space="0" w:color="auto"/>
            <w:left w:val="none" w:sz="0" w:space="0" w:color="auto"/>
            <w:bottom w:val="none" w:sz="0" w:space="0" w:color="auto"/>
            <w:right w:val="none" w:sz="0" w:space="0" w:color="auto"/>
          </w:divBdr>
        </w:div>
        <w:div w:id="2064720035">
          <w:marLeft w:val="0"/>
          <w:marRight w:val="0"/>
          <w:marTop w:val="0"/>
          <w:marBottom w:val="0"/>
          <w:divBdr>
            <w:top w:val="none" w:sz="0" w:space="0" w:color="auto"/>
            <w:left w:val="none" w:sz="0" w:space="0" w:color="auto"/>
            <w:bottom w:val="none" w:sz="0" w:space="0" w:color="auto"/>
            <w:right w:val="none" w:sz="0" w:space="0" w:color="auto"/>
          </w:divBdr>
        </w:div>
        <w:div w:id="646595954">
          <w:marLeft w:val="0"/>
          <w:marRight w:val="0"/>
          <w:marTop w:val="0"/>
          <w:marBottom w:val="0"/>
          <w:divBdr>
            <w:top w:val="none" w:sz="0" w:space="0" w:color="auto"/>
            <w:left w:val="none" w:sz="0" w:space="0" w:color="auto"/>
            <w:bottom w:val="none" w:sz="0" w:space="0" w:color="auto"/>
            <w:right w:val="none" w:sz="0" w:space="0" w:color="auto"/>
          </w:divBdr>
        </w:div>
        <w:div w:id="1047756741">
          <w:marLeft w:val="0"/>
          <w:marRight w:val="0"/>
          <w:marTop w:val="0"/>
          <w:marBottom w:val="0"/>
          <w:divBdr>
            <w:top w:val="none" w:sz="0" w:space="0" w:color="auto"/>
            <w:left w:val="none" w:sz="0" w:space="0" w:color="auto"/>
            <w:bottom w:val="none" w:sz="0" w:space="0" w:color="auto"/>
            <w:right w:val="none" w:sz="0" w:space="0" w:color="auto"/>
          </w:divBdr>
        </w:div>
        <w:div w:id="1622954867">
          <w:marLeft w:val="0"/>
          <w:marRight w:val="0"/>
          <w:marTop w:val="0"/>
          <w:marBottom w:val="0"/>
          <w:divBdr>
            <w:top w:val="none" w:sz="0" w:space="0" w:color="auto"/>
            <w:left w:val="none" w:sz="0" w:space="0" w:color="auto"/>
            <w:bottom w:val="none" w:sz="0" w:space="0" w:color="auto"/>
            <w:right w:val="none" w:sz="0" w:space="0" w:color="auto"/>
          </w:divBdr>
        </w:div>
        <w:div w:id="2128566">
          <w:marLeft w:val="0"/>
          <w:marRight w:val="0"/>
          <w:marTop w:val="0"/>
          <w:marBottom w:val="0"/>
          <w:divBdr>
            <w:top w:val="none" w:sz="0" w:space="0" w:color="auto"/>
            <w:left w:val="none" w:sz="0" w:space="0" w:color="auto"/>
            <w:bottom w:val="none" w:sz="0" w:space="0" w:color="auto"/>
            <w:right w:val="none" w:sz="0" w:space="0" w:color="auto"/>
          </w:divBdr>
        </w:div>
        <w:div w:id="1470518120">
          <w:marLeft w:val="0"/>
          <w:marRight w:val="0"/>
          <w:marTop w:val="0"/>
          <w:marBottom w:val="0"/>
          <w:divBdr>
            <w:top w:val="none" w:sz="0" w:space="0" w:color="auto"/>
            <w:left w:val="none" w:sz="0" w:space="0" w:color="auto"/>
            <w:bottom w:val="none" w:sz="0" w:space="0" w:color="auto"/>
            <w:right w:val="none" w:sz="0" w:space="0" w:color="auto"/>
          </w:divBdr>
        </w:div>
        <w:div w:id="1297880866">
          <w:marLeft w:val="0"/>
          <w:marRight w:val="0"/>
          <w:marTop w:val="0"/>
          <w:marBottom w:val="0"/>
          <w:divBdr>
            <w:top w:val="none" w:sz="0" w:space="0" w:color="auto"/>
            <w:left w:val="none" w:sz="0" w:space="0" w:color="auto"/>
            <w:bottom w:val="none" w:sz="0" w:space="0" w:color="auto"/>
            <w:right w:val="none" w:sz="0" w:space="0" w:color="auto"/>
          </w:divBdr>
        </w:div>
      </w:divsChild>
    </w:div>
    <w:div w:id="1190488286">
      <w:marLeft w:val="0"/>
      <w:marRight w:val="0"/>
      <w:marTop w:val="0"/>
      <w:marBottom w:val="0"/>
      <w:divBdr>
        <w:top w:val="none" w:sz="0" w:space="0" w:color="auto"/>
        <w:left w:val="none" w:sz="0" w:space="0" w:color="auto"/>
        <w:bottom w:val="none" w:sz="0" w:space="0" w:color="auto"/>
        <w:right w:val="none" w:sz="0" w:space="0" w:color="auto"/>
      </w:divBdr>
    </w:div>
    <w:div w:id="1194341575">
      <w:marLeft w:val="0"/>
      <w:marRight w:val="0"/>
      <w:marTop w:val="0"/>
      <w:marBottom w:val="0"/>
      <w:divBdr>
        <w:top w:val="none" w:sz="0" w:space="0" w:color="auto"/>
        <w:left w:val="none" w:sz="0" w:space="0" w:color="auto"/>
        <w:bottom w:val="none" w:sz="0" w:space="0" w:color="auto"/>
        <w:right w:val="none" w:sz="0" w:space="0" w:color="auto"/>
      </w:divBdr>
    </w:div>
    <w:div w:id="1200822606">
      <w:marLeft w:val="0"/>
      <w:marRight w:val="0"/>
      <w:marTop w:val="0"/>
      <w:marBottom w:val="0"/>
      <w:divBdr>
        <w:top w:val="none" w:sz="0" w:space="0" w:color="auto"/>
        <w:left w:val="none" w:sz="0" w:space="0" w:color="auto"/>
        <w:bottom w:val="none" w:sz="0" w:space="0" w:color="auto"/>
        <w:right w:val="none" w:sz="0" w:space="0" w:color="auto"/>
      </w:divBdr>
      <w:divsChild>
        <w:div w:id="1469930654">
          <w:marLeft w:val="0"/>
          <w:marRight w:val="0"/>
          <w:marTop w:val="0"/>
          <w:marBottom w:val="0"/>
          <w:divBdr>
            <w:top w:val="none" w:sz="0" w:space="0" w:color="auto"/>
            <w:left w:val="none" w:sz="0" w:space="0" w:color="auto"/>
            <w:bottom w:val="none" w:sz="0" w:space="0" w:color="auto"/>
            <w:right w:val="none" w:sz="0" w:space="0" w:color="auto"/>
          </w:divBdr>
        </w:div>
      </w:divsChild>
    </w:div>
    <w:div w:id="1220437623">
      <w:marLeft w:val="0"/>
      <w:marRight w:val="0"/>
      <w:marTop w:val="0"/>
      <w:marBottom w:val="0"/>
      <w:divBdr>
        <w:top w:val="none" w:sz="0" w:space="0" w:color="auto"/>
        <w:left w:val="none" w:sz="0" w:space="0" w:color="auto"/>
        <w:bottom w:val="none" w:sz="0" w:space="0" w:color="auto"/>
        <w:right w:val="none" w:sz="0" w:space="0" w:color="auto"/>
      </w:divBdr>
    </w:div>
    <w:div w:id="1221090151">
      <w:marLeft w:val="0"/>
      <w:marRight w:val="0"/>
      <w:marTop w:val="0"/>
      <w:marBottom w:val="0"/>
      <w:divBdr>
        <w:top w:val="none" w:sz="0" w:space="0" w:color="auto"/>
        <w:left w:val="none" w:sz="0" w:space="0" w:color="auto"/>
        <w:bottom w:val="none" w:sz="0" w:space="0" w:color="auto"/>
        <w:right w:val="none" w:sz="0" w:space="0" w:color="auto"/>
      </w:divBdr>
    </w:div>
    <w:div w:id="1221402047">
      <w:marLeft w:val="0"/>
      <w:marRight w:val="0"/>
      <w:marTop w:val="100"/>
      <w:marBottom w:val="0"/>
      <w:divBdr>
        <w:top w:val="none" w:sz="0" w:space="0" w:color="auto"/>
        <w:left w:val="none" w:sz="0" w:space="0" w:color="auto"/>
        <w:bottom w:val="none" w:sz="0" w:space="0" w:color="auto"/>
        <w:right w:val="none" w:sz="0" w:space="0" w:color="auto"/>
      </w:divBdr>
    </w:div>
    <w:div w:id="1231231838">
      <w:marLeft w:val="0"/>
      <w:marRight w:val="0"/>
      <w:marTop w:val="0"/>
      <w:marBottom w:val="0"/>
      <w:divBdr>
        <w:top w:val="none" w:sz="0" w:space="0" w:color="auto"/>
        <w:left w:val="none" w:sz="0" w:space="0" w:color="auto"/>
        <w:bottom w:val="none" w:sz="0" w:space="0" w:color="auto"/>
        <w:right w:val="none" w:sz="0" w:space="0" w:color="auto"/>
      </w:divBdr>
      <w:divsChild>
        <w:div w:id="1049454971">
          <w:marLeft w:val="0"/>
          <w:marRight w:val="0"/>
          <w:marTop w:val="0"/>
          <w:marBottom w:val="0"/>
          <w:divBdr>
            <w:top w:val="none" w:sz="0" w:space="0" w:color="auto"/>
            <w:left w:val="none" w:sz="0" w:space="0" w:color="auto"/>
            <w:bottom w:val="none" w:sz="0" w:space="0" w:color="auto"/>
            <w:right w:val="none" w:sz="0" w:space="0" w:color="auto"/>
          </w:divBdr>
        </w:div>
      </w:divsChild>
    </w:div>
    <w:div w:id="1246305984">
      <w:marLeft w:val="0"/>
      <w:marRight w:val="0"/>
      <w:marTop w:val="0"/>
      <w:marBottom w:val="0"/>
      <w:divBdr>
        <w:top w:val="none" w:sz="0" w:space="0" w:color="auto"/>
        <w:left w:val="none" w:sz="0" w:space="0" w:color="auto"/>
        <w:bottom w:val="none" w:sz="0" w:space="0" w:color="auto"/>
        <w:right w:val="none" w:sz="0" w:space="0" w:color="auto"/>
      </w:divBdr>
      <w:divsChild>
        <w:div w:id="1102142135">
          <w:marLeft w:val="0"/>
          <w:marRight w:val="0"/>
          <w:marTop w:val="0"/>
          <w:marBottom w:val="0"/>
          <w:divBdr>
            <w:top w:val="none" w:sz="0" w:space="0" w:color="auto"/>
            <w:left w:val="none" w:sz="0" w:space="0" w:color="auto"/>
            <w:bottom w:val="none" w:sz="0" w:space="0" w:color="auto"/>
            <w:right w:val="none" w:sz="0" w:space="0" w:color="auto"/>
          </w:divBdr>
        </w:div>
      </w:divsChild>
    </w:div>
    <w:div w:id="1247808101">
      <w:marLeft w:val="0"/>
      <w:marRight w:val="0"/>
      <w:marTop w:val="180"/>
      <w:marBottom w:val="0"/>
      <w:divBdr>
        <w:top w:val="none" w:sz="0" w:space="0" w:color="auto"/>
        <w:left w:val="none" w:sz="0" w:space="0" w:color="auto"/>
        <w:bottom w:val="none" w:sz="0" w:space="0" w:color="auto"/>
        <w:right w:val="none" w:sz="0" w:space="0" w:color="auto"/>
      </w:divBdr>
    </w:div>
    <w:div w:id="1250385651">
      <w:marLeft w:val="0"/>
      <w:marRight w:val="0"/>
      <w:marTop w:val="0"/>
      <w:marBottom w:val="0"/>
      <w:divBdr>
        <w:top w:val="none" w:sz="0" w:space="0" w:color="auto"/>
        <w:left w:val="none" w:sz="0" w:space="0" w:color="auto"/>
        <w:bottom w:val="none" w:sz="0" w:space="0" w:color="auto"/>
        <w:right w:val="none" w:sz="0" w:space="0" w:color="auto"/>
      </w:divBdr>
      <w:divsChild>
        <w:div w:id="522012115">
          <w:marLeft w:val="0"/>
          <w:marRight w:val="0"/>
          <w:marTop w:val="0"/>
          <w:marBottom w:val="0"/>
          <w:divBdr>
            <w:top w:val="none" w:sz="0" w:space="0" w:color="auto"/>
            <w:left w:val="none" w:sz="0" w:space="0" w:color="auto"/>
            <w:bottom w:val="none" w:sz="0" w:space="0" w:color="auto"/>
            <w:right w:val="none" w:sz="0" w:space="0" w:color="auto"/>
          </w:divBdr>
        </w:div>
      </w:divsChild>
    </w:div>
    <w:div w:id="1251432562">
      <w:marLeft w:val="0"/>
      <w:marRight w:val="0"/>
      <w:marTop w:val="0"/>
      <w:marBottom w:val="0"/>
      <w:divBdr>
        <w:top w:val="none" w:sz="0" w:space="0" w:color="auto"/>
        <w:left w:val="none" w:sz="0" w:space="0" w:color="auto"/>
        <w:bottom w:val="none" w:sz="0" w:space="0" w:color="auto"/>
        <w:right w:val="none" w:sz="0" w:space="0" w:color="auto"/>
      </w:divBdr>
    </w:div>
    <w:div w:id="1263413433">
      <w:marLeft w:val="0"/>
      <w:marRight w:val="0"/>
      <w:marTop w:val="0"/>
      <w:marBottom w:val="0"/>
      <w:divBdr>
        <w:top w:val="none" w:sz="0" w:space="0" w:color="auto"/>
        <w:left w:val="none" w:sz="0" w:space="0" w:color="auto"/>
        <w:bottom w:val="none" w:sz="0" w:space="0" w:color="auto"/>
        <w:right w:val="none" w:sz="0" w:space="0" w:color="auto"/>
      </w:divBdr>
      <w:divsChild>
        <w:div w:id="6759168">
          <w:marLeft w:val="0"/>
          <w:marRight w:val="0"/>
          <w:marTop w:val="0"/>
          <w:marBottom w:val="0"/>
          <w:divBdr>
            <w:top w:val="none" w:sz="0" w:space="0" w:color="auto"/>
            <w:left w:val="none" w:sz="0" w:space="0" w:color="auto"/>
            <w:bottom w:val="none" w:sz="0" w:space="0" w:color="auto"/>
            <w:right w:val="none" w:sz="0" w:space="0" w:color="auto"/>
          </w:divBdr>
        </w:div>
      </w:divsChild>
    </w:div>
    <w:div w:id="1264075594">
      <w:marLeft w:val="0"/>
      <w:marRight w:val="0"/>
      <w:marTop w:val="0"/>
      <w:marBottom w:val="0"/>
      <w:divBdr>
        <w:top w:val="none" w:sz="0" w:space="0" w:color="auto"/>
        <w:left w:val="none" w:sz="0" w:space="0" w:color="auto"/>
        <w:bottom w:val="none" w:sz="0" w:space="0" w:color="auto"/>
        <w:right w:val="none" w:sz="0" w:space="0" w:color="auto"/>
      </w:divBdr>
      <w:divsChild>
        <w:div w:id="1151292093">
          <w:marLeft w:val="0"/>
          <w:marRight w:val="0"/>
          <w:marTop w:val="0"/>
          <w:marBottom w:val="0"/>
          <w:divBdr>
            <w:top w:val="none" w:sz="0" w:space="0" w:color="auto"/>
            <w:left w:val="none" w:sz="0" w:space="0" w:color="auto"/>
            <w:bottom w:val="none" w:sz="0" w:space="0" w:color="auto"/>
            <w:right w:val="none" w:sz="0" w:space="0" w:color="auto"/>
          </w:divBdr>
        </w:div>
      </w:divsChild>
    </w:div>
    <w:div w:id="1265763900">
      <w:marLeft w:val="0"/>
      <w:marRight w:val="0"/>
      <w:marTop w:val="0"/>
      <w:marBottom w:val="0"/>
      <w:divBdr>
        <w:top w:val="none" w:sz="0" w:space="0" w:color="auto"/>
        <w:left w:val="none" w:sz="0" w:space="0" w:color="auto"/>
        <w:bottom w:val="none" w:sz="0" w:space="0" w:color="auto"/>
        <w:right w:val="none" w:sz="0" w:space="0" w:color="auto"/>
      </w:divBdr>
    </w:div>
    <w:div w:id="1267733837">
      <w:marLeft w:val="0"/>
      <w:marRight w:val="0"/>
      <w:marTop w:val="0"/>
      <w:marBottom w:val="0"/>
      <w:divBdr>
        <w:top w:val="none" w:sz="0" w:space="0" w:color="auto"/>
        <w:left w:val="none" w:sz="0" w:space="0" w:color="auto"/>
        <w:bottom w:val="none" w:sz="0" w:space="0" w:color="auto"/>
        <w:right w:val="none" w:sz="0" w:space="0" w:color="auto"/>
      </w:divBdr>
      <w:divsChild>
        <w:div w:id="412312995">
          <w:marLeft w:val="0"/>
          <w:marRight w:val="0"/>
          <w:marTop w:val="0"/>
          <w:marBottom w:val="0"/>
          <w:divBdr>
            <w:top w:val="none" w:sz="0" w:space="0" w:color="auto"/>
            <w:left w:val="none" w:sz="0" w:space="0" w:color="auto"/>
            <w:bottom w:val="none" w:sz="0" w:space="0" w:color="auto"/>
            <w:right w:val="none" w:sz="0" w:space="0" w:color="auto"/>
          </w:divBdr>
        </w:div>
      </w:divsChild>
    </w:div>
    <w:div w:id="1268733440">
      <w:marLeft w:val="0"/>
      <w:marRight w:val="0"/>
      <w:marTop w:val="0"/>
      <w:marBottom w:val="0"/>
      <w:divBdr>
        <w:top w:val="none" w:sz="0" w:space="0" w:color="auto"/>
        <w:left w:val="none" w:sz="0" w:space="0" w:color="auto"/>
        <w:bottom w:val="none" w:sz="0" w:space="0" w:color="auto"/>
        <w:right w:val="none" w:sz="0" w:space="0" w:color="auto"/>
      </w:divBdr>
      <w:divsChild>
        <w:div w:id="257251032">
          <w:marLeft w:val="0"/>
          <w:marRight w:val="0"/>
          <w:marTop w:val="0"/>
          <w:marBottom w:val="0"/>
          <w:divBdr>
            <w:top w:val="none" w:sz="0" w:space="0" w:color="auto"/>
            <w:left w:val="none" w:sz="0" w:space="0" w:color="auto"/>
            <w:bottom w:val="none" w:sz="0" w:space="0" w:color="auto"/>
            <w:right w:val="none" w:sz="0" w:space="0" w:color="auto"/>
          </w:divBdr>
        </w:div>
      </w:divsChild>
    </w:div>
    <w:div w:id="1273900642">
      <w:marLeft w:val="0"/>
      <w:marRight w:val="0"/>
      <w:marTop w:val="0"/>
      <w:marBottom w:val="160"/>
      <w:divBdr>
        <w:top w:val="none" w:sz="0" w:space="0" w:color="auto"/>
        <w:left w:val="none" w:sz="0" w:space="0" w:color="auto"/>
        <w:bottom w:val="none" w:sz="0" w:space="0" w:color="auto"/>
        <w:right w:val="none" w:sz="0" w:space="0" w:color="auto"/>
      </w:divBdr>
    </w:div>
    <w:div w:id="1293172086">
      <w:marLeft w:val="0"/>
      <w:marRight w:val="0"/>
      <w:marTop w:val="100"/>
      <w:marBottom w:val="0"/>
      <w:divBdr>
        <w:top w:val="none" w:sz="0" w:space="0" w:color="auto"/>
        <w:left w:val="none" w:sz="0" w:space="0" w:color="auto"/>
        <w:bottom w:val="none" w:sz="0" w:space="0" w:color="auto"/>
        <w:right w:val="none" w:sz="0" w:space="0" w:color="auto"/>
      </w:divBdr>
      <w:divsChild>
        <w:div w:id="1372194558">
          <w:marLeft w:val="0"/>
          <w:marRight w:val="0"/>
          <w:marTop w:val="0"/>
          <w:marBottom w:val="0"/>
          <w:divBdr>
            <w:top w:val="none" w:sz="0" w:space="0" w:color="auto"/>
            <w:left w:val="none" w:sz="0" w:space="0" w:color="auto"/>
            <w:bottom w:val="none" w:sz="0" w:space="0" w:color="auto"/>
            <w:right w:val="none" w:sz="0" w:space="0" w:color="auto"/>
          </w:divBdr>
        </w:div>
        <w:div w:id="1209684624">
          <w:marLeft w:val="0"/>
          <w:marRight w:val="0"/>
          <w:marTop w:val="0"/>
          <w:marBottom w:val="0"/>
          <w:divBdr>
            <w:top w:val="none" w:sz="0" w:space="0" w:color="auto"/>
            <w:left w:val="none" w:sz="0" w:space="0" w:color="auto"/>
            <w:bottom w:val="none" w:sz="0" w:space="0" w:color="auto"/>
            <w:right w:val="none" w:sz="0" w:space="0" w:color="auto"/>
          </w:divBdr>
        </w:div>
        <w:div w:id="215971051">
          <w:marLeft w:val="0"/>
          <w:marRight w:val="0"/>
          <w:marTop w:val="0"/>
          <w:marBottom w:val="0"/>
          <w:divBdr>
            <w:top w:val="none" w:sz="0" w:space="0" w:color="auto"/>
            <w:left w:val="none" w:sz="0" w:space="0" w:color="auto"/>
            <w:bottom w:val="none" w:sz="0" w:space="0" w:color="auto"/>
            <w:right w:val="none" w:sz="0" w:space="0" w:color="auto"/>
          </w:divBdr>
        </w:div>
        <w:div w:id="334113855">
          <w:marLeft w:val="0"/>
          <w:marRight w:val="0"/>
          <w:marTop w:val="0"/>
          <w:marBottom w:val="0"/>
          <w:divBdr>
            <w:top w:val="none" w:sz="0" w:space="0" w:color="auto"/>
            <w:left w:val="none" w:sz="0" w:space="0" w:color="auto"/>
            <w:bottom w:val="none" w:sz="0" w:space="0" w:color="auto"/>
            <w:right w:val="none" w:sz="0" w:space="0" w:color="auto"/>
          </w:divBdr>
        </w:div>
        <w:div w:id="2016764360">
          <w:marLeft w:val="0"/>
          <w:marRight w:val="0"/>
          <w:marTop w:val="0"/>
          <w:marBottom w:val="0"/>
          <w:divBdr>
            <w:top w:val="none" w:sz="0" w:space="0" w:color="auto"/>
            <w:left w:val="none" w:sz="0" w:space="0" w:color="auto"/>
            <w:bottom w:val="none" w:sz="0" w:space="0" w:color="auto"/>
            <w:right w:val="none" w:sz="0" w:space="0" w:color="auto"/>
          </w:divBdr>
        </w:div>
        <w:div w:id="1711222880">
          <w:marLeft w:val="0"/>
          <w:marRight w:val="0"/>
          <w:marTop w:val="0"/>
          <w:marBottom w:val="0"/>
          <w:divBdr>
            <w:top w:val="none" w:sz="0" w:space="0" w:color="auto"/>
            <w:left w:val="none" w:sz="0" w:space="0" w:color="auto"/>
            <w:bottom w:val="none" w:sz="0" w:space="0" w:color="auto"/>
            <w:right w:val="none" w:sz="0" w:space="0" w:color="auto"/>
          </w:divBdr>
        </w:div>
        <w:div w:id="1607928603">
          <w:marLeft w:val="0"/>
          <w:marRight w:val="0"/>
          <w:marTop w:val="0"/>
          <w:marBottom w:val="0"/>
          <w:divBdr>
            <w:top w:val="none" w:sz="0" w:space="0" w:color="auto"/>
            <w:left w:val="none" w:sz="0" w:space="0" w:color="auto"/>
            <w:bottom w:val="none" w:sz="0" w:space="0" w:color="auto"/>
            <w:right w:val="none" w:sz="0" w:space="0" w:color="auto"/>
          </w:divBdr>
        </w:div>
        <w:div w:id="422648008">
          <w:marLeft w:val="0"/>
          <w:marRight w:val="0"/>
          <w:marTop w:val="0"/>
          <w:marBottom w:val="0"/>
          <w:divBdr>
            <w:top w:val="none" w:sz="0" w:space="0" w:color="auto"/>
            <w:left w:val="none" w:sz="0" w:space="0" w:color="auto"/>
            <w:bottom w:val="none" w:sz="0" w:space="0" w:color="auto"/>
            <w:right w:val="none" w:sz="0" w:space="0" w:color="auto"/>
          </w:divBdr>
        </w:div>
        <w:div w:id="950937607">
          <w:marLeft w:val="0"/>
          <w:marRight w:val="0"/>
          <w:marTop w:val="0"/>
          <w:marBottom w:val="0"/>
          <w:divBdr>
            <w:top w:val="none" w:sz="0" w:space="0" w:color="auto"/>
            <w:left w:val="none" w:sz="0" w:space="0" w:color="auto"/>
            <w:bottom w:val="none" w:sz="0" w:space="0" w:color="auto"/>
            <w:right w:val="none" w:sz="0" w:space="0" w:color="auto"/>
          </w:divBdr>
        </w:div>
        <w:div w:id="423263624">
          <w:marLeft w:val="0"/>
          <w:marRight w:val="0"/>
          <w:marTop w:val="0"/>
          <w:marBottom w:val="0"/>
          <w:divBdr>
            <w:top w:val="none" w:sz="0" w:space="0" w:color="auto"/>
            <w:left w:val="none" w:sz="0" w:space="0" w:color="auto"/>
            <w:bottom w:val="none" w:sz="0" w:space="0" w:color="auto"/>
            <w:right w:val="none" w:sz="0" w:space="0" w:color="auto"/>
          </w:divBdr>
        </w:div>
        <w:div w:id="1788236967">
          <w:marLeft w:val="0"/>
          <w:marRight w:val="0"/>
          <w:marTop w:val="0"/>
          <w:marBottom w:val="0"/>
          <w:divBdr>
            <w:top w:val="none" w:sz="0" w:space="0" w:color="auto"/>
            <w:left w:val="none" w:sz="0" w:space="0" w:color="auto"/>
            <w:bottom w:val="none" w:sz="0" w:space="0" w:color="auto"/>
            <w:right w:val="none" w:sz="0" w:space="0" w:color="auto"/>
          </w:divBdr>
        </w:div>
        <w:div w:id="717705836">
          <w:marLeft w:val="0"/>
          <w:marRight w:val="0"/>
          <w:marTop w:val="0"/>
          <w:marBottom w:val="0"/>
          <w:divBdr>
            <w:top w:val="none" w:sz="0" w:space="0" w:color="auto"/>
            <w:left w:val="none" w:sz="0" w:space="0" w:color="auto"/>
            <w:bottom w:val="none" w:sz="0" w:space="0" w:color="auto"/>
            <w:right w:val="none" w:sz="0" w:space="0" w:color="auto"/>
          </w:divBdr>
        </w:div>
        <w:div w:id="659313328">
          <w:marLeft w:val="0"/>
          <w:marRight w:val="0"/>
          <w:marTop w:val="0"/>
          <w:marBottom w:val="0"/>
          <w:divBdr>
            <w:top w:val="none" w:sz="0" w:space="0" w:color="auto"/>
            <w:left w:val="none" w:sz="0" w:space="0" w:color="auto"/>
            <w:bottom w:val="none" w:sz="0" w:space="0" w:color="auto"/>
            <w:right w:val="none" w:sz="0" w:space="0" w:color="auto"/>
          </w:divBdr>
        </w:div>
        <w:div w:id="979067353">
          <w:marLeft w:val="0"/>
          <w:marRight w:val="0"/>
          <w:marTop w:val="0"/>
          <w:marBottom w:val="0"/>
          <w:divBdr>
            <w:top w:val="none" w:sz="0" w:space="0" w:color="auto"/>
            <w:left w:val="none" w:sz="0" w:space="0" w:color="auto"/>
            <w:bottom w:val="none" w:sz="0" w:space="0" w:color="auto"/>
            <w:right w:val="none" w:sz="0" w:space="0" w:color="auto"/>
          </w:divBdr>
        </w:div>
        <w:div w:id="1622028953">
          <w:marLeft w:val="0"/>
          <w:marRight w:val="0"/>
          <w:marTop w:val="0"/>
          <w:marBottom w:val="0"/>
          <w:divBdr>
            <w:top w:val="none" w:sz="0" w:space="0" w:color="auto"/>
            <w:left w:val="none" w:sz="0" w:space="0" w:color="auto"/>
            <w:bottom w:val="none" w:sz="0" w:space="0" w:color="auto"/>
            <w:right w:val="none" w:sz="0" w:space="0" w:color="auto"/>
          </w:divBdr>
        </w:div>
        <w:div w:id="968900452">
          <w:marLeft w:val="0"/>
          <w:marRight w:val="0"/>
          <w:marTop w:val="0"/>
          <w:marBottom w:val="0"/>
          <w:divBdr>
            <w:top w:val="none" w:sz="0" w:space="0" w:color="auto"/>
            <w:left w:val="none" w:sz="0" w:space="0" w:color="auto"/>
            <w:bottom w:val="none" w:sz="0" w:space="0" w:color="auto"/>
            <w:right w:val="none" w:sz="0" w:space="0" w:color="auto"/>
          </w:divBdr>
        </w:div>
      </w:divsChild>
    </w:div>
    <w:div w:id="1293825135">
      <w:marLeft w:val="0"/>
      <w:marRight w:val="0"/>
      <w:marTop w:val="0"/>
      <w:marBottom w:val="0"/>
      <w:divBdr>
        <w:top w:val="none" w:sz="0" w:space="0" w:color="auto"/>
        <w:left w:val="none" w:sz="0" w:space="0" w:color="auto"/>
        <w:bottom w:val="none" w:sz="0" w:space="0" w:color="auto"/>
        <w:right w:val="none" w:sz="0" w:space="0" w:color="auto"/>
      </w:divBdr>
    </w:div>
    <w:div w:id="1305158698">
      <w:marLeft w:val="0"/>
      <w:marRight w:val="0"/>
      <w:marTop w:val="100"/>
      <w:marBottom w:val="0"/>
      <w:divBdr>
        <w:top w:val="none" w:sz="0" w:space="0" w:color="auto"/>
        <w:left w:val="none" w:sz="0" w:space="0" w:color="auto"/>
        <w:bottom w:val="none" w:sz="0" w:space="0" w:color="auto"/>
        <w:right w:val="none" w:sz="0" w:space="0" w:color="auto"/>
      </w:divBdr>
    </w:div>
    <w:div w:id="1308630204">
      <w:marLeft w:val="0"/>
      <w:marRight w:val="0"/>
      <w:marTop w:val="0"/>
      <w:marBottom w:val="0"/>
      <w:divBdr>
        <w:top w:val="none" w:sz="0" w:space="0" w:color="auto"/>
        <w:left w:val="none" w:sz="0" w:space="0" w:color="auto"/>
        <w:bottom w:val="none" w:sz="0" w:space="0" w:color="auto"/>
        <w:right w:val="none" w:sz="0" w:space="0" w:color="auto"/>
      </w:divBdr>
      <w:divsChild>
        <w:div w:id="94593750">
          <w:marLeft w:val="0"/>
          <w:marRight w:val="0"/>
          <w:marTop w:val="0"/>
          <w:marBottom w:val="0"/>
          <w:divBdr>
            <w:top w:val="none" w:sz="0" w:space="0" w:color="auto"/>
            <w:left w:val="none" w:sz="0" w:space="0" w:color="auto"/>
            <w:bottom w:val="none" w:sz="0" w:space="0" w:color="auto"/>
            <w:right w:val="none" w:sz="0" w:space="0" w:color="auto"/>
          </w:divBdr>
        </w:div>
      </w:divsChild>
    </w:div>
    <w:div w:id="1309476478">
      <w:marLeft w:val="0"/>
      <w:marRight w:val="0"/>
      <w:marTop w:val="180"/>
      <w:marBottom w:val="180"/>
      <w:divBdr>
        <w:top w:val="none" w:sz="0" w:space="0" w:color="auto"/>
        <w:left w:val="none" w:sz="0" w:space="0" w:color="auto"/>
        <w:bottom w:val="none" w:sz="0" w:space="0" w:color="auto"/>
        <w:right w:val="none" w:sz="0" w:space="0" w:color="auto"/>
      </w:divBdr>
    </w:div>
    <w:div w:id="1320842279">
      <w:marLeft w:val="0"/>
      <w:marRight w:val="0"/>
      <w:marTop w:val="100"/>
      <w:marBottom w:val="0"/>
      <w:divBdr>
        <w:top w:val="none" w:sz="0" w:space="0" w:color="auto"/>
        <w:left w:val="none" w:sz="0" w:space="0" w:color="auto"/>
        <w:bottom w:val="none" w:sz="0" w:space="0" w:color="auto"/>
        <w:right w:val="none" w:sz="0" w:space="0" w:color="auto"/>
      </w:divBdr>
      <w:divsChild>
        <w:div w:id="611088162">
          <w:marLeft w:val="0"/>
          <w:marRight w:val="0"/>
          <w:marTop w:val="0"/>
          <w:marBottom w:val="0"/>
          <w:divBdr>
            <w:top w:val="none" w:sz="0" w:space="0" w:color="auto"/>
            <w:left w:val="none" w:sz="0" w:space="0" w:color="auto"/>
            <w:bottom w:val="none" w:sz="0" w:space="0" w:color="auto"/>
            <w:right w:val="none" w:sz="0" w:space="0" w:color="auto"/>
          </w:divBdr>
        </w:div>
        <w:div w:id="2081177070">
          <w:marLeft w:val="0"/>
          <w:marRight w:val="0"/>
          <w:marTop w:val="0"/>
          <w:marBottom w:val="0"/>
          <w:divBdr>
            <w:top w:val="none" w:sz="0" w:space="0" w:color="auto"/>
            <w:left w:val="none" w:sz="0" w:space="0" w:color="auto"/>
            <w:bottom w:val="none" w:sz="0" w:space="0" w:color="auto"/>
            <w:right w:val="none" w:sz="0" w:space="0" w:color="auto"/>
          </w:divBdr>
        </w:div>
      </w:divsChild>
    </w:div>
    <w:div w:id="1331061018">
      <w:marLeft w:val="0"/>
      <w:marRight w:val="0"/>
      <w:marTop w:val="0"/>
      <w:marBottom w:val="0"/>
      <w:divBdr>
        <w:top w:val="none" w:sz="0" w:space="0" w:color="auto"/>
        <w:left w:val="none" w:sz="0" w:space="0" w:color="auto"/>
        <w:bottom w:val="none" w:sz="0" w:space="0" w:color="auto"/>
        <w:right w:val="none" w:sz="0" w:space="0" w:color="auto"/>
      </w:divBdr>
      <w:divsChild>
        <w:div w:id="1689018003">
          <w:marLeft w:val="0"/>
          <w:marRight w:val="0"/>
          <w:marTop w:val="0"/>
          <w:marBottom w:val="0"/>
          <w:divBdr>
            <w:top w:val="none" w:sz="0" w:space="0" w:color="auto"/>
            <w:left w:val="none" w:sz="0" w:space="0" w:color="auto"/>
            <w:bottom w:val="none" w:sz="0" w:space="0" w:color="auto"/>
            <w:right w:val="none" w:sz="0" w:space="0" w:color="auto"/>
          </w:divBdr>
        </w:div>
      </w:divsChild>
    </w:div>
    <w:div w:id="1343243809">
      <w:marLeft w:val="0"/>
      <w:marRight w:val="0"/>
      <w:marTop w:val="180"/>
      <w:marBottom w:val="180"/>
      <w:divBdr>
        <w:top w:val="none" w:sz="0" w:space="0" w:color="auto"/>
        <w:left w:val="none" w:sz="0" w:space="0" w:color="auto"/>
        <w:bottom w:val="none" w:sz="0" w:space="0" w:color="auto"/>
        <w:right w:val="none" w:sz="0" w:space="0" w:color="auto"/>
      </w:divBdr>
    </w:div>
    <w:div w:id="1350251210">
      <w:marLeft w:val="0"/>
      <w:marRight w:val="0"/>
      <w:marTop w:val="0"/>
      <w:marBottom w:val="0"/>
      <w:divBdr>
        <w:top w:val="none" w:sz="0" w:space="0" w:color="auto"/>
        <w:left w:val="none" w:sz="0" w:space="0" w:color="auto"/>
        <w:bottom w:val="none" w:sz="0" w:space="0" w:color="auto"/>
        <w:right w:val="none" w:sz="0" w:space="0" w:color="auto"/>
      </w:divBdr>
    </w:div>
    <w:div w:id="1350646169">
      <w:marLeft w:val="0"/>
      <w:marRight w:val="0"/>
      <w:marTop w:val="0"/>
      <w:marBottom w:val="0"/>
      <w:divBdr>
        <w:top w:val="none" w:sz="0" w:space="0" w:color="auto"/>
        <w:left w:val="none" w:sz="0" w:space="0" w:color="auto"/>
        <w:bottom w:val="none" w:sz="0" w:space="0" w:color="auto"/>
        <w:right w:val="none" w:sz="0" w:space="0" w:color="auto"/>
      </w:divBdr>
      <w:divsChild>
        <w:div w:id="151986968">
          <w:marLeft w:val="0"/>
          <w:marRight w:val="0"/>
          <w:marTop w:val="0"/>
          <w:marBottom w:val="0"/>
          <w:divBdr>
            <w:top w:val="none" w:sz="0" w:space="0" w:color="auto"/>
            <w:left w:val="none" w:sz="0" w:space="0" w:color="auto"/>
            <w:bottom w:val="none" w:sz="0" w:space="0" w:color="auto"/>
            <w:right w:val="none" w:sz="0" w:space="0" w:color="auto"/>
          </w:divBdr>
        </w:div>
      </w:divsChild>
    </w:div>
    <w:div w:id="1350721377">
      <w:marLeft w:val="0"/>
      <w:marRight w:val="0"/>
      <w:marTop w:val="0"/>
      <w:marBottom w:val="0"/>
      <w:divBdr>
        <w:top w:val="none" w:sz="0" w:space="0" w:color="auto"/>
        <w:left w:val="none" w:sz="0" w:space="0" w:color="auto"/>
        <w:bottom w:val="none" w:sz="0" w:space="0" w:color="auto"/>
        <w:right w:val="none" w:sz="0" w:space="0" w:color="auto"/>
      </w:divBdr>
      <w:divsChild>
        <w:div w:id="718364310">
          <w:marLeft w:val="0"/>
          <w:marRight w:val="0"/>
          <w:marTop w:val="0"/>
          <w:marBottom w:val="0"/>
          <w:divBdr>
            <w:top w:val="none" w:sz="0" w:space="0" w:color="auto"/>
            <w:left w:val="none" w:sz="0" w:space="0" w:color="auto"/>
            <w:bottom w:val="none" w:sz="0" w:space="0" w:color="auto"/>
            <w:right w:val="none" w:sz="0" w:space="0" w:color="auto"/>
          </w:divBdr>
        </w:div>
      </w:divsChild>
    </w:div>
    <w:div w:id="1358234067">
      <w:marLeft w:val="0"/>
      <w:marRight w:val="0"/>
      <w:marTop w:val="0"/>
      <w:marBottom w:val="0"/>
      <w:divBdr>
        <w:top w:val="none" w:sz="0" w:space="0" w:color="auto"/>
        <w:left w:val="none" w:sz="0" w:space="0" w:color="auto"/>
        <w:bottom w:val="none" w:sz="0" w:space="0" w:color="auto"/>
        <w:right w:val="none" w:sz="0" w:space="0" w:color="auto"/>
      </w:divBdr>
      <w:divsChild>
        <w:div w:id="1672296294">
          <w:marLeft w:val="0"/>
          <w:marRight w:val="0"/>
          <w:marTop w:val="0"/>
          <w:marBottom w:val="0"/>
          <w:divBdr>
            <w:top w:val="none" w:sz="0" w:space="0" w:color="auto"/>
            <w:left w:val="none" w:sz="0" w:space="0" w:color="auto"/>
            <w:bottom w:val="none" w:sz="0" w:space="0" w:color="auto"/>
            <w:right w:val="none" w:sz="0" w:space="0" w:color="auto"/>
          </w:divBdr>
        </w:div>
      </w:divsChild>
    </w:div>
    <w:div w:id="1360623443">
      <w:marLeft w:val="0"/>
      <w:marRight w:val="0"/>
      <w:marTop w:val="0"/>
      <w:marBottom w:val="0"/>
      <w:divBdr>
        <w:top w:val="none" w:sz="0" w:space="0" w:color="auto"/>
        <w:left w:val="none" w:sz="0" w:space="0" w:color="auto"/>
        <w:bottom w:val="none" w:sz="0" w:space="0" w:color="auto"/>
        <w:right w:val="none" w:sz="0" w:space="0" w:color="auto"/>
      </w:divBdr>
    </w:div>
    <w:div w:id="1368991130">
      <w:marLeft w:val="0"/>
      <w:marRight w:val="0"/>
      <w:marTop w:val="0"/>
      <w:marBottom w:val="0"/>
      <w:divBdr>
        <w:top w:val="none" w:sz="0" w:space="0" w:color="auto"/>
        <w:left w:val="none" w:sz="0" w:space="0" w:color="auto"/>
        <w:bottom w:val="none" w:sz="0" w:space="0" w:color="auto"/>
        <w:right w:val="none" w:sz="0" w:space="0" w:color="auto"/>
      </w:divBdr>
    </w:div>
    <w:div w:id="1369990472">
      <w:marLeft w:val="0"/>
      <w:marRight w:val="0"/>
      <w:marTop w:val="0"/>
      <w:marBottom w:val="0"/>
      <w:divBdr>
        <w:top w:val="none" w:sz="0" w:space="0" w:color="auto"/>
        <w:left w:val="none" w:sz="0" w:space="0" w:color="auto"/>
        <w:bottom w:val="none" w:sz="0" w:space="0" w:color="auto"/>
        <w:right w:val="none" w:sz="0" w:space="0" w:color="auto"/>
      </w:divBdr>
    </w:div>
    <w:div w:id="1374234391">
      <w:marLeft w:val="0"/>
      <w:marRight w:val="0"/>
      <w:marTop w:val="0"/>
      <w:marBottom w:val="0"/>
      <w:divBdr>
        <w:top w:val="none" w:sz="0" w:space="0" w:color="auto"/>
        <w:left w:val="none" w:sz="0" w:space="0" w:color="auto"/>
        <w:bottom w:val="none" w:sz="0" w:space="0" w:color="auto"/>
        <w:right w:val="none" w:sz="0" w:space="0" w:color="auto"/>
      </w:divBdr>
    </w:div>
    <w:div w:id="1386107138">
      <w:marLeft w:val="0"/>
      <w:marRight w:val="0"/>
      <w:marTop w:val="0"/>
      <w:marBottom w:val="0"/>
      <w:divBdr>
        <w:top w:val="none" w:sz="0" w:space="0" w:color="auto"/>
        <w:left w:val="none" w:sz="0" w:space="0" w:color="auto"/>
        <w:bottom w:val="none" w:sz="0" w:space="0" w:color="auto"/>
        <w:right w:val="none" w:sz="0" w:space="0" w:color="auto"/>
      </w:divBdr>
      <w:divsChild>
        <w:div w:id="271590748">
          <w:marLeft w:val="0"/>
          <w:marRight w:val="0"/>
          <w:marTop w:val="0"/>
          <w:marBottom w:val="0"/>
          <w:divBdr>
            <w:top w:val="none" w:sz="0" w:space="0" w:color="auto"/>
            <w:left w:val="none" w:sz="0" w:space="0" w:color="auto"/>
            <w:bottom w:val="none" w:sz="0" w:space="0" w:color="auto"/>
            <w:right w:val="none" w:sz="0" w:space="0" w:color="auto"/>
          </w:divBdr>
        </w:div>
      </w:divsChild>
    </w:div>
    <w:div w:id="1389112500">
      <w:marLeft w:val="0"/>
      <w:marRight w:val="0"/>
      <w:marTop w:val="0"/>
      <w:marBottom w:val="0"/>
      <w:divBdr>
        <w:top w:val="none" w:sz="0" w:space="0" w:color="auto"/>
        <w:left w:val="none" w:sz="0" w:space="0" w:color="auto"/>
        <w:bottom w:val="none" w:sz="0" w:space="0" w:color="auto"/>
        <w:right w:val="none" w:sz="0" w:space="0" w:color="auto"/>
      </w:divBdr>
      <w:divsChild>
        <w:div w:id="628904184">
          <w:marLeft w:val="0"/>
          <w:marRight w:val="0"/>
          <w:marTop w:val="0"/>
          <w:marBottom w:val="0"/>
          <w:divBdr>
            <w:top w:val="none" w:sz="0" w:space="0" w:color="auto"/>
            <w:left w:val="none" w:sz="0" w:space="0" w:color="auto"/>
            <w:bottom w:val="none" w:sz="0" w:space="0" w:color="auto"/>
            <w:right w:val="none" w:sz="0" w:space="0" w:color="auto"/>
          </w:divBdr>
        </w:div>
      </w:divsChild>
    </w:div>
    <w:div w:id="1391801837">
      <w:marLeft w:val="0"/>
      <w:marRight w:val="0"/>
      <w:marTop w:val="0"/>
      <w:marBottom w:val="0"/>
      <w:divBdr>
        <w:top w:val="none" w:sz="0" w:space="0" w:color="auto"/>
        <w:left w:val="none" w:sz="0" w:space="0" w:color="auto"/>
        <w:bottom w:val="none" w:sz="0" w:space="0" w:color="auto"/>
        <w:right w:val="none" w:sz="0" w:space="0" w:color="auto"/>
      </w:divBdr>
    </w:div>
    <w:div w:id="1409231731">
      <w:marLeft w:val="0"/>
      <w:marRight w:val="0"/>
      <w:marTop w:val="0"/>
      <w:marBottom w:val="0"/>
      <w:divBdr>
        <w:top w:val="none" w:sz="0" w:space="0" w:color="auto"/>
        <w:left w:val="none" w:sz="0" w:space="0" w:color="auto"/>
        <w:bottom w:val="none" w:sz="0" w:space="0" w:color="auto"/>
        <w:right w:val="none" w:sz="0" w:space="0" w:color="auto"/>
      </w:divBdr>
    </w:div>
    <w:div w:id="1414206489">
      <w:marLeft w:val="0"/>
      <w:marRight w:val="0"/>
      <w:marTop w:val="0"/>
      <w:marBottom w:val="0"/>
      <w:divBdr>
        <w:top w:val="none" w:sz="0" w:space="0" w:color="auto"/>
        <w:left w:val="none" w:sz="0" w:space="0" w:color="auto"/>
        <w:bottom w:val="none" w:sz="0" w:space="0" w:color="auto"/>
        <w:right w:val="none" w:sz="0" w:space="0" w:color="auto"/>
      </w:divBdr>
      <w:divsChild>
        <w:div w:id="1714190784">
          <w:marLeft w:val="0"/>
          <w:marRight w:val="0"/>
          <w:marTop w:val="0"/>
          <w:marBottom w:val="0"/>
          <w:divBdr>
            <w:top w:val="none" w:sz="0" w:space="0" w:color="auto"/>
            <w:left w:val="none" w:sz="0" w:space="0" w:color="auto"/>
            <w:bottom w:val="none" w:sz="0" w:space="0" w:color="auto"/>
            <w:right w:val="none" w:sz="0" w:space="0" w:color="auto"/>
          </w:divBdr>
        </w:div>
      </w:divsChild>
    </w:div>
    <w:div w:id="1415737642">
      <w:marLeft w:val="0"/>
      <w:marRight w:val="0"/>
      <w:marTop w:val="0"/>
      <w:marBottom w:val="0"/>
      <w:divBdr>
        <w:top w:val="none" w:sz="0" w:space="0" w:color="auto"/>
        <w:left w:val="none" w:sz="0" w:space="0" w:color="auto"/>
        <w:bottom w:val="none" w:sz="0" w:space="0" w:color="auto"/>
        <w:right w:val="none" w:sz="0" w:space="0" w:color="auto"/>
      </w:divBdr>
    </w:div>
    <w:div w:id="1418672367">
      <w:marLeft w:val="0"/>
      <w:marRight w:val="0"/>
      <w:marTop w:val="100"/>
      <w:marBottom w:val="0"/>
      <w:divBdr>
        <w:top w:val="none" w:sz="0" w:space="0" w:color="auto"/>
        <w:left w:val="none" w:sz="0" w:space="0" w:color="auto"/>
        <w:bottom w:val="none" w:sz="0" w:space="0" w:color="auto"/>
        <w:right w:val="none" w:sz="0" w:space="0" w:color="auto"/>
      </w:divBdr>
      <w:divsChild>
        <w:div w:id="453869552">
          <w:marLeft w:val="0"/>
          <w:marRight w:val="0"/>
          <w:marTop w:val="0"/>
          <w:marBottom w:val="0"/>
          <w:divBdr>
            <w:top w:val="none" w:sz="0" w:space="0" w:color="auto"/>
            <w:left w:val="none" w:sz="0" w:space="0" w:color="auto"/>
            <w:bottom w:val="none" w:sz="0" w:space="0" w:color="auto"/>
            <w:right w:val="none" w:sz="0" w:space="0" w:color="auto"/>
          </w:divBdr>
        </w:div>
      </w:divsChild>
    </w:div>
    <w:div w:id="1419058818">
      <w:marLeft w:val="0"/>
      <w:marRight w:val="0"/>
      <w:marTop w:val="0"/>
      <w:marBottom w:val="0"/>
      <w:divBdr>
        <w:top w:val="none" w:sz="0" w:space="0" w:color="auto"/>
        <w:left w:val="none" w:sz="0" w:space="0" w:color="auto"/>
        <w:bottom w:val="none" w:sz="0" w:space="0" w:color="auto"/>
        <w:right w:val="none" w:sz="0" w:space="0" w:color="auto"/>
      </w:divBdr>
    </w:div>
    <w:div w:id="1419138133">
      <w:marLeft w:val="0"/>
      <w:marRight w:val="0"/>
      <w:marTop w:val="0"/>
      <w:marBottom w:val="0"/>
      <w:divBdr>
        <w:top w:val="none" w:sz="0" w:space="0" w:color="auto"/>
        <w:left w:val="none" w:sz="0" w:space="0" w:color="auto"/>
        <w:bottom w:val="none" w:sz="0" w:space="0" w:color="auto"/>
        <w:right w:val="none" w:sz="0" w:space="0" w:color="auto"/>
      </w:divBdr>
    </w:div>
    <w:div w:id="1435708668">
      <w:marLeft w:val="0"/>
      <w:marRight w:val="0"/>
      <w:marTop w:val="0"/>
      <w:marBottom w:val="0"/>
      <w:divBdr>
        <w:top w:val="none" w:sz="0" w:space="0" w:color="auto"/>
        <w:left w:val="none" w:sz="0" w:space="0" w:color="auto"/>
        <w:bottom w:val="none" w:sz="0" w:space="0" w:color="auto"/>
        <w:right w:val="none" w:sz="0" w:space="0" w:color="auto"/>
      </w:divBdr>
    </w:div>
    <w:div w:id="1448768527">
      <w:marLeft w:val="0"/>
      <w:marRight w:val="0"/>
      <w:marTop w:val="0"/>
      <w:marBottom w:val="0"/>
      <w:divBdr>
        <w:top w:val="none" w:sz="0" w:space="0" w:color="auto"/>
        <w:left w:val="none" w:sz="0" w:space="0" w:color="auto"/>
        <w:bottom w:val="none" w:sz="0" w:space="0" w:color="auto"/>
        <w:right w:val="none" w:sz="0" w:space="0" w:color="auto"/>
      </w:divBdr>
    </w:div>
    <w:div w:id="1454783310">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1456293363">
      <w:marLeft w:val="0"/>
      <w:marRight w:val="0"/>
      <w:marTop w:val="100"/>
      <w:marBottom w:val="0"/>
      <w:divBdr>
        <w:top w:val="none" w:sz="0" w:space="0" w:color="auto"/>
        <w:left w:val="none" w:sz="0" w:space="0" w:color="auto"/>
        <w:bottom w:val="none" w:sz="0" w:space="0" w:color="auto"/>
        <w:right w:val="none" w:sz="0" w:space="0" w:color="auto"/>
      </w:divBdr>
    </w:div>
    <w:div w:id="1463185554">
      <w:marLeft w:val="0"/>
      <w:marRight w:val="0"/>
      <w:marTop w:val="80"/>
      <w:marBottom w:val="0"/>
      <w:divBdr>
        <w:top w:val="none" w:sz="0" w:space="0" w:color="auto"/>
        <w:left w:val="none" w:sz="0" w:space="0" w:color="auto"/>
        <w:bottom w:val="none" w:sz="0" w:space="0" w:color="auto"/>
        <w:right w:val="none" w:sz="0" w:space="0" w:color="auto"/>
      </w:divBdr>
    </w:div>
    <w:div w:id="1473451298">
      <w:marLeft w:val="0"/>
      <w:marRight w:val="0"/>
      <w:marTop w:val="0"/>
      <w:marBottom w:val="0"/>
      <w:divBdr>
        <w:top w:val="none" w:sz="0" w:space="0" w:color="auto"/>
        <w:left w:val="none" w:sz="0" w:space="0" w:color="auto"/>
        <w:bottom w:val="none" w:sz="0" w:space="0" w:color="auto"/>
        <w:right w:val="none" w:sz="0" w:space="0" w:color="auto"/>
      </w:divBdr>
    </w:div>
    <w:div w:id="1484467854">
      <w:marLeft w:val="0"/>
      <w:marRight w:val="0"/>
      <w:marTop w:val="180"/>
      <w:marBottom w:val="0"/>
      <w:divBdr>
        <w:top w:val="none" w:sz="0" w:space="0" w:color="auto"/>
        <w:left w:val="none" w:sz="0" w:space="0" w:color="auto"/>
        <w:bottom w:val="none" w:sz="0" w:space="0" w:color="auto"/>
        <w:right w:val="none" w:sz="0" w:space="0" w:color="auto"/>
      </w:divBdr>
    </w:div>
    <w:div w:id="1484657211">
      <w:marLeft w:val="0"/>
      <w:marRight w:val="0"/>
      <w:marTop w:val="0"/>
      <w:marBottom w:val="0"/>
      <w:divBdr>
        <w:top w:val="none" w:sz="0" w:space="0" w:color="auto"/>
        <w:left w:val="none" w:sz="0" w:space="0" w:color="auto"/>
        <w:bottom w:val="none" w:sz="0" w:space="0" w:color="auto"/>
        <w:right w:val="none" w:sz="0" w:space="0" w:color="auto"/>
      </w:divBdr>
    </w:div>
    <w:div w:id="1484858323">
      <w:marLeft w:val="0"/>
      <w:marRight w:val="0"/>
      <w:marTop w:val="0"/>
      <w:marBottom w:val="0"/>
      <w:divBdr>
        <w:top w:val="none" w:sz="0" w:space="0" w:color="auto"/>
        <w:left w:val="none" w:sz="0" w:space="0" w:color="auto"/>
        <w:bottom w:val="none" w:sz="0" w:space="0" w:color="auto"/>
        <w:right w:val="none" w:sz="0" w:space="0" w:color="auto"/>
      </w:divBdr>
      <w:divsChild>
        <w:div w:id="1909875167">
          <w:marLeft w:val="0"/>
          <w:marRight w:val="0"/>
          <w:marTop w:val="0"/>
          <w:marBottom w:val="0"/>
          <w:divBdr>
            <w:top w:val="none" w:sz="0" w:space="0" w:color="auto"/>
            <w:left w:val="none" w:sz="0" w:space="0" w:color="auto"/>
            <w:bottom w:val="none" w:sz="0" w:space="0" w:color="auto"/>
            <w:right w:val="none" w:sz="0" w:space="0" w:color="auto"/>
          </w:divBdr>
        </w:div>
      </w:divsChild>
    </w:div>
    <w:div w:id="1489396923">
      <w:marLeft w:val="0"/>
      <w:marRight w:val="0"/>
      <w:marTop w:val="0"/>
      <w:marBottom w:val="0"/>
      <w:divBdr>
        <w:top w:val="none" w:sz="0" w:space="0" w:color="auto"/>
        <w:left w:val="none" w:sz="0" w:space="0" w:color="auto"/>
        <w:bottom w:val="none" w:sz="0" w:space="0" w:color="auto"/>
        <w:right w:val="none" w:sz="0" w:space="0" w:color="auto"/>
      </w:divBdr>
      <w:divsChild>
        <w:div w:id="1635062237">
          <w:marLeft w:val="0"/>
          <w:marRight w:val="0"/>
          <w:marTop w:val="0"/>
          <w:marBottom w:val="0"/>
          <w:divBdr>
            <w:top w:val="none" w:sz="0" w:space="0" w:color="auto"/>
            <w:left w:val="none" w:sz="0" w:space="0" w:color="auto"/>
            <w:bottom w:val="none" w:sz="0" w:space="0" w:color="auto"/>
            <w:right w:val="none" w:sz="0" w:space="0" w:color="auto"/>
          </w:divBdr>
        </w:div>
      </w:divsChild>
    </w:div>
    <w:div w:id="1495293404">
      <w:marLeft w:val="0"/>
      <w:marRight w:val="0"/>
      <w:marTop w:val="0"/>
      <w:marBottom w:val="0"/>
      <w:divBdr>
        <w:top w:val="none" w:sz="0" w:space="0" w:color="auto"/>
        <w:left w:val="none" w:sz="0" w:space="0" w:color="auto"/>
        <w:bottom w:val="none" w:sz="0" w:space="0" w:color="auto"/>
        <w:right w:val="none" w:sz="0" w:space="0" w:color="auto"/>
      </w:divBdr>
    </w:div>
    <w:div w:id="1514949818">
      <w:marLeft w:val="0"/>
      <w:marRight w:val="0"/>
      <w:marTop w:val="0"/>
      <w:marBottom w:val="0"/>
      <w:divBdr>
        <w:top w:val="none" w:sz="0" w:space="0" w:color="auto"/>
        <w:left w:val="none" w:sz="0" w:space="0" w:color="auto"/>
        <w:bottom w:val="none" w:sz="0" w:space="0" w:color="auto"/>
        <w:right w:val="none" w:sz="0" w:space="0" w:color="auto"/>
      </w:divBdr>
      <w:divsChild>
        <w:div w:id="1777863386">
          <w:marLeft w:val="0"/>
          <w:marRight w:val="0"/>
          <w:marTop w:val="0"/>
          <w:marBottom w:val="0"/>
          <w:divBdr>
            <w:top w:val="none" w:sz="0" w:space="0" w:color="auto"/>
            <w:left w:val="none" w:sz="0" w:space="0" w:color="auto"/>
            <w:bottom w:val="none" w:sz="0" w:space="0" w:color="auto"/>
            <w:right w:val="none" w:sz="0" w:space="0" w:color="auto"/>
          </w:divBdr>
        </w:div>
      </w:divsChild>
    </w:div>
    <w:div w:id="1517619768">
      <w:marLeft w:val="0"/>
      <w:marRight w:val="0"/>
      <w:marTop w:val="60"/>
      <w:marBottom w:val="60"/>
      <w:divBdr>
        <w:top w:val="none" w:sz="0" w:space="0" w:color="auto"/>
        <w:left w:val="none" w:sz="0" w:space="0" w:color="auto"/>
        <w:bottom w:val="none" w:sz="0" w:space="0" w:color="auto"/>
        <w:right w:val="none" w:sz="0" w:space="0" w:color="auto"/>
      </w:divBdr>
    </w:div>
    <w:div w:id="1523472216">
      <w:marLeft w:val="0"/>
      <w:marRight w:val="0"/>
      <w:marTop w:val="100"/>
      <w:marBottom w:val="0"/>
      <w:divBdr>
        <w:top w:val="none" w:sz="0" w:space="0" w:color="auto"/>
        <w:left w:val="none" w:sz="0" w:space="0" w:color="auto"/>
        <w:bottom w:val="none" w:sz="0" w:space="0" w:color="auto"/>
        <w:right w:val="none" w:sz="0" w:space="0" w:color="auto"/>
      </w:divBdr>
    </w:div>
    <w:div w:id="1538008846">
      <w:marLeft w:val="0"/>
      <w:marRight w:val="0"/>
      <w:marTop w:val="0"/>
      <w:marBottom w:val="0"/>
      <w:divBdr>
        <w:top w:val="none" w:sz="0" w:space="0" w:color="auto"/>
        <w:left w:val="none" w:sz="0" w:space="0" w:color="auto"/>
        <w:bottom w:val="none" w:sz="0" w:space="0" w:color="auto"/>
        <w:right w:val="none" w:sz="0" w:space="0" w:color="auto"/>
      </w:divBdr>
    </w:div>
    <w:div w:id="1543399328">
      <w:marLeft w:val="0"/>
      <w:marRight w:val="0"/>
      <w:marTop w:val="0"/>
      <w:marBottom w:val="0"/>
      <w:divBdr>
        <w:top w:val="none" w:sz="0" w:space="0" w:color="auto"/>
        <w:left w:val="none" w:sz="0" w:space="0" w:color="auto"/>
        <w:bottom w:val="none" w:sz="0" w:space="0" w:color="auto"/>
        <w:right w:val="none" w:sz="0" w:space="0" w:color="auto"/>
      </w:divBdr>
    </w:div>
    <w:div w:id="1549025806">
      <w:marLeft w:val="0"/>
      <w:marRight w:val="0"/>
      <w:marTop w:val="0"/>
      <w:marBottom w:val="0"/>
      <w:divBdr>
        <w:top w:val="none" w:sz="0" w:space="0" w:color="auto"/>
        <w:left w:val="none" w:sz="0" w:space="0" w:color="auto"/>
        <w:bottom w:val="none" w:sz="0" w:space="0" w:color="auto"/>
        <w:right w:val="none" w:sz="0" w:space="0" w:color="auto"/>
      </w:divBdr>
    </w:div>
    <w:div w:id="1549337210">
      <w:marLeft w:val="0"/>
      <w:marRight w:val="0"/>
      <w:marTop w:val="100"/>
      <w:marBottom w:val="0"/>
      <w:divBdr>
        <w:top w:val="none" w:sz="0" w:space="0" w:color="auto"/>
        <w:left w:val="none" w:sz="0" w:space="0" w:color="auto"/>
        <w:bottom w:val="none" w:sz="0" w:space="0" w:color="auto"/>
        <w:right w:val="none" w:sz="0" w:space="0" w:color="auto"/>
      </w:divBdr>
    </w:div>
    <w:div w:id="1556694075">
      <w:marLeft w:val="0"/>
      <w:marRight w:val="0"/>
      <w:marTop w:val="0"/>
      <w:marBottom w:val="160"/>
      <w:divBdr>
        <w:top w:val="none" w:sz="0" w:space="0" w:color="auto"/>
        <w:left w:val="none" w:sz="0" w:space="0" w:color="auto"/>
        <w:bottom w:val="none" w:sz="0" w:space="0" w:color="auto"/>
        <w:right w:val="none" w:sz="0" w:space="0" w:color="auto"/>
      </w:divBdr>
    </w:div>
    <w:div w:id="1558786453">
      <w:marLeft w:val="0"/>
      <w:marRight w:val="0"/>
      <w:marTop w:val="100"/>
      <w:marBottom w:val="0"/>
      <w:divBdr>
        <w:top w:val="none" w:sz="0" w:space="0" w:color="auto"/>
        <w:left w:val="none" w:sz="0" w:space="0" w:color="auto"/>
        <w:bottom w:val="none" w:sz="0" w:space="0" w:color="auto"/>
        <w:right w:val="none" w:sz="0" w:space="0" w:color="auto"/>
      </w:divBdr>
    </w:div>
    <w:div w:id="1568570226">
      <w:marLeft w:val="0"/>
      <w:marRight w:val="0"/>
      <w:marTop w:val="0"/>
      <w:marBottom w:val="0"/>
      <w:divBdr>
        <w:top w:val="none" w:sz="0" w:space="0" w:color="auto"/>
        <w:left w:val="none" w:sz="0" w:space="0" w:color="auto"/>
        <w:bottom w:val="none" w:sz="0" w:space="0" w:color="auto"/>
        <w:right w:val="none" w:sz="0" w:space="0" w:color="auto"/>
      </w:divBdr>
    </w:div>
    <w:div w:id="1573540430">
      <w:marLeft w:val="0"/>
      <w:marRight w:val="0"/>
      <w:marTop w:val="80"/>
      <w:marBottom w:val="0"/>
      <w:divBdr>
        <w:top w:val="none" w:sz="0" w:space="0" w:color="auto"/>
        <w:left w:val="none" w:sz="0" w:space="0" w:color="auto"/>
        <w:bottom w:val="none" w:sz="0" w:space="0" w:color="auto"/>
        <w:right w:val="none" w:sz="0" w:space="0" w:color="auto"/>
      </w:divBdr>
    </w:div>
    <w:div w:id="1576429232">
      <w:marLeft w:val="0"/>
      <w:marRight w:val="0"/>
      <w:marTop w:val="0"/>
      <w:marBottom w:val="0"/>
      <w:divBdr>
        <w:top w:val="none" w:sz="0" w:space="0" w:color="auto"/>
        <w:left w:val="none" w:sz="0" w:space="0" w:color="auto"/>
        <w:bottom w:val="none" w:sz="0" w:space="0" w:color="auto"/>
        <w:right w:val="none" w:sz="0" w:space="0" w:color="auto"/>
      </w:divBdr>
      <w:divsChild>
        <w:div w:id="1488666300">
          <w:marLeft w:val="0"/>
          <w:marRight w:val="0"/>
          <w:marTop w:val="0"/>
          <w:marBottom w:val="0"/>
          <w:divBdr>
            <w:top w:val="none" w:sz="0" w:space="0" w:color="auto"/>
            <w:left w:val="none" w:sz="0" w:space="0" w:color="auto"/>
            <w:bottom w:val="none" w:sz="0" w:space="0" w:color="auto"/>
            <w:right w:val="none" w:sz="0" w:space="0" w:color="auto"/>
          </w:divBdr>
        </w:div>
      </w:divsChild>
    </w:div>
    <w:div w:id="1577276889">
      <w:marLeft w:val="0"/>
      <w:marRight w:val="0"/>
      <w:marTop w:val="0"/>
      <w:marBottom w:val="0"/>
      <w:divBdr>
        <w:top w:val="none" w:sz="0" w:space="0" w:color="auto"/>
        <w:left w:val="none" w:sz="0" w:space="0" w:color="auto"/>
        <w:bottom w:val="none" w:sz="0" w:space="0" w:color="auto"/>
        <w:right w:val="none" w:sz="0" w:space="0" w:color="auto"/>
      </w:divBdr>
    </w:div>
    <w:div w:id="1606959046">
      <w:marLeft w:val="0"/>
      <w:marRight w:val="0"/>
      <w:marTop w:val="100"/>
      <w:marBottom w:val="0"/>
      <w:divBdr>
        <w:top w:val="none" w:sz="0" w:space="0" w:color="auto"/>
        <w:left w:val="none" w:sz="0" w:space="0" w:color="auto"/>
        <w:bottom w:val="none" w:sz="0" w:space="0" w:color="auto"/>
        <w:right w:val="none" w:sz="0" w:space="0" w:color="auto"/>
      </w:divBdr>
    </w:div>
    <w:div w:id="1608851060">
      <w:marLeft w:val="0"/>
      <w:marRight w:val="0"/>
      <w:marTop w:val="0"/>
      <w:marBottom w:val="0"/>
      <w:divBdr>
        <w:top w:val="none" w:sz="0" w:space="0" w:color="auto"/>
        <w:left w:val="none" w:sz="0" w:space="0" w:color="auto"/>
        <w:bottom w:val="none" w:sz="0" w:space="0" w:color="auto"/>
        <w:right w:val="none" w:sz="0" w:space="0" w:color="auto"/>
      </w:divBdr>
    </w:div>
    <w:div w:id="1609653352">
      <w:marLeft w:val="0"/>
      <w:marRight w:val="0"/>
      <w:marTop w:val="0"/>
      <w:marBottom w:val="0"/>
      <w:divBdr>
        <w:top w:val="none" w:sz="0" w:space="0" w:color="auto"/>
        <w:left w:val="none" w:sz="0" w:space="0" w:color="auto"/>
        <w:bottom w:val="none" w:sz="0" w:space="0" w:color="auto"/>
        <w:right w:val="none" w:sz="0" w:space="0" w:color="auto"/>
      </w:divBdr>
      <w:divsChild>
        <w:div w:id="764349637">
          <w:marLeft w:val="0"/>
          <w:marRight w:val="0"/>
          <w:marTop w:val="0"/>
          <w:marBottom w:val="0"/>
          <w:divBdr>
            <w:top w:val="none" w:sz="0" w:space="0" w:color="auto"/>
            <w:left w:val="none" w:sz="0" w:space="0" w:color="auto"/>
            <w:bottom w:val="none" w:sz="0" w:space="0" w:color="auto"/>
            <w:right w:val="none" w:sz="0" w:space="0" w:color="auto"/>
          </w:divBdr>
        </w:div>
      </w:divsChild>
    </w:div>
    <w:div w:id="1615015114">
      <w:marLeft w:val="0"/>
      <w:marRight w:val="0"/>
      <w:marTop w:val="0"/>
      <w:marBottom w:val="160"/>
      <w:divBdr>
        <w:top w:val="none" w:sz="0" w:space="0" w:color="auto"/>
        <w:left w:val="none" w:sz="0" w:space="0" w:color="auto"/>
        <w:bottom w:val="none" w:sz="0" w:space="0" w:color="auto"/>
        <w:right w:val="none" w:sz="0" w:space="0" w:color="auto"/>
      </w:divBdr>
    </w:div>
    <w:div w:id="1624997325">
      <w:marLeft w:val="0"/>
      <w:marRight w:val="0"/>
      <w:marTop w:val="0"/>
      <w:marBottom w:val="0"/>
      <w:divBdr>
        <w:top w:val="none" w:sz="0" w:space="0" w:color="auto"/>
        <w:left w:val="none" w:sz="0" w:space="0" w:color="auto"/>
        <w:bottom w:val="none" w:sz="0" w:space="0" w:color="auto"/>
        <w:right w:val="none" w:sz="0" w:space="0" w:color="auto"/>
      </w:divBdr>
      <w:divsChild>
        <w:div w:id="1475030515">
          <w:marLeft w:val="0"/>
          <w:marRight w:val="0"/>
          <w:marTop w:val="0"/>
          <w:marBottom w:val="0"/>
          <w:divBdr>
            <w:top w:val="none" w:sz="0" w:space="0" w:color="auto"/>
            <w:left w:val="none" w:sz="0" w:space="0" w:color="auto"/>
            <w:bottom w:val="none" w:sz="0" w:space="0" w:color="auto"/>
            <w:right w:val="none" w:sz="0" w:space="0" w:color="auto"/>
          </w:divBdr>
        </w:div>
      </w:divsChild>
    </w:div>
    <w:div w:id="1630430285">
      <w:marLeft w:val="0"/>
      <w:marRight w:val="0"/>
      <w:marTop w:val="0"/>
      <w:marBottom w:val="0"/>
      <w:divBdr>
        <w:top w:val="none" w:sz="0" w:space="0" w:color="auto"/>
        <w:left w:val="none" w:sz="0" w:space="0" w:color="auto"/>
        <w:bottom w:val="none" w:sz="0" w:space="0" w:color="auto"/>
        <w:right w:val="none" w:sz="0" w:space="0" w:color="auto"/>
      </w:divBdr>
      <w:divsChild>
        <w:div w:id="1021082708">
          <w:marLeft w:val="0"/>
          <w:marRight w:val="0"/>
          <w:marTop w:val="0"/>
          <w:marBottom w:val="0"/>
          <w:divBdr>
            <w:top w:val="none" w:sz="0" w:space="0" w:color="auto"/>
            <w:left w:val="none" w:sz="0" w:space="0" w:color="auto"/>
            <w:bottom w:val="none" w:sz="0" w:space="0" w:color="auto"/>
            <w:right w:val="none" w:sz="0" w:space="0" w:color="auto"/>
          </w:divBdr>
        </w:div>
      </w:divsChild>
    </w:div>
    <w:div w:id="1639143872">
      <w:marLeft w:val="0"/>
      <w:marRight w:val="0"/>
      <w:marTop w:val="0"/>
      <w:marBottom w:val="0"/>
      <w:divBdr>
        <w:top w:val="none" w:sz="0" w:space="0" w:color="auto"/>
        <w:left w:val="none" w:sz="0" w:space="0" w:color="auto"/>
        <w:bottom w:val="none" w:sz="0" w:space="0" w:color="auto"/>
        <w:right w:val="none" w:sz="0" w:space="0" w:color="auto"/>
      </w:divBdr>
    </w:div>
    <w:div w:id="1649289234">
      <w:marLeft w:val="0"/>
      <w:marRight w:val="0"/>
      <w:marTop w:val="100"/>
      <w:marBottom w:val="0"/>
      <w:divBdr>
        <w:top w:val="none" w:sz="0" w:space="0" w:color="auto"/>
        <w:left w:val="none" w:sz="0" w:space="0" w:color="auto"/>
        <w:bottom w:val="none" w:sz="0" w:space="0" w:color="auto"/>
        <w:right w:val="none" w:sz="0" w:space="0" w:color="auto"/>
      </w:divBdr>
      <w:divsChild>
        <w:div w:id="1198011992">
          <w:marLeft w:val="0"/>
          <w:marRight w:val="0"/>
          <w:marTop w:val="0"/>
          <w:marBottom w:val="20"/>
          <w:divBdr>
            <w:top w:val="none" w:sz="0" w:space="0" w:color="auto"/>
            <w:left w:val="none" w:sz="0" w:space="0" w:color="auto"/>
            <w:bottom w:val="none" w:sz="0" w:space="0" w:color="auto"/>
            <w:right w:val="none" w:sz="0" w:space="0" w:color="auto"/>
          </w:divBdr>
        </w:div>
        <w:div w:id="1976829587">
          <w:marLeft w:val="0"/>
          <w:marRight w:val="0"/>
          <w:marTop w:val="0"/>
          <w:marBottom w:val="20"/>
          <w:divBdr>
            <w:top w:val="none" w:sz="0" w:space="0" w:color="auto"/>
            <w:left w:val="none" w:sz="0" w:space="0" w:color="auto"/>
            <w:bottom w:val="none" w:sz="0" w:space="0" w:color="auto"/>
            <w:right w:val="none" w:sz="0" w:space="0" w:color="auto"/>
          </w:divBdr>
        </w:div>
        <w:div w:id="794249653">
          <w:marLeft w:val="0"/>
          <w:marRight w:val="0"/>
          <w:marTop w:val="0"/>
          <w:marBottom w:val="20"/>
          <w:divBdr>
            <w:top w:val="none" w:sz="0" w:space="0" w:color="auto"/>
            <w:left w:val="none" w:sz="0" w:space="0" w:color="auto"/>
            <w:bottom w:val="none" w:sz="0" w:space="0" w:color="auto"/>
            <w:right w:val="none" w:sz="0" w:space="0" w:color="auto"/>
          </w:divBdr>
        </w:div>
        <w:div w:id="1432774973">
          <w:marLeft w:val="0"/>
          <w:marRight w:val="0"/>
          <w:marTop w:val="0"/>
          <w:marBottom w:val="20"/>
          <w:divBdr>
            <w:top w:val="none" w:sz="0" w:space="0" w:color="auto"/>
            <w:left w:val="none" w:sz="0" w:space="0" w:color="auto"/>
            <w:bottom w:val="none" w:sz="0" w:space="0" w:color="auto"/>
            <w:right w:val="none" w:sz="0" w:space="0" w:color="auto"/>
          </w:divBdr>
        </w:div>
        <w:div w:id="1639454400">
          <w:marLeft w:val="0"/>
          <w:marRight w:val="0"/>
          <w:marTop w:val="0"/>
          <w:marBottom w:val="20"/>
          <w:divBdr>
            <w:top w:val="none" w:sz="0" w:space="0" w:color="auto"/>
            <w:left w:val="none" w:sz="0" w:space="0" w:color="auto"/>
            <w:bottom w:val="none" w:sz="0" w:space="0" w:color="auto"/>
            <w:right w:val="none" w:sz="0" w:space="0" w:color="auto"/>
          </w:divBdr>
        </w:div>
        <w:div w:id="1477718184">
          <w:marLeft w:val="0"/>
          <w:marRight w:val="0"/>
          <w:marTop w:val="0"/>
          <w:marBottom w:val="20"/>
          <w:divBdr>
            <w:top w:val="none" w:sz="0" w:space="0" w:color="auto"/>
            <w:left w:val="none" w:sz="0" w:space="0" w:color="auto"/>
            <w:bottom w:val="none" w:sz="0" w:space="0" w:color="auto"/>
            <w:right w:val="none" w:sz="0" w:space="0" w:color="auto"/>
          </w:divBdr>
        </w:div>
        <w:div w:id="577792533">
          <w:marLeft w:val="0"/>
          <w:marRight w:val="0"/>
          <w:marTop w:val="0"/>
          <w:marBottom w:val="20"/>
          <w:divBdr>
            <w:top w:val="none" w:sz="0" w:space="0" w:color="auto"/>
            <w:left w:val="none" w:sz="0" w:space="0" w:color="auto"/>
            <w:bottom w:val="none" w:sz="0" w:space="0" w:color="auto"/>
            <w:right w:val="none" w:sz="0" w:space="0" w:color="auto"/>
          </w:divBdr>
        </w:div>
        <w:div w:id="1027213236">
          <w:marLeft w:val="0"/>
          <w:marRight w:val="0"/>
          <w:marTop w:val="0"/>
          <w:marBottom w:val="20"/>
          <w:divBdr>
            <w:top w:val="none" w:sz="0" w:space="0" w:color="auto"/>
            <w:left w:val="none" w:sz="0" w:space="0" w:color="auto"/>
            <w:bottom w:val="none" w:sz="0" w:space="0" w:color="auto"/>
            <w:right w:val="none" w:sz="0" w:space="0" w:color="auto"/>
          </w:divBdr>
        </w:div>
      </w:divsChild>
    </w:div>
    <w:div w:id="1656177426">
      <w:marLeft w:val="0"/>
      <w:marRight w:val="0"/>
      <w:marTop w:val="0"/>
      <w:marBottom w:val="0"/>
      <w:divBdr>
        <w:top w:val="none" w:sz="0" w:space="0" w:color="auto"/>
        <w:left w:val="none" w:sz="0" w:space="0" w:color="auto"/>
        <w:bottom w:val="none" w:sz="0" w:space="0" w:color="auto"/>
        <w:right w:val="none" w:sz="0" w:space="0" w:color="auto"/>
      </w:divBdr>
      <w:divsChild>
        <w:div w:id="80030165">
          <w:marLeft w:val="0"/>
          <w:marRight w:val="0"/>
          <w:marTop w:val="0"/>
          <w:marBottom w:val="0"/>
          <w:divBdr>
            <w:top w:val="none" w:sz="0" w:space="0" w:color="auto"/>
            <w:left w:val="none" w:sz="0" w:space="0" w:color="auto"/>
            <w:bottom w:val="none" w:sz="0" w:space="0" w:color="auto"/>
            <w:right w:val="none" w:sz="0" w:space="0" w:color="auto"/>
          </w:divBdr>
        </w:div>
      </w:divsChild>
    </w:div>
    <w:div w:id="1663660183">
      <w:marLeft w:val="0"/>
      <w:marRight w:val="0"/>
      <w:marTop w:val="0"/>
      <w:marBottom w:val="0"/>
      <w:divBdr>
        <w:top w:val="none" w:sz="0" w:space="0" w:color="auto"/>
        <w:left w:val="none" w:sz="0" w:space="0" w:color="auto"/>
        <w:bottom w:val="none" w:sz="0" w:space="0" w:color="auto"/>
        <w:right w:val="none" w:sz="0" w:space="0" w:color="auto"/>
      </w:divBdr>
    </w:div>
    <w:div w:id="1666854493">
      <w:marLeft w:val="0"/>
      <w:marRight w:val="0"/>
      <w:marTop w:val="180"/>
      <w:marBottom w:val="0"/>
      <w:divBdr>
        <w:top w:val="none" w:sz="0" w:space="0" w:color="auto"/>
        <w:left w:val="none" w:sz="0" w:space="0" w:color="auto"/>
        <w:bottom w:val="none" w:sz="0" w:space="0" w:color="auto"/>
        <w:right w:val="none" w:sz="0" w:space="0" w:color="auto"/>
      </w:divBdr>
    </w:div>
    <w:div w:id="1673801601">
      <w:marLeft w:val="0"/>
      <w:marRight w:val="0"/>
      <w:marTop w:val="0"/>
      <w:marBottom w:val="0"/>
      <w:divBdr>
        <w:top w:val="none" w:sz="0" w:space="0" w:color="auto"/>
        <w:left w:val="none" w:sz="0" w:space="0" w:color="auto"/>
        <w:bottom w:val="none" w:sz="0" w:space="0" w:color="auto"/>
        <w:right w:val="none" w:sz="0" w:space="0" w:color="auto"/>
      </w:divBdr>
      <w:divsChild>
        <w:div w:id="209928039">
          <w:marLeft w:val="0"/>
          <w:marRight w:val="0"/>
          <w:marTop w:val="0"/>
          <w:marBottom w:val="0"/>
          <w:divBdr>
            <w:top w:val="none" w:sz="0" w:space="0" w:color="auto"/>
            <w:left w:val="none" w:sz="0" w:space="0" w:color="auto"/>
            <w:bottom w:val="none" w:sz="0" w:space="0" w:color="auto"/>
            <w:right w:val="none" w:sz="0" w:space="0" w:color="auto"/>
          </w:divBdr>
        </w:div>
      </w:divsChild>
    </w:div>
    <w:div w:id="1683817961">
      <w:marLeft w:val="0"/>
      <w:marRight w:val="0"/>
      <w:marTop w:val="100"/>
      <w:marBottom w:val="0"/>
      <w:divBdr>
        <w:top w:val="none" w:sz="0" w:space="0" w:color="auto"/>
        <w:left w:val="none" w:sz="0" w:space="0" w:color="auto"/>
        <w:bottom w:val="none" w:sz="0" w:space="0" w:color="auto"/>
        <w:right w:val="none" w:sz="0" w:space="0" w:color="auto"/>
      </w:divBdr>
    </w:div>
    <w:div w:id="1687753177">
      <w:marLeft w:val="0"/>
      <w:marRight w:val="0"/>
      <w:marTop w:val="100"/>
      <w:marBottom w:val="0"/>
      <w:divBdr>
        <w:top w:val="none" w:sz="0" w:space="0" w:color="auto"/>
        <w:left w:val="none" w:sz="0" w:space="0" w:color="auto"/>
        <w:bottom w:val="none" w:sz="0" w:space="0" w:color="auto"/>
        <w:right w:val="none" w:sz="0" w:space="0" w:color="auto"/>
      </w:divBdr>
    </w:div>
    <w:div w:id="1689288620">
      <w:marLeft w:val="0"/>
      <w:marRight w:val="0"/>
      <w:marTop w:val="0"/>
      <w:marBottom w:val="0"/>
      <w:divBdr>
        <w:top w:val="none" w:sz="0" w:space="0" w:color="auto"/>
        <w:left w:val="none" w:sz="0" w:space="0" w:color="auto"/>
        <w:bottom w:val="none" w:sz="0" w:space="0" w:color="auto"/>
        <w:right w:val="none" w:sz="0" w:space="0" w:color="auto"/>
      </w:divBdr>
    </w:div>
    <w:div w:id="1691756455">
      <w:marLeft w:val="0"/>
      <w:marRight w:val="0"/>
      <w:marTop w:val="0"/>
      <w:marBottom w:val="0"/>
      <w:divBdr>
        <w:top w:val="none" w:sz="0" w:space="0" w:color="auto"/>
        <w:left w:val="none" w:sz="0" w:space="0" w:color="auto"/>
        <w:bottom w:val="none" w:sz="0" w:space="0" w:color="auto"/>
        <w:right w:val="none" w:sz="0" w:space="0" w:color="auto"/>
      </w:divBdr>
      <w:divsChild>
        <w:div w:id="925503652">
          <w:marLeft w:val="0"/>
          <w:marRight w:val="0"/>
          <w:marTop w:val="0"/>
          <w:marBottom w:val="0"/>
          <w:divBdr>
            <w:top w:val="none" w:sz="0" w:space="0" w:color="auto"/>
            <w:left w:val="none" w:sz="0" w:space="0" w:color="auto"/>
            <w:bottom w:val="none" w:sz="0" w:space="0" w:color="auto"/>
            <w:right w:val="none" w:sz="0" w:space="0" w:color="auto"/>
          </w:divBdr>
        </w:div>
      </w:divsChild>
    </w:div>
    <w:div w:id="1694069596">
      <w:marLeft w:val="0"/>
      <w:marRight w:val="0"/>
      <w:marTop w:val="0"/>
      <w:marBottom w:val="0"/>
      <w:divBdr>
        <w:top w:val="none" w:sz="0" w:space="0" w:color="auto"/>
        <w:left w:val="none" w:sz="0" w:space="0" w:color="auto"/>
        <w:bottom w:val="none" w:sz="0" w:space="0" w:color="auto"/>
        <w:right w:val="none" w:sz="0" w:space="0" w:color="auto"/>
      </w:divBdr>
    </w:div>
    <w:div w:id="1699041383">
      <w:marLeft w:val="0"/>
      <w:marRight w:val="0"/>
      <w:marTop w:val="0"/>
      <w:marBottom w:val="0"/>
      <w:divBdr>
        <w:top w:val="none" w:sz="0" w:space="0" w:color="auto"/>
        <w:left w:val="none" w:sz="0" w:space="0" w:color="auto"/>
        <w:bottom w:val="none" w:sz="0" w:space="0" w:color="auto"/>
        <w:right w:val="none" w:sz="0" w:space="0" w:color="auto"/>
      </w:divBdr>
    </w:div>
    <w:div w:id="1704397889">
      <w:marLeft w:val="0"/>
      <w:marRight w:val="0"/>
      <w:marTop w:val="100"/>
      <w:marBottom w:val="0"/>
      <w:divBdr>
        <w:top w:val="none" w:sz="0" w:space="0" w:color="auto"/>
        <w:left w:val="none" w:sz="0" w:space="0" w:color="auto"/>
        <w:bottom w:val="none" w:sz="0" w:space="0" w:color="auto"/>
        <w:right w:val="none" w:sz="0" w:space="0" w:color="auto"/>
      </w:divBdr>
    </w:div>
    <w:div w:id="1711420922">
      <w:marLeft w:val="0"/>
      <w:marRight w:val="0"/>
      <w:marTop w:val="0"/>
      <w:marBottom w:val="0"/>
      <w:divBdr>
        <w:top w:val="none" w:sz="0" w:space="0" w:color="auto"/>
        <w:left w:val="none" w:sz="0" w:space="0" w:color="auto"/>
        <w:bottom w:val="none" w:sz="0" w:space="0" w:color="auto"/>
        <w:right w:val="none" w:sz="0" w:space="0" w:color="auto"/>
      </w:divBdr>
      <w:divsChild>
        <w:div w:id="162860135">
          <w:marLeft w:val="0"/>
          <w:marRight w:val="0"/>
          <w:marTop w:val="0"/>
          <w:marBottom w:val="0"/>
          <w:divBdr>
            <w:top w:val="none" w:sz="0" w:space="0" w:color="auto"/>
            <w:left w:val="none" w:sz="0" w:space="0" w:color="auto"/>
            <w:bottom w:val="none" w:sz="0" w:space="0" w:color="auto"/>
            <w:right w:val="none" w:sz="0" w:space="0" w:color="auto"/>
          </w:divBdr>
        </w:div>
      </w:divsChild>
    </w:div>
    <w:div w:id="1711608662">
      <w:marLeft w:val="0"/>
      <w:marRight w:val="0"/>
      <w:marTop w:val="0"/>
      <w:marBottom w:val="0"/>
      <w:divBdr>
        <w:top w:val="none" w:sz="0" w:space="0" w:color="auto"/>
        <w:left w:val="none" w:sz="0" w:space="0" w:color="auto"/>
        <w:bottom w:val="none" w:sz="0" w:space="0" w:color="auto"/>
        <w:right w:val="none" w:sz="0" w:space="0" w:color="auto"/>
      </w:divBdr>
    </w:div>
    <w:div w:id="1717779686">
      <w:marLeft w:val="0"/>
      <w:marRight w:val="0"/>
      <w:marTop w:val="0"/>
      <w:marBottom w:val="0"/>
      <w:divBdr>
        <w:top w:val="none" w:sz="0" w:space="0" w:color="auto"/>
        <w:left w:val="none" w:sz="0" w:space="0" w:color="auto"/>
        <w:bottom w:val="none" w:sz="0" w:space="0" w:color="auto"/>
        <w:right w:val="none" w:sz="0" w:space="0" w:color="auto"/>
      </w:divBdr>
      <w:divsChild>
        <w:div w:id="2038312088">
          <w:marLeft w:val="0"/>
          <w:marRight w:val="0"/>
          <w:marTop w:val="0"/>
          <w:marBottom w:val="0"/>
          <w:divBdr>
            <w:top w:val="none" w:sz="0" w:space="0" w:color="auto"/>
            <w:left w:val="none" w:sz="0" w:space="0" w:color="auto"/>
            <w:bottom w:val="none" w:sz="0" w:space="0" w:color="auto"/>
            <w:right w:val="none" w:sz="0" w:space="0" w:color="auto"/>
          </w:divBdr>
        </w:div>
      </w:divsChild>
    </w:div>
    <w:div w:id="1726757188">
      <w:marLeft w:val="0"/>
      <w:marRight w:val="0"/>
      <w:marTop w:val="0"/>
      <w:marBottom w:val="0"/>
      <w:divBdr>
        <w:top w:val="none" w:sz="0" w:space="0" w:color="auto"/>
        <w:left w:val="none" w:sz="0" w:space="0" w:color="auto"/>
        <w:bottom w:val="none" w:sz="0" w:space="0" w:color="auto"/>
        <w:right w:val="none" w:sz="0" w:space="0" w:color="auto"/>
      </w:divBdr>
    </w:div>
    <w:div w:id="1745640587">
      <w:marLeft w:val="0"/>
      <w:marRight w:val="0"/>
      <w:marTop w:val="60"/>
      <w:marBottom w:val="60"/>
      <w:divBdr>
        <w:top w:val="none" w:sz="0" w:space="0" w:color="auto"/>
        <w:left w:val="none" w:sz="0" w:space="0" w:color="auto"/>
        <w:bottom w:val="none" w:sz="0" w:space="0" w:color="auto"/>
        <w:right w:val="none" w:sz="0" w:space="0" w:color="auto"/>
      </w:divBdr>
    </w:div>
    <w:div w:id="1756704547">
      <w:marLeft w:val="0"/>
      <w:marRight w:val="0"/>
      <w:marTop w:val="0"/>
      <w:marBottom w:val="0"/>
      <w:divBdr>
        <w:top w:val="none" w:sz="0" w:space="0" w:color="auto"/>
        <w:left w:val="none" w:sz="0" w:space="0" w:color="auto"/>
        <w:bottom w:val="none" w:sz="0" w:space="0" w:color="auto"/>
        <w:right w:val="none" w:sz="0" w:space="0" w:color="auto"/>
      </w:divBdr>
      <w:divsChild>
        <w:div w:id="1680767643">
          <w:marLeft w:val="0"/>
          <w:marRight w:val="0"/>
          <w:marTop w:val="0"/>
          <w:marBottom w:val="0"/>
          <w:divBdr>
            <w:top w:val="none" w:sz="0" w:space="0" w:color="auto"/>
            <w:left w:val="none" w:sz="0" w:space="0" w:color="auto"/>
            <w:bottom w:val="none" w:sz="0" w:space="0" w:color="auto"/>
            <w:right w:val="none" w:sz="0" w:space="0" w:color="auto"/>
          </w:divBdr>
        </w:div>
      </w:divsChild>
    </w:div>
    <w:div w:id="1760639883">
      <w:marLeft w:val="0"/>
      <w:marRight w:val="0"/>
      <w:marTop w:val="100"/>
      <w:marBottom w:val="0"/>
      <w:divBdr>
        <w:top w:val="none" w:sz="0" w:space="0" w:color="auto"/>
        <w:left w:val="none" w:sz="0" w:space="0" w:color="auto"/>
        <w:bottom w:val="none" w:sz="0" w:space="0" w:color="auto"/>
        <w:right w:val="none" w:sz="0" w:space="0" w:color="auto"/>
      </w:divBdr>
    </w:div>
    <w:div w:id="1766223278">
      <w:marLeft w:val="0"/>
      <w:marRight w:val="0"/>
      <w:marTop w:val="0"/>
      <w:marBottom w:val="0"/>
      <w:divBdr>
        <w:top w:val="none" w:sz="0" w:space="0" w:color="auto"/>
        <w:left w:val="none" w:sz="0" w:space="0" w:color="auto"/>
        <w:bottom w:val="none" w:sz="0" w:space="0" w:color="auto"/>
        <w:right w:val="none" w:sz="0" w:space="0" w:color="auto"/>
      </w:divBdr>
      <w:divsChild>
        <w:div w:id="1810510821">
          <w:marLeft w:val="0"/>
          <w:marRight w:val="0"/>
          <w:marTop w:val="0"/>
          <w:marBottom w:val="0"/>
          <w:divBdr>
            <w:top w:val="none" w:sz="0" w:space="0" w:color="auto"/>
            <w:left w:val="none" w:sz="0" w:space="0" w:color="auto"/>
            <w:bottom w:val="none" w:sz="0" w:space="0" w:color="auto"/>
            <w:right w:val="none" w:sz="0" w:space="0" w:color="auto"/>
          </w:divBdr>
        </w:div>
      </w:divsChild>
    </w:div>
    <w:div w:id="1770202843">
      <w:marLeft w:val="0"/>
      <w:marRight w:val="0"/>
      <w:marTop w:val="0"/>
      <w:marBottom w:val="0"/>
      <w:divBdr>
        <w:top w:val="none" w:sz="0" w:space="0" w:color="auto"/>
        <w:left w:val="none" w:sz="0" w:space="0" w:color="auto"/>
        <w:bottom w:val="none" w:sz="0" w:space="0" w:color="auto"/>
        <w:right w:val="none" w:sz="0" w:space="0" w:color="auto"/>
      </w:divBdr>
    </w:div>
    <w:div w:id="1782676957">
      <w:marLeft w:val="0"/>
      <w:marRight w:val="0"/>
      <w:marTop w:val="100"/>
      <w:marBottom w:val="0"/>
      <w:divBdr>
        <w:top w:val="none" w:sz="0" w:space="0" w:color="auto"/>
        <w:left w:val="none" w:sz="0" w:space="0" w:color="auto"/>
        <w:bottom w:val="none" w:sz="0" w:space="0" w:color="auto"/>
        <w:right w:val="none" w:sz="0" w:space="0" w:color="auto"/>
      </w:divBdr>
    </w:div>
    <w:div w:id="1790662216">
      <w:marLeft w:val="0"/>
      <w:marRight w:val="0"/>
      <w:marTop w:val="0"/>
      <w:marBottom w:val="0"/>
      <w:divBdr>
        <w:top w:val="none" w:sz="0" w:space="0" w:color="auto"/>
        <w:left w:val="none" w:sz="0" w:space="0" w:color="auto"/>
        <w:bottom w:val="none" w:sz="0" w:space="0" w:color="auto"/>
        <w:right w:val="none" w:sz="0" w:space="0" w:color="auto"/>
      </w:divBdr>
    </w:div>
    <w:div w:id="1792623200">
      <w:marLeft w:val="0"/>
      <w:marRight w:val="0"/>
      <w:marTop w:val="100"/>
      <w:marBottom w:val="0"/>
      <w:divBdr>
        <w:top w:val="none" w:sz="0" w:space="0" w:color="auto"/>
        <w:left w:val="none" w:sz="0" w:space="0" w:color="auto"/>
        <w:bottom w:val="none" w:sz="0" w:space="0" w:color="auto"/>
        <w:right w:val="none" w:sz="0" w:space="0" w:color="auto"/>
      </w:divBdr>
      <w:divsChild>
        <w:div w:id="433945196">
          <w:marLeft w:val="0"/>
          <w:marRight w:val="0"/>
          <w:marTop w:val="0"/>
          <w:marBottom w:val="0"/>
          <w:divBdr>
            <w:top w:val="none" w:sz="0" w:space="0" w:color="auto"/>
            <w:left w:val="none" w:sz="0" w:space="0" w:color="auto"/>
            <w:bottom w:val="none" w:sz="0" w:space="0" w:color="auto"/>
            <w:right w:val="none" w:sz="0" w:space="0" w:color="auto"/>
          </w:divBdr>
        </w:div>
      </w:divsChild>
    </w:div>
    <w:div w:id="1794325814">
      <w:marLeft w:val="0"/>
      <w:marRight w:val="0"/>
      <w:marTop w:val="0"/>
      <w:marBottom w:val="0"/>
      <w:divBdr>
        <w:top w:val="none" w:sz="0" w:space="0" w:color="auto"/>
        <w:left w:val="none" w:sz="0" w:space="0" w:color="auto"/>
        <w:bottom w:val="none" w:sz="0" w:space="0" w:color="auto"/>
        <w:right w:val="none" w:sz="0" w:space="0" w:color="auto"/>
      </w:divBdr>
      <w:divsChild>
        <w:div w:id="212818289">
          <w:marLeft w:val="0"/>
          <w:marRight w:val="0"/>
          <w:marTop w:val="0"/>
          <w:marBottom w:val="0"/>
          <w:divBdr>
            <w:top w:val="none" w:sz="0" w:space="0" w:color="auto"/>
            <w:left w:val="none" w:sz="0" w:space="0" w:color="auto"/>
            <w:bottom w:val="none" w:sz="0" w:space="0" w:color="auto"/>
            <w:right w:val="none" w:sz="0" w:space="0" w:color="auto"/>
          </w:divBdr>
        </w:div>
      </w:divsChild>
    </w:div>
    <w:div w:id="1808620249">
      <w:marLeft w:val="0"/>
      <w:marRight w:val="0"/>
      <w:marTop w:val="0"/>
      <w:marBottom w:val="0"/>
      <w:divBdr>
        <w:top w:val="none" w:sz="0" w:space="0" w:color="auto"/>
        <w:left w:val="none" w:sz="0" w:space="0" w:color="auto"/>
        <w:bottom w:val="none" w:sz="0" w:space="0" w:color="auto"/>
        <w:right w:val="none" w:sz="0" w:space="0" w:color="auto"/>
      </w:divBdr>
      <w:divsChild>
        <w:div w:id="328024949">
          <w:marLeft w:val="0"/>
          <w:marRight w:val="0"/>
          <w:marTop w:val="0"/>
          <w:marBottom w:val="0"/>
          <w:divBdr>
            <w:top w:val="none" w:sz="0" w:space="0" w:color="auto"/>
            <w:left w:val="none" w:sz="0" w:space="0" w:color="auto"/>
            <w:bottom w:val="none" w:sz="0" w:space="0" w:color="auto"/>
            <w:right w:val="none" w:sz="0" w:space="0" w:color="auto"/>
          </w:divBdr>
        </w:div>
      </w:divsChild>
    </w:div>
    <w:div w:id="1814329071">
      <w:marLeft w:val="0"/>
      <w:marRight w:val="0"/>
      <w:marTop w:val="100"/>
      <w:marBottom w:val="0"/>
      <w:divBdr>
        <w:top w:val="none" w:sz="0" w:space="0" w:color="auto"/>
        <w:left w:val="none" w:sz="0" w:space="0" w:color="auto"/>
        <w:bottom w:val="none" w:sz="0" w:space="0" w:color="auto"/>
        <w:right w:val="none" w:sz="0" w:space="0" w:color="auto"/>
      </w:divBdr>
    </w:div>
    <w:div w:id="1823766919">
      <w:marLeft w:val="0"/>
      <w:marRight w:val="0"/>
      <w:marTop w:val="0"/>
      <w:marBottom w:val="0"/>
      <w:divBdr>
        <w:top w:val="none" w:sz="0" w:space="0" w:color="auto"/>
        <w:left w:val="none" w:sz="0" w:space="0" w:color="auto"/>
        <w:bottom w:val="none" w:sz="0" w:space="0" w:color="auto"/>
        <w:right w:val="none" w:sz="0" w:space="0" w:color="auto"/>
      </w:divBdr>
      <w:divsChild>
        <w:div w:id="982124337">
          <w:marLeft w:val="0"/>
          <w:marRight w:val="0"/>
          <w:marTop w:val="0"/>
          <w:marBottom w:val="0"/>
          <w:divBdr>
            <w:top w:val="none" w:sz="0" w:space="0" w:color="auto"/>
            <w:left w:val="none" w:sz="0" w:space="0" w:color="auto"/>
            <w:bottom w:val="none" w:sz="0" w:space="0" w:color="auto"/>
            <w:right w:val="none" w:sz="0" w:space="0" w:color="auto"/>
          </w:divBdr>
        </w:div>
      </w:divsChild>
    </w:div>
    <w:div w:id="1828742452">
      <w:marLeft w:val="0"/>
      <w:marRight w:val="0"/>
      <w:marTop w:val="0"/>
      <w:marBottom w:val="0"/>
      <w:divBdr>
        <w:top w:val="none" w:sz="0" w:space="0" w:color="auto"/>
        <w:left w:val="none" w:sz="0" w:space="0" w:color="auto"/>
        <w:bottom w:val="none" w:sz="0" w:space="0" w:color="auto"/>
        <w:right w:val="none" w:sz="0" w:space="0" w:color="auto"/>
      </w:divBdr>
    </w:div>
    <w:div w:id="1838493971">
      <w:marLeft w:val="0"/>
      <w:marRight w:val="0"/>
      <w:marTop w:val="0"/>
      <w:marBottom w:val="0"/>
      <w:divBdr>
        <w:top w:val="none" w:sz="0" w:space="0" w:color="auto"/>
        <w:left w:val="none" w:sz="0" w:space="0" w:color="auto"/>
        <w:bottom w:val="none" w:sz="0" w:space="0" w:color="auto"/>
        <w:right w:val="none" w:sz="0" w:space="0" w:color="auto"/>
      </w:divBdr>
      <w:divsChild>
        <w:div w:id="2129085728">
          <w:marLeft w:val="0"/>
          <w:marRight w:val="0"/>
          <w:marTop w:val="0"/>
          <w:marBottom w:val="0"/>
          <w:divBdr>
            <w:top w:val="none" w:sz="0" w:space="0" w:color="auto"/>
            <w:left w:val="none" w:sz="0" w:space="0" w:color="auto"/>
            <w:bottom w:val="none" w:sz="0" w:space="0" w:color="auto"/>
            <w:right w:val="none" w:sz="0" w:space="0" w:color="auto"/>
          </w:divBdr>
        </w:div>
      </w:divsChild>
    </w:div>
    <w:div w:id="1838642982">
      <w:marLeft w:val="0"/>
      <w:marRight w:val="0"/>
      <w:marTop w:val="20"/>
      <w:marBottom w:val="0"/>
      <w:divBdr>
        <w:top w:val="none" w:sz="0" w:space="0" w:color="auto"/>
        <w:left w:val="none" w:sz="0" w:space="0" w:color="auto"/>
        <w:bottom w:val="none" w:sz="0" w:space="0" w:color="auto"/>
        <w:right w:val="none" w:sz="0" w:space="0" w:color="auto"/>
      </w:divBdr>
    </w:div>
    <w:div w:id="1848670082">
      <w:marLeft w:val="0"/>
      <w:marRight w:val="0"/>
      <w:marTop w:val="0"/>
      <w:marBottom w:val="0"/>
      <w:divBdr>
        <w:top w:val="none" w:sz="0" w:space="0" w:color="auto"/>
        <w:left w:val="none" w:sz="0" w:space="0" w:color="auto"/>
        <w:bottom w:val="none" w:sz="0" w:space="0" w:color="auto"/>
        <w:right w:val="none" w:sz="0" w:space="0" w:color="auto"/>
      </w:divBdr>
      <w:divsChild>
        <w:div w:id="1256286418">
          <w:marLeft w:val="0"/>
          <w:marRight w:val="0"/>
          <w:marTop w:val="0"/>
          <w:marBottom w:val="0"/>
          <w:divBdr>
            <w:top w:val="none" w:sz="0" w:space="0" w:color="auto"/>
            <w:left w:val="none" w:sz="0" w:space="0" w:color="auto"/>
            <w:bottom w:val="none" w:sz="0" w:space="0" w:color="auto"/>
            <w:right w:val="none" w:sz="0" w:space="0" w:color="auto"/>
          </w:divBdr>
        </w:div>
      </w:divsChild>
    </w:div>
    <w:div w:id="1849519730">
      <w:marLeft w:val="0"/>
      <w:marRight w:val="0"/>
      <w:marTop w:val="0"/>
      <w:marBottom w:val="0"/>
      <w:divBdr>
        <w:top w:val="none" w:sz="0" w:space="0" w:color="auto"/>
        <w:left w:val="none" w:sz="0" w:space="0" w:color="auto"/>
        <w:bottom w:val="none" w:sz="0" w:space="0" w:color="auto"/>
        <w:right w:val="none" w:sz="0" w:space="0" w:color="auto"/>
      </w:divBdr>
      <w:divsChild>
        <w:div w:id="1284773816">
          <w:marLeft w:val="0"/>
          <w:marRight w:val="0"/>
          <w:marTop w:val="0"/>
          <w:marBottom w:val="0"/>
          <w:divBdr>
            <w:top w:val="none" w:sz="0" w:space="0" w:color="auto"/>
            <w:left w:val="none" w:sz="0" w:space="0" w:color="auto"/>
            <w:bottom w:val="none" w:sz="0" w:space="0" w:color="auto"/>
            <w:right w:val="none" w:sz="0" w:space="0" w:color="auto"/>
          </w:divBdr>
        </w:div>
      </w:divsChild>
    </w:div>
    <w:div w:id="1850485115">
      <w:marLeft w:val="0"/>
      <w:marRight w:val="0"/>
      <w:marTop w:val="0"/>
      <w:marBottom w:val="0"/>
      <w:divBdr>
        <w:top w:val="none" w:sz="0" w:space="0" w:color="auto"/>
        <w:left w:val="none" w:sz="0" w:space="0" w:color="auto"/>
        <w:bottom w:val="none" w:sz="0" w:space="0" w:color="auto"/>
        <w:right w:val="none" w:sz="0" w:space="0" w:color="auto"/>
      </w:divBdr>
      <w:divsChild>
        <w:div w:id="2093232815">
          <w:marLeft w:val="0"/>
          <w:marRight w:val="0"/>
          <w:marTop w:val="0"/>
          <w:marBottom w:val="0"/>
          <w:divBdr>
            <w:top w:val="none" w:sz="0" w:space="0" w:color="auto"/>
            <w:left w:val="none" w:sz="0" w:space="0" w:color="auto"/>
            <w:bottom w:val="none" w:sz="0" w:space="0" w:color="auto"/>
            <w:right w:val="none" w:sz="0" w:space="0" w:color="auto"/>
          </w:divBdr>
        </w:div>
      </w:divsChild>
    </w:div>
    <w:div w:id="1854102727">
      <w:marLeft w:val="0"/>
      <w:marRight w:val="0"/>
      <w:marTop w:val="0"/>
      <w:marBottom w:val="0"/>
      <w:divBdr>
        <w:top w:val="none" w:sz="0" w:space="0" w:color="auto"/>
        <w:left w:val="none" w:sz="0" w:space="0" w:color="auto"/>
        <w:bottom w:val="none" w:sz="0" w:space="0" w:color="auto"/>
        <w:right w:val="none" w:sz="0" w:space="0" w:color="auto"/>
      </w:divBdr>
      <w:divsChild>
        <w:div w:id="1379479152">
          <w:marLeft w:val="0"/>
          <w:marRight w:val="0"/>
          <w:marTop w:val="0"/>
          <w:marBottom w:val="0"/>
          <w:divBdr>
            <w:top w:val="none" w:sz="0" w:space="0" w:color="auto"/>
            <w:left w:val="none" w:sz="0" w:space="0" w:color="auto"/>
            <w:bottom w:val="none" w:sz="0" w:space="0" w:color="auto"/>
            <w:right w:val="none" w:sz="0" w:space="0" w:color="auto"/>
          </w:divBdr>
        </w:div>
        <w:div w:id="219562260">
          <w:marLeft w:val="0"/>
          <w:marRight w:val="0"/>
          <w:marTop w:val="0"/>
          <w:marBottom w:val="0"/>
          <w:divBdr>
            <w:top w:val="none" w:sz="0" w:space="0" w:color="auto"/>
            <w:left w:val="none" w:sz="0" w:space="0" w:color="auto"/>
            <w:bottom w:val="none" w:sz="0" w:space="0" w:color="auto"/>
            <w:right w:val="none" w:sz="0" w:space="0" w:color="auto"/>
          </w:divBdr>
        </w:div>
        <w:div w:id="1089159170">
          <w:marLeft w:val="0"/>
          <w:marRight w:val="0"/>
          <w:marTop w:val="0"/>
          <w:marBottom w:val="0"/>
          <w:divBdr>
            <w:top w:val="none" w:sz="0" w:space="0" w:color="auto"/>
            <w:left w:val="none" w:sz="0" w:space="0" w:color="auto"/>
            <w:bottom w:val="none" w:sz="0" w:space="0" w:color="auto"/>
            <w:right w:val="none" w:sz="0" w:space="0" w:color="auto"/>
          </w:divBdr>
        </w:div>
      </w:divsChild>
    </w:div>
    <w:div w:id="1854146396">
      <w:marLeft w:val="0"/>
      <w:marRight w:val="0"/>
      <w:marTop w:val="0"/>
      <w:marBottom w:val="0"/>
      <w:divBdr>
        <w:top w:val="none" w:sz="0" w:space="0" w:color="auto"/>
        <w:left w:val="none" w:sz="0" w:space="0" w:color="auto"/>
        <w:bottom w:val="none" w:sz="0" w:space="0" w:color="auto"/>
        <w:right w:val="none" w:sz="0" w:space="0" w:color="auto"/>
      </w:divBdr>
    </w:div>
    <w:div w:id="1887910114">
      <w:marLeft w:val="0"/>
      <w:marRight w:val="0"/>
      <w:marTop w:val="0"/>
      <w:marBottom w:val="0"/>
      <w:divBdr>
        <w:top w:val="none" w:sz="0" w:space="0" w:color="auto"/>
        <w:left w:val="none" w:sz="0" w:space="0" w:color="auto"/>
        <w:bottom w:val="none" w:sz="0" w:space="0" w:color="auto"/>
        <w:right w:val="none" w:sz="0" w:space="0" w:color="auto"/>
      </w:divBdr>
      <w:divsChild>
        <w:div w:id="1563561144">
          <w:marLeft w:val="0"/>
          <w:marRight w:val="0"/>
          <w:marTop w:val="0"/>
          <w:marBottom w:val="0"/>
          <w:divBdr>
            <w:top w:val="none" w:sz="0" w:space="0" w:color="auto"/>
            <w:left w:val="none" w:sz="0" w:space="0" w:color="auto"/>
            <w:bottom w:val="none" w:sz="0" w:space="0" w:color="auto"/>
            <w:right w:val="none" w:sz="0" w:space="0" w:color="auto"/>
          </w:divBdr>
        </w:div>
      </w:divsChild>
    </w:div>
    <w:div w:id="1900898123">
      <w:marLeft w:val="0"/>
      <w:marRight w:val="0"/>
      <w:marTop w:val="180"/>
      <w:marBottom w:val="0"/>
      <w:divBdr>
        <w:top w:val="none" w:sz="0" w:space="0" w:color="auto"/>
        <w:left w:val="none" w:sz="0" w:space="0" w:color="auto"/>
        <w:bottom w:val="none" w:sz="0" w:space="0" w:color="auto"/>
        <w:right w:val="none" w:sz="0" w:space="0" w:color="auto"/>
      </w:divBdr>
    </w:div>
    <w:div w:id="1903127937">
      <w:marLeft w:val="0"/>
      <w:marRight w:val="0"/>
      <w:marTop w:val="0"/>
      <w:marBottom w:val="0"/>
      <w:divBdr>
        <w:top w:val="none" w:sz="0" w:space="0" w:color="auto"/>
        <w:left w:val="none" w:sz="0" w:space="0" w:color="auto"/>
        <w:bottom w:val="none" w:sz="0" w:space="0" w:color="auto"/>
        <w:right w:val="none" w:sz="0" w:space="0" w:color="auto"/>
      </w:divBdr>
    </w:div>
    <w:div w:id="1906605994">
      <w:marLeft w:val="0"/>
      <w:marRight w:val="0"/>
      <w:marTop w:val="0"/>
      <w:marBottom w:val="0"/>
      <w:divBdr>
        <w:top w:val="none" w:sz="0" w:space="0" w:color="auto"/>
        <w:left w:val="none" w:sz="0" w:space="0" w:color="auto"/>
        <w:bottom w:val="none" w:sz="0" w:space="0" w:color="auto"/>
        <w:right w:val="none" w:sz="0" w:space="0" w:color="auto"/>
      </w:divBdr>
    </w:div>
    <w:div w:id="1912886874">
      <w:marLeft w:val="0"/>
      <w:marRight w:val="0"/>
      <w:marTop w:val="0"/>
      <w:marBottom w:val="0"/>
      <w:divBdr>
        <w:top w:val="none" w:sz="0" w:space="0" w:color="auto"/>
        <w:left w:val="none" w:sz="0" w:space="0" w:color="auto"/>
        <w:bottom w:val="none" w:sz="0" w:space="0" w:color="auto"/>
        <w:right w:val="none" w:sz="0" w:space="0" w:color="auto"/>
      </w:divBdr>
      <w:divsChild>
        <w:div w:id="4596855">
          <w:marLeft w:val="0"/>
          <w:marRight w:val="0"/>
          <w:marTop w:val="0"/>
          <w:marBottom w:val="0"/>
          <w:divBdr>
            <w:top w:val="none" w:sz="0" w:space="0" w:color="auto"/>
            <w:left w:val="none" w:sz="0" w:space="0" w:color="auto"/>
            <w:bottom w:val="none" w:sz="0" w:space="0" w:color="auto"/>
            <w:right w:val="none" w:sz="0" w:space="0" w:color="auto"/>
          </w:divBdr>
        </w:div>
      </w:divsChild>
    </w:div>
    <w:div w:id="1930113884">
      <w:marLeft w:val="0"/>
      <w:marRight w:val="0"/>
      <w:marTop w:val="0"/>
      <w:marBottom w:val="0"/>
      <w:divBdr>
        <w:top w:val="none" w:sz="0" w:space="0" w:color="auto"/>
        <w:left w:val="none" w:sz="0" w:space="0" w:color="auto"/>
        <w:bottom w:val="none" w:sz="0" w:space="0" w:color="auto"/>
        <w:right w:val="none" w:sz="0" w:space="0" w:color="auto"/>
      </w:divBdr>
    </w:div>
    <w:div w:id="1933125146">
      <w:marLeft w:val="0"/>
      <w:marRight w:val="0"/>
      <w:marTop w:val="0"/>
      <w:marBottom w:val="0"/>
      <w:divBdr>
        <w:top w:val="none" w:sz="0" w:space="0" w:color="auto"/>
        <w:left w:val="none" w:sz="0" w:space="0" w:color="auto"/>
        <w:bottom w:val="none" w:sz="0" w:space="0" w:color="auto"/>
        <w:right w:val="none" w:sz="0" w:space="0" w:color="auto"/>
      </w:divBdr>
    </w:div>
    <w:div w:id="1943949298">
      <w:marLeft w:val="0"/>
      <w:marRight w:val="0"/>
      <w:marTop w:val="0"/>
      <w:marBottom w:val="0"/>
      <w:divBdr>
        <w:top w:val="none" w:sz="0" w:space="0" w:color="auto"/>
        <w:left w:val="none" w:sz="0" w:space="0" w:color="auto"/>
        <w:bottom w:val="none" w:sz="0" w:space="0" w:color="auto"/>
        <w:right w:val="none" w:sz="0" w:space="0" w:color="auto"/>
      </w:divBdr>
    </w:div>
    <w:div w:id="1953978593">
      <w:marLeft w:val="0"/>
      <w:marRight w:val="0"/>
      <w:marTop w:val="0"/>
      <w:marBottom w:val="0"/>
      <w:divBdr>
        <w:top w:val="none" w:sz="0" w:space="0" w:color="auto"/>
        <w:left w:val="none" w:sz="0" w:space="0" w:color="auto"/>
        <w:bottom w:val="none" w:sz="0" w:space="0" w:color="auto"/>
        <w:right w:val="none" w:sz="0" w:space="0" w:color="auto"/>
      </w:divBdr>
    </w:div>
    <w:div w:id="1964342122">
      <w:marLeft w:val="0"/>
      <w:marRight w:val="0"/>
      <w:marTop w:val="0"/>
      <w:marBottom w:val="0"/>
      <w:divBdr>
        <w:top w:val="none" w:sz="0" w:space="0" w:color="auto"/>
        <w:left w:val="none" w:sz="0" w:space="0" w:color="auto"/>
        <w:bottom w:val="none" w:sz="0" w:space="0" w:color="auto"/>
        <w:right w:val="none" w:sz="0" w:space="0" w:color="auto"/>
      </w:divBdr>
    </w:div>
    <w:div w:id="1968122493">
      <w:marLeft w:val="0"/>
      <w:marRight w:val="0"/>
      <w:marTop w:val="0"/>
      <w:marBottom w:val="0"/>
      <w:divBdr>
        <w:top w:val="none" w:sz="0" w:space="0" w:color="auto"/>
        <w:left w:val="none" w:sz="0" w:space="0" w:color="auto"/>
        <w:bottom w:val="none" w:sz="0" w:space="0" w:color="auto"/>
        <w:right w:val="none" w:sz="0" w:space="0" w:color="auto"/>
      </w:divBdr>
      <w:divsChild>
        <w:div w:id="689378862">
          <w:marLeft w:val="0"/>
          <w:marRight w:val="0"/>
          <w:marTop w:val="0"/>
          <w:marBottom w:val="0"/>
          <w:divBdr>
            <w:top w:val="none" w:sz="0" w:space="0" w:color="auto"/>
            <w:left w:val="none" w:sz="0" w:space="0" w:color="auto"/>
            <w:bottom w:val="none" w:sz="0" w:space="0" w:color="auto"/>
            <w:right w:val="none" w:sz="0" w:space="0" w:color="auto"/>
          </w:divBdr>
        </w:div>
      </w:divsChild>
    </w:div>
    <w:div w:id="1971594576">
      <w:marLeft w:val="0"/>
      <w:marRight w:val="0"/>
      <w:marTop w:val="100"/>
      <w:marBottom w:val="0"/>
      <w:divBdr>
        <w:top w:val="none" w:sz="0" w:space="0" w:color="auto"/>
        <w:left w:val="none" w:sz="0" w:space="0" w:color="auto"/>
        <w:bottom w:val="none" w:sz="0" w:space="0" w:color="auto"/>
        <w:right w:val="none" w:sz="0" w:space="0" w:color="auto"/>
      </w:divBdr>
    </w:div>
    <w:div w:id="1974015112">
      <w:marLeft w:val="0"/>
      <w:marRight w:val="0"/>
      <w:marTop w:val="100"/>
      <w:marBottom w:val="0"/>
      <w:divBdr>
        <w:top w:val="none" w:sz="0" w:space="0" w:color="auto"/>
        <w:left w:val="none" w:sz="0" w:space="0" w:color="auto"/>
        <w:bottom w:val="none" w:sz="0" w:space="0" w:color="auto"/>
        <w:right w:val="none" w:sz="0" w:space="0" w:color="auto"/>
      </w:divBdr>
      <w:divsChild>
        <w:div w:id="1968314768">
          <w:marLeft w:val="0"/>
          <w:marRight w:val="0"/>
          <w:marTop w:val="0"/>
          <w:marBottom w:val="0"/>
          <w:divBdr>
            <w:top w:val="none" w:sz="0" w:space="0" w:color="auto"/>
            <w:left w:val="none" w:sz="0" w:space="0" w:color="auto"/>
            <w:bottom w:val="none" w:sz="0" w:space="0" w:color="auto"/>
            <w:right w:val="none" w:sz="0" w:space="0" w:color="auto"/>
          </w:divBdr>
        </w:div>
      </w:divsChild>
    </w:div>
    <w:div w:id="1982609307">
      <w:marLeft w:val="0"/>
      <w:marRight w:val="0"/>
      <w:marTop w:val="0"/>
      <w:marBottom w:val="0"/>
      <w:divBdr>
        <w:top w:val="none" w:sz="0" w:space="0" w:color="auto"/>
        <w:left w:val="none" w:sz="0" w:space="0" w:color="auto"/>
        <w:bottom w:val="none" w:sz="0" w:space="0" w:color="auto"/>
        <w:right w:val="none" w:sz="0" w:space="0" w:color="auto"/>
      </w:divBdr>
      <w:divsChild>
        <w:div w:id="1249146991">
          <w:marLeft w:val="0"/>
          <w:marRight w:val="0"/>
          <w:marTop w:val="0"/>
          <w:marBottom w:val="0"/>
          <w:divBdr>
            <w:top w:val="none" w:sz="0" w:space="0" w:color="auto"/>
            <w:left w:val="none" w:sz="0" w:space="0" w:color="auto"/>
            <w:bottom w:val="none" w:sz="0" w:space="0" w:color="auto"/>
            <w:right w:val="none" w:sz="0" w:space="0" w:color="auto"/>
          </w:divBdr>
        </w:div>
      </w:divsChild>
    </w:div>
    <w:div w:id="1988513527">
      <w:marLeft w:val="0"/>
      <w:marRight w:val="0"/>
      <w:marTop w:val="0"/>
      <w:marBottom w:val="0"/>
      <w:divBdr>
        <w:top w:val="none" w:sz="0" w:space="0" w:color="auto"/>
        <w:left w:val="none" w:sz="0" w:space="0" w:color="auto"/>
        <w:bottom w:val="none" w:sz="0" w:space="0" w:color="auto"/>
        <w:right w:val="none" w:sz="0" w:space="0" w:color="auto"/>
      </w:divBdr>
    </w:div>
    <w:div w:id="1999142815">
      <w:marLeft w:val="0"/>
      <w:marRight w:val="0"/>
      <w:marTop w:val="0"/>
      <w:marBottom w:val="0"/>
      <w:divBdr>
        <w:top w:val="none" w:sz="0" w:space="0" w:color="auto"/>
        <w:left w:val="none" w:sz="0" w:space="0" w:color="auto"/>
        <w:bottom w:val="none" w:sz="0" w:space="0" w:color="auto"/>
        <w:right w:val="none" w:sz="0" w:space="0" w:color="auto"/>
      </w:divBdr>
      <w:divsChild>
        <w:div w:id="772744838">
          <w:marLeft w:val="0"/>
          <w:marRight w:val="0"/>
          <w:marTop w:val="0"/>
          <w:marBottom w:val="0"/>
          <w:divBdr>
            <w:top w:val="none" w:sz="0" w:space="0" w:color="auto"/>
            <w:left w:val="none" w:sz="0" w:space="0" w:color="auto"/>
            <w:bottom w:val="none" w:sz="0" w:space="0" w:color="auto"/>
            <w:right w:val="none" w:sz="0" w:space="0" w:color="auto"/>
          </w:divBdr>
        </w:div>
      </w:divsChild>
    </w:div>
    <w:div w:id="1999654441">
      <w:marLeft w:val="0"/>
      <w:marRight w:val="0"/>
      <w:marTop w:val="0"/>
      <w:marBottom w:val="0"/>
      <w:divBdr>
        <w:top w:val="none" w:sz="0" w:space="0" w:color="auto"/>
        <w:left w:val="none" w:sz="0" w:space="0" w:color="auto"/>
        <w:bottom w:val="none" w:sz="0" w:space="0" w:color="auto"/>
        <w:right w:val="none" w:sz="0" w:space="0" w:color="auto"/>
      </w:divBdr>
    </w:div>
    <w:div w:id="2017609575">
      <w:marLeft w:val="0"/>
      <w:marRight w:val="0"/>
      <w:marTop w:val="0"/>
      <w:marBottom w:val="0"/>
      <w:divBdr>
        <w:top w:val="none" w:sz="0" w:space="0" w:color="auto"/>
        <w:left w:val="none" w:sz="0" w:space="0" w:color="auto"/>
        <w:bottom w:val="none" w:sz="0" w:space="0" w:color="auto"/>
        <w:right w:val="none" w:sz="0" w:space="0" w:color="auto"/>
      </w:divBdr>
      <w:divsChild>
        <w:div w:id="1883050458">
          <w:marLeft w:val="0"/>
          <w:marRight w:val="0"/>
          <w:marTop w:val="0"/>
          <w:marBottom w:val="0"/>
          <w:divBdr>
            <w:top w:val="none" w:sz="0" w:space="0" w:color="auto"/>
            <w:left w:val="none" w:sz="0" w:space="0" w:color="auto"/>
            <w:bottom w:val="none" w:sz="0" w:space="0" w:color="auto"/>
            <w:right w:val="none" w:sz="0" w:space="0" w:color="auto"/>
          </w:divBdr>
        </w:div>
      </w:divsChild>
    </w:div>
    <w:div w:id="2039770722">
      <w:marLeft w:val="0"/>
      <w:marRight w:val="0"/>
      <w:marTop w:val="0"/>
      <w:marBottom w:val="0"/>
      <w:divBdr>
        <w:top w:val="none" w:sz="0" w:space="0" w:color="auto"/>
        <w:left w:val="none" w:sz="0" w:space="0" w:color="auto"/>
        <w:bottom w:val="none" w:sz="0" w:space="0" w:color="auto"/>
        <w:right w:val="none" w:sz="0" w:space="0" w:color="auto"/>
      </w:divBdr>
      <w:divsChild>
        <w:div w:id="1085810227">
          <w:marLeft w:val="0"/>
          <w:marRight w:val="0"/>
          <w:marTop w:val="0"/>
          <w:marBottom w:val="0"/>
          <w:divBdr>
            <w:top w:val="none" w:sz="0" w:space="0" w:color="auto"/>
            <w:left w:val="none" w:sz="0" w:space="0" w:color="auto"/>
            <w:bottom w:val="none" w:sz="0" w:space="0" w:color="auto"/>
            <w:right w:val="none" w:sz="0" w:space="0" w:color="auto"/>
          </w:divBdr>
        </w:div>
      </w:divsChild>
    </w:div>
    <w:div w:id="2042826658">
      <w:marLeft w:val="0"/>
      <w:marRight w:val="0"/>
      <w:marTop w:val="0"/>
      <w:marBottom w:val="0"/>
      <w:divBdr>
        <w:top w:val="none" w:sz="0" w:space="0" w:color="auto"/>
        <w:left w:val="none" w:sz="0" w:space="0" w:color="auto"/>
        <w:bottom w:val="none" w:sz="0" w:space="0" w:color="auto"/>
        <w:right w:val="none" w:sz="0" w:space="0" w:color="auto"/>
      </w:divBdr>
    </w:div>
    <w:div w:id="2044675031">
      <w:marLeft w:val="0"/>
      <w:marRight w:val="0"/>
      <w:marTop w:val="0"/>
      <w:marBottom w:val="0"/>
      <w:divBdr>
        <w:top w:val="none" w:sz="0" w:space="0" w:color="auto"/>
        <w:left w:val="none" w:sz="0" w:space="0" w:color="auto"/>
        <w:bottom w:val="none" w:sz="0" w:space="0" w:color="auto"/>
        <w:right w:val="none" w:sz="0" w:space="0" w:color="auto"/>
      </w:divBdr>
    </w:div>
    <w:div w:id="2057393358">
      <w:marLeft w:val="0"/>
      <w:marRight w:val="0"/>
      <w:marTop w:val="100"/>
      <w:marBottom w:val="0"/>
      <w:divBdr>
        <w:top w:val="none" w:sz="0" w:space="0" w:color="auto"/>
        <w:left w:val="none" w:sz="0" w:space="0" w:color="auto"/>
        <w:bottom w:val="none" w:sz="0" w:space="0" w:color="auto"/>
        <w:right w:val="none" w:sz="0" w:space="0" w:color="auto"/>
      </w:divBdr>
    </w:div>
    <w:div w:id="2063476985">
      <w:marLeft w:val="0"/>
      <w:marRight w:val="0"/>
      <w:marTop w:val="180"/>
      <w:marBottom w:val="0"/>
      <w:divBdr>
        <w:top w:val="none" w:sz="0" w:space="0" w:color="auto"/>
        <w:left w:val="none" w:sz="0" w:space="0" w:color="auto"/>
        <w:bottom w:val="none" w:sz="0" w:space="0" w:color="auto"/>
        <w:right w:val="none" w:sz="0" w:space="0" w:color="auto"/>
      </w:divBdr>
    </w:div>
    <w:div w:id="2071536633">
      <w:marLeft w:val="0"/>
      <w:marRight w:val="0"/>
      <w:marTop w:val="0"/>
      <w:marBottom w:val="0"/>
      <w:divBdr>
        <w:top w:val="none" w:sz="0" w:space="0" w:color="auto"/>
        <w:left w:val="none" w:sz="0" w:space="0" w:color="auto"/>
        <w:bottom w:val="none" w:sz="0" w:space="0" w:color="auto"/>
        <w:right w:val="none" w:sz="0" w:space="0" w:color="auto"/>
      </w:divBdr>
    </w:div>
    <w:div w:id="2081173223">
      <w:marLeft w:val="0"/>
      <w:marRight w:val="0"/>
      <w:marTop w:val="0"/>
      <w:marBottom w:val="0"/>
      <w:divBdr>
        <w:top w:val="none" w:sz="0" w:space="0" w:color="auto"/>
        <w:left w:val="none" w:sz="0" w:space="0" w:color="auto"/>
        <w:bottom w:val="none" w:sz="0" w:space="0" w:color="auto"/>
        <w:right w:val="none" w:sz="0" w:space="0" w:color="auto"/>
      </w:divBdr>
    </w:div>
    <w:div w:id="2081318311">
      <w:marLeft w:val="0"/>
      <w:marRight w:val="0"/>
      <w:marTop w:val="0"/>
      <w:marBottom w:val="0"/>
      <w:divBdr>
        <w:top w:val="none" w:sz="0" w:space="0" w:color="auto"/>
        <w:left w:val="none" w:sz="0" w:space="0" w:color="auto"/>
        <w:bottom w:val="none" w:sz="0" w:space="0" w:color="auto"/>
        <w:right w:val="none" w:sz="0" w:space="0" w:color="auto"/>
      </w:divBdr>
      <w:divsChild>
        <w:div w:id="2106340075">
          <w:marLeft w:val="0"/>
          <w:marRight w:val="0"/>
          <w:marTop w:val="0"/>
          <w:marBottom w:val="0"/>
          <w:divBdr>
            <w:top w:val="none" w:sz="0" w:space="0" w:color="auto"/>
            <w:left w:val="none" w:sz="0" w:space="0" w:color="auto"/>
            <w:bottom w:val="none" w:sz="0" w:space="0" w:color="auto"/>
            <w:right w:val="none" w:sz="0" w:space="0" w:color="auto"/>
          </w:divBdr>
        </w:div>
      </w:divsChild>
    </w:div>
    <w:div w:id="2088257865">
      <w:marLeft w:val="0"/>
      <w:marRight w:val="0"/>
      <w:marTop w:val="180"/>
      <w:marBottom w:val="0"/>
      <w:divBdr>
        <w:top w:val="none" w:sz="0" w:space="0" w:color="auto"/>
        <w:left w:val="none" w:sz="0" w:space="0" w:color="auto"/>
        <w:bottom w:val="none" w:sz="0" w:space="0" w:color="auto"/>
        <w:right w:val="none" w:sz="0" w:space="0" w:color="auto"/>
      </w:divBdr>
    </w:div>
    <w:div w:id="2103792653">
      <w:marLeft w:val="0"/>
      <w:marRight w:val="0"/>
      <w:marTop w:val="180"/>
      <w:marBottom w:val="0"/>
      <w:divBdr>
        <w:top w:val="none" w:sz="0" w:space="0" w:color="auto"/>
        <w:left w:val="none" w:sz="0" w:space="0" w:color="auto"/>
        <w:bottom w:val="none" w:sz="0" w:space="0" w:color="auto"/>
        <w:right w:val="none" w:sz="0" w:space="0" w:color="auto"/>
      </w:divBdr>
    </w:div>
    <w:div w:id="2112626081">
      <w:marLeft w:val="0"/>
      <w:marRight w:val="0"/>
      <w:marTop w:val="0"/>
      <w:marBottom w:val="0"/>
      <w:divBdr>
        <w:top w:val="none" w:sz="0" w:space="0" w:color="auto"/>
        <w:left w:val="none" w:sz="0" w:space="0" w:color="auto"/>
        <w:bottom w:val="none" w:sz="0" w:space="0" w:color="auto"/>
        <w:right w:val="none" w:sz="0" w:space="0" w:color="auto"/>
      </w:divBdr>
      <w:divsChild>
        <w:div w:id="1027633707">
          <w:marLeft w:val="0"/>
          <w:marRight w:val="0"/>
          <w:marTop w:val="0"/>
          <w:marBottom w:val="0"/>
          <w:divBdr>
            <w:top w:val="none" w:sz="0" w:space="0" w:color="auto"/>
            <w:left w:val="none" w:sz="0" w:space="0" w:color="auto"/>
            <w:bottom w:val="none" w:sz="0" w:space="0" w:color="auto"/>
            <w:right w:val="none" w:sz="0" w:space="0" w:color="auto"/>
          </w:divBdr>
        </w:div>
      </w:divsChild>
    </w:div>
    <w:div w:id="2122800418">
      <w:marLeft w:val="0"/>
      <w:marRight w:val="0"/>
      <w:marTop w:val="0"/>
      <w:marBottom w:val="0"/>
      <w:divBdr>
        <w:top w:val="none" w:sz="0" w:space="0" w:color="auto"/>
        <w:left w:val="none" w:sz="0" w:space="0" w:color="auto"/>
        <w:bottom w:val="none" w:sz="0" w:space="0" w:color="auto"/>
        <w:right w:val="none" w:sz="0" w:space="0" w:color="auto"/>
      </w:divBdr>
    </w:div>
    <w:div w:id="2126922217">
      <w:marLeft w:val="0"/>
      <w:marRight w:val="0"/>
      <w:marTop w:val="180"/>
      <w:marBottom w:val="0"/>
      <w:divBdr>
        <w:top w:val="none" w:sz="0" w:space="0" w:color="auto"/>
        <w:left w:val="none" w:sz="0" w:space="0" w:color="auto"/>
        <w:bottom w:val="none" w:sz="0" w:space="0" w:color="auto"/>
        <w:right w:val="none" w:sz="0" w:space="0" w:color="auto"/>
      </w:divBdr>
    </w:div>
    <w:div w:id="2134708340">
      <w:marLeft w:val="0"/>
      <w:marRight w:val="0"/>
      <w:marTop w:val="0"/>
      <w:marBottom w:val="0"/>
      <w:divBdr>
        <w:top w:val="none" w:sz="0" w:space="0" w:color="auto"/>
        <w:left w:val="none" w:sz="0" w:space="0" w:color="auto"/>
        <w:bottom w:val="none" w:sz="0" w:space="0" w:color="auto"/>
        <w:right w:val="none" w:sz="0" w:space="0" w:color="auto"/>
      </w:divBdr>
      <w:divsChild>
        <w:div w:id="376513251">
          <w:marLeft w:val="0"/>
          <w:marRight w:val="0"/>
          <w:marTop w:val="0"/>
          <w:marBottom w:val="0"/>
          <w:divBdr>
            <w:top w:val="none" w:sz="0" w:space="0" w:color="auto"/>
            <w:left w:val="none" w:sz="0" w:space="0" w:color="auto"/>
            <w:bottom w:val="none" w:sz="0" w:space="0" w:color="auto"/>
            <w:right w:val="none" w:sz="0" w:space="0" w:color="auto"/>
          </w:divBdr>
        </w:div>
      </w:divsChild>
    </w:div>
    <w:div w:id="214696921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12sec302cfocert-33.htm" TargetMode="External"/><Relationship Id="rId3" Type="http://schemas.openxmlformats.org/officeDocument/2006/relationships/webSettings" Target="webSettings.xml"/><Relationship Id="rId7" Type="http://schemas.openxmlformats.org/officeDocument/2006/relationships/hyperlink" Target="exhibit311sec302ceocert-3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2letteragreementdl.htm" TargetMode="External"/><Relationship Id="rId11" Type="http://schemas.openxmlformats.org/officeDocument/2006/relationships/theme" Target="theme/theme1.xml"/><Relationship Id="rId5" Type="http://schemas.openxmlformats.org/officeDocument/2006/relationships/hyperlink" Target="exhibit101formofsepbtsr.htm" TargetMode="External"/><Relationship Id="rId10" Type="http://schemas.openxmlformats.org/officeDocument/2006/relationships/fontTable" Target="fontTable.xml"/><Relationship Id="rId4" Type="http://schemas.openxmlformats.org/officeDocument/2006/relationships/image" Target="file:///E:\projects\LLMs\new_data_collection\data_new\htm\NCR%20VOYIX%20Corp\ncr-20220331_g1.jpg" TargetMode="External"/><Relationship Id="rId9" Type="http://schemas.openxmlformats.org/officeDocument/2006/relationships/hyperlink" Target="exhibit32sec906ceoandcfoc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32551</Words>
  <Characters>185541</Characters>
  <Application>Microsoft Office Word</Application>
  <DocSecurity>0</DocSecurity>
  <Lines>1546</Lines>
  <Paragraphs>435</Paragraphs>
  <ScaleCrop>false</ScaleCrop>
  <Company/>
  <LinksUpToDate>false</LinksUpToDate>
  <CharactersWithSpaces>217657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ncr-20220331</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