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048A7">
      <w:pPr>
        <w:divId w:val="482626609"/>
        <w:rPr>
          <w:rFonts w:eastAsia="Times New Roman"/>
          <w:vanish/>
        </w:rPr>
      </w:pPr>
      <w:r>
        <w:rPr>
          <w:rFonts w:eastAsia="Times New Roman"/>
          <w:vanish/>
        </w:rPr>
        <w:t>000007086612/312022Q2FALSE7500000708662022-01-012022-06-3000000708662022-07-15xbrli:shares0000070866us-gaap:ProductMember2022-04-012022-06-30iso4217:USD0000070866us-gaap:ProductMember2021-04-012021-06-300000070866us-gaap:ProductMember2022-01-01</w:t>
      </w:r>
      <w:r>
        <w:rPr>
          <w:rFonts w:eastAsia="Times New Roman"/>
          <w:vanish/>
        </w:rPr>
        <w:t>2022-06-300000070866us-gaap:ProductMember2021-01-012021-06-300000070866us-gaap:ServiceMember2022-04-012022-06-300000070866us-gaap:ServiceMember2021-04-012021-06-300000070866us-gaap:ServiceMember2022-01-012022-06-300000070866us-gaap:ServiceMember2021-01-012</w:t>
      </w:r>
      <w:r>
        <w:rPr>
          <w:rFonts w:eastAsia="Times New Roman"/>
          <w:vanish/>
        </w:rPr>
        <w:t>021-06-3000000708662022-04-012022-06-3000000708662021-04-012021-06-3000000708662021-01-012021-06-30iso4217:USDxbrli:shares00000708662022-06-3000000708662021-12-3100000708662020-12-3100000708662021-06-300000070866ncr:LibertyXMember2022-01-012022-06-30000007</w:t>
      </w:r>
      <w:r>
        <w:rPr>
          <w:rFonts w:eastAsia="Times New Roman"/>
          <w:vanish/>
        </w:rPr>
        <w:t>0866us-gaap:CommonStockMember2021-12-310000070866us-gaap:AdditionalPaidInCapitalMember2021-12-310000070866us-gaap:RetainedEarningsMember2021-12-310000070866us-gaap:AccumulatedOtherComprehensiveIncomeMember2021-12-310000070866us-gaap:NoncontrollingInterestM</w:t>
      </w:r>
      <w:r>
        <w:rPr>
          <w:rFonts w:eastAsia="Times New Roman"/>
          <w:vanish/>
        </w:rPr>
        <w:t>ember2021-12-310000070866ncr:TotalStockholdersEquityMember2021-12-310000070866us-gaap:RetainedEarningsMember2022-01-012022-03-310000070866us-gaap:NoncontrollingInterestMember2022-01-012022-03-310000070866ncr:TotalStockholdersEquityMember2022-01-012022-03-3</w:t>
      </w:r>
      <w:r>
        <w:rPr>
          <w:rFonts w:eastAsia="Times New Roman"/>
          <w:vanish/>
        </w:rPr>
        <w:t>10000070866us-gaap:AccumulatedOtherComprehensiveIncomeMember2022-01-012022-03-310000070866us-gaap:CommonStockMember2022-01-012022-03-310000070866us-gaap:AdditionalPaidInCapitalMember2022-01-012022-03-310000070866us-gaap:CommonStockMember2022-03-31000007086</w:t>
      </w:r>
      <w:r>
        <w:rPr>
          <w:rFonts w:eastAsia="Times New Roman"/>
          <w:vanish/>
        </w:rPr>
        <w:t>6us-gaap:AdditionalPaidInCapitalMember2022-03-310000070866us-gaap:RetainedEarningsMember2022-03-310000070866us-gaap:AccumulatedOtherComprehensiveIncomeMember2022-03-310000070866us-gaap:NoncontrollingInterestMember2022-03-310000070866ncr:TotalStockholdersEq</w:t>
      </w:r>
      <w:r>
        <w:rPr>
          <w:rFonts w:eastAsia="Times New Roman"/>
          <w:vanish/>
        </w:rPr>
        <w:t>uityMember2022-03-310000070866us-gaap:RetainedEarningsMember2022-04-012022-06-300000070866us-gaap:NoncontrollingInterestMember2022-04-012022-06-300000070866ncr:TotalStockholdersEquityMember2022-04-012022-06-300000070866us-gaap:AccumulatedOtherComprehensive</w:t>
      </w:r>
      <w:r>
        <w:rPr>
          <w:rFonts w:eastAsia="Times New Roman"/>
          <w:vanish/>
        </w:rPr>
        <w:t>IncomeMember2022-04-012022-06-300000070866us-gaap:CommonStockMember2022-04-012022-06-300000070866us-gaap:AdditionalPaidInCapitalMember2022-04-012022-06-300000070866us-gaap:CommonStockMember2022-06-300000070866us-gaap:AdditionalPaidInCapitalMember2022-06-30</w:t>
      </w:r>
      <w:r>
        <w:rPr>
          <w:rFonts w:eastAsia="Times New Roman"/>
          <w:vanish/>
        </w:rPr>
        <w:t>0000070866us-gaap:RetainedEarningsMember2022-06-300000070866us-gaap:AccumulatedOtherComprehensiveIncomeMember2022-06-300000070866us-gaap:NoncontrollingInterestMember2022-06-300000070866ncr:TotalStockholdersEquityMember2022-06-300000070866us-gaap:CommonStoc</w:t>
      </w:r>
      <w:r>
        <w:rPr>
          <w:rFonts w:eastAsia="Times New Roman"/>
          <w:vanish/>
        </w:rPr>
        <w:t>kMember2020-12-310000070866us-gaap:AdditionalPaidInCapitalMember2020-12-310000070866us-gaap:RetainedEarningsMember2020-12-310000070866us-gaap:AccumulatedOtherComprehensiveIncomeMember2020-12-310000070866us-gaap:NoncontrollingInterestMember2020-12-310000070</w:t>
      </w:r>
      <w:r>
        <w:rPr>
          <w:rFonts w:eastAsia="Times New Roman"/>
          <w:vanish/>
        </w:rPr>
        <w:t>866ncr:TotalStockholdersEquityMember2020-12-310000070866us-gaap:RetainedEarningsMember2021-01-012021-03-310000070866us-gaap:NoncontrollingInterestMember2021-01-012021-03-310000070866ncr:TotalStockholdersEquityMember2021-01-012021-03-310000070866us-gaap:Acc</w:t>
      </w:r>
      <w:r>
        <w:rPr>
          <w:rFonts w:eastAsia="Times New Roman"/>
          <w:vanish/>
        </w:rPr>
        <w:t>umulatedOtherComprehensiveIncomeMember2021-01-012021-03-310000070866us-gaap:CommonStockMember2021-01-012021-03-310000070866us-gaap:AdditionalPaidInCapitalMember2021-01-012021-03-310000070866us-gaap:CommonStockMember2021-03-310000070866us-gaap:AdditionalPai</w:t>
      </w:r>
      <w:r>
        <w:rPr>
          <w:rFonts w:eastAsia="Times New Roman"/>
          <w:vanish/>
        </w:rPr>
        <w:t>dInCapitalMember2021-03-310000070866us-gaap:RetainedEarningsMember2021-03-310000070866us-gaap:AccumulatedOtherComprehensiveIncomeMember2021-03-310000070866us-gaap:NoncontrollingInterestMember2021-03-310000070866ncr:TotalStockholdersEquityMember2021-03-3100</w:t>
      </w:r>
      <w:r>
        <w:rPr>
          <w:rFonts w:eastAsia="Times New Roman"/>
          <w:vanish/>
        </w:rPr>
        <w:t>00070866us-gaap:RetainedEarningsMember2021-04-012021-06-300000070866ncr:TotalStockholdersEquityMember2021-04-012021-06-300000070866us-gaap:AccumulatedOtherComprehensiveIncomeMember2021-04-012021-06-300000070866us-gaap:AdditionalPaidInCapitalMember2021-04-0</w:t>
      </w:r>
      <w:r>
        <w:rPr>
          <w:rFonts w:eastAsia="Times New Roman"/>
          <w:vanish/>
        </w:rPr>
        <w:t>12021-06-300000070866us-gaap:CommonStockMember2021-06-300000070866us-gaap:AdditionalPaidInCapitalMember2021-06-300000070866us-gaap:RetainedEarningsMember2021-06-300000070866us-gaap:AccumulatedOtherComprehensiveIncomeMember2021-06-300000070866us-gaap:Noncon</w:t>
      </w:r>
      <w:r>
        <w:rPr>
          <w:rFonts w:eastAsia="Times New Roman"/>
          <w:vanish/>
        </w:rPr>
        <w:t>trollingInterestMember2021-06-300000070866ncr:TotalStockholdersEquityMember2021-06-3000000708662022-07-012022-06-30xbrli:pure0000070866ncr:LibertyXMember2022-01-050000070866ncr:LibertyXMember2022-01-052022-01-050000070866us-gaap:CustomerRelationshipsMember</w:t>
      </w:r>
      <w:r>
        <w:rPr>
          <w:rFonts w:eastAsia="Times New Roman"/>
          <w:vanish/>
        </w:rPr>
        <w:t>ncr:LibertyXMember2022-01-050000070866us-gaap:CustomerRelationshipsMemberncr:LibertyXMember2022-01-052022-01-050000070866us-gaap:PatentedTechnologyMemberncr:LibertyXMember2022-01-050000070866us-gaap:PatentedTechnologyMemberncr:LibertyXMember2022-01-052022-</w:t>
      </w:r>
      <w:r>
        <w:rPr>
          <w:rFonts w:eastAsia="Times New Roman"/>
          <w:vanish/>
        </w:rPr>
        <w:t>01-050000070866us-gaap:NoncompeteAgreementsMemberncr:LibertyXMember2022-01-050000070866us-gaap:NoncompeteAgreementsMemberncr:LibertyXMember2022-01-052022-01-050000070866ncr:LibertyXMemberus-gaap:TradeNamesMember2022-01-050000070866ncr:LibertyXMemberus-gaap</w:t>
      </w:r>
      <w:r>
        <w:rPr>
          <w:rFonts w:eastAsia="Times New Roman"/>
          <w:vanish/>
        </w:rPr>
        <w:t>:TradeNamesMember2022-01-052022-01-050000070866ncr:CardtronicsMember2021-06-210000070866ncr:CardtronicsMember2021-04-012021-06-300000070866ncr:CardtronicsMember2021-01-012021-06-300000070866ncr:PaymentsNetworkSegmentMember2021-12-310000070866ncr:PaymentsNe</w:t>
      </w:r>
      <w:r>
        <w:rPr>
          <w:rFonts w:eastAsia="Times New Roman"/>
          <w:vanish/>
        </w:rPr>
        <w:t>tworkSegmentMember2022-01-012022-06-300000070866ncr:PaymentsNetworkSegmentMember2022-06-300000070866ncr:DigitalBankingMember2021-12-310000070866ncr:DigitalBankingMember2022-01-012022-06-300000070866ncr:DigitalBankingMember2022-06-300000070866ncr:SelfServic</w:t>
      </w:r>
      <w:r>
        <w:rPr>
          <w:rFonts w:eastAsia="Times New Roman"/>
          <w:vanish/>
        </w:rPr>
        <w:t>eBankingSegmentsMember2021-12-310000070866ncr:SelfServiceBankingSegmentsMember2022-01-012022-06-300000070866ncr:SelfServiceBankingSegmentsMember2022-06-300000070866ncr:RetailSegmentMember2021-12-310000070866ncr:RetailSegmentMember2022-01-012022-06-30000007</w:t>
      </w:r>
      <w:r>
        <w:rPr>
          <w:rFonts w:eastAsia="Times New Roman"/>
          <w:vanish/>
        </w:rPr>
        <w:t>0866ncr:RetailSegmentMember2022-06-300000070866ncr:HospitalitySegmentMember2021-12-310000070866ncr:HospitalitySegmentMember2022-01-012022-06-300000070866ncr:HospitalitySegmentMember2022-06-300000070866us-gaap:AllOtherSegmentsMember2021-12-310000070866us-ga</w:t>
      </w:r>
      <w:r>
        <w:rPr>
          <w:rFonts w:eastAsia="Times New Roman"/>
          <w:vanish/>
        </w:rPr>
        <w:t>ap:AllOtherSegmentsMember2022-01-012022-06-300000070866us-gaap:AllOtherSegmentsMember2022-06-300000070866us-gaap:CustomerRelationshipsMembersrt:MinimumMember2022-01-012022-06-300000070866us-gaap:CustomerRelationshipsMembersrt:MaximumMember2022-01-012022-06</w:t>
      </w:r>
      <w:r>
        <w:rPr>
          <w:rFonts w:eastAsia="Times New Roman"/>
          <w:vanish/>
        </w:rPr>
        <w:t>-300000070866us-gaap:CustomerRelationshipsMember2022-06-300000070866us-gaap:CustomerRelationshipsMember2021-12-310000070866us-gaap:IntellectualPropertyMembersrt:MinimumMember2022-01-012022-06-300000070866us-gaap:IntellectualPropertyMembersrt:MaximumMember2</w:t>
      </w:r>
      <w:r>
        <w:rPr>
          <w:rFonts w:eastAsia="Times New Roman"/>
          <w:vanish/>
        </w:rPr>
        <w:t>022-01-012022-06-300000070866us-gaap:IntellectualPropertyMember2022-06-300000070866us-gaap:IntellectualPropertyMember2021-12-310000070866us-gaap:CustomerContractsMember2022-01-012022-06-300000070866us-gaap:CustomerContractsMember2022-06-300000070866us-gaap</w:t>
      </w:r>
      <w:r>
        <w:rPr>
          <w:rFonts w:eastAsia="Times New Roman"/>
          <w:vanish/>
        </w:rPr>
        <w:t>:CustomerContractsMember2021-12-310000070866srt:MinimumMemberus-gaap:TradeNamesMember2022-01-012022-06-300000070866us-gaap:TradeNamesMembersrt:MaximumMember2022-01-012022-06-300000070866us-gaap:TradeNamesMember2022-06-300000070866us-gaap:TradeNamesMember20</w:t>
      </w:r>
      <w:r>
        <w:rPr>
          <w:rFonts w:eastAsia="Times New Roman"/>
          <w:vanish/>
        </w:rPr>
        <w:t>21-12-310000070866us-gaap:OperatingSegmentsMemberncr:PaymentsNetworkSegmentMember2022-04-012022-06-300000070866us-gaap:OperatingSegmentsMemberncr:PaymentsNetworkSegmentMember2021-04-012021-06-300000070866us-gaap:OperatingSegmentsMemberncr:PaymentsNetworkSe</w:t>
      </w:r>
      <w:r>
        <w:rPr>
          <w:rFonts w:eastAsia="Times New Roman"/>
          <w:vanish/>
        </w:rPr>
        <w:t>gmentMember2022-01-012022-06-300000070866us-gaap:OperatingSegmentsMemberncr:PaymentsNetworkSegmentMember2021-01-012021-06-300000070866us-gaap:OperatingSegmentsMemberncr:DigitalBankingMember2022-04-012022-06-300000070866us-gaap:OperatingSegmentsMemberncr:Di</w:t>
      </w:r>
      <w:r>
        <w:rPr>
          <w:rFonts w:eastAsia="Times New Roman"/>
          <w:vanish/>
        </w:rPr>
        <w:t>gitalBankingMember2021-04-012021-06-300000070866us-gaap:OperatingSegmentsMemberncr:DigitalBankingMember2022-01-012022-06-300000070866us-gaap:OperatingSegmentsMemberncr:DigitalBankingMember2021-01-012021-06-300000070866us-gaap:OperatingSegmentsMemberncr:Sel</w:t>
      </w:r>
      <w:r>
        <w:rPr>
          <w:rFonts w:eastAsia="Times New Roman"/>
          <w:vanish/>
        </w:rPr>
        <w:t>fServiceBankingSegmentsMember2022-04-012022-06-300000070866us-gaap:OperatingSegmentsMemberncr:SelfServiceBankingSegmentsMember2021-04-012021-06-300000070866us-gaap:OperatingSegmentsMemberncr:SelfServiceBankingSegmentsMember2022-01-012022-06-300000070866us-</w:t>
      </w:r>
      <w:r>
        <w:rPr>
          <w:rFonts w:eastAsia="Times New Roman"/>
          <w:vanish/>
        </w:rPr>
        <w:t>gaap:OperatingSegmentsMemberncr:SelfServiceBankingSegmentsMember2021-01-012021-06-300000070866us-gaap:OperatingSegmentsMemberncr:RetailSegmentsMember2022-04-012022-06-300000070866us-gaap:OperatingSegmentsMemberncr:RetailSegmentsMember2021-04-012021-06-3000</w:t>
      </w:r>
      <w:r>
        <w:rPr>
          <w:rFonts w:eastAsia="Times New Roman"/>
          <w:vanish/>
        </w:rPr>
        <w:t>00070866us-gaap:OperatingSegmentsMemberncr:RetailSegmentsMember2022-01-012022-06-300000070866us-gaap:OperatingSegmentsMemberncr:RetailSegmentsMember2021-01-012021-06-300000070866us-gaap:OperatingSegmentsMemberncr:HospitalitySegmentMember2022-04-012022-06-3</w:t>
      </w:r>
      <w:r>
        <w:rPr>
          <w:rFonts w:eastAsia="Times New Roman"/>
          <w:vanish/>
        </w:rPr>
        <w:t>00000070866us-gaap:OperatingSegmentsMemberncr:HospitalitySegmentMember2021-04-012021-06-300000070866us-gaap:OperatingSegmentsMemberncr:HospitalitySegmentMember2022-01-012022-06-300000070866us-gaap:OperatingSegmentsMemberncr:HospitalitySegmentMember2021-01-</w:t>
      </w:r>
      <w:r>
        <w:rPr>
          <w:rFonts w:eastAsia="Times New Roman"/>
          <w:vanish/>
        </w:rPr>
        <w:t>012021-06-300000070866us-gaap:OperatingSegmentsMemberus-gaap:AllOtherSegmentsMember2022-04-012022-06-300000070866us-gaap:OperatingSegmentsMemberus-gaap:AllOtherSegmentsMember2021-04-012021-06-300000070866us-gaap:OperatingSegmentsMemberus-gaap:AllOtherSegme</w:t>
      </w:r>
      <w:r>
        <w:rPr>
          <w:rFonts w:eastAsia="Times New Roman"/>
          <w:vanish/>
        </w:rPr>
        <w:t>ntsMember2022-01-012022-06-300000070866us-gaap:OperatingSegmentsMemberus-gaap:AllOtherSegmentsMember2021-01-012021-06-300000070866us-gaap:OperatingSegmentsMemberncr:EliminationsMember2022-04-012022-06-300000070866us-gaap:OperatingSegmentsMemberncr:Eliminat</w:t>
      </w:r>
      <w:r>
        <w:rPr>
          <w:rFonts w:eastAsia="Times New Roman"/>
          <w:vanish/>
        </w:rPr>
        <w:t>ionsMember2021-04-012021-06-300000070866us-gaap:OperatingSegmentsMemberncr:EliminationsMember2022-01-012022-06-300000070866us-gaap:OperatingSegmentsMemberncr:EliminationsMember2021-01-012021-06-300000070866us-gaap:OperatingSegmentsMember2022-04-012022-06-3</w:t>
      </w:r>
      <w:r>
        <w:rPr>
          <w:rFonts w:eastAsia="Times New Roman"/>
          <w:vanish/>
        </w:rPr>
        <w:t>00000070866us-gaap:OperatingSegmentsMember2021-04-012021-06-300000070866us-gaap:OperatingSegmentsMember2022-01-012022-06-300000070866us-gaap:OperatingSegmentsMember2021-01-012021-06-300000070866ncr:RussiaConflictMember2022-04-012022-06-300000070866ncr:Russ</w:t>
      </w:r>
      <w:r>
        <w:rPr>
          <w:rFonts w:eastAsia="Times New Roman"/>
          <w:vanish/>
        </w:rPr>
        <w:t>iaConflictMember2021-04-012021-06-300000070866ncr:RussiaConflictMember2022-01-012022-06-300000070866ncr:RussiaConflictMember2021-01-012021-06-300000070866ncr:CardtronicsMemberncr:PaymentsNetworkSegmentMember2021-04-012021-06-300000070866ncr:CardtronicsMemb</w:t>
      </w:r>
      <w:r>
        <w:rPr>
          <w:rFonts w:eastAsia="Times New Roman"/>
          <w:vanish/>
        </w:rPr>
        <w:t>erncr:PaymentsNetworkSegmentMember2021-01-012021-06-300000070866ncr:CardtronicsMemberncr:SelfServiceBankingSegmentsMember2021-04-012021-06-300000070866ncr:CardtronicsMemberncr:SelfServiceBankingSegmentsMember2021-01-012021-06-300000070866srt:AmericasMember</w:t>
      </w:r>
      <w:r>
        <w:rPr>
          <w:rFonts w:eastAsia="Times New Roman"/>
          <w:vanish/>
        </w:rPr>
        <w:t>2022-04-012022-06-300000070866srt:AmericasMember2021-04-012021-06-300000070866srt:AmericasMember2022-01-012022-06-300000070866srt:AmericasMember2021-01-012021-06-300000070866us-gaap:EMEAMember2022-04-012022-06-300000070866us-gaap:EMEAMember2021-04-012021-0</w:t>
      </w:r>
      <w:r>
        <w:rPr>
          <w:rFonts w:eastAsia="Times New Roman"/>
          <w:vanish/>
        </w:rPr>
        <w:t>6-300000070866us-gaap:EMEAMember2022-01-012022-06-300000070866us-gaap:EMEAMember2021-01-012021-06-300000070866srt:AsiaPacificMember2022-04-012022-06-300000070866srt:AsiaPacificMember2021-04-012021-06-300000070866srt:AsiaPacificMember2022-01-012022-06-30000</w:t>
      </w:r>
      <w:r>
        <w:rPr>
          <w:rFonts w:eastAsia="Times New Roman"/>
          <w:vanish/>
        </w:rPr>
        <w:t>0070866srt:AsiaPacificMember2021-01-012021-06-300000070866ncr:RecurringRevenueMember2022-04-012022-06-300000070866ncr:RecurringRevenueMember2021-04-012021-06-300000070866ncr:RecurringRevenueMember2022-01-012022-06-300000070866ncr:RecurringRevenueMember2021</w:t>
      </w:r>
      <w:r>
        <w:rPr>
          <w:rFonts w:eastAsia="Times New Roman"/>
          <w:vanish/>
        </w:rPr>
        <w:t>-01-012021-06-300000070866ncr:AllOtherProductsAndServicesMember2022-04-012022-06-300000070866ncr:AllOtherProductsAndServicesMember2021-04-012021-06-300000070866ncr:AllOtherProductsAndServicesMember2022-01-012022-06-300000070866ncr:AllOtherProductsAndServic</w:t>
      </w:r>
      <w:r>
        <w:rPr>
          <w:rFonts w:eastAsia="Times New Roman"/>
          <w:vanish/>
        </w:rPr>
        <w:t>esMember2021-01-012021-06-300000070866ncr:TermLoanMember2022-06-300000070866ncr:TermLoanMember2021-12-310000070866ncr:OtherDebtMember2022-06-300000070866ncr:OtherDebtMember2021-12-310000070866ncr:TermLoanMember2022-06-300000070866ncr:TermLoanMember2021-12-</w:t>
      </w:r>
      <w:r>
        <w:rPr>
          <w:rFonts w:eastAsia="Times New Roman"/>
          <w:vanish/>
        </w:rPr>
        <w:t>310000070866us-gaap:RevolvingCreditFacilityMember2022-06-300000070866us-gaap:RevolvingCreditFacilityMember2021-12-310000070866ncr:A5.750SeniorNotesdue2027Member2022-06-300000070866ncr:A5.750SeniorNotesdue2027Member2021-12-310000070866ncr:A5000SeniorNotesDu</w:t>
      </w:r>
      <w:r>
        <w:rPr>
          <w:rFonts w:eastAsia="Times New Roman"/>
          <w:vanish/>
        </w:rPr>
        <w:t>e2028Member2022-06-300000070866ncr:A5000SeniorNotesDue2028Member2021-12-310000070866ncr:A5125NotesDue2029Member2022-06-300000070866ncr:A5125NotesDue2029Member2021-12-310000070866ncr:A6.125SeniorNotesdue2029Member2022-06-300000070866ncr:A6.125SeniorNotesdue</w:t>
      </w:r>
      <w:r>
        <w:rPr>
          <w:rFonts w:eastAsia="Times New Roman"/>
          <w:vanish/>
        </w:rPr>
        <w:t>2029Member2021-12-310000070866ncr:A5250SeniorNotesDue2030Member2022-06-300000070866ncr:A5250SeniorNotesDue2030Member2021-12-310000070866ncr:OtherDebtMember2022-06-300000070866ncr:OtherDebtMember2021-12-310000070866us-gaap:SecuredDebtMemberncr:RevolvingMemb</w:t>
      </w:r>
      <w:r>
        <w:rPr>
          <w:rFonts w:eastAsia="Times New Roman"/>
          <w:vanish/>
        </w:rPr>
        <w:t>er2022-06-300000070866ncr:PeriodOneMember2022-06-300000070866ncr:PeriodTwoMember2022-06-300000070866ncr:PeriodThreeMember2022-06-3000000708662021-09-3000000708662021-01-012021-12-310000070866srt:MinimumMember2022-06-300000070866srt:MaximumMember2022-06-300</w:t>
      </w:r>
      <w:r>
        <w:rPr>
          <w:rFonts w:eastAsia="Times New Roman"/>
          <w:vanish/>
        </w:rPr>
        <w:t>000070866us-gaap:ShareBasedCompensationAwardTrancheOneMember2022-01-012022-06-300000070866ncr:RestrictedStockUnitsGrantedFebruary232021Memberus-gaap:PerformanceSharesMember2022-06-300000070866ncr:RestrictedStockUnitsGrantedFebruary232021Memberus-gaap:Perfo</w:t>
      </w:r>
      <w:r>
        <w:rPr>
          <w:rFonts w:eastAsia="Times New Roman"/>
          <w:vanish/>
        </w:rPr>
        <w:t>rmanceSharesMember2022-01-012022-06-300000070866us-gaap:PerformanceSharesMember2022-01-012022-06-300000070866us-gaap:RestrictedStockUnitsRSUMember2022-06-300000070866us-gaap:RestrictedStockUnitsRSUMember2022-01-012022-06-300000070866us-gaap:EmployeeStockOp</w:t>
      </w:r>
      <w:r>
        <w:rPr>
          <w:rFonts w:eastAsia="Times New Roman"/>
          <w:vanish/>
        </w:rPr>
        <w:t>tionMember2022-06-300000070866us-gaap:EmployeeStockOptionMember2022-01-012022-06-300000070866ncr:EmployeeStockPurchasePlanMember2022-01-012022-06-300000070866ncr:EmployeeStockPurchasePlanMember2022-06-300000070866ncr:EmployeeStockPurchasePlanMember2022-04-</w:t>
      </w:r>
      <w:r>
        <w:rPr>
          <w:rFonts w:eastAsia="Times New Roman"/>
          <w:vanish/>
        </w:rPr>
        <w:t>012022-06-300000070866ncr:EmployeeStockPurchasePlanMember2021-04-012021-06-300000070866country:USus-gaap:PensionPlansDefinedBenefitMember2022-04-012022-06-300000070866country:USus-gaap:PensionPlansDefinedBenefitMember2021-04-012021-06-300000070866us-gaap:F</w:t>
      </w:r>
      <w:r>
        <w:rPr>
          <w:rFonts w:eastAsia="Times New Roman"/>
          <w:vanish/>
        </w:rPr>
        <w:t>oreignPlanMemberus-gaap:PensionPlansDefinedBenefitMember2022-04-012022-06-300000070866us-gaap:ForeignPlanMemberus-gaap:PensionPlansDefinedBenefitMember2021-04-012021-06-300000070866us-gaap:PensionPlansDefinedBenefitMember2022-04-012022-06-300000070866us-ga</w:t>
      </w:r>
      <w:r>
        <w:rPr>
          <w:rFonts w:eastAsia="Times New Roman"/>
          <w:vanish/>
        </w:rPr>
        <w:t>ap:PensionPlansDefinedBenefitMember2021-04-012021-06-300000070866country:USus-gaap:PensionPlansDefinedBenefitMember2022-01-012022-06-300000070866country:USus-gaap:PensionPlansDefinedBenefitMember2021-01-012021-06-300000070866us-gaap:ForeignPlanMemberus-gaa</w:t>
      </w:r>
      <w:r>
        <w:rPr>
          <w:rFonts w:eastAsia="Times New Roman"/>
          <w:vanish/>
        </w:rPr>
        <w:t>p:PensionPlansDefinedBenefitMember2022-01-012022-06-300000070866us-gaap:ForeignPlanMemberus-gaap:PensionPlansDefinedBenefitMember2021-01-012021-06-300000070866us-gaap:PensionPlansDefinedBenefitMember2022-01-012022-06-300000070866us-gaap:PensionPlansDefined</w:t>
      </w:r>
      <w:r>
        <w:rPr>
          <w:rFonts w:eastAsia="Times New Roman"/>
          <w:vanish/>
        </w:rPr>
        <w:t>BenefitMember2021-01-012021-06-300000070866us-gaap:PostemploymentRetirementBenefitsMember2021-04-012021-06-300000070866us-gaap:PostemploymentRetirementBenefitsMember2021-01-012021-06-300000070866us-gaap:PostemploymentRetirementBenefitsMember2022-01-012022-</w:t>
      </w:r>
      <w:r>
        <w:rPr>
          <w:rFonts w:eastAsia="Times New Roman"/>
          <w:vanish/>
        </w:rPr>
        <w:t>06-300000070866us-gaap:PostemploymentRetirementBenefitsMember2022-04-012022-06-300000070866us-gaap:ForeignPlanMemberus-gaap:PensionPlansDefinedBenefitMember2022-06-300000070866country:USus-gaap:PensionPlansDefinedBenefitMember2022-06-300000070866us-gaap:Po</w:t>
      </w:r>
      <w:r>
        <w:rPr>
          <w:rFonts w:eastAsia="Times New Roman"/>
          <w:vanish/>
        </w:rPr>
        <w:t>stemploymentRetirementBenefitsMember2022-06-300000070866ncr:FoxRiverSiteMember2022-06-30ncr:entity0000070866ncr:FoxRiverSiteMember2007-11-130000070866ncr:FoxRiverSiteMember2022-06-300000070866ncr:FoxRiverSiteMember2021-12-310000070866ncr:GlatfelterMembernc</w:t>
      </w:r>
      <w:r>
        <w:rPr>
          <w:rFonts w:eastAsia="Times New Roman"/>
          <w:vanish/>
        </w:rPr>
        <w:t>r:FoxRiverSiteMember2017-08-22ncr:party0000070866ncr:FoxRiverSiteMember2022-01-012022-06-30ncr:defendant0000070866ncr:FoxRiverSiteMemberncr:GeneralContractorArbitrationMembersrt:MinimumMember2017-09-300000070866ncr:FoxRiverSiteMemberncr:GeneralContractorAr</w:t>
      </w:r>
      <w:r>
        <w:rPr>
          <w:rFonts w:eastAsia="Times New Roman"/>
          <w:vanish/>
        </w:rPr>
        <w:t>bitrationMembersrt:MaximumMember2017-09-300000070866ncr:FoxRiverSiteMemberncr:GeneralContractorArbitrationMember2019-11-300000070866ncr:FoxRiverSiteMember2019-11-300000070866ncr:FoxRiverLlcMemberncr:FoxRiverSiteMember2021-12-310000070866ncr:FoxRiverLlcMemb</w:t>
      </w:r>
      <w:r>
        <w:rPr>
          <w:rFonts w:eastAsia="Times New Roman"/>
          <w:vanish/>
        </w:rPr>
        <w:t>erncr:FoxRiverSiteMember2022-06-300000070866ncr:KalamazooRiverSiteMember2022-06-30ncr:company0000070866ncr:KalamazooRiverSiteMember2010-12-31ncr:affiliateCorporation0000070866ncr:KalamazooRiverSiteMember2013-12-310000070866ncr:KalamazooRiverSiteMember2018-</w:t>
      </w:r>
      <w:r>
        <w:rPr>
          <w:rFonts w:eastAsia="Times New Roman"/>
          <w:vanish/>
        </w:rPr>
        <w:t>03-292018-03-290000070866ncr:KalamazooRiverSiteMember2018-03-290000070866ncr:CompanyOneMemberncr:KalamazooRiverSiteMember2018-03-292018-03-290000070866ncr:KalamazooRiverSiteMemberncr:CompanyTwoMember2018-03-292018-03-290000070866ncr:KalamazooRiverSiteMembe</w:t>
      </w:r>
      <w:r>
        <w:rPr>
          <w:rFonts w:eastAsia="Times New Roman"/>
          <w:vanish/>
        </w:rPr>
        <w:t>r2021-12-310000070866ncr:KalamazooRiverSiteMembersrt:MinimumMember2022-06-300000070866ncr:KalamazooRiverSiteMembersrt:MaximumMember2022-06-300000070866ncr:EbinaMember2022-06-300000070866ncr:EbinaMember2021-12-3100000708662021-12-012021-12-310000070866us-ga</w:t>
      </w:r>
      <w:r>
        <w:rPr>
          <w:rFonts w:eastAsia="Times New Roman"/>
          <w:vanish/>
        </w:rPr>
        <w:t>ap:ConvertiblePreferredStockMember2022-06-30utr:Rate0000070866us-gaap:ConvertiblePreferredStockMember2021-04-012021-06-300000070866us-gaap:ConvertiblePreferredStockMember2022-04-012022-06-300000070866us-gaap:ConvertiblePreferredStockMember2022-01-012022-06</w:t>
      </w:r>
      <w:r>
        <w:rPr>
          <w:rFonts w:eastAsia="Times New Roman"/>
          <w:vanish/>
        </w:rPr>
        <w:t>-300000070866us-gaap:ConvertiblePreferredStockMember2021-01-012021-06-300000070866us-gaap:ConvertiblePreferredStockMember2021-12-310000070866us-gaap:ConvertiblePreferredStockMember2022-04-012022-06-300000070866ncr:RestrictedStockUnitsRSUsandStockOptionsMem</w:t>
      </w:r>
      <w:r>
        <w:rPr>
          <w:rFonts w:eastAsia="Times New Roman"/>
          <w:vanish/>
        </w:rPr>
        <w:t>ber2022-04-012022-06-300000070866us-gaap:ConvertiblePreferredStockMember2021-04-012021-06-300000070866ncr:RestrictedStockUnitsRSUsandStockOptionsMember2021-04-012021-06-300000070866us-gaap:ConvertiblePreferredStockMember2022-01-012022-06-300000070866ncr:Re</w:t>
      </w:r>
      <w:r>
        <w:rPr>
          <w:rFonts w:eastAsia="Times New Roman"/>
          <w:vanish/>
        </w:rPr>
        <w:t>strictedStockUnitsRSUsandStockOptionsMember2022-01-012022-06-300000070866us-gaap:ConvertiblePreferredStockMember2021-01-012021-06-300000070866ncr:RestrictedStockUnitsRSUsandStockOptionsMember2021-01-012021-06-30ncr:currency0000070866us-gaap:ForeignExchange</w:t>
      </w:r>
      <w:r>
        <w:rPr>
          <w:rFonts w:eastAsia="Times New Roman"/>
          <w:vanish/>
        </w:rPr>
        <w:t>ContractMemberus-gaap:AccumulatedGainLossCashFlowHedgeIncludingNoncontrollingInterestMember2022-06-300000070866us-gaap:ForeignExchangeContractMemberus-gaap:AccumulatedGainLossCashFlowHedgeIncludingNoncontrollingInterestMember2021-12-310000070866us-gaap:Swa</w:t>
      </w:r>
      <w:r>
        <w:rPr>
          <w:rFonts w:eastAsia="Times New Roman"/>
          <w:vanish/>
        </w:rPr>
        <w:t>pMember2022-01-3100000708662022-01-310000070866ncr:TerminatedInterestRateCapMember2022-03-3100000708662022-03-012022-03-3100000708662022-03-310000070866srt:MinimumMember2022-03-310000070866srt:MaximumMember2022-03-310000070866ncr:TerminatedInterestRateCapM</w:t>
      </w:r>
      <w:r>
        <w:rPr>
          <w:rFonts w:eastAsia="Times New Roman"/>
          <w:vanish/>
        </w:rPr>
        <w:t>ember2022-06-3000000708662022-06-012022-06-300000070866ncr:AOCIAttributableToInterestRateDerivativesMember2022-06-300000070866ncr:AOCIAttributableToInterestRateDerivativesMember2021-12-310000070866us-gaap:OtherCurrentAssetsMemberus-gaap:DesignatedAsHedging</w:t>
      </w:r>
      <w:r>
        <w:rPr>
          <w:rFonts w:eastAsia="Times New Roman"/>
          <w:vanish/>
        </w:rPr>
        <w:t>InstrumentMemberus-gaap:ForeignExchangeContractMember2022-06-300000070866us-gaap:DesignatedAsHedgingInstrumentMemberus-gaap:ForeignExchangeContractMemberus-gaap:OtherCurrentLiabilitiesMember2022-06-300000070866us-gaap:DesignatedAsHedgingInstrumentMemberus-</w:t>
      </w:r>
      <w:r>
        <w:rPr>
          <w:rFonts w:eastAsia="Times New Roman"/>
          <w:vanish/>
        </w:rPr>
        <w:t>gaap:OtherAssetsMemberus-gaap:InterestRateCapMember2022-06-300000070866us-gaap:DesignatedAsHedgingInstrumentMemberus-gaap:InterestRateCapMemberus-gaap:OtherLiabilitiesMember2022-06-300000070866us-gaap:DesignatedAsHedgingInstrumentMember2022-06-300000070866</w:t>
      </w:r>
      <w:r>
        <w:rPr>
          <w:rFonts w:eastAsia="Times New Roman"/>
          <w:vanish/>
        </w:rPr>
        <w:t>us-gaap:OtherCurrentAssetsMemberus-gaap:ForeignExchangeContractMemberus-gaap:NondesignatedMember2022-06-300000070866us-gaap:ForeignExchangeContractMemberus-gaap:NondesignatedMemberus-gaap:OtherCurrentLiabilitiesMember2022-06-300000070866us-gaap:Nondesignat</w:t>
      </w:r>
      <w:r>
        <w:rPr>
          <w:rFonts w:eastAsia="Times New Roman"/>
          <w:vanish/>
        </w:rPr>
        <w:t>edMember2022-06-300000070866us-gaap:DesignatedAsHedgingInstrumentMemberus-gaap:OtherAssetsMemberus-gaap:ForeignExchangeContractMember2021-12-310000070866us-gaap:DesignatedAsHedgingInstrumentMemberus-gaap:OtherLiabilitiesMemberus-gaap:ForeignExchangeContrac</w:t>
      </w:r>
      <w:r>
        <w:rPr>
          <w:rFonts w:eastAsia="Times New Roman"/>
          <w:vanish/>
        </w:rPr>
        <w:t>tMember2021-12-310000070866us-gaap:DesignatedAsHedgingInstrumentMember2021-12-310000070866us-gaap:OtherCurrentAssetsMemberus-gaap:ForeignExchangeContractMemberus-gaap:NondesignatedMember2021-12-310000070866us-gaap:ForeignExchangeContractMemberus-gaap:Nonde</w:t>
      </w:r>
      <w:r>
        <w:rPr>
          <w:rFonts w:eastAsia="Times New Roman"/>
          <w:vanish/>
        </w:rPr>
        <w:t>signatedMemberus-gaap:OtherCurrentLiabilitiesMember2021-12-310000070866us-gaap:NondesignatedMember2021-12-310000070866us-gaap:CashFlowHedgingMemberus-gaap:InterestRateContractMember2022-04-012022-06-300000070866us-gaap:CashFlowHedgingMemberus-gaap:Interest</w:t>
      </w:r>
      <w:r>
        <w:rPr>
          <w:rFonts w:eastAsia="Times New Roman"/>
          <w:vanish/>
        </w:rPr>
        <w:t>RateContractMember2021-04-012021-06-300000070866us-gaap:CashFlowHedgingMemberus-gaap:InterestRateContractMemberus-gaap:CostOfSalesMember2022-04-012022-06-300000070866us-gaap:CashFlowHedgingMemberus-gaap:InterestRateContractMemberus-gaap:CostOfSalesMember20</w:t>
      </w:r>
      <w:r>
        <w:rPr>
          <w:rFonts w:eastAsia="Times New Roman"/>
          <w:vanish/>
        </w:rPr>
        <w:t>21-04-012021-06-300000070866us-gaap:CashFlowHedgingMemberus-gaap:InterestRateContractMember2022-01-012022-06-300000070866us-gaap:CashFlowHedgingMemberus-gaap:InterestRateContractMember2021-01-012021-06-300000070866us-gaap:CashFlowHedgingMemberus-gaap:Inter</w:t>
      </w:r>
      <w:r>
        <w:rPr>
          <w:rFonts w:eastAsia="Times New Roman"/>
          <w:vanish/>
        </w:rPr>
        <w:t>estRateContractMemberus-gaap:CostOfSalesMember2022-01-012022-06-300000070866us-gaap:CashFlowHedgingMemberus-gaap:InterestRateContractMemberus-gaap:CostOfSalesMember2021-01-012021-06-300000070866us-gaap:ForeignExchangeContractMemberus-gaap:OtherExpenseMembe</w:t>
      </w:r>
      <w:r>
        <w:rPr>
          <w:rFonts w:eastAsia="Times New Roman"/>
          <w:vanish/>
        </w:rPr>
        <w:t>r2022-04-012022-06-300000070866us-gaap:ForeignExchangeContractMemberus-gaap:OtherExpenseMember2021-04-012021-06-300000070866us-gaap:ForeignExchangeContractMemberus-gaap:OtherExpenseMember2022-01-012022-06-300000070866us-gaap:ForeignExchangeContractMemberus</w:t>
      </w:r>
      <w:r>
        <w:rPr>
          <w:rFonts w:eastAsia="Times New Roman"/>
          <w:vanish/>
        </w:rPr>
        <w:t>-gaap:OtherExpenseMember2021-01-012021-06-300000070866us-gaap:FairValueMeasurementsRecurringMemberus-gaap:EstimateOfFairValueFairValueDisclosureMember2022-06-300000070866us-gaap:FairValueMeasurementsRecurringMemberus-gaap:FairValueInputsLevel1Member2022-06</w:t>
      </w:r>
      <w:r>
        <w:rPr>
          <w:rFonts w:eastAsia="Times New Roman"/>
          <w:vanish/>
        </w:rPr>
        <w:t>-300000070866us-gaap:FairValueMeasurementsRecurringMemberus-gaap:FairValueInputsLevel2Member2022-06-300000070866us-gaap:FairValueInputsLevel3Memberus-gaap:FairValueMeasurementsRecurringMember2022-06-300000070866us-gaap:FairValueMeasurementsRecurringMemberu</w:t>
      </w:r>
      <w:r>
        <w:rPr>
          <w:rFonts w:eastAsia="Times New Roman"/>
          <w:vanish/>
        </w:rPr>
        <w:t>s-gaap:EstimateOfFairValueFairValueDisclosureMember2021-12-310000070866us-gaap:FairValueMeasurementsRecurringMemberus-gaap:FairValueInputsLevel1Member2021-12-310000070866us-gaap:FairValueMeasurementsRecurringMemberus-gaap:FairValueInputsLevel2Member2021-12</w:t>
      </w:r>
      <w:r>
        <w:rPr>
          <w:rFonts w:eastAsia="Times New Roman"/>
          <w:vanish/>
        </w:rPr>
        <w:t>-310000070866us-gaap:FairValueInputsLevel3Memberus-gaap:FairValueMeasurementsRecurringMember2021-12-310000070866us-gaap:InterestRateCapMemberus-gaap:FairValueMeasurementsRecurringMemberus-gaap:EstimateOfFairValueFairValueDisclosureMember2021-12-31000007086</w:t>
      </w:r>
      <w:r>
        <w:rPr>
          <w:rFonts w:eastAsia="Times New Roman"/>
          <w:vanish/>
        </w:rPr>
        <w:t>6us-gaap:InterestRateCapMemberus-gaap:FairValueMeasurementsRecurringMemberus-gaap:FairValueInputsLevel1Member2021-12-310000070866us-gaap:InterestRateCapMemberus-gaap:FairValueMeasurementsRecurringMemberus-gaap:FairValueInputsLevel2Member2021-12-31000007086</w:t>
      </w:r>
      <w:r>
        <w:rPr>
          <w:rFonts w:eastAsia="Times New Roman"/>
          <w:vanish/>
        </w:rPr>
        <w:t>6us-gaap:InterestRateCapMemberus-gaap:FairValueInputsLevel3Memberus-gaap:FairValueMeasurementsRecurringMember2021-12-310000070866us-gaap:AccumulatedTranslationAdjustmentMember2021-12-310000070866us-gaap:AccumulatedDefinedBenefitPlansAdjustmentMember2021-12</w:t>
      </w:r>
      <w:r>
        <w:rPr>
          <w:rFonts w:eastAsia="Times New Roman"/>
          <w:vanish/>
        </w:rPr>
        <w:t>-310000070866us-gaap:AccumulatedNetGainLossFromDesignatedOrQualifyingCashFlowHedgesMember2021-12-310000070866us-gaap:AccumulatedTranslationAdjustmentMember2022-01-012022-06-300000070866us-gaap:AccumulatedDefinedBenefitPlansAdjustmentMember2022-01-012022-06</w:t>
      </w:r>
      <w:r>
        <w:rPr>
          <w:rFonts w:eastAsia="Times New Roman"/>
          <w:vanish/>
        </w:rPr>
        <w:t>-300000070866us-gaap:AccumulatedNetGainLossFromDesignatedOrQualifyingCashFlowHedgesMember2022-01-012022-06-300000070866us-gaap:AccumulatedTranslationAdjustmentMember2022-06-300000070866us-gaap:AccumulatedDefinedBenefitPlansAdjustmentMember2022-06-300000070</w:t>
      </w:r>
      <w:r>
        <w:rPr>
          <w:rFonts w:eastAsia="Times New Roman"/>
          <w:vanish/>
        </w:rPr>
        <w:t>866us-gaap:AccumulatedNetGainLossFromDesignatedOrQualifyingCashFlowHedgesMember2022-06-300000070866us-gaap:ReclassificationOutOfAccumulatedOtherComprehensiveIncomeMemberus-gaap:ProductMemberus-gaap:AccumulatedDefinedBenefitPlansAdjustmentNetUnamortizedGain</w:t>
      </w:r>
      <w:r>
        <w:rPr>
          <w:rFonts w:eastAsia="Times New Roman"/>
          <w:vanish/>
        </w:rPr>
        <w:t>LossMember2022-04-012022-06-300000070866us-gaap:ReclassificationOutOfAccumulatedOtherComprehensiveIncomeMemberus-gaap:ProductMemberus-gaap:AccumulatedDefinedBenefitPlansAdjustmentNetPriorServiceCostCreditMember2022-04-012022-06-300000070866us-gaap:Reclassi</w:t>
      </w:r>
      <w:r>
        <w:rPr>
          <w:rFonts w:eastAsia="Times New Roman"/>
          <w:vanish/>
        </w:rPr>
        <w:t>ficationOutOfAccumulatedOtherComprehensiveIncomeMemberus-gaap:ProductMemberus-gaap:AccumulatedNetGainLossFromDesignatedOrQualifyingCashFlowHedgesMember2022-04-012022-06-300000070866us-gaap:ReclassificationOutOfAccumulatedOtherComprehensiveIncomeMemberus-ga</w:t>
      </w:r>
      <w:r>
        <w:rPr>
          <w:rFonts w:eastAsia="Times New Roman"/>
          <w:vanish/>
        </w:rPr>
        <w:t>ap:ProductMember2022-04-012022-06-300000070866us-gaap:ReclassificationOutOfAccumulatedOtherComprehensiveIncomeMemberus-gaap:ServiceMemberus-gaap:AccumulatedDefinedBenefitPlansAdjustmentNetUnamortizedGainLossMember2022-04-012022-06-300000070866us-gaap:Recla</w:t>
      </w:r>
      <w:r>
        <w:rPr>
          <w:rFonts w:eastAsia="Times New Roman"/>
          <w:vanish/>
        </w:rPr>
        <w:t>ssificationOutOfAccumulatedOtherComprehensiveIncomeMemberus-gaap:ServiceMemberus-gaap:AccumulatedDefinedBenefitPlansAdjustmentNetPriorServiceCostCreditMember2022-04-012022-06-300000070866us-gaap:ReclassificationOutOfAccumulatedOtherComprehensiveIncomeMembe</w:t>
      </w:r>
      <w:r>
        <w:rPr>
          <w:rFonts w:eastAsia="Times New Roman"/>
          <w:vanish/>
        </w:rPr>
        <w:t>rus-gaap:ServiceMemberus-gaap:AccumulatedNetGainLossFromDesignatedOrQualifyingCashFlowHedgesMember2022-04-012022-06-300000070866us-gaap:ReclassificationOutOfAccumulatedOtherComprehensiveIncomeMemberus-gaap:ServiceMember2022-04-012022-06-300000070866us-gaap</w:t>
      </w:r>
      <w:r>
        <w:rPr>
          <w:rFonts w:eastAsia="Times New Roman"/>
          <w:vanish/>
        </w:rPr>
        <w:t>:ReclassificationOutOfAccumulatedOtherComprehensiveIncomeMemberus-gaap:AccumulatedDefinedBenefitPlansAdjustmentNetUnamortizedGainLossMember2022-04-012022-06-300000070866us-gaap:ReclassificationOutOfAccumulatedOtherComprehensiveIncomeMemberus-gaap:Accumulat</w:t>
      </w:r>
      <w:r>
        <w:rPr>
          <w:rFonts w:eastAsia="Times New Roman"/>
          <w:vanish/>
        </w:rPr>
        <w:t>edDefinedBenefitPlansAdjustmentNetPriorServiceCostCreditMember2022-04-012022-06-300000070866us-gaap:ReclassificationOutOfAccumulatedOtherComprehensiveIncomeMemberus-gaap:AccumulatedNetGainLossFromDesignatedOrQualifyingCashFlowHedgesMember2022-04-012022-06-</w:t>
      </w:r>
      <w:r>
        <w:rPr>
          <w:rFonts w:eastAsia="Times New Roman"/>
          <w:vanish/>
        </w:rPr>
        <w:t>300000070866us-gaap:ReclassificationOutOfAccumulatedOtherComprehensiveIncomeMember2022-04-012022-06-300000070866us-gaap:ReclassificationOutOfAccumulatedOtherComprehensiveIncomeMemberus-gaap:ProductMemberus-gaap:AccumulatedDefinedBenefitPlansAdjustmentNetUn</w:t>
      </w:r>
      <w:r>
        <w:rPr>
          <w:rFonts w:eastAsia="Times New Roman"/>
          <w:vanish/>
        </w:rPr>
        <w:t>amortizedGainLossMember2021-04-012021-06-300000070866us-gaap:ReclassificationOutOfAccumulatedOtherComprehensiveIncomeMemberus-gaap:ProductMemberus-gaap:AccumulatedDefinedBenefitPlansAdjustmentNetPriorServiceCostCreditMember2021-04-012021-06-300000070866us-</w:t>
      </w:r>
      <w:r>
        <w:rPr>
          <w:rFonts w:eastAsia="Times New Roman"/>
          <w:vanish/>
        </w:rPr>
        <w:t>gaap:ReclassificationOutOfAccumulatedOtherComprehensiveIncomeMemberus-gaap:ProductMemberus-gaap:AccumulatedNetGainLossFromDesignatedOrQualifyingCashFlowHedgesMember2021-04-012021-06-300000070866us-gaap:ReclassificationOutOfAccumulatedOtherComprehensiveInco</w:t>
      </w:r>
      <w:r>
        <w:rPr>
          <w:rFonts w:eastAsia="Times New Roman"/>
          <w:vanish/>
        </w:rPr>
        <w:t>meMemberus-gaap:ProductMember2021-04-012021-06-300000070866us-gaap:ReclassificationOutOfAccumulatedOtherComprehensiveIncomeMemberus-gaap:ServiceMemberus-gaap:AccumulatedDefinedBenefitPlansAdjustmentNetUnamortizedGainLossMember2021-04-012021-06-300000070866</w:t>
      </w:r>
      <w:r>
        <w:rPr>
          <w:rFonts w:eastAsia="Times New Roman"/>
          <w:vanish/>
        </w:rPr>
        <w:t>us-gaap:ReclassificationOutOfAccumulatedOtherComprehensiveIncomeMemberus-gaap:ServiceMemberus-gaap:AccumulatedDefinedBenefitPlansAdjustmentNetPriorServiceCostCreditMember2021-04-012021-06-300000070866us-gaap:ReclassificationOutOfAccumulatedOtherComprehensi</w:t>
      </w:r>
      <w:r>
        <w:rPr>
          <w:rFonts w:eastAsia="Times New Roman"/>
          <w:vanish/>
        </w:rPr>
        <w:t>veIncomeMemberus-gaap:ServiceMemberus-gaap:AccumulatedNetGainLossFromDesignatedOrQualifyingCashFlowHedgesMember2021-04-012021-06-300000070866us-gaap:ReclassificationOutOfAccumulatedOtherComprehensiveIncomeMemberus-gaap:ServiceMember2021-04-012021-06-300000</w:t>
      </w:r>
      <w:r>
        <w:rPr>
          <w:rFonts w:eastAsia="Times New Roman"/>
          <w:vanish/>
        </w:rPr>
        <w:t>070866us-gaap:ReclassificationOutOfAccumulatedOtherComprehensiveIncomeMemberus-gaap:AccumulatedDefinedBenefitPlansAdjustmentNetUnamortizedGainLossMember2021-04-012021-06-300000070866us-gaap:ReclassificationOutOfAccumulatedOtherComprehensiveIncomeMemberus-g</w:t>
      </w:r>
      <w:r>
        <w:rPr>
          <w:rFonts w:eastAsia="Times New Roman"/>
          <w:vanish/>
        </w:rPr>
        <w:t>aap:AccumulatedDefinedBenefitPlansAdjustmentNetPriorServiceCostCreditMember2021-04-012021-06-300000070866us-gaap:ReclassificationOutOfAccumulatedOtherComprehensiveIncomeMemberus-gaap:AccumulatedNetGainLossFromDesignatedOrQualifyingCashFlowHedgesMember2021-</w:t>
      </w:r>
      <w:r>
        <w:rPr>
          <w:rFonts w:eastAsia="Times New Roman"/>
          <w:vanish/>
        </w:rPr>
        <w:t>04-012021-06-300000070866us-gaap:ReclassificationOutOfAccumulatedOtherComprehensiveIncomeMember2021-04-012021-06-300000070866us-gaap:ReclassificationOutOfAccumulatedOtherComprehensiveIncomeMemberus-gaap:ProductMemberus-gaap:AccumulatedDefinedBenefitPlansAd</w:t>
      </w:r>
      <w:r>
        <w:rPr>
          <w:rFonts w:eastAsia="Times New Roman"/>
          <w:vanish/>
        </w:rPr>
        <w:t>justmentNetUnamortizedGainLossMember2022-01-012022-06-300000070866us-gaap:ReclassificationOutOfAccumulatedOtherComprehensiveIncomeMemberus-gaap:ProductMemberus-gaap:AccumulatedDefinedBenefitPlansAdjustmentNetPriorServiceCostCreditMember2022-01-012022-06-30</w:t>
      </w:r>
      <w:r>
        <w:rPr>
          <w:rFonts w:eastAsia="Times New Roman"/>
          <w:vanish/>
        </w:rPr>
        <w:t>0000070866us-gaap:ReclassificationOutOfAccumulatedOtherComprehensiveIncomeMemberus-gaap:ProductMemberus-gaap:AccumulatedNetGainLossFromDesignatedOrQualifyingCashFlowHedgesMember2022-01-012022-06-300000070866us-gaap:ReclassificationOutOfAccumulatedOtherComp</w:t>
      </w:r>
      <w:r>
        <w:rPr>
          <w:rFonts w:eastAsia="Times New Roman"/>
          <w:vanish/>
        </w:rPr>
        <w:t>rehensiveIncomeMemberus-gaap:ProductMember2022-01-012022-06-300000070866us-gaap:ReclassificationOutOfAccumulatedOtherComprehensiveIncomeMemberus-gaap:ServiceMemberus-gaap:AccumulatedDefinedBenefitPlansAdjustmentNetUnamortizedGainLossMember2022-01-012022-06</w:t>
      </w:r>
      <w:r>
        <w:rPr>
          <w:rFonts w:eastAsia="Times New Roman"/>
          <w:vanish/>
        </w:rPr>
        <w:t>-300000070866us-gaap:ReclassificationOutOfAccumulatedOtherComprehensiveIncomeMemberus-gaap:ServiceMemberus-gaap:AccumulatedDefinedBenefitPlansAdjustmentNetPriorServiceCostCreditMember2022-01-012022-06-300000070866us-gaap:ReclassificationOutOfAccumulatedOth</w:t>
      </w:r>
      <w:r>
        <w:rPr>
          <w:rFonts w:eastAsia="Times New Roman"/>
          <w:vanish/>
        </w:rPr>
        <w:t>erComprehensiveIncomeMemberus-gaap:ServiceMemberus-gaap:AccumulatedNetGainLossFromDesignatedOrQualifyingCashFlowHedgesMember2022-01-012022-06-300000070866us-gaap:ReclassificationOutOfAccumulatedOtherComprehensiveIncomeMemberus-gaap:ServiceMember2022-01-012</w:t>
      </w:r>
      <w:r>
        <w:rPr>
          <w:rFonts w:eastAsia="Times New Roman"/>
          <w:vanish/>
        </w:rPr>
        <w:t>022-06-300000070866us-gaap:ReclassificationOutOfAccumulatedOtherComprehensiveIncomeMemberus-gaap:AccumulatedDefinedBenefitPlansAdjustmentNetUnamortizedGainLossMember2022-01-012022-06-300000070866us-gaap:ReclassificationOutOfAccumulatedOtherComprehensiveInc</w:t>
      </w:r>
      <w:r>
        <w:rPr>
          <w:rFonts w:eastAsia="Times New Roman"/>
          <w:vanish/>
        </w:rPr>
        <w:t>omeMemberus-gaap:AccumulatedDefinedBenefitPlansAdjustmentNetPriorServiceCostCreditMember2022-01-012022-06-300000070866us-gaap:ReclassificationOutOfAccumulatedOtherComprehensiveIncomeMemberus-gaap:AccumulatedNetGainLossFromDesignatedOrQualifyingCashFlowHedg</w:t>
      </w:r>
      <w:r>
        <w:rPr>
          <w:rFonts w:eastAsia="Times New Roman"/>
          <w:vanish/>
        </w:rPr>
        <w:t>esMember2022-01-012022-06-300000070866us-gaap:ReclassificationOutOfAccumulatedOtherComprehensiveIncomeMember2022-01-012022-06-300000070866us-gaap:ReclassificationOutOfAccumulatedOtherComprehensiveIncomeMemberus-gaap:ProductMemberus-gaap:AccumulatedDefinedB</w:t>
      </w:r>
      <w:r>
        <w:rPr>
          <w:rFonts w:eastAsia="Times New Roman"/>
          <w:vanish/>
        </w:rPr>
        <w:t>enefitPlansAdjustmentNetUnamortizedGainLossMember2021-01-012021-06-300000070866us-gaap:ReclassificationOutOfAccumulatedOtherComprehensiveIncomeMemberus-gaap:ProductMemberus-gaap:AccumulatedDefinedBenefitPlansAdjustmentNetPriorServiceCostCreditMember2021-01</w:t>
      </w:r>
      <w:r>
        <w:rPr>
          <w:rFonts w:eastAsia="Times New Roman"/>
          <w:vanish/>
        </w:rPr>
        <w:t>-012021-06-300000070866us-gaap:ReclassificationOutOfAccumulatedOtherComprehensiveIncomeMemberus-gaap:ProductMemberus-gaap:AccumulatedNetGainLossFromDesignatedOrQualifyingCashFlowHedgesMember2021-01-012021-06-300000070866us-gaap:ReclassificationOutOfAccumul</w:t>
      </w:r>
      <w:r>
        <w:rPr>
          <w:rFonts w:eastAsia="Times New Roman"/>
          <w:vanish/>
        </w:rPr>
        <w:t>atedOtherComprehensiveIncomeMemberus-gaap:ProductMember2021-01-012021-06-300000070866us-gaap:ReclassificationOutOfAccumulatedOtherComprehensiveIncomeMemberus-gaap:ServiceMemberus-gaap:AccumulatedDefinedBenefitPlansAdjustmentNetUnamortizedGainLossMember2021</w:t>
      </w:r>
      <w:r>
        <w:rPr>
          <w:rFonts w:eastAsia="Times New Roman"/>
          <w:vanish/>
        </w:rPr>
        <w:t>-01-012021-06-300000070866us-gaap:ReclassificationOutOfAccumulatedOtherComprehensiveIncomeMemberus-gaap:ServiceMemberus-gaap:AccumulatedDefinedBenefitPlansAdjustmentNetPriorServiceCostCreditMember2021-01-012021-06-300000070866us-gaap:ReclassificationOutOfA</w:t>
      </w:r>
      <w:r>
        <w:rPr>
          <w:rFonts w:eastAsia="Times New Roman"/>
          <w:vanish/>
        </w:rPr>
        <w:t>ccumulatedOtherComprehensiveIncomeMemberus-gaap:ServiceMemberus-gaap:AccumulatedNetGainLossFromDesignatedOrQualifyingCashFlowHedgesMember2021-01-012021-06-300000070866us-gaap:ReclassificationOutOfAccumulatedOtherComprehensiveIncomeMemberus-gaap:ServiceMemb</w:t>
      </w:r>
      <w:r>
        <w:rPr>
          <w:rFonts w:eastAsia="Times New Roman"/>
          <w:vanish/>
        </w:rPr>
        <w:t>er2021-01-012021-06-300000070866us-gaap:ReclassificationOutOfAccumulatedOtherComprehensiveIncomeMemberus-gaap:AccumulatedDefinedBenefitPlansAdjustmentNetUnamortizedGainLossMember2021-01-012021-06-300000070866us-gaap:ReclassificationOutOfAccumulatedOtherCom</w:t>
      </w:r>
      <w:r>
        <w:rPr>
          <w:rFonts w:eastAsia="Times New Roman"/>
          <w:vanish/>
        </w:rPr>
        <w:t>prehensiveIncomeMemberus-gaap:AccumulatedDefinedBenefitPlansAdjustmentNetPriorServiceCostCreditMember2021-01-012021-06-300000070866us-gaap:ReclassificationOutOfAccumulatedOtherComprehensiveIncomeMemberus-gaap:AccumulatedNetGainLossFromDesignatedOrQualifyin</w:t>
      </w:r>
      <w:r>
        <w:rPr>
          <w:rFonts w:eastAsia="Times New Roman"/>
          <w:vanish/>
        </w:rPr>
        <w:t>gCashFlowHedgesMember2021-01-012021-06-300000070866us-gaap:ReclassificationOutOfAccumulatedOtherComprehensiveIncomeMember2021-01-012021-06-300000070866us-gaap:TradeAccountsReceivableMember2022-06-300000070866us-gaap:TradeAccountsReceivableMember2021-12-310</w:t>
      </w:r>
      <w:r>
        <w:rPr>
          <w:rFonts w:eastAsia="Times New Roman"/>
          <w:vanish/>
        </w:rPr>
        <w:t>000070866ncr:OtherReceivablesMember2022-06-300000070866ncr:OtherReceivablesMember2021-12-31</w:t>
      </w:r>
    </w:p>
    <w:p w:rsidR="00000000" w:rsidRDefault="005048A7">
      <w:pPr>
        <w:divId w:val="270279809"/>
        <w:rPr>
          <w:rFonts w:eastAsia="Times New Roman"/>
        </w:rPr>
      </w:pPr>
      <w:hyperlink w:anchor="i1e5a5c829d0c4e47b43817acb739c3cf_7" w:history="1">
        <w:r>
          <w:rPr>
            <w:rStyle w:val="a3"/>
            <w:rFonts w:eastAsia="Times New Roman"/>
            <w:sz w:val="16"/>
            <w:szCs w:val="16"/>
          </w:rPr>
          <w:t>Table of Contents</w:t>
        </w:r>
      </w:hyperlink>
    </w:p>
    <w:tbl>
      <w:tblPr>
        <w:tblW w:w="4446" w:type="pct"/>
        <w:jc w:val="center"/>
        <w:tblCellMar>
          <w:top w:w="15" w:type="dxa"/>
          <w:left w:w="15" w:type="dxa"/>
          <w:bottom w:w="15" w:type="dxa"/>
          <w:right w:w="15" w:type="dxa"/>
        </w:tblCellMar>
        <w:tblLook w:val="04A0" w:firstRow="1" w:lastRow="0" w:firstColumn="1" w:lastColumn="0" w:noHBand="0" w:noVBand="1"/>
      </w:tblPr>
      <w:tblGrid>
        <w:gridCol w:w="59"/>
        <w:gridCol w:w="7291"/>
        <w:gridCol w:w="36"/>
      </w:tblGrid>
      <w:tr w:rsidR="00000000">
        <w:trPr>
          <w:jc w:val="center"/>
        </w:trPr>
        <w:tc>
          <w:tcPr>
            <w:tcW w:w="50" w:type="pct"/>
            <w:vAlign w:val="center"/>
            <w:hideMark/>
          </w:tcPr>
          <w:p w:rsidR="00000000" w:rsidRDefault="005048A7">
            <w:pPr>
              <w:rPr>
                <w:rFonts w:eastAsia="Times New Roman"/>
              </w:rPr>
            </w:pPr>
          </w:p>
        </w:tc>
        <w:tc>
          <w:tcPr>
            <w:tcW w:w="494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r>
    </w:tbl>
    <w:p w:rsidR="00000000" w:rsidRDefault="005048A7">
      <w:pPr>
        <w:jc w:val="center"/>
        <w:rPr>
          <w:rFonts w:eastAsia="Times New Roman"/>
        </w:rPr>
      </w:pPr>
      <w:r>
        <w:rPr>
          <w:rFonts w:eastAsia="Times New Roman"/>
          <w:b/>
          <w:bCs/>
          <w:color w:val="000000"/>
          <w:sz w:val="36"/>
          <w:szCs w:val="36"/>
        </w:rPr>
        <w:t>UNITED STATES</w:t>
      </w:r>
    </w:p>
    <w:p w:rsidR="00000000" w:rsidRDefault="005048A7">
      <w:pPr>
        <w:jc w:val="center"/>
        <w:rPr>
          <w:rFonts w:eastAsia="Times New Roman"/>
        </w:rPr>
      </w:pPr>
      <w:r>
        <w:rPr>
          <w:rFonts w:eastAsia="Times New Roman"/>
          <w:b/>
          <w:bCs/>
          <w:color w:val="000000"/>
          <w:sz w:val="36"/>
          <w:szCs w:val="36"/>
        </w:rPr>
        <w:t>SECURITIES AND EXCHANGE COMMISSION</w:t>
      </w:r>
    </w:p>
    <w:p w:rsidR="00000000" w:rsidRDefault="005048A7">
      <w:pPr>
        <w:jc w:val="center"/>
        <w:rPr>
          <w:rFonts w:eastAsia="Times New Roman"/>
        </w:rPr>
      </w:pPr>
      <w:r>
        <w:rPr>
          <w:rFonts w:eastAsia="Times New Roman"/>
          <w:b/>
          <w:bCs/>
          <w:color w:val="000000"/>
        </w:rPr>
        <w:t>Washington, D.C. 20549</w:t>
      </w:r>
    </w:p>
    <w:p w:rsidR="00000000" w:rsidRDefault="005048A7">
      <w:pPr>
        <w:jc w:val="center"/>
        <w:divId w:val="1915822756"/>
        <w:rPr>
          <w:rFonts w:eastAsia="Times New Roman"/>
        </w:rPr>
      </w:pPr>
      <w:r>
        <w:rPr>
          <w:rFonts w:eastAsia="Times New Roman"/>
          <w:color w:val="000000"/>
          <w:sz w:val="20"/>
          <w:szCs w:val="20"/>
        </w:rPr>
        <w:t>________________________</w:t>
      </w:r>
    </w:p>
    <w:p w:rsidR="00000000" w:rsidRDefault="005048A7">
      <w:pPr>
        <w:jc w:val="center"/>
        <w:divId w:val="270746223"/>
        <w:rPr>
          <w:rFonts w:eastAsia="Times New Roman"/>
        </w:rPr>
      </w:pPr>
      <w:r>
        <w:rPr>
          <w:rFonts w:eastAsia="Times New Roman"/>
          <w:b/>
          <w:bCs/>
          <w:color w:val="000000"/>
          <w:sz w:val="36"/>
          <w:szCs w:val="36"/>
        </w:rPr>
        <w:t xml:space="preserve">FORM 10-Q </w:t>
      </w:r>
    </w:p>
    <w:p w:rsidR="00000000" w:rsidRDefault="005048A7">
      <w:pPr>
        <w:jc w:val="center"/>
        <w:divId w:val="697390471"/>
        <w:rPr>
          <w:rFonts w:eastAsia="Times New Roman"/>
        </w:rPr>
      </w:pPr>
      <w:r>
        <w:rPr>
          <w:rFonts w:eastAsia="Times New Roman"/>
          <w:color w:val="000000"/>
          <w:sz w:val="20"/>
          <w:szCs w:val="20"/>
        </w:rPr>
        <w:t>________________________</w:t>
      </w:r>
    </w:p>
    <w:p w:rsidR="00000000" w:rsidRDefault="005048A7">
      <w:pPr>
        <w:divId w:val="956764227"/>
        <w:rPr>
          <w:rFonts w:eastAsia="Times New Roman"/>
        </w:rPr>
      </w:pPr>
      <w:r>
        <w:rPr>
          <w:rFonts w:eastAsia="Times New Roman"/>
          <w:b/>
          <w:bCs/>
          <w:color w:val="000000"/>
          <w:sz w:val="20"/>
          <w:szCs w:val="20"/>
        </w:rPr>
        <w:t>(Mark One)</w:t>
      </w:r>
    </w:p>
    <w:tbl>
      <w:tblPr>
        <w:tblW w:w="11460" w:type="dxa"/>
        <w:tblCellMar>
          <w:top w:w="15" w:type="dxa"/>
          <w:left w:w="15" w:type="dxa"/>
          <w:bottom w:w="15" w:type="dxa"/>
          <w:right w:w="15" w:type="dxa"/>
        </w:tblCellMar>
        <w:tblLook w:val="04A0" w:firstRow="1" w:lastRow="0" w:firstColumn="1" w:lastColumn="0" w:noHBand="0" w:noVBand="1"/>
      </w:tblPr>
      <w:tblGrid>
        <w:gridCol w:w="58"/>
        <w:gridCol w:w="215"/>
        <w:gridCol w:w="57"/>
        <w:gridCol w:w="36"/>
        <w:gridCol w:w="11058"/>
        <w:gridCol w:w="36"/>
      </w:tblGrid>
      <w:tr w:rsidR="00000000">
        <w:trPr>
          <w:divId w:val="1807894152"/>
        </w:trPr>
        <w:tc>
          <w:tcPr>
            <w:tcW w:w="20" w:type="dxa"/>
            <w:vAlign w:val="center"/>
            <w:hideMark/>
          </w:tcPr>
          <w:p w:rsidR="00000000" w:rsidRDefault="005048A7">
            <w:pPr>
              <w:rPr>
                <w:rFonts w:eastAsia="Times New Roman"/>
              </w:rPr>
            </w:pPr>
          </w:p>
        </w:tc>
        <w:tc>
          <w:tcPr>
            <w:tcW w:w="215" w:type="dxa"/>
            <w:vAlign w:val="center"/>
            <w:hideMark/>
          </w:tcPr>
          <w:p w:rsidR="00000000" w:rsidRDefault="005048A7">
            <w:pPr>
              <w:spacing w:after="100"/>
              <w:rPr>
                <w:rFonts w:eastAsia="Times New Roman"/>
                <w:sz w:val="20"/>
                <w:szCs w:val="20"/>
              </w:rPr>
            </w:pPr>
          </w:p>
        </w:tc>
        <w:tc>
          <w:tcPr>
            <w:tcW w:w="20" w:type="dxa"/>
            <w:vAlign w:val="center"/>
            <w:hideMark/>
          </w:tcPr>
          <w:p w:rsidR="00000000" w:rsidRDefault="005048A7">
            <w:pPr>
              <w:spacing w:after="100"/>
              <w:rPr>
                <w:rFonts w:eastAsia="Times New Roman"/>
                <w:sz w:val="20"/>
                <w:szCs w:val="20"/>
              </w:rPr>
            </w:pPr>
          </w:p>
        </w:tc>
        <w:tc>
          <w:tcPr>
            <w:tcW w:w="20" w:type="dxa"/>
            <w:vAlign w:val="center"/>
            <w:hideMark/>
          </w:tcPr>
          <w:p w:rsidR="00000000" w:rsidRDefault="005048A7">
            <w:pPr>
              <w:spacing w:after="100"/>
              <w:rPr>
                <w:rFonts w:eastAsia="Times New Roman"/>
                <w:sz w:val="20"/>
                <w:szCs w:val="20"/>
              </w:rPr>
            </w:pPr>
          </w:p>
        </w:tc>
        <w:tc>
          <w:tcPr>
            <w:tcW w:w="11165" w:type="dxa"/>
            <w:vAlign w:val="center"/>
            <w:hideMark/>
          </w:tcPr>
          <w:p w:rsidR="00000000" w:rsidRDefault="005048A7">
            <w:pPr>
              <w:spacing w:after="100"/>
              <w:rPr>
                <w:rFonts w:eastAsia="Times New Roman"/>
                <w:sz w:val="20"/>
                <w:szCs w:val="20"/>
              </w:rPr>
            </w:pPr>
          </w:p>
        </w:tc>
        <w:tc>
          <w:tcPr>
            <w:tcW w:w="20" w:type="dxa"/>
            <w:vAlign w:val="center"/>
            <w:hideMark/>
          </w:tcPr>
          <w:p w:rsidR="00000000" w:rsidRDefault="005048A7">
            <w:pPr>
              <w:spacing w:after="100"/>
              <w:rPr>
                <w:rFonts w:eastAsia="Times New Roman"/>
                <w:sz w:val="20"/>
                <w:szCs w:val="20"/>
              </w:rPr>
            </w:pPr>
          </w:p>
        </w:tc>
      </w:tr>
      <w:tr w:rsidR="00000000">
        <w:trPr>
          <w:divId w:val="1807894152"/>
          <w:trHeight w:val="300"/>
        </w:trPr>
        <w:tc>
          <w:tcPr>
            <w:tcW w:w="0" w:type="auto"/>
            <w:gridSpan w:val="3"/>
            <w:tcMar>
              <w:top w:w="30" w:type="dxa"/>
              <w:left w:w="20" w:type="dxa"/>
              <w:bottom w:w="30" w:type="dxa"/>
              <w:right w:w="20" w:type="dxa"/>
            </w:tcMar>
            <w:vAlign w:val="center"/>
            <w:hideMark/>
          </w:tcPr>
          <w:p w:rsidR="00000000" w:rsidRDefault="005048A7">
            <w:pPr>
              <w:spacing w:after="100"/>
              <w:divId w:val="1918324063"/>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QUARTERLY REPORT PURSUANT TO SECTION 13 OR 15(d) OF THE SECURITIES EXCHANGE ACT OF 1934</w:t>
            </w:r>
          </w:p>
        </w:tc>
      </w:tr>
    </w:tbl>
    <w:tbl>
      <w:tblPr>
        <w:tblW w:w="4973" w:type="pct"/>
        <w:tblCellMar>
          <w:top w:w="15" w:type="dxa"/>
          <w:left w:w="15" w:type="dxa"/>
          <w:bottom w:w="15" w:type="dxa"/>
          <w:right w:w="15" w:type="dxa"/>
        </w:tblCellMar>
        <w:tblLook w:val="04A0" w:firstRow="1" w:lastRow="0" w:firstColumn="1" w:lastColumn="0" w:noHBand="0" w:noVBand="1"/>
      </w:tblPr>
      <w:tblGrid>
        <w:gridCol w:w="36"/>
        <w:gridCol w:w="139"/>
        <w:gridCol w:w="36"/>
        <w:gridCol w:w="55"/>
        <w:gridCol w:w="7959"/>
        <w:gridCol w:w="36"/>
      </w:tblGrid>
      <w:tr w:rsidR="00000000">
        <w:tc>
          <w:tcPr>
            <w:tcW w:w="5" w:type="pct"/>
            <w:vAlign w:val="center"/>
            <w:hideMark/>
          </w:tcPr>
          <w:p w:rsidR="00000000" w:rsidRDefault="005048A7">
            <w:pPr>
              <w:rPr>
                <w:rFonts w:eastAsia="Times New Roman"/>
              </w:rPr>
            </w:pPr>
          </w:p>
        </w:tc>
        <w:tc>
          <w:tcPr>
            <w:tcW w:w="10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83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048A7">
            <w:pPr>
              <w:spacing w:after="100"/>
              <w:divId w:val="1926180361"/>
              <w:rPr>
                <w:rFonts w:eastAsia="Times New Roman"/>
              </w:rPr>
            </w:pPr>
            <w:r>
              <w:rPr>
                <w:rFonts w:eastAsia="Times New Roman"/>
                <w:b/>
                <w:bCs/>
                <w:color w:val="000000"/>
                <w:sz w:val="20"/>
                <w:szCs w:val="20"/>
              </w:rPr>
              <w:t>For the quarterly period ended June 30, 2022</w:t>
            </w:r>
          </w:p>
        </w:tc>
      </w:tr>
    </w:tbl>
    <w:p w:rsidR="00000000" w:rsidRDefault="005048A7">
      <w:pPr>
        <w:ind w:firstLine="720"/>
        <w:divId w:val="263001346"/>
        <w:rPr>
          <w:rFonts w:eastAsia="Times New Roman"/>
          <w:vanish/>
        </w:rPr>
      </w:pPr>
    </w:p>
    <w:tbl>
      <w:tblPr>
        <w:tblW w:w="4973" w:type="pct"/>
        <w:tblCellMar>
          <w:top w:w="15" w:type="dxa"/>
          <w:left w:w="15" w:type="dxa"/>
          <w:bottom w:w="15" w:type="dxa"/>
          <w:right w:w="15" w:type="dxa"/>
        </w:tblCellMar>
        <w:tblLook w:val="04A0" w:firstRow="1" w:lastRow="0" w:firstColumn="1" w:lastColumn="0" w:noHBand="0" w:noVBand="1"/>
      </w:tblPr>
      <w:tblGrid>
        <w:gridCol w:w="37"/>
        <w:gridCol w:w="138"/>
        <w:gridCol w:w="36"/>
        <w:gridCol w:w="55"/>
        <w:gridCol w:w="7959"/>
        <w:gridCol w:w="36"/>
      </w:tblGrid>
      <w:tr w:rsidR="00000000">
        <w:trPr>
          <w:divId w:val="263001346"/>
        </w:trPr>
        <w:tc>
          <w:tcPr>
            <w:tcW w:w="5" w:type="pct"/>
            <w:vAlign w:val="center"/>
            <w:hideMark/>
          </w:tcPr>
          <w:p w:rsidR="00000000" w:rsidRDefault="005048A7">
            <w:pPr>
              <w:ind w:firstLine="720"/>
              <w:rPr>
                <w:rFonts w:eastAsia="Times New Roman"/>
              </w:rPr>
            </w:pPr>
          </w:p>
        </w:tc>
        <w:tc>
          <w:tcPr>
            <w:tcW w:w="10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83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263001346"/>
        </w:trPr>
        <w:tc>
          <w:tcPr>
            <w:tcW w:w="0" w:type="auto"/>
            <w:gridSpan w:val="6"/>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20"/>
                <w:szCs w:val="20"/>
              </w:rPr>
              <w:t>or</w:t>
            </w:r>
          </w:p>
        </w:tc>
      </w:tr>
    </w:tbl>
    <w:tbl>
      <w:tblPr>
        <w:tblW w:w="11460" w:type="dxa"/>
        <w:tblCellMar>
          <w:top w:w="15" w:type="dxa"/>
          <w:left w:w="15" w:type="dxa"/>
          <w:bottom w:w="15" w:type="dxa"/>
          <w:right w:w="15" w:type="dxa"/>
        </w:tblCellMar>
        <w:tblLook w:val="04A0" w:firstRow="1" w:lastRow="0" w:firstColumn="1" w:lastColumn="0" w:noHBand="0" w:noVBand="1"/>
      </w:tblPr>
      <w:tblGrid>
        <w:gridCol w:w="36"/>
        <w:gridCol w:w="215"/>
        <w:gridCol w:w="36"/>
        <w:gridCol w:w="36"/>
        <w:gridCol w:w="11101"/>
        <w:gridCol w:w="36"/>
      </w:tblGrid>
      <w:tr w:rsidR="00000000">
        <w:tc>
          <w:tcPr>
            <w:tcW w:w="20" w:type="dxa"/>
            <w:vAlign w:val="center"/>
            <w:hideMark/>
          </w:tcPr>
          <w:p w:rsidR="00000000" w:rsidRDefault="005048A7">
            <w:pPr>
              <w:ind w:firstLine="720"/>
              <w:rPr>
                <w:rFonts w:eastAsia="Times New Roman"/>
              </w:rPr>
            </w:pPr>
          </w:p>
        </w:tc>
        <w:tc>
          <w:tcPr>
            <w:tcW w:w="215" w:type="dxa"/>
            <w:vAlign w:val="center"/>
            <w:hideMark/>
          </w:tcPr>
          <w:p w:rsidR="00000000" w:rsidRDefault="005048A7">
            <w:pPr>
              <w:spacing w:after="100"/>
              <w:rPr>
                <w:rFonts w:eastAsia="Times New Roman"/>
                <w:sz w:val="20"/>
                <w:szCs w:val="20"/>
              </w:rPr>
            </w:pPr>
          </w:p>
        </w:tc>
        <w:tc>
          <w:tcPr>
            <w:tcW w:w="20" w:type="dxa"/>
            <w:vAlign w:val="center"/>
            <w:hideMark/>
          </w:tcPr>
          <w:p w:rsidR="00000000" w:rsidRDefault="005048A7">
            <w:pPr>
              <w:spacing w:after="100"/>
              <w:rPr>
                <w:rFonts w:eastAsia="Times New Roman"/>
                <w:sz w:val="20"/>
                <w:szCs w:val="20"/>
              </w:rPr>
            </w:pPr>
          </w:p>
        </w:tc>
        <w:tc>
          <w:tcPr>
            <w:tcW w:w="20" w:type="dxa"/>
            <w:vAlign w:val="center"/>
            <w:hideMark/>
          </w:tcPr>
          <w:p w:rsidR="00000000" w:rsidRDefault="005048A7">
            <w:pPr>
              <w:spacing w:after="100"/>
              <w:rPr>
                <w:rFonts w:eastAsia="Times New Roman"/>
                <w:sz w:val="20"/>
                <w:szCs w:val="20"/>
              </w:rPr>
            </w:pPr>
          </w:p>
        </w:tc>
        <w:tc>
          <w:tcPr>
            <w:tcW w:w="11165" w:type="dxa"/>
            <w:vAlign w:val="center"/>
            <w:hideMark/>
          </w:tcPr>
          <w:p w:rsidR="00000000" w:rsidRDefault="005048A7">
            <w:pPr>
              <w:spacing w:after="100"/>
              <w:rPr>
                <w:rFonts w:eastAsia="Times New Roman"/>
                <w:sz w:val="20"/>
                <w:szCs w:val="20"/>
              </w:rPr>
            </w:pPr>
          </w:p>
        </w:tc>
        <w:tc>
          <w:tcPr>
            <w:tcW w:w="20" w:type="dxa"/>
            <w:vAlign w:val="center"/>
            <w:hideMark/>
          </w:tcPr>
          <w:p w:rsidR="00000000" w:rsidRDefault="005048A7">
            <w:pPr>
              <w:spacing w:after="100"/>
              <w:rPr>
                <w:rFonts w:eastAsia="Times New Roman"/>
                <w:sz w:val="20"/>
                <w:szCs w:val="20"/>
              </w:rPr>
            </w:pPr>
          </w:p>
        </w:tc>
      </w:tr>
      <w:tr w:rsidR="00000000">
        <w:trPr>
          <w:trHeight w:val="720"/>
        </w:trPr>
        <w:tc>
          <w:tcPr>
            <w:tcW w:w="0" w:type="auto"/>
            <w:gridSpan w:val="3"/>
            <w:tcMar>
              <w:top w:w="30" w:type="dxa"/>
              <w:left w:w="20" w:type="dxa"/>
              <w:bottom w:w="30" w:type="dxa"/>
              <w:right w:w="20" w:type="dxa"/>
            </w:tcMar>
            <w:hideMark/>
          </w:tcPr>
          <w:p w:rsidR="00000000" w:rsidRDefault="005048A7">
            <w:pPr>
              <w:spacing w:after="100"/>
              <w:divId w:val="1804081620"/>
              <w:rPr>
                <w:rFonts w:eastAsia="Times New Roman"/>
              </w:rPr>
            </w:pPr>
            <w:r>
              <w:rPr>
                <w:rFonts w:ascii="Wingdings" w:eastAsia="Times New Roman" w:hAnsi="Wingdings"/>
                <w:color w:val="000000"/>
                <w:sz w:val="20"/>
                <w:szCs w:val="20"/>
              </w:rPr>
              <w:t>o</w:t>
            </w:r>
          </w:p>
        </w:tc>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TRANSITION REPORT PURSUANT TO SECTION 13 OR 15(d) OF THE SECURITIES EXCHANGE ACT OF 1934</w:t>
            </w:r>
            <w:r>
              <w:rPr>
                <w:rFonts w:eastAsia="Times New Roman"/>
                <w:b/>
                <w:bCs/>
                <w:color w:val="000000"/>
                <w:sz w:val="20"/>
                <w:szCs w:val="20"/>
              </w:rPr>
              <w:br/>
            </w:r>
            <w:r>
              <w:rPr>
                <w:rFonts w:eastAsia="Times New Roman"/>
                <w:b/>
                <w:bCs/>
                <w:color w:val="000000"/>
                <w:sz w:val="20"/>
                <w:szCs w:val="20"/>
              </w:rPr>
              <w:br/>
            </w:r>
            <w:r>
              <w:rPr>
                <w:rFonts w:eastAsia="Times New Roman"/>
                <w:b/>
                <w:bCs/>
                <w:color w:val="000000"/>
                <w:sz w:val="20"/>
                <w:szCs w:val="20"/>
              </w:rPr>
              <w:t>For the transition period from ____________ to ____________</w:t>
            </w:r>
          </w:p>
        </w:tc>
      </w:tr>
    </w:tbl>
    <w:p w:rsidR="00000000" w:rsidRDefault="005048A7">
      <w:pPr>
        <w:divId w:val="2146041991"/>
        <w:rPr>
          <w:rFonts w:eastAsia="Times New Roman"/>
        </w:rPr>
      </w:pPr>
    </w:p>
    <w:tbl>
      <w:tblPr>
        <w:tblW w:w="4973" w:type="pct"/>
        <w:tblCellMar>
          <w:top w:w="15" w:type="dxa"/>
          <w:left w:w="15" w:type="dxa"/>
          <w:bottom w:w="15" w:type="dxa"/>
          <w:right w:w="15" w:type="dxa"/>
        </w:tblCellMar>
        <w:tblLook w:val="04A0" w:firstRow="1" w:lastRow="0" w:firstColumn="1" w:lastColumn="0" w:noHBand="0" w:noVBand="1"/>
      </w:tblPr>
      <w:tblGrid>
        <w:gridCol w:w="36"/>
        <w:gridCol w:w="139"/>
        <w:gridCol w:w="36"/>
        <w:gridCol w:w="55"/>
        <w:gridCol w:w="7959"/>
        <w:gridCol w:w="36"/>
      </w:tblGrid>
      <w:tr w:rsidR="00000000">
        <w:trPr>
          <w:divId w:val="162866872"/>
        </w:trPr>
        <w:tc>
          <w:tcPr>
            <w:tcW w:w="5" w:type="pct"/>
            <w:vAlign w:val="center"/>
            <w:hideMark/>
          </w:tcPr>
          <w:p w:rsidR="00000000" w:rsidRDefault="005048A7">
            <w:pPr>
              <w:rPr>
                <w:rFonts w:eastAsia="Times New Roman"/>
              </w:rPr>
            </w:pPr>
          </w:p>
        </w:tc>
        <w:tc>
          <w:tcPr>
            <w:tcW w:w="10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83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162866872"/>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048A7">
            <w:pPr>
              <w:spacing w:after="100"/>
              <w:divId w:val="963998046"/>
              <w:rPr>
                <w:rFonts w:eastAsia="Times New Roman"/>
              </w:rPr>
            </w:pPr>
            <w:r>
              <w:rPr>
                <w:rFonts w:eastAsia="Times New Roman"/>
                <w:b/>
                <w:bCs/>
                <w:color w:val="000000"/>
                <w:sz w:val="20"/>
                <w:szCs w:val="20"/>
              </w:rPr>
              <w:t>Commission File Number: 001-00395</w:t>
            </w:r>
          </w:p>
        </w:tc>
      </w:tr>
    </w:tbl>
    <w:p w:rsidR="00000000" w:rsidRDefault="005048A7">
      <w:pPr>
        <w:jc w:val="center"/>
        <w:rPr>
          <w:rFonts w:eastAsia="Times New Roman"/>
        </w:rPr>
      </w:pPr>
      <w:r>
        <w:rPr>
          <w:rFonts w:eastAsia="Times New Roman"/>
          <w:color w:val="000000"/>
          <w:sz w:val="20"/>
          <w:szCs w:val="20"/>
        </w:rPr>
        <w:t> ________________________</w:t>
      </w:r>
    </w:p>
    <w:p w:rsidR="00000000" w:rsidRDefault="005048A7">
      <w:pPr>
        <w:jc w:val="center"/>
        <w:divId w:val="1907297056"/>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5048A7">
      <w:pPr>
        <w:jc w:val="center"/>
        <w:divId w:val="1704138573"/>
        <w:rPr>
          <w:rFonts w:eastAsia="Times New Roman"/>
        </w:rPr>
      </w:pPr>
      <w:r>
        <w:rPr>
          <w:rFonts w:eastAsia="Times New Roman"/>
          <w:b/>
          <w:bCs/>
          <w:color w:val="54B948"/>
          <w:sz w:val="28"/>
          <w:szCs w:val="28"/>
        </w:rPr>
        <w:t>NCR CORPORATION</w:t>
      </w:r>
    </w:p>
    <w:p w:rsidR="00000000" w:rsidRDefault="005048A7">
      <w:pPr>
        <w:jc w:val="center"/>
        <w:rPr>
          <w:rFonts w:eastAsia="Times New Roman"/>
        </w:rPr>
      </w:pPr>
      <w:r>
        <w:rPr>
          <w:rFonts w:eastAsia="Times New Roman"/>
          <w:b/>
          <w:bCs/>
          <w:color w:val="000000"/>
          <w:sz w:val="20"/>
          <w:szCs w:val="20"/>
        </w:rPr>
        <w:t>(Exact name of registrant as specified in its charter)</w:t>
      </w:r>
    </w:p>
    <w:p w:rsidR="00000000" w:rsidRDefault="005048A7">
      <w:pPr>
        <w:jc w:val="center"/>
        <w:divId w:val="1785034080"/>
        <w:rPr>
          <w:rFonts w:eastAsia="Times New Roman"/>
        </w:rPr>
      </w:pPr>
      <w:r>
        <w:rPr>
          <w:rFonts w:eastAsia="Times New Roman"/>
          <w:color w:val="000000"/>
          <w:sz w:val="20"/>
          <w:szCs w:val="20"/>
        </w:rPr>
        <w:t>________________________</w:t>
      </w:r>
    </w:p>
    <w:p w:rsidR="00000000" w:rsidRDefault="005048A7">
      <w:pPr>
        <w:jc w:val="center"/>
        <w:divId w:val="487748109"/>
        <w:rPr>
          <w:rFonts w:eastAsia="Times New Roman"/>
        </w:rPr>
      </w:pPr>
      <w:r>
        <w:rPr>
          <w:rFonts w:eastAsia="Times New Roman"/>
          <w:color w:val="000000"/>
          <w:sz w:val="20"/>
          <w:szCs w:val="20"/>
        </w:rPr>
        <w:t> </w:t>
      </w:r>
    </w:p>
    <w:tbl>
      <w:tblPr>
        <w:tblW w:w="4759" w:type="pct"/>
        <w:jc w:val="center"/>
        <w:tblCellMar>
          <w:top w:w="15" w:type="dxa"/>
          <w:left w:w="15" w:type="dxa"/>
          <w:bottom w:w="15" w:type="dxa"/>
          <w:right w:w="15" w:type="dxa"/>
        </w:tblCellMar>
        <w:tblLook w:val="04A0" w:firstRow="1" w:lastRow="0" w:firstColumn="1" w:lastColumn="0" w:noHBand="0" w:noVBand="1"/>
      </w:tblPr>
      <w:tblGrid>
        <w:gridCol w:w="64"/>
        <w:gridCol w:w="3836"/>
        <w:gridCol w:w="36"/>
        <w:gridCol w:w="65"/>
        <w:gridCol w:w="190"/>
        <w:gridCol w:w="36"/>
        <w:gridCol w:w="65"/>
        <w:gridCol w:w="3577"/>
        <w:gridCol w:w="37"/>
      </w:tblGrid>
      <w:tr w:rsidR="00000000">
        <w:trPr>
          <w:divId w:val="1419598644"/>
          <w:jc w:val="center"/>
        </w:trPr>
        <w:tc>
          <w:tcPr>
            <w:tcW w:w="50" w:type="pct"/>
            <w:vAlign w:val="center"/>
            <w:hideMark/>
          </w:tcPr>
          <w:p w:rsidR="00000000" w:rsidRDefault="005048A7">
            <w:pPr>
              <w:jc w:val="center"/>
              <w:rPr>
                <w:rFonts w:eastAsia="Times New Roman"/>
              </w:rPr>
            </w:pPr>
          </w:p>
        </w:tc>
        <w:tc>
          <w:tcPr>
            <w:tcW w:w="243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1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227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1419598644"/>
          <w:jc w:val="center"/>
        </w:trPr>
        <w:tc>
          <w:tcPr>
            <w:tcW w:w="0" w:type="auto"/>
            <w:gridSpan w:val="3"/>
            <w:tcMar>
              <w:top w:w="30" w:type="dxa"/>
              <w:left w:w="20" w:type="dxa"/>
              <w:bottom w:w="30" w:type="dxa"/>
              <w:right w:w="20" w:type="dxa"/>
            </w:tcMar>
            <w:hideMark/>
          </w:tcPr>
          <w:p w:rsidR="00000000" w:rsidRDefault="005048A7">
            <w:pPr>
              <w:spacing w:after="100"/>
              <w:jc w:val="center"/>
              <w:rPr>
                <w:rFonts w:eastAsia="Times New Roman"/>
              </w:rPr>
            </w:pPr>
            <w:r>
              <w:rPr>
                <w:rFonts w:eastAsia="Times New Roman"/>
                <w:b/>
                <w:bCs/>
                <w:color w:val="000000"/>
                <w:sz w:val="20"/>
                <w:szCs w:val="20"/>
              </w:rPr>
              <w:t>Maryland</w:t>
            </w:r>
          </w:p>
        </w:tc>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5048A7">
            <w:pPr>
              <w:spacing w:after="100"/>
              <w:jc w:val="center"/>
              <w:rPr>
                <w:rFonts w:eastAsia="Times New Roman"/>
              </w:rPr>
            </w:pPr>
            <w:r>
              <w:rPr>
                <w:rFonts w:eastAsia="Times New Roman"/>
                <w:b/>
                <w:bCs/>
                <w:color w:val="000000"/>
                <w:sz w:val="20"/>
                <w:szCs w:val="20"/>
              </w:rPr>
              <w:t>31-0387920</w:t>
            </w:r>
          </w:p>
        </w:tc>
      </w:tr>
      <w:tr w:rsidR="00000000">
        <w:trPr>
          <w:divId w:val="1419598644"/>
          <w:jc w:val="center"/>
        </w:trPr>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(State or other jurisdiction of</w:t>
            </w:r>
            <w:r>
              <w:rPr>
                <w:rFonts w:eastAsia="Times New Roman"/>
                <w:b/>
                <w:bCs/>
                <w:color w:val="000000"/>
                <w:sz w:val="16"/>
                <w:szCs w:val="16"/>
              </w:rPr>
              <w:br/>
              <w:t>incorporation or organization)</w:t>
            </w:r>
          </w:p>
        </w:tc>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(I.R.S. Employer</w:t>
            </w:r>
            <w:r>
              <w:rPr>
                <w:rFonts w:eastAsia="Times New Roman"/>
                <w:b/>
                <w:bCs/>
                <w:color w:val="000000"/>
                <w:sz w:val="16"/>
                <w:szCs w:val="16"/>
              </w:rPr>
              <w:br/>
              <w:t>Identification No.)</w:t>
            </w:r>
          </w:p>
        </w:tc>
      </w:tr>
    </w:tbl>
    <w:p w:rsidR="00000000" w:rsidRDefault="005048A7">
      <w:pPr>
        <w:jc w:val="center"/>
        <w:divId w:val="266935491"/>
        <w:rPr>
          <w:rFonts w:eastAsia="Times New Roman"/>
        </w:rPr>
      </w:pPr>
      <w:r>
        <w:rPr>
          <w:rFonts w:eastAsia="Times New Roman"/>
          <w:b/>
          <w:bCs/>
          <w:color w:val="000000"/>
          <w:sz w:val="20"/>
          <w:szCs w:val="20"/>
        </w:rPr>
        <w:t xml:space="preserve">864 Spring Street NW </w:t>
      </w:r>
    </w:p>
    <w:p w:rsidR="00000000" w:rsidRDefault="005048A7">
      <w:pPr>
        <w:jc w:val="center"/>
        <w:rPr>
          <w:rFonts w:eastAsia="Times New Roman"/>
        </w:rPr>
      </w:pPr>
      <w:r>
        <w:rPr>
          <w:rFonts w:eastAsia="Times New Roman"/>
          <w:b/>
          <w:bCs/>
          <w:color w:val="000000"/>
          <w:sz w:val="20"/>
          <w:szCs w:val="20"/>
        </w:rPr>
        <w:t xml:space="preserve">Atlanta, GA 30308 </w:t>
      </w:r>
    </w:p>
    <w:p w:rsidR="00000000" w:rsidRDefault="005048A7">
      <w:pPr>
        <w:jc w:val="center"/>
        <w:rPr>
          <w:rFonts w:eastAsia="Times New Roman"/>
        </w:rPr>
      </w:pPr>
      <w:r>
        <w:rPr>
          <w:rFonts w:eastAsia="Times New Roman"/>
          <w:b/>
          <w:bCs/>
          <w:color w:val="000000"/>
          <w:sz w:val="16"/>
          <w:szCs w:val="16"/>
        </w:rPr>
        <w:t>(Address of principal executive offices) (Zip Code)</w:t>
      </w:r>
    </w:p>
    <w:p w:rsidR="00000000" w:rsidRDefault="005048A7">
      <w:pPr>
        <w:jc w:val="center"/>
        <w:divId w:val="1803578682"/>
        <w:rPr>
          <w:rFonts w:eastAsia="Times New Roman"/>
        </w:rPr>
      </w:pPr>
      <w:r>
        <w:rPr>
          <w:rFonts w:eastAsia="Times New Roman"/>
          <w:b/>
          <w:bCs/>
          <w:color w:val="000000"/>
          <w:sz w:val="20"/>
          <w:szCs w:val="20"/>
        </w:rPr>
        <w:t>Registrant’</w:t>
      </w:r>
      <w:r>
        <w:rPr>
          <w:rFonts w:eastAsia="Times New Roman"/>
          <w:b/>
          <w:bCs/>
          <w:color w:val="000000"/>
          <w:sz w:val="20"/>
          <w:szCs w:val="20"/>
        </w:rPr>
        <w:t xml:space="preserve">s telephone number, including area code: (937) 445-1936 </w:t>
      </w:r>
    </w:p>
    <w:p w:rsidR="00000000" w:rsidRDefault="005048A7">
      <w:pPr>
        <w:divId w:val="11498071"/>
        <w:rPr>
          <w:rFonts w:eastAsia="Times New Roman"/>
        </w:rPr>
      </w:pPr>
      <w:r>
        <w:rPr>
          <w:rFonts w:eastAsia="Times New Roman"/>
          <w:color w:val="000000"/>
          <w:sz w:val="20"/>
          <w:szCs w:val="20"/>
        </w:rPr>
        <w:t>Securities registered pursuant to Section 12(b) of the Act:</w:t>
      </w:r>
    </w:p>
    <w:tbl>
      <w:tblPr>
        <w:tblW w:w="4713" w:type="pct"/>
        <w:jc w:val="center"/>
        <w:tblCellMar>
          <w:top w:w="15" w:type="dxa"/>
          <w:left w:w="15" w:type="dxa"/>
          <w:bottom w:w="15" w:type="dxa"/>
          <w:right w:w="15" w:type="dxa"/>
        </w:tblCellMar>
        <w:tblLook w:val="04A0" w:firstRow="1" w:lastRow="0" w:firstColumn="1" w:lastColumn="0" w:noHBand="0" w:noVBand="1"/>
      </w:tblPr>
      <w:tblGrid>
        <w:gridCol w:w="64"/>
        <w:gridCol w:w="2538"/>
        <w:gridCol w:w="37"/>
        <w:gridCol w:w="64"/>
        <w:gridCol w:w="2267"/>
        <w:gridCol w:w="36"/>
        <w:gridCol w:w="65"/>
        <w:gridCol w:w="2722"/>
        <w:gridCol w:w="36"/>
      </w:tblGrid>
      <w:tr w:rsidR="00000000">
        <w:trPr>
          <w:divId w:val="1612668022"/>
          <w:jc w:val="center"/>
        </w:trPr>
        <w:tc>
          <w:tcPr>
            <w:tcW w:w="50" w:type="pct"/>
            <w:vAlign w:val="center"/>
            <w:hideMark/>
          </w:tcPr>
          <w:p w:rsidR="00000000" w:rsidRDefault="005048A7">
            <w:pPr>
              <w:rPr>
                <w:rFonts w:eastAsia="Times New Roman"/>
              </w:rPr>
            </w:pPr>
          </w:p>
        </w:tc>
        <w:tc>
          <w:tcPr>
            <w:tcW w:w="163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145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174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1612668022"/>
          <w:jc w:val="center"/>
        </w:trPr>
        <w:tc>
          <w:tcPr>
            <w:tcW w:w="0" w:type="auto"/>
            <w:gridSpan w:val="3"/>
            <w:tcMar>
              <w:top w:w="30" w:type="dxa"/>
              <w:left w:w="20" w:type="dxa"/>
              <w:bottom w:w="30" w:type="dxa"/>
              <w:right w:w="20" w:type="dxa"/>
            </w:tcMar>
            <w:vAlign w:val="center"/>
            <w:hideMark/>
          </w:tcPr>
          <w:p w:rsidR="00000000" w:rsidRDefault="005048A7">
            <w:pPr>
              <w:spacing w:after="100"/>
              <w:jc w:val="center"/>
              <w:divId w:val="666320778"/>
              <w:rPr>
                <w:rFonts w:eastAsia="Times New Roman"/>
              </w:rPr>
            </w:pPr>
            <w:r>
              <w:rPr>
                <w:rFonts w:eastAsia="Times New Roman"/>
                <w:b/>
                <w:bCs/>
                <w:color w:val="000000"/>
                <w:sz w:val="20"/>
                <w:szCs w:val="20"/>
              </w:rPr>
              <w:t xml:space="preserve">Title of each class </w:t>
            </w: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20"/>
                <w:szCs w:val="20"/>
              </w:rPr>
              <w:t>Trading Symbol(s)</w:t>
            </w:r>
          </w:p>
        </w:tc>
        <w:tc>
          <w:tcPr>
            <w:tcW w:w="0" w:type="auto"/>
            <w:gridSpan w:val="3"/>
            <w:tcMar>
              <w:top w:w="30" w:type="dxa"/>
              <w:left w:w="20" w:type="dxa"/>
              <w:bottom w:w="30" w:type="dxa"/>
              <w:right w:w="20" w:type="dxa"/>
            </w:tcMar>
            <w:vAlign w:val="center"/>
            <w:hideMark/>
          </w:tcPr>
          <w:p w:rsidR="00000000" w:rsidRDefault="005048A7">
            <w:pPr>
              <w:spacing w:after="100"/>
              <w:jc w:val="center"/>
              <w:divId w:val="701175844"/>
              <w:rPr>
                <w:rFonts w:eastAsia="Times New Roman"/>
              </w:rPr>
            </w:pPr>
            <w:r>
              <w:rPr>
                <w:rFonts w:eastAsia="Times New Roman"/>
                <w:b/>
                <w:bCs/>
                <w:color w:val="000000"/>
                <w:sz w:val="20"/>
                <w:szCs w:val="20"/>
              </w:rPr>
              <w:t>Name of each exchange on which registered</w:t>
            </w:r>
          </w:p>
        </w:tc>
      </w:tr>
      <w:tr w:rsidR="00000000">
        <w:trPr>
          <w:divId w:val="1612668022"/>
          <w:jc w:val="center"/>
        </w:trPr>
        <w:tc>
          <w:tcPr>
            <w:tcW w:w="0" w:type="auto"/>
            <w:gridSpan w:val="3"/>
            <w:tcMar>
              <w:top w:w="30" w:type="dxa"/>
              <w:left w:w="20" w:type="dxa"/>
              <w:bottom w:w="30" w:type="dxa"/>
              <w:right w:w="20" w:type="dxa"/>
            </w:tcMar>
            <w:hideMark/>
          </w:tcPr>
          <w:p w:rsidR="00000000" w:rsidRDefault="005048A7">
            <w:pPr>
              <w:spacing w:after="100"/>
              <w:jc w:val="center"/>
              <w:divId w:val="653336333"/>
              <w:rPr>
                <w:rFonts w:eastAsia="Times New Roman"/>
              </w:rPr>
            </w:pPr>
            <w:r>
              <w:rPr>
                <w:rFonts w:eastAsia="Times New Roman"/>
                <w:color w:val="000000"/>
                <w:sz w:val="20"/>
                <w:szCs w:val="20"/>
              </w:rPr>
              <w:t>Common Stock, par value $0.01 per share</w:t>
            </w:r>
          </w:p>
        </w:tc>
        <w:tc>
          <w:tcPr>
            <w:tcW w:w="0" w:type="auto"/>
            <w:gridSpan w:val="3"/>
            <w:tcMar>
              <w:top w:w="30" w:type="dxa"/>
              <w:left w:w="20" w:type="dxa"/>
              <w:bottom w:w="30" w:type="dxa"/>
              <w:right w:w="20" w:type="dxa"/>
            </w:tcMar>
            <w:hideMark/>
          </w:tcPr>
          <w:p w:rsidR="00000000" w:rsidRDefault="005048A7">
            <w:pPr>
              <w:spacing w:after="100"/>
              <w:jc w:val="center"/>
              <w:divId w:val="883567992"/>
              <w:rPr>
                <w:rFonts w:eastAsia="Times New Roman"/>
              </w:rPr>
            </w:pPr>
            <w:r>
              <w:rPr>
                <w:rFonts w:eastAsia="Times New Roman"/>
                <w:color w:val="000000"/>
                <w:sz w:val="20"/>
                <w:szCs w:val="20"/>
              </w:rPr>
              <w:t>NCR</w:t>
            </w:r>
          </w:p>
        </w:tc>
        <w:tc>
          <w:tcPr>
            <w:tcW w:w="0" w:type="auto"/>
            <w:gridSpan w:val="3"/>
            <w:tcMar>
              <w:top w:w="30" w:type="dxa"/>
              <w:left w:w="20" w:type="dxa"/>
              <w:bottom w:w="30" w:type="dxa"/>
              <w:right w:w="20" w:type="dxa"/>
            </w:tcMar>
            <w:hideMark/>
          </w:tcPr>
          <w:p w:rsidR="00000000" w:rsidRDefault="005048A7">
            <w:pPr>
              <w:spacing w:after="100"/>
              <w:jc w:val="center"/>
              <w:divId w:val="1635524903"/>
              <w:rPr>
                <w:rFonts w:eastAsia="Times New Roman"/>
              </w:rPr>
            </w:pPr>
            <w:r>
              <w:rPr>
                <w:rFonts w:eastAsia="Times New Roman"/>
                <w:color w:val="000000"/>
                <w:sz w:val="20"/>
                <w:szCs w:val="20"/>
              </w:rPr>
              <w:t>New York Stock Exchange</w:t>
            </w:r>
          </w:p>
        </w:tc>
      </w:tr>
    </w:tbl>
    <w:p w:rsidR="00000000" w:rsidRDefault="005048A7">
      <w:pPr>
        <w:jc w:val="both"/>
        <w:divId w:val="787087572"/>
        <w:rPr>
          <w:rFonts w:eastAsia="Times New Roman"/>
        </w:rPr>
      </w:pPr>
      <w:r>
        <w:rPr>
          <w:rFonts w:eastAsia="Times New Roman"/>
          <w:color w:val="000000"/>
          <w:sz w:val="20"/>
          <w:szCs w:val="20"/>
        </w:rPr>
        <w:t>    Indicate by check mark whether the registrant (1) has filed all reports required to be filed by Section </w:t>
      </w:r>
      <w:r>
        <w:rPr>
          <w:rFonts w:eastAsia="Times New Roman"/>
          <w:color w:val="000000"/>
          <w:sz w:val="20"/>
          <w:szCs w:val="20"/>
        </w:rPr>
        <w:t>13 or 15(d) of the Securities Exchange Act of 1934 during the preceding 12 months (or for such shorter period that the registrant was required to file such reports), and (2) has been subject to such filing requirements for the past 90 days.    Yes  </w:t>
      </w:r>
      <w:r>
        <w:rPr>
          <w:rFonts w:ascii="Segoe UI Emoji" w:eastAsia="Times New Roman" w:hAnsi="Segoe UI Emoji" w:cs="Segoe UI Emoji"/>
          <w:color w:val="000000"/>
          <w:sz w:val="20"/>
          <w:szCs w:val="20"/>
        </w:rPr>
        <w:t>☑</w:t>
      </w:r>
      <w:r>
        <w:rPr>
          <w:rFonts w:eastAsia="Times New Roman"/>
          <w:color w:val="000000"/>
          <w:sz w:val="20"/>
          <w:szCs w:val="20"/>
        </w:rPr>
        <w:t>   No </w:t>
      </w:r>
      <w:r>
        <w:rPr>
          <w:rFonts w:eastAsia="Times New Roman"/>
          <w:color w:val="000000"/>
          <w:sz w:val="20"/>
          <w:szCs w:val="20"/>
        </w:rPr>
        <w:t> </w:t>
      </w:r>
      <w:r>
        <w:rPr>
          <w:rFonts w:ascii="Segoe UI Symbol" w:eastAsia="Times New Roman" w:hAnsi="Segoe UI Symbol" w:cs="Segoe UI Symbol"/>
          <w:color w:val="000000"/>
          <w:sz w:val="20"/>
          <w:szCs w:val="20"/>
        </w:rPr>
        <w:t>☐</w:t>
      </w:r>
    </w:p>
    <w:p w:rsidR="00000000" w:rsidRDefault="005048A7">
      <w:pPr>
        <w:jc w:val="both"/>
        <w:divId w:val="1169708846"/>
        <w:rPr>
          <w:rFonts w:eastAsia="Times New Roman"/>
        </w:rPr>
      </w:pPr>
      <w:r>
        <w:rPr>
          <w:rFonts w:eastAsia="Times New Roman"/>
          <w:color w:val="000000"/>
          <w:sz w:val="20"/>
          <w:szCs w:val="20"/>
        </w:rPr>
        <w:lastRenderedPageBreak/>
        <w:t>    </w:t>
      </w:r>
      <w:r>
        <w:rPr>
          <w:rFonts w:eastAsia="Times New Roman"/>
          <w:color w:val="000000"/>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20"/>
          <w:szCs w:val="20"/>
        </w:rPr>
        <w:t>t the registrant was required to submit such files).    Yes  </w:t>
      </w:r>
      <w:r>
        <w:rPr>
          <w:rFonts w:ascii="Segoe UI Emoji" w:eastAsia="Times New Roman" w:hAnsi="Segoe UI Emoji" w:cs="Segoe UI Emoji"/>
          <w:color w:val="000000"/>
          <w:sz w:val="20"/>
          <w:szCs w:val="20"/>
        </w:rPr>
        <w:t>☑</w:t>
      </w:r>
      <w:r>
        <w:rPr>
          <w:rFonts w:eastAsia="Times New Roman"/>
          <w:color w:val="000000"/>
          <w:sz w:val="20"/>
          <w:szCs w:val="20"/>
        </w:rPr>
        <w:t>    No  </w:t>
      </w:r>
      <w:r>
        <w:rPr>
          <w:rFonts w:ascii="Segoe UI Symbol" w:eastAsia="Times New Roman" w:hAnsi="Segoe UI Symbol" w:cs="Segoe UI Symbol"/>
          <w:color w:val="000000"/>
          <w:sz w:val="20"/>
          <w:szCs w:val="20"/>
        </w:rPr>
        <w:t>☐</w:t>
      </w:r>
    </w:p>
    <w:p w:rsidR="00000000" w:rsidRDefault="005048A7">
      <w:pPr>
        <w:jc w:val="both"/>
        <w:divId w:val="760219290"/>
        <w:rPr>
          <w:rFonts w:eastAsia="Times New Roman"/>
        </w:rPr>
      </w:pPr>
      <w:r>
        <w:rPr>
          <w:rFonts w:eastAsia="Times New Roman"/>
          <w:color w:val="000000"/>
          <w:sz w:val="20"/>
          <w:szCs w:val="20"/>
        </w:rPr>
        <w:t>    Indicate by check mark whether the registrant is a large accelerated filer, an accelerated filer, a non-accelerated filer, a smaller reporting company, or an emerging growth compan</w:t>
      </w:r>
      <w:r>
        <w:rPr>
          <w:rFonts w:eastAsia="Times New Roman"/>
          <w:color w:val="000000"/>
          <w:sz w:val="20"/>
          <w:szCs w:val="20"/>
        </w:rPr>
        <w:t>y. See the definitions of “large accelerated filer,” “accelerated filer,” “smaller reporting company,” and “emerging growth company” in Rule 12b-2 of the Exchange Act.</w:t>
      </w:r>
    </w:p>
    <w:p w:rsidR="00000000" w:rsidRDefault="005048A7">
      <w:pPr>
        <w:divId w:val="1331326291"/>
        <w:rPr>
          <w:rFonts w:eastAsia="Times New Roman"/>
        </w:rPr>
      </w:pPr>
    </w:p>
    <w:p w:rsidR="00000000" w:rsidRDefault="005048A7">
      <w:pPr>
        <w:divId w:val="902636860"/>
        <w:rPr>
          <w:rFonts w:eastAsia="Times New Roman"/>
        </w:rPr>
      </w:pPr>
    </w:p>
    <w:p w:rsidR="00000000" w:rsidRDefault="005048A7">
      <w:pPr>
        <w:divId w:val="1992442305"/>
        <w:rPr>
          <w:rFonts w:eastAsia="Times New Roman"/>
        </w:rPr>
      </w:pPr>
    </w:p>
    <w:tbl>
      <w:tblPr>
        <w:tblW w:w="4042" w:type="pct"/>
        <w:jc w:val="center"/>
        <w:tblCellMar>
          <w:top w:w="15" w:type="dxa"/>
          <w:left w:w="15" w:type="dxa"/>
          <w:bottom w:w="15" w:type="dxa"/>
          <w:right w:w="15" w:type="dxa"/>
        </w:tblCellMar>
        <w:tblLook w:val="04A0" w:firstRow="1" w:lastRow="0" w:firstColumn="1" w:lastColumn="0" w:noHBand="0" w:noVBand="1"/>
      </w:tblPr>
      <w:tblGrid>
        <w:gridCol w:w="49"/>
        <w:gridCol w:w="1324"/>
        <w:gridCol w:w="36"/>
        <w:gridCol w:w="60"/>
        <w:gridCol w:w="154"/>
        <w:gridCol w:w="36"/>
        <w:gridCol w:w="41"/>
        <w:gridCol w:w="2753"/>
        <w:gridCol w:w="36"/>
        <w:gridCol w:w="49"/>
        <w:gridCol w:w="124"/>
        <w:gridCol w:w="36"/>
        <w:gridCol w:w="49"/>
        <w:gridCol w:w="1683"/>
        <w:gridCol w:w="36"/>
        <w:gridCol w:w="69"/>
        <w:gridCol w:w="144"/>
        <w:gridCol w:w="36"/>
      </w:tblGrid>
      <w:tr w:rsidR="00000000">
        <w:trPr>
          <w:divId w:val="88744675"/>
          <w:jc w:val="center"/>
        </w:trPr>
        <w:tc>
          <w:tcPr>
            <w:tcW w:w="50" w:type="pct"/>
            <w:vAlign w:val="center"/>
            <w:hideMark/>
          </w:tcPr>
          <w:p w:rsidR="00000000" w:rsidRDefault="005048A7">
            <w:pPr>
              <w:rPr>
                <w:rFonts w:eastAsia="Times New Roman"/>
              </w:rPr>
            </w:pPr>
          </w:p>
        </w:tc>
        <w:tc>
          <w:tcPr>
            <w:tcW w:w="99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13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206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10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126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10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88744675"/>
          <w:jc w:val="center"/>
        </w:trPr>
        <w:tc>
          <w:tcPr>
            <w:tcW w:w="0" w:type="auto"/>
            <w:gridSpan w:val="3"/>
            <w:tcMar>
              <w:top w:w="30" w:type="dxa"/>
              <w:left w:w="20" w:type="dxa"/>
              <w:bottom w:w="30" w:type="dxa"/>
              <w:right w:w="20" w:type="dxa"/>
            </w:tcMar>
            <w:vAlign w:val="center"/>
            <w:hideMark/>
          </w:tcPr>
          <w:p w:rsidR="00000000" w:rsidRDefault="005048A7">
            <w:pPr>
              <w:spacing w:after="100"/>
              <w:jc w:val="right"/>
              <w:divId w:val="920259280"/>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center"/>
            <w:hideMark/>
          </w:tcPr>
          <w:p w:rsidR="00000000" w:rsidRDefault="005048A7">
            <w:pPr>
              <w:spacing w:after="100"/>
              <w:divId w:val="1572422323"/>
              <w:rPr>
                <w:rFonts w:eastAsia="Times New Roman"/>
              </w:rPr>
            </w:pPr>
            <w:r>
              <w:rPr>
                <w:rFonts w:ascii="Wingdings" w:eastAsia="Times New Roman" w:hAnsi="Wingdings"/>
                <w:color w:val="000000"/>
                <w:sz w:val="20"/>
                <w:szCs w:val="20"/>
              </w:rPr>
              <w:t>þ</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048A7">
            <w:pPr>
              <w:spacing w:after="100"/>
              <w:jc w:val="right"/>
              <w:divId w:val="1587373261"/>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bottom"/>
            <w:hideMark/>
          </w:tcPr>
          <w:p w:rsidR="00000000" w:rsidRDefault="005048A7">
            <w:pPr>
              <w:spacing w:after="100"/>
              <w:divId w:val="603616074"/>
              <w:rPr>
                <w:rFonts w:eastAsia="Times New Roman"/>
              </w:rPr>
            </w:pPr>
            <w:r>
              <w:rPr>
                <w:rFonts w:ascii="Wingdings" w:eastAsia="Times New Roman" w:hAnsi="Wingdings"/>
                <w:color w:val="000000"/>
                <w:sz w:val="20"/>
                <w:szCs w:val="20"/>
              </w:rPr>
              <w:t>o</w:t>
            </w:r>
          </w:p>
        </w:tc>
      </w:tr>
      <w:tr w:rsidR="00000000">
        <w:trPr>
          <w:divId w:val="88744675"/>
          <w:jc w:val="center"/>
        </w:trPr>
        <w:tc>
          <w:tcPr>
            <w:tcW w:w="0" w:type="auto"/>
            <w:gridSpan w:val="3"/>
            <w:tcMar>
              <w:top w:w="30" w:type="dxa"/>
              <w:left w:w="20" w:type="dxa"/>
              <w:bottom w:w="30" w:type="dxa"/>
              <w:right w:w="20" w:type="dxa"/>
            </w:tcMar>
            <w:hideMark/>
          </w:tcPr>
          <w:p w:rsidR="00000000" w:rsidRDefault="005048A7">
            <w:pPr>
              <w:spacing w:after="100"/>
              <w:jc w:val="right"/>
              <w:divId w:val="2130662985"/>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rsidR="00000000" w:rsidRDefault="005048A7">
            <w:pPr>
              <w:spacing w:after="100"/>
              <w:divId w:val="1267808539"/>
              <w:rPr>
                <w:rFonts w:eastAsia="Times New Roman"/>
              </w:rPr>
            </w:pPr>
            <w:r>
              <w:rPr>
                <w:rFonts w:ascii="Wingdings" w:eastAsia="Times New Roman" w:hAnsi="Wingdings"/>
                <w:color w:val="000000"/>
                <w:sz w:val="20"/>
                <w:szCs w:val="20"/>
              </w:rPr>
              <w:t>o</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5048A7">
            <w:pPr>
              <w:spacing w:after="100"/>
              <w:jc w:val="right"/>
              <w:divId w:val="1536308125"/>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bottom"/>
            <w:hideMark/>
          </w:tcPr>
          <w:p w:rsidR="00000000" w:rsidRDefault="005048A7">
            <w:pPr>
              <w:spacing w:after="100"/>
              <w:divId w:val="858740150"/>
              <w:rPr>
                <w:rFonts w:eastAsia="Times New Roman"/>
              </w:rPr>
            </w:pPr>
            <w:r>
              <w:rPr>
                <w:rFonts w:ascii="Segoe UI Symbol" w:eastAsia="Times New Roman" w:hAnsi="Segoe UI Symbol" w:cs="Segoe UI Symbol"/>
                <w:color w:val="000000"/>
                <w:sz w:val="20"/>
                <w:szCs w:val="20"/>
              </w:rPr>
              <w:t>☐</w:t>
            </w:r>
          </w:p>
        </w:tc>
      </w:tr>
      <w:tr w:rsidR="00000000">
        <w:trPr>
          <w:divId w:val="88744675"/>
          <w:jc w:val="center"/>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5048A7">
            <w:pPr>
              <w:spacing w:after="100"/>
              <w:jc w:val="right"/>
              <w:divId w:val="1489059251"/>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bottom"/>
            <w:hideMark/>
          </w:tcPr>
          <w:p w:rsidR="00000000" w:rsidRDefault="005048A7">
            <w:pPr>
              <w:spacing w:after="100"/>
              <w:divId w:val="608851609"/>
              <w:rPr>
                <w:rFonts w:eastAsia="Times New Roman"/>
              </w:rPr>
            </w:pPr>
            <w:r>
              <w:rPr>
                <w:rFonts w:ascii="Segoe UI Symbol" w:eastAsia="Times New Roman" w:hAnsi="Segoe UI Symbol" w:cs="Segoe UI Symbol"/>
                <w:color w:val="000000"/>
                <w:sz w:val="20"/>
                <w:szCs w:val="20"/>
              </w:rPr>
              <w:t>☐</w:t>
            </w:r>
          </w:p>
        </w:tc>
      </w:tr>
    </w:tbl>
    <w:p w:rsidR="00000000" w:rsidRDefault="005048A7">
      <w:pPr>
        <w:divId w:val="2045522918"/>
        <w:rPr>
          <w:rFonts w:eastAsia="Times New Roman"/>
        </w:rPr>
      </w:pPr>
      <w:r>
        <w:rPr>
          <w:rFonts w:eastAsia="Times New Roman"/>
          <w:color w:val="000000"/>
          <w:sz w:val="20"/>
          <w:szCs w:val="20"/>
        </w:rPr>
        <w:t>    </w:t>
      </w: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o</w:t>
      </w:r>
      <w:r>
        <w:rPr>
          <w:rFonts w:eastAsia="Times New Roman"/>
          <w:color w:val="000000"/>
          <w:sz w:val="20"/>
          <w:szCs w:val="20"/>
        </w:rPr>
        <w:t> </w:t>
      </w:r>
    </w:p>
    <w:p w:rsidR="00000000" w:rsidRDefault="005048A7">
      <w:pPr>
        <w:divId w:val="400562120"/>
        <w:rPr>
          <w:rFonts w:eastAsia="Times New Roman"/>
        </w:rPr>
      </w:pPr>
      <w:r>
        <w:rPr>
          <w:rFonts w:eastAsia="Times New Roman"/>
          <w:color w:val="000000"/>
          <w:sz w:val="20"/>
          <w:szCs w:val="20"/>
        </w:rPr>
        <w:t>Indicate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Segoe UI Emoji" w:eastAsia="Times New Roman" w:hAnsi="Segoe UI Emoji" w:cs="Segoe UI Emoji"/>
          <w:color w:val="000000"/>
          <w:sz w:val="20"/>
          <w:szCs w:val="20"/>
        </w:rPr>
        <w:t>☑</w:t>
      </w:r>
    </w:p>
    <w:p w:rsidR="00000000" w:rsidRDefault="005048A7">
      <w:pPr>
        <w:divId w:val="1852791304"/>
        <w:rPr>
          <w:rFonts w:eastAsia="Times New Roman"/>
        </w:rPr>
      </w:pPr>
      <w:r>
        <w:rPr>
          <w:rFonts w:eastAsia="Times New Roman"/>
          <w:color w:val="000000"/>
          <w:sz w:val="20"/>
          <w:szCs w:val="20"/>
        </w:rPr>
        <w:t>As of July 15, 2022, there were approximately 136.9 million shares of the registrant's common stock issued and outstanding.</w:t>
      </w:r>
    </w:p>
    <w:tbl>
      <w:tblPr>
        <w:tblW w:w="4446" w:type="pct"/>
        <w:jc w:val="center"/>
        <w:tblCellMar>
          <w:top w:w="15" w:type="dxa"/>
          <w:left w:w="15" w:type="dxa"/>
          <w:bottom w:w="15" w:type="dxa"/>
          <w:right w:w="15" w:type="dxa"/>
        </w:tblCellMar>
        <w:tblLook w:val="04A0" w:firstRow="1" w:lastRow="0" w:firstColumn="1" w:lastColumn="0" w:noHBand="0" w:noVBand="1"/>
      </w:tblPr>
      <w:tblGrid>
        <w:gridCol w:w="59"/>
        <w:gridCol w:w="7291"/>
        <w:gridCol w:w="36"/>
      </w:tblGrid>
      <w:tr w:rsidR="00000000">
        <w:trPr>
          <w:divId w:val="2102215245"/>
          <w:jc w:val="center"/>
        </w:trPr>
        <w:tc>
          <w:tcPr>
            <w:tcW w:w="50" w:type="pct"/>
            <w:vAlign w:val="center"/>
            <w:hideMark/>
          </w:tcPr>
          <w:p w:rsidR="00000000" w:rsidRDefault="005048A7">
            <w:pPr>
              <w:rPr>
                <w:rFonts w:eastAsia="Times New Roman"/>
              </w:rPr>
            </w:pPr>
          </w:p>
        </w:tc>
        <w:tc>
          <w:tcPr>
            <w:tcW w:w="494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2102215245"/>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r>
    </w:tbl>
    <w:p w:rsidR="00000000" w:rsidRDefault="005048A7">
      <w:pPr>
        <w:divId w:val="782310977"/>
        <w:rPr>
          <w:rFonts w:eastAsia="Times New Roman"/>
        </w:rPr>
      </w:pPr>
    </w:p>
    <w:p w:rsidR="00000000" w:rsidRDefault="005048A7">
      <w:pPr>
        <w:rPr>
          <w:rFonts w:eastAsia="Times New Roman"/>
        </w:rPr>
      </w:pPr>
      <w:r>
        <w:rPr>
          <w:rFonts w:eastAsia="Times New Roman"/>
        </w:rPr>
        <w:pict>
          <v:rect id="_x0000_i1026" style="width:0;height:1.5pt" o:hralign="center" o:hrstd="t" o:hr="t" fillcolor="#a0a0a0" stroked="f"/>
        </w:pict>
      </w:r>
    </w:p>
    <w:p w:rsidR="00000000" w:rsidRDefault="005048A7">
      <w:pPr>
        <w:divId w:val="747768570"/>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jc w:val="center"/>
        <w:rPr>
          <w:rFonts w:eastAsia="Times New Roman"/>
        </w:rPr>
      </w:pPr>
    </w:p>
    <w:p w:rsidR="00000000" w:rsidRDefault="005048A7">
      <w:pPr>
        <w:jc w:val="center"/>
        <w:rPr>
          <w:rFonts w:eastAsia="Times New Roman"/>
        </w:rPr>
      </w:pPr>
      <w:r>
        <w:rPr>
          <w:rFonts w:eastAsia="Times New Roman"/>
          <w:b/>
          <w:bCs/>
          <w:color w:val="000000"/>
          <w:sz w:val="20"/>
          <w:szCs w:val="20"/>
        </w:rPr>
        <w:t>TABLE OF CONTENTS    </w:t>
      </w:r>
    </w:p>
    <w:p w:rsidR="00000000" w:rsidRDefault="005048A7">
      <w:pPr>
        <w:divId w:val="419835910"/>
        <w:rPr>
          <w:rFonts w:eastAsia="Times New Roman"/>
        </w:rPr>
      </w:pPr>
      <w:r>
        <w:rPr>
          <w:rFonts w:eastAsia="Times New Roman"/>
          <w:color w:val="000000"/>
          <w:sz w:val="18"/>
          <w:szCs w:val="18"/>
        </w:rPr>
        <w:t> </w:t>
      </w:r>
    </w:p>
    <w:tbl>
      <w:tblPr>
        <w:tblW w:w="4992" w:type="pct"/>
        <w:tblCellMar>
          <w:top w:w="15" w:type="dxa"/>
          <w:left w:w="15" w:type="dxa"/>
          <w:bottom w:w="15" w:type="dxa"/>
          <w:right w:w="15" w:type="dxa"/>
        </w:tblCellMar>
        <w:tblLook w:val="04A0" w:firstRow="1" w:lastRow="0" w:firstColumn="1" w:lastColumn="0" w:noHBand="0" w:noVBand="1"/>
      </w:tblPr>
      <w:tblGrid>
        <w:gridCol w:w="92"/>
        <w:gridCol w:w="650"/>
        <w:gridCol w:w="36"/>
        <w:gridCol w:w="43"/>
        <w:gridCol w:w="7000"/>
        <w:gridCol w:w="38"/>
        <w:gridCol w:w="64"/>
        <w:gridCol w:w="334"/>
        <w:gridCol w:w="36"/>
      </w:tblGrid>
      <w:tr w:rsidR="00000000">
        <w:trPr>
          <w:divId w:val="2064982323"/>
        </w:trPr>
        <w:tc>
          <w:tcPr>
            <w:tcW w:w="50" w:type="pct"/>
            <w:vAlign w:val="center"/>
            <w:hideMark/>
          </w:tcPr>
          <w:p w:rsidR="00000000" w:rsidRDefault="005048A7">
            <w:pPr>
              <w:rPr>
                <w:rFonts w:eastAsia="Times New Roman"/>
              </w:rPr>
            </w:pPr>
          </w:p>
        </w:tc>
        <w:tc>
          <w:tcPr>
            <w:tcW w:w="35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24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23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2064982323"/>
        </w:trPr>
        <w:tc>
          <w:tcPr>
            <w:tcW w:w="0" w:type="auto"/>
            <w:gridSpan w:val="6"/>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PART I. Financial Information</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r>
      <w:tr w:rsidR="00000000">
        <w:trPr>
          <w:divId w:val="2064982323"/>
          <w:trHeight w:val="300"/>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64982323"/>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u w:val="single"/>
              </w:rPr>
              <w:t>Description</w:t>
            </w: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Page</w:t>
            </w:r>
          </w:p>
        </w:tc>
      </w:tr>
      <w:tr w:rsidR="00000000">
        <w:trPr>
          <w:divId w:val="2064982323"/>
          <w:trHeight w:val="180"/>
        </w:trPr>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64982323"/>
        </w:trPr>
        <w:tc>
          <w:tcPr>
            <w:tcW w:w="0" w:type="auto"/>
            <w:gridSpan w:val="3"/>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vAlign w:val="bottom"/>
            <w:hideMark/>
          </w:tcPr>
          <w:p w:rsidR="00000000" w:rsidRDefault="005048A7">
            <w:pPr>
              <w:spacing w:after="100"/>
              <w:divId w:val="1719819465"/>
              <w:rPr>
                <w:rFonts w:eastAsia="Times New Roman"/>
              </w:rPr>
            </w:pPr>
            <w:hyperlink w:anchor="i1e5a5c829d0c4e47b43817acb739c3cf_13" w:history="1">
              <w:r>
                <w:rPr>
                  <w:rStyle w:val="a3"/>
                  <w:rFonts w:eastAsia="Times New Roman"/>
                  <w:sz w:val="20"/>
                  <w:szCs w:val="20"/>
                </w:rPr>
                <w:t>Financial Statements</w:t>
              </w:r>
            </w:hyperlink>
          </w:p>
        </w:tc>
        <w:tc>
          <w:tcPr>
            <w:tcW w:w="0" w:type="auto"/>
            <w:gridSpan w:val="3"/>
            <w:tcMar>
              <w:top w:w="30" w:type="dxa"/>
              <w:left w:w="20" w:type="dxa"/>
              <w:bottom w:w="30" w:type="dxa"/>
              <w:right w:w="20" w:type="dxa"/>
            </w:tcMar>
            <w:vAlign w:val="bottom"/>
            <w:hideMark/>
          </w:tcPr>
          <w:p w:rsidR="00000000" w:rsidRDefault="005048A7">
            <w:pPr>
              <w:spacing w:after="100"/>
              <w:jc w:val="right"/>
              <w:rPr>
                <w:rFonts w:eastAsia="Times New Roman"/>
              </w:rPr>
            </w:pPr>
            <w:hyperlink w:anchor="i1e5a5c829d0c4e47b43817acb739c3cf_13" w:history="1">
              <w:r>
                <w:rPr>
                  <w:rStyle w:val="a3"/>
                  <w:rFonts w:eastAsia="Times New Roman"/>
                  <w:sz w:val="20"/>
                  <w:szCs w:val="20"/>
                </w:rPr>
                <w:t>3</w:t>
              </w:r>
            </w:hyperlink>
          </w:p>
        </w:tc>
      </w:tr>
      <w:tr w:rsidR="00000000">
        <w:trPr>
          <w:divId w:val="2064982323"/>
          <w:trHeight w:val="180"/>
        </w:trPr>
        <w:tc>
          <w:tcPr>
            <w:tcW w:w="0" w:type="auto"/>
            <w:gridSpan w:val="3"/>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64982323"/>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048A7">
            <w:pPr>
              <w:spacing w:after="100"/>
              <w:divId w:val="753015026"/>
              <w:rPr>
                <w:rFonts w:eastAsia="Times New Roman"/>
              </w:rPr>
            </w:pPr>
            <w:hyperlink w:anchor="i1e5a5c829d0c4e47b43817acb739c3cf_16" w:history="1">
              <w:r>
                <w:rPr>
                  <w:rStyle w:val="a3"/>
                  <w:rFonts w:eastAsia="Times New Roman"/>
                  <w:sz w:val="20"/>
                  <w:szCs w:val="20"/>
                </w:rPr>
                <w:t>Condensed Consolidated Statements of Operations (Unaudited) Three</w:t>
              </w:r>
            </w:hyperlink>
            <w:hyperlink w:anchor="i1e5a5c829d0c4e47b43817acb739c3cf_16" w:history="1">
              <w:r>
                <w:rPr>
                  <w:rStyle w:val="a3"/>
                  <w:rFonts w:eastAsia="Times New Roman"/>
                  <w:sz w:val="20"/>
                  <w:szCs w:val="20"/>
                </w:rPr>
                <w:t xml:space="preserve"> and Six </w:t>
              </w:r>
            </w:hyperlink>
            <w:hyperlink w:anchor="i1e5a5c829d0c4e47b43817acb739c3cf_16" w:history="1">
              <w:r>
                <w:rPr>
                  <w:rStyle w:val="a3"/>
                  <w:rFonts w:eastAsia="Times New Roman"/>
                  <w:sz w:val="20"/>
                  <w:szCs w:val="20"/>
                </w:rPr>
                <w:t>Month</w:t>
              </w:r>
              <w:r>
                <w:rPr>
                  <w:rStyle w:val="a3"/>
                  <w:rFonts w:eastAsia="Times New Roman"/>
                  <w:sz w:val="20"/>
                  <w:szCs w:val="20"/>
                </w:rPr>
                <w:t xml:space="preserve">s Ended </w:t>
              </w:r>
            </w:hyperlink>
            <w:hyperlink w:anchor="i1e5a5c829d0c4e47b43817acb739c3cf_16" w:history="1">
              <w:r>
                <w:rPr>
                  <w:rStyle w:val="a3"/>
                  <w:rFonts w:eastAsia="Times New Roman"/>
                  <w:sz w:val="20"/>
                  <w:szCs w:val="20"/>
                </w:rPr>
                <w:t>June</w:t>
              </w:r>
            </w:hyperlink>
            <w:hyperlink w:anchor="i1e5a5c829d0c4e47b43817acb739c3cf_16" w:history="1">
              <w:r>
                <w:rPr>
                  <w:rStyle w:val="a3"/>
                  <w:rFonts w:eastAsia="Times New Roman"/>
                  <w:sz w:val="20"/>
                  <w:szCs w:val="20"/>
                </w:rPr>
                <w:t xml:space="preserve"> 3</w:t>
              </w:r>
            </w:hyperlink>
            <w:hyperlink w:anchor="i1e5a5c829d0c4e47b43817acb739c3cf_16" w:history="1">
              <w:r>
                <w:rPr>
                  <w:rStyle w:val="a3"/>
                  <w:rFonts w:eastAsia="Times New Roman"/>
                  <w:sz w:val="20"/>
                  <w:szCs w:val="20"/>
                </w:rPr>
                <w:t>0</w:t>
              </w:r>
            </w:hyperlink>
            <w:hyperlink w:anchor="i1e5a5c829d0c4e47b43817acb739c3cf_16" w:history="1">
              <w:r>
                <w:rPr>
                  <w:rStyle w:val="a3"/>
                  <w:rFonts w:eastAsia="Times New Roman"/>
                  <w:sz w:val="20"/>
                  <w:szCs w:val="20"/>
                </w:rPr>
                <w:t>, 202</w:t>
              </w:r>
              <w:r>
                <w:rPr>
                  <w:rStyle w:val="a3"/>
                  <w:rFonts w:eastAsia="Times New Roman"/>
                  <w:sz w:val="20"/>
                  <w:szCs w:val="20"/>
                </w:rPr>
                <w:t>2 and 2021</w:t>
              </w:r>
            </w:hyperlink>
          </w:p>
        </w:tc>
        <w:tc>
          <w:tcPr>
            <w:tcW w:w="0" w:type="auto"/>
            <w:gridSpan w:val="3"/>
            <w:tcMar>
              <w:top w:w="30" w:type="dxa"/>
              <w:left w:w="20" w:type="dxa"/>
              <w:bottom w:w="30" w:type="dxa"/>
              <w:right w:w="20" w:type="dxa"/>
            </w:tcMar>
            <w:vAlign w:val="bottom"/>
            <w:hideMark/>
          </w:tcPr>
          <w:p w:rsidR="00000000" w:rsidRDefault="005048A7">
            <w:pPr>
              <w:spacing w:after="100"/>
              <w:jc w:val="right"/>
              <w:rPr>
                <w:rFonts w:eastAsia="Times New Roman"/>
              </w:rPr>
            </w:pPr>
            <w:hyperlink w:anchor="i1e5a5c829d0c4e47b43817acb739c3cf_16" w:history="1">
              <w:r>
                <w:rPr>
                  <w:rStyle w:val="a3"/>
                  <w:rFonts w:eastAsia="Times New Roman"/>
                  <w:sz w:val="20"/>
                  <w:szCs w:val="20"/>
                </w:rPr>
                <w:t>3</w:t>
              </w:r>
            </w:hyperlink>
          </w:p>
        </w:tc>
      </w:tr>
      <w:tr w:rsidR="00000000">
        <w:trPr>
          <w:divId w:val="2064982323"/>
          <w:trHeight w:val="180"/>
        </w:trPr>
        <w:tc>
          <w:tcPr>
            <w:tcW w:w="0" w:type="auto"/>
            <w:gridSpan w:val="3"/>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64982323"/>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048A7">
            <w:pPr>
              <w:spacing w:after="100"/>
              <w:divId w:val="299530720"/>
              <w:rPr>
                <w:rFonts w:eastAsia="Times New Roman"/>
              </w:rPr>
            </w:pPr>
            <w:hyperlink w:anchor="i1e5a5c829d0c4e47b43817acb739c3cf_19" w:history="1">
              <w:r>
                <w:rPr>
                  <w:rStyle w:val="a3"/>
                  <w:rFonts w:eastAsia="Times New Roman"/>
                  <w:sz w:val="20"/>
                  <w:szCs w:val="20"/>
                </w:rPr>
                <w:t>Condensed Consolidated Statements of Comprehensive Income (Unaudited) Three</w:t>
              </w:r>
            </w:hyperlink>
            <w:hyperlink w:anchor="i1e5a5c829d0c4e47b43817acb739c3cf_19" w:history="1">
              <w:r>
                <w:rPr>
                  <w:rStyle w:val="a3"/>
                  <w:rFonts w:eastAsia="Times New Roman"/>
                  <w:sz w:val="20"/>
                  <w:szCs w:val="20"/>
                </w:rPr>
                <w:t xml:space="preserve"> and Six</w:t>
              </w:r>
            </w:hyperlink>
            <w:hyperlink w:anchor="i1e5a5c829d0c4e47b43817acb739c3cf_19" w:history="1">
              <w:r>
                <w:rPr>
                  <w:rStyle w:val="a3"/>
                  <w:rFonts w:eastAsia="Times New Roman"/>
                  <w:sz w:val="20"/>
                  <w:szCs w:val="20"/>
                </w:rPr>
                <w:t xml:space="preserve"> Months Ended </w:t>
              </w:r>
            </w:hyperlink>
            <w:hyperlink w:anchor="i1e5a5c829d0c4e47b43817acb739c3cf_19" w:history="1">
              <w:r>
                <w:rPr>
                  <w:rStyle w:val="a3"/>
                  <w:rFonts w:eastAsia="Times New Roman"/>
                  <w:sz w:val="20"/>
                  <w:szCs w:val="20"/>
                </w:rPr>
                <w:t>June 30</w:t>
              </w:r>
            </w:hyperlink>
            <w:hyperlink w:anchor="i1e5a5c829d0c4e47b43817acb739c3cf_19" w:history="1">
              <w:r>
                <w:rPr>
                  <w:rStyle w:val="a3"/>
                  <w:rFonts w:eastAsia="Times New Roman"/>
                  <w:sz w:val="20"/>
                  <w:szCs w:val="20"/>
                </w:rPr>
                <w:t>, 2022 and 2021</w:t>
              </w:r>
            </w:hyperlink>
          </w:p>
        </w:tc>
        <w:tc>
          <w:tcPr>
            <w:tcW w:w="0" w:type="auto"/>
            <w:gridSpan w:val="3"/>
            <w:tcMar>
              <w:top w:w="30" w:type="dxa"/>
              <w:left w:w="20" w:type="dxa"/>
              <w:bottom w:w="30" w:type="dxa"/>
              <w:right w:w="20" w:type="dxa"/>
            </w:tcMar>
            <w:vAlign w:val="bottom"/>
            <w:hideMark/>
          </w:tcPr>
          <w:p w:rsidR="00000000" w:rsidRDefault="005048A7">
            <w:pPr>
              <w:spacing w:after="100"/>
              <w:jc w:val="right"/>
              <w:rPr>
                <w:rFonts w:eastAsia="Times New Roman"/>
              </w:rPr>
            </w:pPr>
            <w:hyperlink w:anchor="i1e5a5c829d0c4e47b43817acb739c3cf_19" w:history="1">
              <w:r>
                <w:rPr>
                  <w:rStyle w:val="a3"/>
                  <w:rFonts w:eastAsia="Times New Roman"/>
                  <w:sz w:val="20"/>
                  <w:szCs w:val="20"/>
                </w:rPr>
                <w:t>4</w:t>
              </w:r>
            </w:hyperlink>
          </w:p>
        </w:tc>
      </w:tr>
      <w:tr w:rsidR="00000000">
        <w:trPr>
          <w:divId w:val="2064982323"/>
          <w:trHeight w:val="180"/>
        </w:trPr>
        <w:tc>
          <w:tcPr>
            <w:tcW w:w="0" w:type="auto"/>
            <w:gridSpan w:val="3"/>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64982323"/>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048A7">
            <w:pPr>
              <w:spacing w:after="100"/>
              <w:divId w:val="813303068"/>
              <w:rPr>
                <w:rFonts w:eastAsia="Times New Roman"/>
              </w:rPr>
            </w:pPr>
            <w:hyperlink w:anchor="i1e5a5c829d0c4e47b43817acb739c3cf_22" w:history="1">
              <w:r>
                <w:rPr>
                  <w:rStyle w:val="a3"/>
                  <w:rFonts w:eastAsia="Times New Roman"/>
                  <w:sz w:val="20"/>
                  <w:szCs w:val="20"/>
                </w:rPr>
                <w:t xml:space="preserve">Condensed Consolidated Balance Sheets (Unaudited) </w:t>
              </w:r>
            </w:hyperlink>
            <w:hyperlink w:anchor="i1e5a5c829d0c4e47b43817acb739c3cf_22" w:history="1">
              <w:r>
                <w:rPr>
                  <w:rStyle w:val="a3"/>
                  <w:rFonts w:eastAsia="Times New Roman"/>
                  <w:sz w:val="20"/>
                  <w:szCs w:val="20"/>
                </w:rPr>
                <w:t>June 30</w:t>
              </w:r>
            </w:hyperlink>
            <w:hyperlink w:anchor="i1e5a5c829d0c4e47b43817acb739c3cf_22" w:history="1">
              <w:r>
                <w:rPr>
                  <w:rStyle w:val="a3"/>
                  <w:rFonts w:eastAsia="Times New Roman"/>
                  <w:sz w:val="20"/>
                  <w:szCs w:val="20"/>
                </w:rPr>
                <w:t>, 2022 and December 31</w:t>
              </w:r>
              <w:r>
                <w:rPr>
                  <w:rStyle w:val="a3"/>
                  <w:rFonts w:eastAsia="Times New Roman"/>
                  <w:sz w:val="20"/>
                  <w:szCs w:val="20"/>
                </w:rPr>
                <w:t>, 2021</w:t>
              </w:r>
            </w:hyperlink>
          </w:p>
        </w:tc>
        <w:tc>
          <w:tcPr>
            <w:tcW w:w="0" w:type="auto"/>
            <w:gridSpan w:val="3"/>
            <w:tcMar>
              <w:top w:w="30" w:type="dxa"/>
              <w:left w:w="20" w:type="dxa"/>
              <w:bottom w:w="30" w:type="dxa"/>
              <w:right w:w="20" w:type="dxa"/>
            </w:tcMar>
            <w:vAlign w:val="bottom"/>
            <w:hideMark/>
          </w:tcPr>
          <w:p w:rsidR="00000000" w:rsidRDefault="005048A7">
            <w:pPr>
              <w:spacing w:after="100"/>
              <w:jc w:val="right"/>
              <w:rPr>
                <w:rFonts w:eastAsia="Times New Roman"/>
              </w:rPr>
            </w:pPr>
            <w:hyperlink w:anchor="i1e5a5c829d0c4e47b43817acb739c3cf_22" w:history="1">
              <w:r>
                <w:rPr>
                  <w:rStyle w:val="a3"/>
                  <w:rFonts w:eastAsia="Times New Roman"/>
                  <w:sz w:val="20"/>
                  <w:szCs w:val="20"/>
                </w:rPr>
                <w:t>5</w:t>
              </w:r>
            </w:hyperlink>
          </w:p>
        </w:tc>
      </w:tr>
      <w:tr w:rsidR="00000000">
        <w:trPr>
          <w:divId w:val="2064982323"/>
          <w:trHeight w:val="180"/>
        </w:trPr>
        <w:tc>
          <w:tcPr>
            <w:tcW w:w="0" w:type="auto"/>
            <w:gridSpan w:val="3"/>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64982323"/>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048A7">
            <w:pPr>
              <w:spacing w:after="100"/>
              <w:divId w:val="259602135"/>
              <w:rPr>
                <w:rFonts w:eastAsia="Times New Roman"/>
              </w:rPr>
            </w:pPr>
            <w:hyperlink w:anchor="i1e5a5c829d0c4e47b43817acb739c3cf_25" w:history="1">
              <w:r>
                <w:rPr>
                  <w:rStyle w:val="a3"/>
                  <w:rFonts w:eastAsia="Times New Roman"/>
                  <w:sz w:val="20"/>
                  <w:szCs w:val="20"/>
                </w:rPr>
                <w:t xml:space="preserve">Condensed Consolidated Statements of Cash Flows (Unaudited) </w:t>
              </w:r>
            </w:hyperlink>
            <w:hyperlink w:anchor="i1e5a5c829d0c4e47b43817acb739c3cf_25" w:history="1">
              <w:r>
                <w:rPr>
                  <w:rStyle w:val="a3"/>
                  <w:rFonts w:eastAsia="Times New Roman"/>
                  <w:sz w:val="20"/>
                  <w:szCs w:val="20"/>
                </w:rPr>
                <w:t>Six</w:t>
              </w:r>
            </w:hyperlink>
            <w:hyperlink w:anchor="i1e5a5c829d0c4e47b43817acb739c3cf_25" w:history="1">
              <w:r>
                <w:rPr>
                  <w:rStyle w:val="a3"/>
                  <w:rFonts w:eastAsia="Times New Roman"/>
                  <w:sz w:val="20"/>
                  <w:szCs w:val="20"/>
                </w:rPr>
                <w:t xml:space="preserve"> Months Ended </w:t>
              </w:r>
            </w:hyperlink>
            <w:hyperlink w:anchor="i1e5a5c829d0c4e47b43817acb739c3cf_25" w:history="1">
              <w:r>
                <w:rPr>
                  <w:rStyle w:val="a3"/>
                  <w:rFonts w:eastAsia="Times New Roman"/>
                  <w:sz w:val="20"/>
                  <w:szCs w:val="20"/>
                </w:rPr>
                <w:t>Ju</w:t>
              </w:r>
              <w:r>
                <w:rPr>
                  <w:rStyle w:val="a3"/>
                  <w:rFonts w:eastAsia="Times New Roman"/>
                  <w:sz w:val="20"/>
                  <w:szCs w:val="20"/>
                </w:rPr>
                <w:t>ne 30</w:t>
              </w:r>
            </w:hyperlink>
            <w:hyperlink w:anchor="i1e5a5c829d0c4e47b43817acb739c3cf_25" w:history="1">
              <w:r>
                <w:rPr>
                  <w:rStyle w:val="a3"/>
                  <w:rFonts w:eastAsia="Times New Roman"/>
                  <w:sz w:val="20"/>
                  <w:szCs w:val="20"/>
                </w:rPr>
                <w:t>, 2022 and 2021</w:t>
              </w:r>
            </w:hyperlink>
          </w:p>
        </w:tc>
        <w:tc>
          <w:tcPr>
            <w:tcW w:w="0" w:type="auto"/>
            <w:gridSpan w:val="3"/>
            <w:tcMar>
              <w:top w:w="30" w:type="dxa"/>
              <w:left w:w="20" w:type="dxa"/>
              <w:bottom w:w="30" w:type="dxa"/>
              <w:right w:w="20" w:type="dxa"/>
            </w:tcMar>
            <w:vAlign w:val="bottom"/>
            <w:hideMark/>
          </w:tcPr>
          <w:p w:rsidR="00000000" w:rsidRDefault="005048A7">
            <w:pPr>
              <w:spacing w:after="100"/>
              <w:jc w:val="right"/>
              <w:rPr>
                <w:rFonts w:eastAsia="Times New Roman"/>
              </w:rPr>
            </w:pPr>
            <w:hyperlink w:anchor="i1e5a5c829d0c4e47b43817acb739c3cf_25" w:history="1">
              <w:r>
                <w:rPr>
                  <w:rStyle w:val="a3"/>
                  <w:rFonts w:eastAsia="Times New Roman"/>
                  <w:sz w:val="20"/>
                  <w:szCs w:val="20"/>
                </w:rPr>
                <w:t>6</w:t>
              </w:r>
            </w:hyperlink>
          </w:p>
        </w:tc>
      </w:tr>
      <w:tr w:rsidR="00000000">
        <w:trPr>
          <w:divId w:val="2064982323"/>
          <w:trHeight w:val="180"/>
        </w:trPr>
        <w:tc>
          <w:tcPr>
            <w:tcW w:w="0" w:type="auto"/>
            <w:gridSpan w:val="3"/>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64982323"/>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048A7">
            <w:pPr>
              <w:spacing w:after="100"/>
              <w:divId w:val="2084251810"/>
              <w:rPr>
                <w:rFonts w:eastAsia="Times New Roman"/>
              </w:rPr>
            </w:pPr>
            <w:hyperlink w:anchor="i1e5a5c829d0c4e47b43817acb739c3cf_28" w:history="1">
              <w:r>
                <w:rPr>
                  <w:rStyle w:val="a3"/>
                  <w:rFonts w:eastAsia="Times New Roman"/>
                  <w:sz w:val="20"/>
                  <w:szCs w:val="20"/>
                </w:rPr>
                <w:t>Condensed Consolidated Statements of Changes in Stockholder's Equity (Unaudited) Three</w:t>
              </w:r>
            </w:hyperlink>
            <w:hyperlink w:anchor="i1e5a5c829d0c4e47b43817acb739c3cf_28" w:history="1">
              <w:r>
                <w:rPr>
                  <w:rStyle w:val="a3"/>
                  <w:rFonts w:eastAsia="Times New Roman"/>
                  <w:sz w:val="20"/>
                  <w:szCs w:val="20"/>
                </w:rPr>
                <w:t xml:space="preserve"> and </w:t>
              </w:r>
            </w:hyperlink>
            <w:hyperlink w:anchor="i1e5a5c829d0c4e47b43817acb739c3cf_28" w:history="1">
              <w:r>
                <w:rPr>
                  <w:rStyle w:val="a3"/>
                  <w:rFonts w:eastAsia="Times New Roman"/>
                  <w:sz w:val="20"/>
                  <w:szCs w:val="20"/>
                </w:rPr>
                <w:t>Six</w:t>
              </w:r>
            </w:hyperlink>
            <w:hyperlink w:anchor="i1e5a5c829d0c4e47b43817acb739c3cf_28" w:history="1">
              <w:r>
                <w:rPr>
                  <w:rStyle w:val="a3"/>
                  <w:rFonts w:eastAsia="Times New Roman"/>
                  <w:sz w:val="20"/>
                  <w:szCs w:val="20"/>
                </w:rPr>
                <w:t xml:space="preserve"> Months Ended </w:t>
              </w:r>
            </w:hyperlink>
            <w:hyperlink w:anchor="i1e5a5c829d0c4e47b43817acb739c3cf_28" w:history="1">
              <w:r>
                <w:rPr>
                  <w:rStyle w:val="a3"/>
                  <w:rFonts w:eastAsia="Times New Roman"/>
                  <w:sz w:val="20"/>
                  <w:szCs w:val="20"/>
                </w:rPr>
                <w:t>June 30</w:t>
              </w:r>
            </w:hyperlink>
            <w:hyperlink w:anchor="i1e5a5c829d0c4e47b43817acb739c3cf_28" w:history="1">
              <w:r>
                <w:rPr>
                  <w:rStyle w:val="a3"/>
                  <w:rFonts w:eastAsia="Times New Roman"/>
                  <w:sz w:val="20"/>
                  <w:szCs w:val="20"/>
                </w:rPr>
                <w:t>, 2022 and 2021</w:t>
              </w:r>
            </w:hyperlink>
          </w:p>
        </w:tc>
        <w:tc>
          <w:tcPr>
            <w:tcW w:w="0" w:type="auto"/>
            <w:gridSpan w:val="3"/>
            <w:tcMar>
              <w:top w:w="30" w:type="dxa"/>
              <w:left w:w="20" w:type="dxa"/>
              <w:bottom w:w="30" w:type="dxa"/>
              <w:right w:w="20" w:type="dxa"/>
            </w:tcMar>
            <w:vAlign w:val="bottom"/>
            <w:hideMark/>
          </w:tcPr>
          <w:p w:rsidR="00000000" w:rsidRDefault="005048A7">
            <w:pPr>
              <w:spacing w:after="100"/>
              <w:jc w:val="right"/>
              <w:rPr>
                <w:rFonts w:eastAsia="Times New Roman"/>
              </w:rPr>
            </w:pPr>
            <w:hyperlink w:anchor="i1e5a5c829d0c4e47b43817acb739c3cf_28" w:history="1">
              <w:r>
                <w:rPr>
                  <w:rStyle w:val="a3"/>
                  <w:rFonts w:eastAsia="Times New Roman"/>
                  <w:sz w:val="20"/>
                  <w:szCs w:val="20"/>
                </w:rPr>
                <w:t>7</w:t>
              </w:r>
            </w:hyperlink>
          </w:p>
          <w:p w:rsidR="00000000" w:rsidRDefault="005048A7">
            <w:pPr>
              <w:spacing w:after="100"/>
              <w:divId w:val="1709059990"/>
              <w:rPr>
                <w:rFonts w:eastAsia="Times New Roman"/>
              </w:rPr>
            </w:pPr>
          </w:p>
        </w:tc>
      </w:tr>
      <w:tr w:rsidR="00000000">
        <w:trPr>
          <w:divId w:val="2064982323"/>
          <w:trHeight w:val="180"/>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64982323"/>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048A7">
            <w:pPr>
              <w:spacing w:after="100"/>
              <w:divId w:val="793712509"/>
              <w:rPr>
                <w:rFonts w:eastAsia="Times New Roman"/>
              </w:rPr>
            </w:pPr>
            <w:hyperlink w:anchor="i1e5a5c829d0c4e47b43817acb739c3cf_31" w:history="1">
              <w:r>
                <w:rPr>
                  <w:rStyle w:val="a3"/>
                  <w:rFonts w:eastAsia="Times New Roman"/>
                  <w:sz w:val="20"/>
                  <w:szCs w:val="20"/>
                </w:rPr>
                <w:t>Notes to Condensed Consolidated Financial Statements (Unaudited)</w:t>
              </w:r>
            </w:hyperlink>
          </w:p>
        </w:tc>
        <w:tc>
          <w:tcPr>
            <w:tcW w:w="0" w:type="auto"/>
            <w:gridSpan w:val="3"/>
            <w:tcMar>
              <w:top w:w="30" w:type="dxa"/>
              <w:left w:w="20" w:type="dxa"/>
              <w:bottom w:w="30" w:type="dxa"/>
              <w:right w:w="20" w:type="dxa"/>
            </w:tcMar>
            <w:vAlign w:val="bottom"/>
            <w:hideMark/>
          </w:tcPr>
          <w:p w:rsidR="00000000" w:rsidRDefault="005048A7">
            <w:pPr>
              <w:spacing w:after="100"/>
              <w:jc w:val="right"/>
              <w:rPr>
                <w:rFonts w:eastAsia="Times New Roman"/>
              </w:rPr>
            </w:pPr>
            <w:hyperlink w:anchor="i1e5a5c829d0c4e47b43817acb739c3cf_31" w:history="1">
              <w:r>
                <w:rPr>
                  <w:rStyle w:val="a3"/>
                  <w:rFonts w:eastAsia="Times New Roman"/>
                  <w:sz w:val="20"/>
                  <w:szCs w:val="20"/>
                </w:rPr>
                <w:t>9</w:t>
              </w:r>
            </w:hyperlink>
          </w:p>
        </w:tc>
      </w:tr>
      <w:tr w:rsidR="00000000">
        <w:trPr>
          <w:divId w:val="2064982323"/>
          <w:trHeight w:val="180"/>
        </w:trPr>
        <w:tc>
          <w:tcPr>
            <w:tcW w:w="0" w:type="auto"/>
            <w:gridSpan w:val="3"/>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64982323"/>
        </w:trPr>
        <w:tc>
          <w:tcPr>
            <w:tcW w:w="0" w:type="auto"/>
            <w:gridSpan w:val="3"/>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vAlign w:val="bottom"/>
            <w:hideMark/>
          </w:tcPr>
          <w:p w:rsidR="00000000" w:rsidRDefault="005048A7">
            <w:pPr>
              <w:spacing w:after="100"/>
              <w:divId w:val="891505069"/>
              <w:rPr>
                <w:rFonts w:eastAsia="Times New Roman"/>
              </w:rPr>
            </w:pPr>
            <w:hyperlink w:anchor="i1e5a5c829d0c4e47b43817acb739c3cf_97"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5048A7">
            <w:pPr>
              <w:spacing w:after="100"/>
              <w:jc w:val="right"/>
              <w:rPr>
                <w:rFonts w:eastAsia="Times New Roman"/>
              </w:rPr>
            </w:pPr>
            <w:hyperlink w:anchor="i1e5a5c829d0c4e47b43817acb739c3cf_97" w:history="1">
              <w:r>
                <w:rPr>
                  <w:rStyle w:val="a3"/>
                  <w:rFonts w:eastAsia="Times New Roman"/>
                  <w:sz w:val="20"/>
                  <w:szCs w:val="20"/>
                </w:rPr>
                <w:t>40</w:t>
              </w:r>
            </w:hyperlink>
          </w:p>
        </w:tc>
      </w:tr>
      <w:tr w:rsidR="00000000">
        <w:trPr>
          <w:divId w:val="2064982323"/>
          <w:trHeight w:val="180"/>
        </w:trPr>
        <w:tc>
          <w:tcPr>
            <w:tcW w:w="0" w:type="auto"/>
            <w:gridSpan w:val="3"/>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64982323"/>
        </w:trPr>
        <w:tc>
          <w:tcPr>
            <w:tcW w:w="0" w:type="auto"/>
            <w:gridSpan w:val="3"/>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Item 3.</w:t>
            </w:r>
          </w:p>
        </w:tc>
        <w:tc>
          <w:tcPr>
            <w:tcW w:w="0" w:type="auto"/>
            <w:gridSpan w:val="3"/>
            <w:tcMar>
              <w:top w:w="30" w:type="dxa"/>
              <w:left w:w="20" w:type="dxa"/>
              <w:bottom w:w="30" w:type="dxa"/>
              <w:right w:w="20" w:type="dxa"/>
            </w:tcMar>
            <w:vAlign w:val="bottom"/>
            <w:hideMark/>
          </w:tcPr>
          <w:p w:rsidR="00000000" w:rsidRDefault="005048A7">
            <w:pPr>
              <w:spacing w:after="100"/>
              <w:divId w:val="113910517"/>
              <w:rPr>
                <w:rFonts w:eastAsia="Times New Roman"/>
              </w:rPr>
            </w:pPr>
            <w:hyperlink w:anchor="i1e5a5c829d0c4e47b43817acb739c3cf_166"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5048A7">
            <w:pPr>
              <w:spacing w:after="100"/>
              <w:jc w:val="right"/>
              <w:rPr>
                <w:rFonts w:eastAsia="Times New Roman"/>
              </w:rPr>
            </w:pPr>
            <w:hyperlink w:anchor="i1e5a5c829d0c4e47b43817acb739c3cf_166" w:history="1">
              <w:r>
                <w:rPr>
                  <w:rStyle w:val="a3"/>
                  <w:rFonts w:eastAsia="Times New Roman"/>
                  <w:sz w:val="20"/>
                  <w:szCs w:val="20"/>
                </w:rPr>
                <w:t>58</w:t>
              </w:r>
            </w:hyperlink>
          </w:p>
        </w:tc>
      </w:tr>
      <w:tr w:rsidR="00000000">
        <w:trPr>
          <w:divId w:val="2064982323"/>
          <w:trHeight w:val="180"/>
        </w:trPr>
        <w:tc>
          <w:tcPr>
            <w:tcW w:w="0" w:type="auto"/>
            <w:gridSpan w:val="3"/>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64982323"/>
        </w:trPr>
        <w:tc>
          <w:tcPr>
            <w:tcW w:w="0" w:type="auto"/>
            <w:gridSpan w:val="3"/>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Item 4.</w:t>
            </w:r>
          </w:p>
        </w:tc>
        <w:tc>
          <w:tcPr>
            <w:tcW w:w="0" w:type="auto"/>
            <w:gridSpan w:val="3"/>
            <w:tcMar>
              <w:top w:w="30" w:type="dxa"/>
              <w:left w:w="20" w:type="dxa"/>
              <w:bottom w:w="30" w:type="dxa"/>
              <w:right w:w="20" w:type="dxa"/>
            </w:tcMar>
            <w:vAlign w:val="bottom"/>
            <w:hideMark/>
          </w:tcPr>
          <w:p w:rsidR="00000000" w:rsidRDefault="005048A7">
            <w:pPr>
              <w:spacing w:after="100"/>
              <w:divId w:val="350500356"/>
              <w:rPr>
                <w:rFonts w:eastAsia="Times New Roman"/>
              </w:rPr>
            </w:pPr>
            <w:hyperlink w:anchor="i1e5a5c829d0c4e47b43817acb739c3cf_169"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5048A7">
            <w:pPr>
              <w:spacing w:after="100"/>
              <w:jc w:val="right"/>
              <w:rPr>
                <w:rFonts w:eastAsia="Times New Roman"/>
              </w:rPr>
            </w:pPr>
            <w:hyperlink w:anchor="i1e5a5c829d0c4e47b43817acb739c3cf_169" w:history="1">
              <w:r>
                <w:rPr>
                  <w:rStyle w:val="a3"/>
                  <w:rFonts w:eastAsia="Times New Roman"/>
                  <w:sz w:val="20"/>
                  <w:szCs w:val="20"/>
                </w:rPr>
                <w:t>59</w:t>
              </w:r>
            </w:hyperlink>
          </w:p>
        </w:tc>
      </w:tr>
      <w:tr w:rsidR="00000000">
        <w:trPr>
          <w:divId w:val="2064982323"/>
          <w:trHeight w:val="300"/>
        </w:trPr>
        <w:tc>
          <w:tcPr>
            <w:tcW w:w="0" w:type="auto"/>
            <w:gridSpan w:val="6"/>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64982323"/>
        </w:trPr>
        <w:tc>
          <w:tcPr>
            <w:tcW w:w="0" w:type="auto"/>
            <w:gridSpan w:val="6"/>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PART II. Other Information</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r>
      <w:tr w:rsidR="00000000">
        <w:trPr>
          <w:divId w:val="2064982323"/>
          <w:trHeight w:val="300"/>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64982323"/>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u w:val="single"/>
              </w:rPr>
              <w:t>Description</w:t>
            </w: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Page</w:t>
            </w:r>
          </w:p>
        </w:tc>
      </w:tr>
      <w:tr w:rsidR="00000000">
        <w:trPr>
          <w:divId w:val="2064982323"/>
          <w:trHeight w:val="180"/>
        </w:trPr>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64982323"/>
        </w:trPr>
        <w:tc>
          <w:tcPr>
            <w:tcW w:w="0" w:type="auto"/>
            <w:gridSpan w:val="3"/>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vAlign w:val="bottom"/>
            <w:hideMark/>
          </w:tcPr>
          <w:p w:rsidR="00000000" w:rsidRDefault="005048A7">
            <w:pPr>
              <w:spacing w:after="100"/>
              <w:divId w:val="1242174364"/>
              <w:rPr>
                <w:rFonts w:eastAsia="Times New Roman"/>
              </w:rPr>
            </w:pPr>
            <w:hyperlink w:anchor="i1e5a5c829d0c4e47b43817acb739c3cf_175"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5048A7">
            <w:pPr>
              <w:spacing w:after="100"/>
              <w:jc w:val="right"/>
              <w:rPr>
                <w:rFonts w:eastAsia="Times New Roman"/>
              </w:rPr>
            </w:pPr>
            <w:hyperlink w:anchor="i1e5a5c829d0c4e47b43817acb739c3cf_175" w:history="1">
              <w:r>
                <w:rPr>
                  <w:rStyle w:val="a3"/>
                  <w:rFonts w:eastAsia="Times New Roman"/>
                  <w:sz w:val="20"/>
                  <w:szCs w:val="20"/>
                </w:rPr>
                <w:t>60</w:t>
              </w:r>
            </w:hyperlink>
          </w:p>
        </w:tc>
      </w:tr>
      <w:tr w:rsidR="00000000">
        <w:trPr>
          <w:divId w:val="2064982323"/>
          <w:trHeight w:val="180"/>
        </w:trPr>
        <w:tc>
          <w:tcPr>
            <w:tcW w:w="0" w:type="auto"/>
            <w:gridSpan w:val="3"/>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64982323"/>
        </w:trPr>
        <w:tc>
          <w:tcPr>
            <w:tcW w:w="0" w:type="auto"/>
            <w:gridSpan w:val="3"/>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Item 1A.</w:t>
            </w:r>
          </w:p>
        </w:tc>
        <w:tc>
          <w:tcPr>
            <w:tcW w:w="0" w:type="auto"/>
            <w:gridSpan w:val="3"/>
            <w:tcMar>
              <w:top w:w="30" w:type="dxa"/>
              <w:left w:w="20" w:type="dxa"/>
              <w:bottom w:w="30" w:type="dxa"/>
              <w:right w:w="20" w:type="dxa"/>
            </w:tcMar>
            <w:vAlign w:val="bottom"/>
            <w:hideMark/>
          </w:tcPr>
          <w:p w:rsidR="00000000" w:rsidRDefault="005048A7">
            <w:pPr>
              <w:spacing w:after="100"/>
              <w:divId w:val="1375228854"/>
              <w:rPr>
                <w:rFonts w:eastAsia="Times New Roman"/>
              </w:rPr>
            </w:pPr>
            <w:hyperlink w:anchor="i1e5a5c829d0c4e47b43817acb739c3cf_178"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rsidR="00000000" w:rsidRDefault="005048A7">
            <w:pPr>
              <w:spacing w:after="100"/>
              <w:jc w:val="right"/>
              <w:rPr>
                <w:rFonts w:eastAsia="Times New Roman"/>
              </w:rPr>
            </w:pPr>
            <w:hyperlink w:anchor="i1e5a5c829d0c4e47b43817acb739c3cf_178" w:history="1">
              <w:r>
                <w:rPr>
                  <w:rStyle w:val="a3"/>
                  <w:rFonts w:eastAsia="Times New Roman"/>
                  <w:sz w:val="20"/>
                  <w:szCs w:val="20"/>
                </w:rPr>
                <w:t>60</w:t>
              </w:r>
            </w:hyperlink>
          </w:p>
        </w:tc>
      </w:tr>
      <w:tr w:rsidR="00000000">
        <w:trPr>
          <w:divId w:val="2064982323"/>
          <w:trHeight w:val="180"/>
        </w:trPr>
        <w:tc>
          <w:tcPr>
            <w:tcW w:w="0" w:type="auto"/>
            <w:gridSpan w:val="3"/>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64982323"/>
        </w:trPr>
        <w:tc>
          <w:tcPr>
            <w:tcW w:w="0" w:type="auto"/>
            <w:gridSpan w:val="3"/>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vAlign w:val="bottom"/>
            <w:hideMark/>
          </w:tcPr>
          <w:p w:rsidR="00000000" w:rsidRDefault="005048A7">
            <w:pPr>
              <w:spacing w:after="100"/>
              <w:divId w:val="392238432"/>
              <w:rPr>
                <w:rFonts w:eastAsia="Times New Roman"/>
              </w:rPr>
            </w:pPr>
            <w:hyperlink w:anchor="i1e5a5c829d0c4e47b43817acb739c3cf_181"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5048A7">
            <w:pPr>
              <w:spacing w:after="100"/>
              <w:jc w:val="right"/>
              <w:rPr>
                <w:rFonts w:eastAsia="Times New Roman"/>
              </w:rPr>
            </w:pPr>
            <w:hyperlink w:anchor="i1e5a5c829d0c4e47b43817acb739c3cf_181" w:history="1">
              <w:r>
                <w:rPr>
                  <w:rStyle w:val="a3"/>
                  <w:rFonts w:eastAsia="Times New Roman"/>
                  <w:sz w:val="20"/>
                  <w:szCs w:val="20"/>
                </w:rPr>
                <w:t>60</w:t>
              </w:r>
            </w:hyperlink>
          </w:p>
        </w:tc>
      </w:tr>
      <w:tr w:rsidR="00000000">
        <w:trPr>
          <w:divId w:val="2064982323"/>
          <w:trHeight w:val="180"/>
        </w:trPr>
        <w:tc>
          <w:tcPr>
            <w:tcW w:w="0" w:type="auto"/>
            <w:gridSpan w:val="3"/>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64982323"/>
        </w:trPr>
        <w:tc>
          <w:tcPr>
            <w:tcW w:w="0" w:type="auto"/>
            <w:gridSpan w:val="3"/>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Item 6.</w:t>
            </w:r>
          </w:p>
        </w:tc>
        <w:tc>
          <w:tcPr>
            <w:tcW w:w="0" w:type="auto"/>
            <w:gridSpan w:val="3"/>
            <w:tcMar>
              <w:top w:w="30" w:type="dxa"/>
              <w:left w:w="20" w:type="dxa"/>
              <w:bottom w:w="30" w:type="dxa"/>
              <w:right w:w="20" w:type="dxa"/>
            </w:tcMar>
            <w:vAlign w:val="bottom"/>
            <w:hideMark/>
          </w:tcPr>
          <w:p w:rsidR="00000000" w:rsidRDefault="005048A7">
            <w:pPr>
              <w:spacing w:after="100"/>
              <w:divId w:val="418066442"/>
              <w:rPr>
                <w:rFonts w:eastAsia="Times New Roman"/>
              </w:rPr>
            </w:pPr>
            <w:hyperlink w:anchor="i1e5a5c829d0c4e47b43817acb739c3cf_184"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bottom"/>
            <w:hideMark/>
          </w:tcPr>
          <w:p w:rsidR="00000000" w:rsidRDefault="005048A7">
            <w:pPr>
              <w:spacing w:after="100"/>
              <w:jc w:val="right"/>
              <w:rPr>
                <w:rFonts w:eastAsia="Times New Roman"/>
              </w:rPr>
            </w:pPr>
            <w:hyperlink w:anchor="i1e5a5c829d0c4e47b43817acb739c3cf_184" w:history="1">
              <w:r>
                <w:rPr>
                  <w:rStyle w:val="a3"/>
                  <w:rFonts w:eastAsia="Times New Roman"/>
                  <w:sz w:val="20"/>
                  <w:szCs w:val="20"/>
                </w:rPr>
                <w:t>61</w:t>
              </w:r>
            </w:hyperlink>
          </w:p>
        </w:tc>
      </w:tr>
      <w:tr w:rsidR="00000000">
        <w:trPr>
          <w:divId w:val="2064982323"/>
          <w:trHeight w:val="180"/>
        </w:trPr>
        <w:tc>
          <w:tcPr>
            <w:tcW w:w="0" w:type="auto"/>
            <w:gridSpan w:val="3"/>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64982323"/>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048A7">
            <w:pPr>
              <w:spacing w:after="100"/>
              <w:divId w:val="2005669010"/>
              <w:rPr>
                <w:rFonts w:eastAsia="Times New Roman"/>
              </w:rPr>
            </w:pPr>
            <w:hyperlink w:anchor="i1e5a5c829d0c4e47b43817acb739c3cf_187" w:history="1">
              <w:r>
                <w:rPr>
                  <w:rStyle w:val="a3"/>
                  <w:rFonts w:eastAsia="Times New Roman"/>
                  <w:sz w:val="20"/>
                  <w:szCs w:val="20"/>
                </w:rPr>
                <w:t>Signatures</w:t>
              </w:r>
            </w:hyperlink>
          </w:p>
        </w:tc>
        <w:tc>
          <w:tcPr>
            <w:tcW w:w="0" w:type="auto"/>
            <w:gridSpan w:val="3"/>
            <w:tcMar>
              <w:top w:w="30" w:type="dxa"/>
              <w:left w:w="20" w:type="dxa"/>
              <w:bottom w:w="30" w:type="dxa"/>
              <w:right w:w="20" w:type="dxa"/>
            </w:tcMar>
            <w:vAlign w:val="bottom"/>
            <w:hideMark/>
          </w:tcPr>
          <w:p w:rsidR="00000000" w:rsidRDefault="005048A7">
            <w:pPr>
              <w:spacing w:after="100"/>
              <w:jc w:val="right"/>
              <w:rPr>
                <w:rFonts w:eastAsia="Times New Roman"/>
              </w:rPr>
            </w:pPr>
            <w:hyperlink w:anchor="i1e5a5c829d0c4e47b43817acb739c3cf_187" w:history="1">
              <w:r>
                <w:rPr>
                  <w:rStyle w:val="a3"/>
                  <w:rFonts w:eastAsia="Times New Roman"/>
                  <w:sz w:val="20"/>
                  <w:szCs w:val="20"/>
                </w:rPr>
                <w:t>62</w:t>
              </w:r>
            </w:hyperlink>
          </w:p>
        </w:tc>
      </w:tr>
    </w:tbl>
    <w:p w:rsidR="00000000" w:rsidRDefault="005048A7">
      <w:pPr>
        <w:divId w:val="952247767"/>
        <w:rPr>
          <w:rFonts w:eastAsia="Times New Roman"/>
        </w:rPr>
      </w:pPr>
    </w:p>
    <w:p w:rsidR="00000000" w:rsidRDefault="005048A7">
      <w:pPr>
        <w:divId w:val="1260874589"/>
        <w:rPr>
          <w:rFonts w:eastAsia="Times New Roman"/>
        </w:rPr>
      </w:pPr>
    </w:p>
    <w:p w:rsidR="00000000" w:rsidRDefault="005048A7">
      <w:pPr>
        <w:jc w:val="center"/>
        <w:divId w:val="2119371263"/>
        <w:rPr>
          <w:rFonts w:eastAsia="Times New Roman"/>
        </w:rPr>
      </w:pPr>
      <w:r>
        <w:rPr>
          <w:rFonts w:eastAsia="Times New Roman"/>
          <w:color w:val="000000"/>
          <w:sz w:val="20"/>
          <w:szCs w:val="20"/>
        </w:rPr>
        <w:t>2</w:t>
      </w:r>
    </w:p>
    <w:p w:rsidR="00000000" w:rsidRDefault="005048A7">
      <w:pPr>
        <w:rPr>
          <w:rFonts w:eastAsia="Times New Roman"/>
        </w:rPr>
      </w:pPr>
      <w:r>
        <w:rPr>
          <w:rFonts w:eastAsia="Times New Roman"/>
        </w:rPr>
        <w:pict>
          <v:rect id="_x0000_i1027" style="width:0;height:1.5pt" o:hralign="center" o:hrstd="t" o:hr="t" fillcolor="#a0a0a0" stroked="f"/>
        </w:pict>
      </w:r>
    </w:p>
    <w:p w:rsidR="00000000" w:rsidRDefault="005048A7">
      <w:pPr>
        <w:divId w:val="1232934772"/>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divId w:val="147095307"/>
        <w:rPr>
          <w:rFonts w:eastAsia="Times New Roman"/>
        </w:rPr>
      </w:pPr>
      <w:r>
        <w:rPr>
          <w:rFonts w:eastAsia="Times New Roman"/>
          <w:b/>
          <w:bCs/>
          <w:color w:val="000000"/>
          <w:sz w:val="20"/>
          <w:szCs w:val="20"/>
        </w:rPr>
        <w:t>Part I. Financial Information</w:t>
      </w:r>
    </w:p>
    <w:p w:rsidR="00000000" w:rsidRDefault="005048A7">
      <w:pPr>
        <w:divId w:val="1880362217"/>
        <w:rPr>
          <w:rFonts w:eastAsia="Times New Roman"/>
        </w:rPr>
      </w:pPr>
      <w:r>
        <w:rPr>
          <w:rFonts w:eastAsia="Times New Roman"/>
          <w:color w:val="000000"/>
          <w:sz w:val="18"/>
          <w:szCs w:val="18"/>
        </w:rPr>
        <w:t> </w:t>
      </w:r>
    </w:p>
    <w:p w:rsidR="00000000" w:rsidRDefault="005048A7">
      <w:pPr>
        <w:ind w:hanging="1170"/>
        <w:divId w:val="1269773227"/>
        <w:rPr>
          <w:rFonts w:eastAsia="Times New Roman"/>
        </w:rPr>
      </w:pPr>
      <w:r>
        <w:rPr>
          <w:rFonts w:eastAsia="Times New Roman"/>
          <w:b/>
          <w:bCs/>
          <w:color w:val="000000"/>
          <w:sz w:val="20"/>
          <w:szCs w:val="20"/>
        </w:rPr>
        <w:t>Item 1.    FINANCIAL STATEMENTS</w:t>
      </w:r>
    </w:p>
    <w:p w:rsidR="00000000" w:rsidRDefault="005048A7">
      <w:pPr>
        <w:ind w:firstLine="720"/>
        <w:jc w:val="center"/>
        <w:rPr>
          <w:rFonts w:eastAsia="Times New Roman"/>
        </w:rPr>
      </w:pPr>
      <w:r>
        <w:rPr>
          <w:rFonts w:eastAsia="Times New Roman"/>
          <w:b/>
          <w:bCs/>
          <w:color w:val="000000"/>
          <w:sz w:val="20"/>
          <w:szCs w:val="20"/>
        </w:rPr>
        <w:t>NCR Corporation</w:t>
      </w:r>
    </w:p>
    <w:p w:rsidR="00000000" w:rsidRDefault="005048A7">
      <w:pPr>
        <w:jc w:val="center"/>
        <w:rPr>
          <w:rFonts w:eastAsia="Times New Roman"/>
        </w:rPr>
      </w:pPr>
      <w:r>
        <w:rPr>
          <w:rFonts w:eastAsia="Times New Roman"/>
          <w:b/>
          <w:bCs/>
          <w:color w:val="000000"/>
          <w:sz w:val="20"/>
          <w:szCs w:val="20"/>
        </w:rPr>
        <w:t>Condensed Consolidated Statements of Operations (Unaudited)</w:t>
      </w:r>
      <w:r>
        <w:rPr>
          <w:rFonts w:eastAsia="Times New Roman"/>
          <w:color w:val="000000"/>
          <w:sz w:val="18"/>
          <w:szCs w:val="18"/>
        </w:rPr>
        <w:t> </w:t>
      </w:r>
    </w:p>
    <w:tbl>
      <w:tblPr>
        <w:tblW w:w="4692" w:type="pct"/>
        <w:jc w:val="center"/>
        <w:tblCellMar>
          <w:top w:w="15" w:type="dxa"/>
          <w:left w:w="15" w:type="dxa"/>
          <w:bottom w:w="15" w:type="dxa"/>
          <w:right w:w="15" w:type="dxa"/>
        </w:tblCellMar>
        <w:tblLook w:val="04A0" w:firstRow="1" w:lastRow="0" w:firstColumn="1" w:lastColumn="0" w:noHBand="0" w:noVBand="1"/>
      </w:tblPr>
      <w:tblGrid>
        <w:gridCol w:w="40"/>
        <w:gridCol w:w="3816"/>
        <w:gridCol w:w="39"/>
        <w:gridCol w:w="120"/>
        <w:gridCol w:w="746"/>
        <w:gridCol w:w="36"/>
        <w:gridCol w:w="36"/>
        <w:gridCol w:w="36"/>
        <w:gridCol w:w="36"/>
        <w:gridCol w:w="120"/>
        <w:gridCol w:w="726"/>
        <w:gridCol w:w="36"/>
        <w:gridCol w:w="36"/>
        <w:gridCol w:w="36"/>
        <w:gridCol w:w="36"/>
        <w:gridCol w:w="120"/>
        <w:gridCol w:w="727"/>
        <w:gridCol w:w="36"/>
        <w:gridCol w:w="36"/>
        <w:gridCol w:w="36"/>
        <w:gridCol w:w="36"/>
        <w:gridCol w:w="120"/>
        <w:gridCol w:w="752"/>
        <w:gridCol w:w="36"/>
      </w:tblGrid>
      <w:tr w:rsidR="00000000">
        <w:trPr>
          <w:divId w:val="1740322290"/>
          <w:jc w:val="center"/>
        </w:trPr>
        <w:tc>
          <w:tcPr>
            <w:tcW w:w="50" w:type="pct"/>
            <w:vAlign w:val="center"/>
            <w:hideMark/>
          </w:tcPr>
          <w:p w:rsidR="00000000" w:rsidRDefault="005048A7">
            <w:pPr>
              <w:jc w:val="center"/>
              <w:rPr>
                <w:rFonts w:eastAsia="Times New Roman"/>
              </w:rPr>
            </w:pPr>
          </w:p>
        </w:tc>
        <w:tc>
          <w:tcPr>
            <w:tcW w:w="249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1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4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1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4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1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4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1740322290"/>
          <w:trHeight w:val="420"/>
          <w:jc w:val="center"/>
        </w:trPr>
        <w:tc>
          <w:tcPr>
            <w:tcW w:w="0" w:type="auto"/>
            <w:gridSpan w:val="3"/>
            <w:vMerge w:val="restart"/>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 except per share amounts</w:t>
            </w: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r>
      <w:tr w:rsidR="00000000">
        <w:trPr>
          <w:divId w:val="1740322290"/>
          <w:trHeight w:val="240"/>
          <w:jc w:val="center"/>
        </w:trPr>
        <w:tc>
          <w:tcPr>
            <w:tcW w:w="0" w:type="auto"/>
            <w:gridSpan w:val="3"/>
            <w:vMerge/>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r>
      <w:tr w:rsidR="00000000">
        <w:trPr>
          <w:divId w:val="1740322290"/>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Product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614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1,130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Service revenue</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1,126 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2,733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2,188 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1,997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1,677 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3,863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Cost of products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544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1,036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982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768 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1,490 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lastRenderedPageBreak/>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303 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541 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135 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740322290"/>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operating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1,894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1,593 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3,727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3,027 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Income (loss)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740322290"/>
          <w:jc w:val="center"/>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740322290"/>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(67)</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(61)</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(130)</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(106)</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Other income (expense), net</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Income (loss)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Income (loss)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Income (loss) from discontinued operations, net of tax</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Net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Net income (loss) attributable to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Net income (loss) attributable to NCR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Amounts attributable to NCR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740322290"/>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Income (loss) from continuing operations</w:t>
            </w: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Series A convertible preferred stock dividends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FFFF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Income (loss) from continuing operations attributable to NCR common stockholders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Income (loss) from discontinued operations, net of tax</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FFFF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Net income (loss) attributable to NCR common stockholders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Income (loss) per share attributable to NCR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740322290"/>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Income (loss) per common share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740322290"/>
          <w:jc w:val="center"/>
        </w:trPr>
        <w:tc>
          <w:tcPr>
            <w:tcW w:w="0" w:type="auto"/>
            <w:gridSpan w:val="3"/>
            <w:shd w:val="clear" w:color="auto" w:fill="CCEE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0.23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(0.10)</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(0.04)</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0.10 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FFFF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0.22</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(0.10)</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(0.04)</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0.10 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Net income (loss) per common share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740322290"/>
          <w:jc w:val="center"/>
        </w:trPr>
        <w:tc>
          <w:tcPr>
            <w:tcW w:w="0" w:type="auto"/>
            <w:gridSpan w:val="3"/>
            <w:shd w:val="clear" w:color="auto" w:fill="FFFF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0.27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(0.10)</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(0.01)</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0.10 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CCEE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0.26</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(0.10)</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(0.01)</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0.10 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Weighted average common shares outstanding</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740322290"/>
          <w:jc w:val="center"/>
        </w:trPr>
        <w:tc>
          <w:tcPr>
            <w:tcW w:w="0" w:type="auto"/>
            <w:gridSpan w:val="3"/>
            <w:shd w:val="clear" w:color="auto" w:fill="CCEE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131.0 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130.5 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740322290"/>
          <w:jc w:val="center"/>
        </w:trPr>
        <w:tc>
          <w:tcPr>
            <w:tcW w:w="0" w:type="auto"/>
            <w:gridSpan w:val="3"/>
            <w:shd w:val="clear" w:color="auto" w:fill="FFFF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lastRenderedPageBreak/>
              <w:t>Diluted</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140.8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131.0 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136.1 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center"/>
        <w:rPr>
          <w:rFonts w:eastAsia="Times New Roman"/>
        </w:rPr>
      </w:pPr>
      <w:r>
        <w:rPr>
          <w:rFonts w:eastAsia="Times New Roman"/>
          <w:color w:val="000000"/>
          <w:sz w:val="20"/>
          <w:szCs w:val="20"/>
        </w:rPr>
        <w:t>See Notes to Condensed Consolidated Financial Statements.</w:t>
      </w:r>
    </w:p>
    <w:p w:rsidR="00000000" w:rsidRDefault="005048A7">
      <w:pPr>
        <w:jc w:val="center"/>
        <w:divId w:val="256864769"/>
        <w:rPr>
          <w:rFonts w:eastAsia="Times New Roman"/>
        </w:rPr>
      </w:pPr>
      <w:r>
        <w:rPr>
          <w:rFonts w:eastAsia="Times New Roman"/>
          <w:color w:val="000000"/>
          <w:sz w:val="20"/>
          <w:szCs w:val="20"/>
        </w:rPr>
        <w:t>3</w:t>
      </w:r>
    </w:p>
    <w:p w:rsidR="00000000" w:rsidRDefault="005048A7">
      <w:pPr>
        <w:rPr>
          <w:rFonts w:eastAsia="Times New Roman"/>
        </w:rPr>
      </w:pPr>
      <w:r>
        <w:rPr>
          <w:rFonts w:eastAsia="Times New Roman"/>
        </w:rPr>
        <w:pict>
          <v:rect id="_x0000_i1028" style="width:0;height:1.5pt" o:hralign="center" o:hrstd="t" o:hr="t" fillcolor="#a0a0a0" stroked="f"/>
        </w:pict>
      </w:r>
    </w:p>
    <w:p w:rsidR="00000000" w:rsidRDefault="005048A7">
      <w:pPr>
        <w:divId w:val="1057783252"/>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jc w:val="center"/>
        <w:rPr>
          <w:rFonts w:eastAsia="Times New Roman"/>
        </w:rPr>
      </w:pPr>
      <w:r>
        <w:rPr>
          <w:rFonts w:eastAsia="Times New Roman"/>
          <w:b/>
          <w:bCs/>
          <w:color w:val="000000"/>
          <w:sz w:val="20"/>
          <w:szCs w:val="20"/>
        </w:rPr>
        <w:t>NCR Corporation</w:t>
      </w:r>
    </w:p>
    <w:p w:rsidR="00000000" w:rsidRDefault="005048A7">
      <w:pPr>
        <w:jc w:val="center"/>
        <w:rPr>
          <w:rFonts w:eastAsia="Times New Roman"/>
        </w:rPr>
      </w:pPr>
      <w:r>
        <w:rPr>
          <w:rFonts w:eastAsia="Times New Roman"/>
          <w:b/>
          <w:bCs/>
          <w:color w:val="000000"/>
          <w:sz w:val="20"/>
          <w:szCs w:val="20"/>
        </w:rPr>
        <w:t>Condensed Consolidated Statements of Comprehensive Income (Unaudited)</w:t>
      </w:r>
    </w:p>
    <w:p w:rsidR="00000000" w:rsidRDefault="005048A7">
      <w:pPr>
        <w:divId w:val="1851985993"/>
        <w:rPr>
          <w:rFonts w:eastAsia="Times New Roman"/>
        </w:rPr>
      </w:pPr>
      <w:r>
        <w:rPr>
          <w:rFonts w:eastAsia="Times New Roman"/>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907"/>
        <w:gridCol w:w="39"/>
        <w:gridCol w:w="120"/>
        <w:gridCol w:w="853"/>
        <w:gridCol w:w="36"/>
        <w:gridCol w:w="36"/>
        <w:gridCol w:w="36"/>
        <w:gridCol w:w="36"/>
        <w:gridCol w:w="120"/>
        <w:gridCol w:w="840"/>
        <w:gridCol w:w="36"/>
        <w:gridCol w:w="36"/>
        <w:gridCol w:w="36"/>
        <w:gridCol w:w="36"/>
        <w:gridCol w:w="120"/>
        <w:gridCol w:w="853"/>
        <w:gridCol w:w="36"/>
        <w:gridCol w:w="36"/>
        <w:gridCol w:w="36"/>
        <w:gridCol w:w="36"/>
        <w:gridCol w:w="120"/>
        <w:gridCol w:w="826"/>
        <w:gridCol w:w="36"/>
      </w:tblGrid>
      <w:tr w:rsidR="00000000">
        <w:trPr>
          <w:divId w:val="2091196809"/>
          <w:jc w:val="center"/>
        </w:trPr>
        <w:tc>
          <w:tcPr>
            <w:tcW w:w="50" w:type="pct"/>
            <w:vAlign w:val="center"/>
            <w:hideMark/>
          </w:tcPr>
          <w:p w:rsidR="00000000" w:rsidRDefault="005048A7">
            <w:pPr>
              <w:rPr>
                <w:rFonts w:eastAsia="Times New Roman"/>
              </w:rPr>
            </w:pPr>
          </w:p>
        </w:tc>
        <w:tc>
          <w:tcPr>
            <w:tcW w:w="239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4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4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4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4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4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4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2091196809"/>
          <w:trHeight w:val="400"/>
          <w:jc w:val="center"/>
        </w:trPr>
        <w:tc>
          <w:tcPr>
            <w:tcW w:w="0" w:type="auto"/>
            <w:gridSpan w:val="3"/>
            <w:vMerge w:val="restart"/>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r>
      <w:tr w:rsidR="00000000">
        <w:trPr>
          <w:divId w:val="2091196809"/>
          <w:trHeight w:val="240"/>
          <w:jc w:val="center"/>
        </w:trPr>
        <w:tc>
          <w:tcPr>
            <w:tcW w:w="0" w:type="auto"/>
            <w:gridSpan w:val="3"/>
            <w:vMerge/>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r>
      <w:tr w:rsidR="00000000">
        <w:trPr>
          <w:divId w:val="2091196809"/>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Net income (loss)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091196809"/>
          <w:jc w:val="center"/>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91196809"/>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Currency translation adjustments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91196809"/>
          <w:jc w:val="center"/>
        </w:trPr>
        <w:tc>
          <w:tcPr>
            <w:tcW w:w="0" w:type="auto"/>
            <w:gridSpan w:val="3"/>
            <w:shd w:val="clear" w:color="auto" w:fill="FFFFFF"/>
            <w:tcMar>
              <w:top w:w="30" w:type="dxa"/>
              <w:left w:w="15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Currency translation gains (loss)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(53)</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(79)</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091196809"/>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Derivatives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91196809"/>
          <w:jc w:val="center"/>
        </w:trPr>
        <w:tc>
          <w:tcPr>
            <w:tcW w:w="0" w:type="auto"/>
            <w:gridSpan w:val="3"/>
            <w:shd w:val="clear" w:color="auto" w:fill="FFFFFF"/>
            <w:tcMar>
              <w:top w:w="30" w:type="dxa"/>
              <w:left w:w="15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Unrealized gains (loss) on derivatives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091196809"/>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   Loss (gains) on derivatives recognized during the period</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091196809"/>
          <w:jc w:val="center"/>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        Less income tax</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091196809"/>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Employee benefit plans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91196809"/>
          <w:jc w:val="center"/>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   Amortization of prior service cost (benefit)</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091196809"/>
          <w:jc w:val="center"/>
        </w:trPr>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2091196809"/>
          <w:jc w:val="center"/>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2091196809"/>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        Less income tax</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091196809"/>
          <w:jc w:val="center"/>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Other comprehensive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091196809"/>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Total comprehensive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091196809"/>
          <w:jc w:val="center"/>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Less comprehensive income (loss) attributable to noncontrolling interests: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91196809"/>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   Net income (loss)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091196809"/>
          <w:jc w:val="center"/>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   Currency translation losses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091196809"/>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Amounts attributable to noncontrolling interests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091196809"/>
          <w:jc w:val="center"/>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Comprehensive income (loss) attributable to NCR</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center"/>
        <w:divId w:val="511802945"/>
        <w:rPr>
          <w:rFonts w:eastAsia="Times New Roman"/>
        </w:rPr>
      </w:pPr>
      <w:r>
        <w:rPr>
          <w:rFonts w:eastAsia="Times New Roman"/>
          <w:color w:val="000000"/>
          <w:sz w:val="20"/>
          <w:szCs w:val="20"/>
        </w:rPr>
        <w:t>See Notes to Condensed Consolidated Financial Statements.</w:t>
      </w:r>
    </w:p>
    <w:p w:rsidR="00000000" w:rsidRDefault="005048A7">
      <w:pPr>
        <w:jc w:val="center"/>
        <w:divId w:val="1131167054"/>
        <w:rPr>
          <w:rFonts w:eastAsia="Times New Roman"/>
        </w:rPr>
      </w:pPr>
      <w:r>
        <w:rPr>
          <w:rFonts w:eastAsia="Times New Roman"/>
          <w:color w:val="000000"/>
          <w:sz w:val="20"/>
          <w:szCs w:val="20"/>
        </w:rPr>
        <w:t>4</w:t>
      </w:r>
    </w:p>
    <w:p w:rsidR="00000000" w:rsidRDefault="005048A7">
      <w:pPr>
        <w:rPr>
          <w:rFonts w:eastAsia="Times New Roman"/>
        </w:rPr>
      </w:pPr>
      <w:r>
        <w:rPr>
          <w:rFonts w:eastAsia="Times New Roman"/>
        </w:rPr>
        <w:pict>
          <v:rect id="_x0000_i1029" style="width:0;height:1.5pt" o:hralign="center" o:hrstd="t" o:hr="t" fillcolor="#a0a0a0" stroked="f"/>
        </w:pict>
      </w:r>
    </w:p>
    <w:p w:rsidR="00000000" w:rsidRDefault="005048A7">
      <w:pPr>
        <w:divId w:val="339048994"/>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ind w:firstLine="720"/>
        <w:jc w:val="center"/>
        <w:rPr>
          <w:rFonts w:eastAsia="Times New Roman"/>
        </w:rPr>
      </w:pPr>
      <w:r>
        <w:rPr>
          <w:rFonts w:eastAsia="Times New Roman"/>
          <w:b/>
          <w:bCs/>
          <w:color w:val="000000"/>
          <w:sz w:val="20"/>
          <w:szCs w:val="20"/>
        </w:rPr>
        <w:t>NCR Corporation</w:t>
      </w:r>
    </w:p>
    <w:p w:rsidR="00000000" w:rsidRDefault="005048A7">
      <w:pPr>
        <w:jc w:val="center"/>
        <w:rPr>
          <w:rFonts w:eastAsia="Times New Roman"/>
        </w:rPr>
      </w:pPr>
      <w:r>
        <w:rPr>
          <w:rFonts w:eastAsia="Times New Roman"/>
          <w:b/>
          <w:bCs/>
          <w:color w:val="000000"/>
          <w:sz w:val="20"/>
          <w:szCs w:val="20"/>
        </w:rPr>
        <w:t>Condensed Consolidated Balance Sheets (Unaudited)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675"/>
        <w:gridCol w:w="39"/>
        <w:gridCol w:w="120"/>
        <w:gridCol w:w="1113"/>
        <w:gridCol w:w="36"/>
        <w:gridCol w:w="36"/>
        <w:gridCol w:w="37"/>
        <w:gridCol w:w="36"/>
        <w:gridCol w:w="120"/>
        <w:gridCol w:w="1018"/>
        <w:gridCol w:w="36"/>
      </w:tblGrid>
      <w:tr w:rsidR="00000000">
        <w:trPr>
          <w:divId w:val="430862367"/>
        </w:trPr>
        <w:tc>
          <w:tcPr>
            <w:tcW w:w="50" w:type="pct"/>
            <w:vAlign w:val="center"/>
            <w:hideMark/>
          </w:tcPr>
          <w:p w:rsidR="00000000" w:rsidRDefault="005048A7">
            <w:pPr>
              <w:jc w:val="center"/>
              <w:rPr>
                <w:rFonts w:eastAsia="Times New Roman"/>
              </w:rPr>
            </w:pPr>
          </w:p>
        </w:tc>
        <w:tc>
          <w:tcPr>
            <w:tcW w:w="344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9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4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3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430862367"/>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 except per share amounts</w:t>
            </w: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December 31, 2021</w:t>
            </w:r>
          </w:p>
        </w:tc>
      </w:tr>
      <w:tr w:rsidR="00000000">
        <w:trPr>
          <w:divId w:val="430862367"/>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430862367"/>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lastRenderedPageBreak/>
              <w:t>Current assets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430862367"/>
        </w:trPr>
        <w:tc>
          <w:tcPr>
            <w:tcW w:w="0" w:type="auto"/>
            <w:gridSpan w:val="3"/>
            <w:shd w:val="clear" w:color="auto" w:fill="CCEE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447 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FFFFFF"/>
            <w:tcMar>
              <w:top w:w="30" w:type="dxa"/>
              <w:left w:w="20" w:type="dxa"/>
              <w:bottom w:w="30" w:type="dxa"/>
              <w:right w:w="20" w:type="dxa"/>
            </w:tcMar>
            <w:hideMark/>
          </w:tcPr>
          <w:p w:rsidR="00000000" w:rsidRDefault="005048A7">
            <w:pPr>
              <w:spacing w:after="100"/>
              <w:divId w:val="1290211369"/>
              <w:rPr>
                <w:rFonts w:eastAsia="Times New Roman"/>
              </w:rPr>
            </w:pPr>
            <w:r>
              <w:rPr>
                <w:rFonts w:eastAsia="Times New Roman"/>
                <w:color w:val="000000"/>
                <w:sz w:val="20"/>
                <w:szCs w:val="20"/>
              </w:rPr>
              <w:t>Accounts receivable, net of allowances of $26 and $24 as of June 30, 2022 and December 31, 2021, respectively</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959 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CCEE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754 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FFFF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295 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CCEE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Other current assets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421 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3,054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2,876 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Property, plant and equipment,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640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Goodwill</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4,575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4,519 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Intangibles, net</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1,250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1,316 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Operating lease assets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419 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Prepaid pension cost</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732 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776 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11,756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11,641 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Liabilities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430862367"/>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430862367"/>
        </w:trPr>
        <w:tc>
          <w:tcPr>
            <w:tcW w:w="0" w:type="auto"/>
            <w:gridSpan w:val="3"/>
            <w:shd w:val="clear" w:color="auto" w:fill="CCEE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Short-term borrowings</w:t>
            </w: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FFFF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949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826 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CCEE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Payroll and benefits liabilities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389 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FFFF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Contract liabilities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516 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CCEE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Settlement liabilities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263 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FFFF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Other current liabilities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757 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2,833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2,808 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Long-term debt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5,497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5,505 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Pension and indemnity plan liabilities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789 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Postretirement and postemployment benefits liabilities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Income tax accruals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116 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388 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383 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10,108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10,108 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Commitments and Contingencies (Note 10)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430862367"/>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430862367"/>
        </w:trPr>
        <w:tc>
          <w:tcPr>
            <w:tcW w:w="0" w:type="auto"/>
            <w:gridSpan w:val="3"/>
            <w:shd w:val="clear" w:color="auto" w:fill="FFFFFF"/>
            <w:tcMar>
              <w:top w:w="30" w:type="dxa"/>
              <w:left w:w="20" w:type="dxa"/>
              <w:bottom w:w="30" w:type="dxa"/>
              <w:right w:w="20" w:type="dxa"/>
            </w:tcMar>
            <w:hideMark/>
          </w:tcPr>
          <w:p w:rsidR="00000000" w:rsidRDefault="005048A7">
            <w:pPr>
              <w:spacing w:after="100"/>
              <w:divId w:val="2044862944"/>
              <w:rPr>
                <w:rFonts w:eastAsia="Times New Roman"/>
              </w:rPr>
            </w:pPr>
            <w:r>
              <w:rPr>
                <w:rFonts w:eastAsia="Times New Roman"/>
                <w:color w:val="000000"/>
                <w:sz w:val="20"/>
                <w:szCs w:val="20"/>
              </w:rPr>
              <w:t xml:space="preserve">Series A convertible preferred stock: par value $0.01 per share, 3.0 shares authorized, 0.3 </w:t>
            </w:r>
            <w:r>
              <w:rPr>
                <w:rFonts w:eastAsia="Times New Roman"/>
                <w:color w:val="000000"/>
                <w:sz w:val="20"/>
                <w:szCs w:val="20"/>
              </w:rPr>
              <w:t>shares issued and outstanding as of June 30, 2022 and December 31, 2021, respectively; redemption amount and liquidation preference of $276 as of June 30, 2022 and December 31, 2021, respectively</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274 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430862367"/>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NCR stockholders’ equity</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430862367"/>
        </w:trPr>
        <w:tc>
          <w:tcPr>
            <w:tcW w:w="0" w:type="auto"/>
            <w:gridSpan w:val="3"/>
            <w:shd w:val="clear" w:color="auto" w:fill="CCEEFF"/>
            <w:tcMar>
              <w:top w:w="30" w:type="dxa"/>
              <w:left w:w="20" w:type="dxa"/>
              <w:bottom w:w="30" w:type="dxa"/>
              <w:right w:w="20" w:type="dxa"/>
            </w:tcMar>
            <w:hideMark/>
          </w:tcPr>
          <w:p w:rsidR="00000000" w:rsidRDefault="005048A7">
            <w:pPr>
              <w:spacing w:after="100"/>
              <w:jc w:val="both"/>
              <w:rPr>
                <w:rFonts w:eastAsia="Times New Roman"/>
              </w:rPr>
            </w:pPr>
            <w:r>
              <w:rPr>
                <w:rFonts w:eastAsia="Times New Roman"/>
                <w:color w:val="000000"/>
                <w:sz w:val="20"/>
                <w:szCs w:val="20"/>
              </w:rPr>
              <w:t xml:space="preserve">Preferred stock: par value $0.01 per share, 100.0 shares authorized, no </w:t>
            </w:r>
            <w:r>
              <w:rPr>
                <w:rFonts w:eastAsia="Times New Roman"/>
                <w:color w:val="000000"/>
                <w:sz w:val="20"/>
                <w:szCs w:val="20"/>
              </w:rPr>
              <w:t>shares issued and outstanding as of June 30, 2022 and December 31, 2021, respectively</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FFFFFF"/>
            <w:tcMar>
              <w:top w:w="30" w:type="dxa"/>
              <w:left w:w="20" w:type="dxa"/>
              <w:bottom w:w="30" w:type="dxa"/>
              <w:right w:w="20" w:type="dxa"/>
            </w:tcMar>
            <w:hideMark/>
          </w:tcPr>
          <w:p w:rsidR="00000000" w:rsidRDefault="005048A7">
            <w:pPr>
              <w:spacing w:after="100"/>
              <w:jc w:val="both"/>
              <w:rPr>
                <w:rFonts w:eastAsia="Times New Roman"/>
              </w:rPr>
            </w:pPr>
            <w:r>
              <w:rPr>
                <w:rFonts w:eastAsia="Times New Roman"/>
                <w:color w:val="000000"/>
                <w:sz w:val="20"/>
                <w:szCs w:val="20"/>
              </w:rPr>
              <w:t>Common stock: par value $0.01 per share, 500.0 shares authorized, 136.7 and 132.2 shares issued and outstanding as of June 30, 2022 and December 31, 2021,</w:t>
            </w:r>
            <w:r>
              <w:rPr>
                <w:rFonts w:eastAsia="Times New Roman"/>
                <w:color w:val="000000"/>
                <w:sz w:val="20"/>
                <w:szCs w:val="20"/>
              </w:rPr>
              <w:t xml:space="preserve"> respectively</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CCEE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Paid-in capital</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515 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FFFF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1,031 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CCEE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(305)</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(291)</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NCR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1,370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1,256 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Noncontrolling interests in subsidiaries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1,373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1,259 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430862367"/>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11,756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11,641 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center"/>
        <w:divId w:val="2085225886"/>
        <w:rPr>
          <w:rFonts w:eastAsia="Times New Roman"/>
        </w:rPr>
      </w:pPr>
      <w:r>
        <w:rPr>
          <w:rFonts w:eastAsia="Times New Roman"/>
          <w:color w:val="000000"/>
          <w:sz w:val="20"/>
          <w:szCs w:val="20"/>
        </w:rPr>
        <w:t>See Notes to Condensed Consolidated Financial Statements.</w:t>
      </w:r>
    </w:p>
    <w:p w:rsidR="00000000" w:rsidRDefault="005048A7">
      <w:pPr>
        <w:jc w:val="center"/>
        <w:divId w:val="257301158"/>
        <w:rPr>
          <w:rFonts w:eastAsia="Times New Roman"/>
        </w:rPr>
      </w:pPr>
      <w:r>
        <w:rPr>
          <w:rFonts w:eastAsia="Times New Roman"/>
          <w:color w:val="000000"/>
          <w:sz w:val="20"/>
          <w:szCs w:val="20"/>
        </w:rPr>
        <w:t>5</w:t>
      </w:r>
    </w:p>
    <w:p w:rsidR="00000000" w:rsidRDefault="005048A7">
      <w:pPr>
        <w:rPr>
          <w:rFonts w:eastAsia="Times New Roman"/>
        </w:rPr>
      </w:pPr>
      <w:r>
        <w:rPr>
          <w:rFonts w:eastAsia="Times New Roman"/>
        </w:rPr>
        <w:pict>
          <v:rect id="_x0000_i1030" style="width:0;height:1.5pt" o:hralign="center" o:hrstd="t" o:hr="t" fillcolor="#a0a0a0" stroked="f"/>
        </w:pict>
      </w:r>
    </w:p>
    <w:p w:rsidR="00000000" w:rsidRDefault="005048A7">
      <w:pPr>
        <w:divId w:val="95299018"/>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jc w:val="center"/>
        <w:rPr>
          <w:rFonts w:eastAsia="Times New Roman"/>
        </w:rPr>
      </w:pPr>
      <w:r>
        <w:rPr>
          <w:rFonts w:eastAsia="Times New Roman"/>
          <w:b/>
          <w:bCs/>
          <w:color w:val="000000"/>
          <w:sz w:val="18"/>
          <w:szCs w:val="18"/>
        </w:rPr>
        <w:t>NCR Corporation</w:t>
      </w:r>
    </w:p>
    <w:p w:rsidR="00000000" w:rsidRDefault="005048A7">
      <w:pPr>
        <w:jc w:val="center"/>
        <w:rPr>
          <w:rFonts w:eastAsia="Times New Roman"/>
        </w:rPr>
      </w:pPr>
      <w:r>
        <w:rPr>
          <w:rFonts w:eastAsia="Times New Roman"/>
          <w:b/>
          <w:bCs/>
          <w:color w:val="000000"/>
          <w:sz w:val="18"/>
          <w:szCs w:val="18"/>
        </w:rPr>
        <w:t>Condensed Consolidated Statements of Cash Flows (Unaudited)</w:t>
      </w:r>
    </w:p>
    <w:tbl>
      <w:tblPr>
        <w:tblW w:w="5000" w:type="pct"/>
        <w:tblCellMar>
          <w:top w:w="15" w:type="dxa"/>
          <w:left w:w="15" w:type="dxa"/>
          <w:bottom w:w="15" w:type="dxa"/>
          <w:right w:w="15" w:type="dxa"/>
        </w:tblCellMar>
        <w:tblLook w:val="04A0" w:firstRow="1" w:lastRow="0" w:firstColumn="1" w:lastColumn="0" w:noHBand="0" w:noVBand="1"/>
      </w:tblPr>
      <w:tblGrid>
        <w:gridCol w:w="42"/>
        <w:gridCol w:w="5648"/>
        <w:gridCol w:w="40"/>
        <w:gridCol w:w="120"/>
        <w:gridCol w:w="1073"/>
        <w:gridCol w:w="36"/>
        <w:gridCol w:w="36"/>
        <w:gridCol w:w="45"/>
        <w:gridCol w:w="36"/>
        <w:gridCol w:w="120"/>
        <w:gridCol w:w="1074"/>
        <w:gridCol w:w="36"/>
      </w:tblGrid>
      <w:tr w:rsidR="00000000">
        <w:trPr>
          <w:divId w:val="1476489622"/>
        </w:trPr>
        <w:tc>
          <w:tcPr>
            <w:tcW w:w="50" w:type="pct"/>
            <w:vAlign w:val="center"/>
            <w:hideMark/>
          </w:tcPr>
          <w:p w:rsidR="00000000" w:rsidRDefault="005048A7">
            <w:pPr>
              <w:jc w:val="center"/>
              <w:rPr>
                <w:rFonts w:eastAsia="Times New Roman"/>
              </w:rPr>
            </w:pPr>
          </w:p>
        </w:tc>
        <w:tc>
          <w:tcPr>
            <w:tcW w:w="34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7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7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1476489622"/>
          <w:trHeight w:val="240"/>
        </w:trPr>
        <w:tc>
          <w:tcPr>
            <w:tcW w:w="0" w:type="auto"/>
            <w:gridSpan w:val="3"/>
            <w:vMerge w:val="restart"/>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r>
      <w:tr w:rsidR="00000000">
        <w:trPr>
          <w:divId w:val="1476489622"/>
          <w:trHeight w:val="240"/>
        </w:trPr>
        <w:tc>
          <w:tcPr>
            <w:tcW w:w="0" w:type="auto"/>
            <w:gridSpan w:val="3"/>
            <w:vMerge/>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r>
      <w:tr w:rsidR="00000000">
        <w:trPr>
          <w:divId w:val="1476489622"/>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476489622"/>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Net income (loss)</w:t>
            </w: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Adjustments to reconcile net income (loss)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476489622"/>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     Loss (income) 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476489622"/>
        </w:trPr>
        <w:tc>
          <w:tcPr>
            <w:tcW w:w="0" w:type="auto"/>
            <w:gridSpan w:val="3"/>
            <w:shd w:val="clear" w:color="auto" w:fill="CCEE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FFFF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CCEE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476489622"/>
        </w:trPr>
        <w:tc>
          <w:tcPr>
            <w:tcW w:w="0" w:type="auto"/>
            <w:gridSpan w:val="3"/>
            <w:shd w:val="clear" w:color="auto" w:fill="FFFF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Loss (gain) on disposal of property, plant and equipment and other assets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CCEE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Changes in assets and liabilities, net of effects of business acquired:</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476489622"/>
        </w:trPr>
        <w:tc>
          <w:tcPr>
            <w:tcW w:w="0" w:type="auto"/>
            <w:gridSpan w:val="3"/>
            <w:shd w:val="clear" w:color="auto" w:fill="FFFFFF"/>
            <w:tcMar>
              <w:top w:w="30" w:type="dxa"/>
              <w:left w:w="605" w:type="dxa"/>
              <w:bottom w:w="30" w:type="dxa"/>
              <w:right w:w="20" w:type="dxa"/>
            </w:tcMar>
            <w:hideMark/>
          </w:tcPr>
          <w:p w:rsidR="00000000" w:rsidRDefault="005048A7">
            <w:pPr>
              <w:spacing w:after="100"/>
              <w:rPr>
                <w:rFonts w:eastAsia="Times New Roman"/>
              </w:rPr>
            </w:pPr>
            <w:r>
              <w:rPr>
                <w:rFonts w:eastAsia="Times New Roman"/>
                <w:color w:val="000000"/>
                <w:sz w:val="20"/>
                <w:szCs w:val="20"/>
              </w:rPr>
              <w:t>Receivables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(209)</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(78)</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CCEEFF"/>
            <w:tcMar>
              <w:top w:w="30" w:type="dxa"/>
              <w:left w:w="605"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(202)</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(81)</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FFFFFF"/>
            <w:tcMar>
              <w:top w:w="30" w:type="dxa"/>
              <w:left w:w="605" w:type="dxa"/>
              <w:bottom w:w="30" w:type="dxa"/>
              <w:right w:w="20" w:type="dxa"/>
            </w:tcMar>
            <w:hideMark/>
          </w:tcPr>
          <w:p w:rsidR="00000000" w:rsidRDefault="005048A7">
            <w:pPr>
              <w:spacing w:after="100"/>
              <w:rPr>
                <w:rFonts w:eastAsia="Times New Roman"/>
              </w:rPr>
            </w:pPr>
            <w:r>
              <w:rPr>
                <w:rFonts w:eastAsia="Times New Roman"/>
                <w:color w:val="000000"/>
                <w:sz w:val="20"/>
                <w:szCs w:val="20"/>
              </w:rPr>
              <w:t>Current payables and accrued expenses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134 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CCEEFF"/>
            <w:tcMar>
              <w:top w:w="30" w:type="dxa"/>
              <w:left w:w="605" w:type="dxa"/>
              <w:bottom w:w="30" w:type="dxa"/>
              <w:right w:w="20" w:type="dxa"/>
            </w:tcMar>
            <w:hideMark/>
          </w:tcPr>
          <w:p w:rsidR="00000000" w:rsidRDefault="005048A7">
            <w:pPr>
              <w:spacing w:after="100"/>
              <w:rPr>
                <w:rFonts w:eastAsia="Times New Roman"/>
              </w:rPr>
            </w:pPr>
            <w:r>
              <w:rPr>
                <w:rFonts w:eastAsia="Times New Roman"/>
                <w:color w:val="000000"/>
                <w:sz w:val="20"/>
                <w:szCs w:val="20"/>
              </w:rPr>
              <w:t>Contract liabilities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FFFFFF"/>
            <w:tcMar>
              <w:top w:w="30" w:type="dxa"/>
              <w:left w:w="605" w:type="dxa"/>
              <w:bottom w:w="30" w:type="dxa"/>
              <w:right w:w="20" w:type="dxa"/>
            </w:tcMar>
            <w:hideMark/>
          </w:tcPr>
          <w:p w:rsidR="00000000" w:rsidRDefault="005048A7">
            <w:pPr>
              <w:spacing w:after="100"/>
              <w:rPr>
                <w:rFonts w:eastAsia="Times New Roman"/>
              </w:rPr>
            </w:pPr>
            <w:r>
              <w:rPr>
                <w:rFonts w:eastAsia="Times New Roman"/>
                <w:color w:val="000000"/>
                <w:sz w:val="20"/>
                <w:szCs w:val="20"/>
              </w:rPr>
              <w:t>Employee benefit plans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CCEEFF"/>
            <w:tcMar>
              <w:top w:w="30" w:type="dxa"/>
              <w:left w:w="605" w:type="dxa"/>
              <w:bottom w:w="30" w:type="dxa"/>
              <w:right w:w="20" w:type="dxa"/>
            </w:tcMar>
            <w:hideMark/>
          </w:tcPr>
          <w:p w:rsidR="00000000" w:rsidRDefault="005048A7">
            <w:pPr>
              <w:spacing w:after="100"/>
              <w:rPr>
                <w:rFonts w:eastAsia="Times New Roman"/>
              </w:rPr>
            </w:pPr>
            <w:r>
              <w:rPr>
                <w:rFonts w:eastAsia="Times New Roman"/>
                <w:color w:val="000000"/>
                <w:sz w:val="20"/>
                <w:szCs w:val="20"/>
              </w:rPr>
              <w:t>Other assets and liabilities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Net cash provided by operating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476489622"/>
        </w:trPr>
        <w:tc>
          <w:tcPr>
            <w:tcW w:w="0" w:type="auto"/>
            <w:gridSpan w:val="3"/>
            <w:shd w:val="clear" w:color="auto" w:fill="FFFF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Expenditures for property, plant and equipment</w:t>
            </w: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CCEE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Proceeds from sale of property, plant and equipment and other assets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FFFF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Additions to capitalized software</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(142)</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(110)</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CCEE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 xml:space="preserve">Business acquisitions, net of cash acquired </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(2,464)</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FFFF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Purchases of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CCEE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Proceeds from sales of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FFFF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Other investing activities, net</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Net cash used in investing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(2,609)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476489622"/>
        </w:trPr>
        <w:tc>
          <w:tcPr>
            <w:tcW w:w="0" w:type="auto"/>
            <w:gridSpan w:val="3"/>
            <w:shd w:val="clear" w:color="auto" w:fill="CCEE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Short term borrowings, net</w:t>
            </w: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FFFF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Payments on term credit facilities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(105)</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CCEE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Payments on revolving credit facilities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(599)</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(685)</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476489622"/>
        </w:trPr>
        <w:tc>
          <w:tcPr>
            <w:tcW w:w="0" w:type="auto"/>
            <w:gridSpan w:val="3"/>
            <w:shd w:val="clear" w:color="auto" w:fill="FFFF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Borrowings on term credit facilities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1,505 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CCEE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Borrowings on revolving credit facilities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809 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FFFF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Proceeds from issuance of senior unsecured notes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1,200 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CCEE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Debt issuance costs and bridge commitment fees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476489622"/>
        </w:trPr>
        <w:tc>
          <w:tcPr>
            <w:tcW w:w="0" w:type="auto"/>
            <w:gridSpan w:val="3"/>
            <w:shd w:val="clear" w:color="auto" w:fill="FFFF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 xml:space="preserve">Cash dividend paid for Series A preferred shares dividends </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476489622"/>
        </w:trPr>
        <w:tc>
          <w:tcPr>
            <w:tcW w:w="0" w:type="auto"/>
            <w:gridSpan w:val="3"/>
            <w:shd w:val="clear" w:color="auto" w:fill="CCEE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Proceeds from employee stock plans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FFFF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Tax withholding payments on behalf of employees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(36)</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CCEE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Net change in client funds obligations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FFFF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Principal payments for finance lease obligations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CCEE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Other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Net cash provided by (used in) financing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2,641 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Cash flows from discontinued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476489622"/>
        </w:trPr>
        <w:tc>
          <w:tcPr>
            <w:tcW w:w="0" w:type="auto"/>
            <w:gridSpan w:val="3"/>
            <w:shd w:val="clear" w:color="auto" w:fill="FFFF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Net cash provided by (used in) operating activities of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(47)</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Effect of exchange rate changes on cash, cash equivalents and restricted cash</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Increase (decrease) in cash, cash equivalents, and restricted cash</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Cash, cash equivalents and restricted cash at beginning of period</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406 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Cash, cash equivalents and restricted cash at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664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476489622"/>
          <w:trHeight w:val="60"/>
        </w:trPr>
        <w:tc>
          <w:tcPr>
            <w:tcW w:w="0" w:type="auto"/>
            <w:gridSpan w:val="3"/>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476489622"/>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476489622"/>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476489622"/>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476489622"/>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bl>
    <w:p w:rsidR="00000000" w:rsidRDefault="005048A7">
      <w:pPr>
        <w:jc w:val="both"/>
        <w:divId w:val="885948065"/>
        <w:rPr>
          <w:rFonts w:eastAsia="Times New Roman"/>
        </w:rPr>
      </w:pPr>
      <w:r>
        <w:rPr>
          <w:rFonts w:eastAsia="Times New Roman"/>
          <w:b/>
          <w:bCs/>
          <w:i/>
          <w:iCs/>
          <w:color w:val="000000"/>
          <w:sz w:val="20"/>
          <w:szCs w:val="20"/>
        </w:rPr>
        <w:t>Supplemental disclosures of noncash investing and financing activities</w:t>
      </w:r>
      <w:r>
        <w:rPr>
          <w:rFonts w:eastAsia="Times New Roman"/>
          <w:color w:val="000000"/>
          <w:sz w:val="20"/>
          <w:szCs w:val="20"/>
        </w:rPr>
        <w:t xml:space="preserve"> During the six months ended June 30, 2022, we issued shares of the Company's common stock and assumed unvested outstanding option awards in the acquisition of Moon Inc., dba LibertyX, f</w:t>
      </w:r>
      <w:r>
        <w:rPr>
          <w:rFonts w:eastAsia="Times New Roman"/>
          <w:color w:val="000000"/>
          <w:sz w:val="20"/>
          <w:szCs w:val="20"/>
        </w:rPr>
        <w:t>or total non-cash consideration of $68 million. In connection with the acquisition, we also assumed debt of $2 million million. Refer to Note 2, “Business Combinations”, for additional information on the LibertyX acquisition.</w:t>
      </w:r>
    </w:p>
    <w:p w:rsidR="00000000" w:rsidRDefault="005048A7">
      <w:pPr>
        <w:jc w:val="both"/>
        <w:divId w:val="97873786"/>
        <w:rPr>
          <w:rFonts w:eastAsia="Times New Roman"/>
        </w:rPr>
      </w:pPr>
    </w:p>
    <w:p w:rsidR="00000000" w:rsidRDefault="005048A7">
      <w:pPr>
        <w:jc w:val="center"/>
        <w:divId w:val="1419057806"/>
        <w:rPr>
          <w:rFonts w:eastAsia="Times New Roman"/>
        </w:rPr>
      </w:pPr>
      <w:r>
        <w:rPr>
          <w:rFonts w:eastAsia="Times New Roman"/>
          <w:color w:val="000000"/>
          <w:sz w:val="20"/>
          <w:szCs w:val="20"/>
        </w:rPr>
        <w:t>See Notes to Condensed Conso</w:t>
      </w:r>
      <w:r>
        <w:rPr>
          <w:rFonts w:eastAsia="Times New Roman"/>
          <w:color w:val="000000"/>
          <w:sz w:val="20"/>
          <w:szCs w:val="20"/>
        </w:rPr>
        <w:t>lidated Financial Statements.</w:t>
      </w:r>
    </w:p>
    <w:p w:rsidR="00000000" w:rsidRDefault="005048A7">
      <w:pPr>
        <w:jc w:val="center"/>
        <w:divId w:val="1174876641"/>
        <w:rPr>
          <w:rFonts w:eastAsia="Times New Roman"/>
        </w:rPr>
      </w:pPr>
      <w:r>
        <w:rPr>
          <w:rFonts w:eastAsia="Times New Roman"/>
          <w:color w:val="000000"/>
          <w:sz w:val="20"/>
          <w:szCs w:val="20"/>
        </w:rPr>
        <w:t>6</w:t>
      </w:r>
    </w:p>
    <w:p w:rsidR="00000000" w:rsidRDefault="005048A7">
      <w:pPr>
        <w:rPr>
          <w:rFonts w:eastAsia="Times New Roman"/>
        </w:rPr>
      </w:pPr>
      <w:r>
        <w:rPr>
          <w:rFonts w:eastAsia="Times New Roman"/>
        </w:rPr>
        <w:pict>
          <v:rect id="_x0000_i1031" style="width:0;height:1.5pt" o:hralign="center" o:hrstd="t" o:hr="t" fillcolor="#a0a0a0" stroked="f"/>
        </w:pict>
      </w:r>
    </w:p>
    <w:p w:rsidR="00000000" w:rsidRDefault="005048A7">
      <w:pPr>
        <w:divId w:val="241381187"/>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ind w:firstLine="720"/>
        <w:jc w:val="center"/>
        <w:rPr>
          <w:rFonts w:eastAsia="Times New Roman"/>
        </w:rPr>
      </w:pPr>
      <w:r>
        <w:rPr>
          <w:rFonts w:eastAsia="Times New Roman"/>
          <w:b/>
          <w:bCs/>
          <w:color w:val="000000"/>
          <w:sz w:val="20"/>
          <w:szCs w:val="20"/>
        </w:rPr>
        <w:t>NCR Corporation</w:t>
      </w:r>
    </w:p>
    <w:p w:rsidR="00000000" w:rsidRDefault="005048A7">
      <w:pPr>
        <w:jc w:val="center"/>
        <w:rPr>
          <w:rFonts w:eastAsia="Times New Roman"/>
        </w:rPr>
      </w:pPr>
      <w:r>
        <w:rPr>
          <w:rFonts w:eastAsia="Times New Roman"/>
          <w:b/>
          <w:bCs/>
          <w:color w:val="000000"/>
          <w:sz w:val="20"/>
          <w:szCs w:val="20"/>
        </w:rPr>
        <w:t>Condensed Consolidated Statements of Changes in Stockholder's Equity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206"/>
        <w:gridCol w:w="39"/>
        <w:gridCol w:w="36"/>
        <w:gridCol w:w="36"/>
        <w:gridCol w:w="36"/>
        <w:gridCol w:w="72"/>
        <w:gridCol w:w="424"/>
        <w:gridCol w:w="37"/>
        <w:gridCol w:w="37"/>
        <w:gridCol w:w="37"/>
        <w:gridCol w:w="36"/>
        <w:gridCol w:w="101"/>
        <w:gridCol w:w="509"/>
        <w:gridCol w:w="36"/>
        <w:gridCol w:w="36"/>
        <w:gridCol w:w="36"/>
        <w:gridCol w:w="36"/>
        <w:gridCol w:w="101"/>
        <w:gridCol w:w="456"/>
        <w:gridCol w:w="36"/>
        <w:gridCol w:w="36"/>
        <w:gridCol w:w="36"/>
        <w:gridCol w:w="36"/>
        <w:gridCol w:w="101"/>
        <w:gridCol w:w="566"/>
        <w:gridCol w:w="36"/>
        <w:gridCol w:w="36"/>
        <w:gridCol w:w="36"/>
        <w:gridCol w:w="36"/>
        <w:gridCol w:w="101"/>
        <w:gridCol w:w="1003"/>
        <w:gridCol w:w="36"/>
        <w:gridCol w:w="36"/>
        <w:gridCol w:w="36"/>
        <w:gridCol w:w="36"/>
        <w:gridCol w:w="101"/>
        <w:gridCol w:w="975"/>
        <w:gridCol w:w="36"/>
        <w:gridCol w:w="36"/>
        <w:gridCol w:w="36"/>
        <w:gridCol w:w="36"/>
        <w:gridCol w:w="100"/>
        <w:gridCol w:w="400"/>
        <w:gridCol w:w="36"/>
      </w:tblGrid>
      <w:tr w:rsidR="00000000">
        <w:trPr>
          <w:divId w:val="399984815"/>
          <w:jc w:val="center"/>
        </w:trPr>
        <w:tc>
          <w:tcPr>
            <w:tcW w:w="50" w:type="pct"/>
            <w:vAlign w:val="center"/>
            <w:hideMark/>
          </w:tcPr>
          <w:p w:rsidR="00000000" w:rsidRDefault="005048A7">
            <w:pPr>
              <w:jc w:val="center"/>
              <w:rPr>
                <w:rFonts w:eastAsia="Times New Roman"/>
              </w:rPr>
            </w:pPr>
          </w:p>
        </w:tc>
        <w:tc>
          <w:tcPr>
            <w:tcW w:w="171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29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30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27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3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5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30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399984815"/>
          <w:jc w:val="center"/>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NCR Stockholders</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399984815"/>
          <w:trHeight w:val="240"/>
          <w:jc w:val="center"/>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Accumulated Other Comprehensive (Loss) Income</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Non-Redeemable Noncontrolling Interests in Subsidiaries</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399984815"/>
          <w:trHeight w:val="660"/>
          <w:jc w:val="center"/>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Retained Earnings</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5048A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vMerge/>
            <w:vAlign w:val="center"/>
            <w:hideMark/>
          </w:tcPr>
          <w:p w:rsidR="00000000" w:rsidRDefault="005048A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Total</w:t>
            </w:r>
          </w:p>
        </w:tc>
      </w:tr>
      <w:tr w:rsidR="00000000">
        <w:trPr>
          <w:divId w:val="399984815"/>
          <w:jc w:val="center"/>
        </w:trPr>
        <w:tc>
          <w:tcPr>
            <w:tcW w:w="0" w:type="auto"/>
            <w:gridSpan w:val="3"/>
            <w:vAlign w:val="center"/>
            <w:hideMark/>
          </w:tcPr>
          <w:p w:rsidR="00000000" w:rsidRDefault="005048A7">
            <w:pPr>
              <w:spacing w:after="100"/>
              <w:jc w:val="center"/>
              <w:rPr>
                <w:rFonts w:eastAsia="Times New Roman"/>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399984815"/>
          <w:jc w:val="center"/>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399984815"/>
          <w:jc w:val="center"/>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399984815"/>
          <w:jc w:val="center"/>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399984815"/>
          <w:jc w:val="center"/>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399984815"/>
          <w:jc w:val="center"/>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399984815"/>
          <w:jc w:val="center"/>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5048A7">
        <w:trPr>
          <w:divId w:val="399984815"/>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December 31, 2021</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132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515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1,031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(291)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1,259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399984815"/>
          <w:jc w:val="center"/>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Comprehensive income:</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399984815"/>
          <w:jc w:val="center"/>
        </w:trPr>
        <w:tc>
          <w:tcPr>
            <w:tcW w:w="0" w:type="auto"/>
            <w:gridSpan w:val="3"/>
            <w:shd w:val="clear" w:color="auto" w:fill="CCEEFF"/>
            <w:tcMar>
              <w:top w:w="30" w:type="dxa"/>
              <w:left w:w="395"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(34)</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(35)</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399984815"/>
          <w:jc w:val="center"/>
        </w:trPr>
        <w:tc>
          <w:tcPr>
            <w:tcW w:w="0" w:type="auto"/>
            <w:gridSpan w:val="3"/>
            <w:shd w:val="clear" w:color="auto" w:fill="FFFFFF"/>
            <w:tcMar>
              <w:top w:w="30" w:type="dxa"/>
              <w:left w:w="395"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18 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18 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399984815"/>
          <w:jc w:val="center"/>
        </w:trPr>
        <w:tc>
          <w:tcPr>
            <w:tcW w:w="0" w:type="auto"/>
            <w:gridSpan w:val="3"/>
            <w:shd w:val="clear" w:color="auto" w:fill="CCEEFF"/>
            <w:tcMar>
              <w:top w:w="30" w:type="dxa"/>
              <w:left w:w="155"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Total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399984815"/>
          <w:jc w:val="center"/>
        </w:trPr>
        <w:tc>
          <w:tcPr>
            <w:tcW w:w="0" w:type="auto"/>
            <w:gridSpan w:val="3"/>
            <w:shd w:val="clear" w:color="auto" w:fill="FFFFFF"/>
            <w:tcMar>
              <w:top w:w="30" w:type="dxa"/>
              <w:left w:w="155"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19 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19 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399984815"/>
          <w:jc w:val="center"/>
        </w:trPr>
        <w:tc>
          <w:tcPr>
            <w:tcW w:w="0" w:type="auto"/>
            <w:gridSpan w:val="3"/>
            <w:shd w:val="clear" w:color="auto" w:fill="CCEEFF"/>
            <w:tcMar>
              <w:top w:w="30" w:type="dxa"/>
              <w:left w:w="155"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Stock issued in acquisition of LibertyX</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68 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68 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399984815"/>
          <w:jc w:val="center"/>
        </w:trPr>
        <w:tc>
          <w:tcPr>
            <w:tcW w:w="0" w:type="auto"/>
            <w:gridSpan w:val="3"/>
            <w:shd w:val="clear" w:color="auto" w:fill="FFFFFF"/>
            <w:tcMar>
              <w:top w:w="30" w:type="dxa"/>
              <w:left w:w="155"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Series A convertible preferred stock dividends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(4)</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(4)</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5048A7">
        <w:trPr>
          <w:divId w:val="399984815"/>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March 31, 2022</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136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602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993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(273)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1,325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399984815"/>
          <w:jc w:val="center"/>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Comprehensive income:</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399984815"/>
          <w:jc w:val="center"/>
        </w:trPr>
        <w:tc>
          <w:tcPr>
            <w:tcW w:w="0" w:type="auto"/>
            <w:gridSpan w:val="3"/>
            <w:shd w:val="clear" w:color="auto" w:fill="CCEEFF"/>
            <w:tcMar>
              <w:top w:w="30" w:type="dxa"/>
              <w:left w:w="395"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41 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43 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399984815"/>
          <w:jc w:val="center"/>
        </w:trPr>
        <w:tc>
          <w:tcPr>
            <w:tcW w:w="0" w:type="auto"/>
            <w:gridSpan w:val="3"/>
            <w:shd w:val="clear" w:color="auto" w:fill="FFFFFF"/>
            <w:tcMar>
              <w:top w:w="30" w:type="dxa"/>
              <w:left w:w="395"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(32)</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(33)</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399984815"/>
          <w:jc w:val="center"/>
        </w:trPr>
        <w:tc>
          <w:tcPr>
            <w:tcW w:w="0" w:type="auto"/>
            <w:gridSpan w:val="3"/>
            <w:shd w:val="clear" w:color="auto" w:fill="CCEEFF"/>
            <w:tcMar>
              <w:top w:w="30" w:type="dxa"/>
              <w:left w:w="155"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Total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399984815"/>
          <w:jc w:val="center"/>
        </w:trPr>
        <w:tc>
          <w:tcPr>
            <w:tcW w:w="0" w:type="auto"/>
            <w:gridSpan w:val="3"/>
            <w:shd w:val="clear" w:color="auto" w:fill="FFFFFF"/>
            <w:tcMar>
              <w:top w:w="30" w:type="dxa"/>
              <w:left w:w="155"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42 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42 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399984815"/>
          <w:jc w:val="center"/>
        </w:trPr>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399984815"/>
          <w:jc w:val="center"/>
        </w:trPr>
        <w:tc>
          <w:tcPr>
            <w:tcW w:w="0" w:type="auto"/>
            <w:gridSpan w:val="3"/>
            <w:shd w:val="clear" w:color="auto" w:fill="CCEEFF"/>
            <w:tcMar>
              <w:top w:w="30" w:type="dxa"/>
              <w:left w:w="155"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Series A convertible 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5048A7">
        <w:trPr>
          <w:divId w:val="399984815"/>
          <w:jc w:val="center"/>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June 30, 2022</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137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644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1,030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(305)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1,373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center"/>
        <w:rPr>
          <w:rFonts w:eastAsia="Times New Roman"/>
        </w:rPr>
      </w:pPr>
    </w:p>
    <w:p w:rsidR="00000000" w:rsidRDefault="005048A7">
      <w:pPr>
        <w:jc w:val="center"/>
        <w:rPr>
          <w:rFonts w:eastAsia="Times New Roman"/>
        </w:rPr>
      </w:pPr>
      <w:r>
        <w:rPr>
          <w:rFonts w:eastAsia="Times New Roman"/>
          <w:color w:val="000000"/>
          <w:sz w:val="20"/>
          <w:szCs w:val="20"/>
        </w:rPr>
        <w:t>See Notes to Condensed Consolidated Financial Statements.</w:t>
      </w:r>
    </w:p>
    <w:p w:rsidR="00000000" w:rsidRDefault="005048A7">
      <w:pPr>
        <w:jc w:val="center"/>
        <w:rPr>
          <w:rFonts w:eastAsia="Times New Roman"/>
        </w:rPr>
      </w:pPr>
    </w:p>
    <w:p w:rsidR="00000000" w:rsidRDefault="005048A7">
      <w:pPr>
        <w:jc w:val="center"/>
        <w:rPr>
          <w:rFonts w:eastAsia="Times New Roman"/>
        </w:rPr>
      </w:pPr>
    </w:p>
    <w:p w:rsidR="00000000" w:rsidRDefault="005048A7">
      <w:pPr>
        <w:jc w:val="center"/>
        <w:divId w:val="1956788785"/>
        <w:rPr>
          <w:rFonts w:eastAsia="Times New Roman"/>
        </w:rPr>
      </w:pPr>
      <w:r>
        <w:rPr>
          <w:rFonts w:eastAsia="Times New Roman"/>
          <w:color w:val="000000"/>
          <w:sz w:val="20"/>
          <w:szCs w:val="20"/>
        </w:rPr>
        <w:t>7</w:t>
      </w:r>
    </w:p>
    <w:p w:rsidR="00000000" w:rsidRDefault="005048A7">
      <w:pPr>
        <w:rPr>
          <w:rFonts w:eastAsia="Times New Roman"/>
        </w:rPr>
      </w:pPr>
      <w:r>
        <w:rPr>
          <w:rFonts w:eastAsia="Times New Roman"/>
        </w:rPr>
        <w:pict>
          <v:rect id="_x0000_i1032" style="width:0;height:1.5pt" o:hralign="center" o:hrstd="t" o:hr="t" fillcolor="#a0a0a0" stroked="f"/>
        </w:pict>
      </w:r>
    </w:p>
    <w:p w:rsidR="00000000" w:rsidRDefault="005048A7">
      <w:pPr>
        <w:divId w:val="165363804"/>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jc w:val="center"/>
        <w:rPr>
          <w:rFonts w:eastAsia="Times New Roman"/>
        </w:rPr>
      </w:pPr>
    </w:p>
    <w:p w:rsidR="00000000" w:rsidRDefault="005048A7">
      <w:pPr>
        <w:jc w:val="center"/>
        <w:rPr>
          <w:rFonts w:eastAsia="Times New Roman"/>
        </w:rPr>
      </w:pPr>
    </w:p>
    <w:p w:rsidR="00000000" w:rsidRDefault="005048A7">
      <w:pPr>
        <w:jc w:val="center"/>
        <w:rPr>
          <w:rFonts w:eastAsia="Times New Roman"/>
        </w:rPr>
      </w:pPr>
      <w:r>
        <w:rPr>
          <w:rFonts w:eastAsia="Times New Roman"/>
          <w:b/>
          <w:bCs/>
          <w:color w:val="000000"/>
          <w:sz w:val="20"/>
          <w:szCs w:val="20"/>
        </w:rPr>
        <w:t>NCR Corporation</w:t>
      </w:r>
    </w:p>
    <w:p w:rsidR="00000000" w:rsidRDefault="005048A7">
      <w:pPr>
        <w:jc w:val="center"/>
        <w:rPr>
          <w:rFonts w:eastAsia="Times New Roman"/>
        </w:rPr>
      </w:pPr>
      <w:r>
        <w:rPr>
          <w:rFonts w:eastAsia="Times New Roman"/>
          <w:b/>
          <w:bCs/>
          <w:color w:val="000000"/>
          <w:sz w:val="20"/>
          <w:szCs w:val="20"/>
        </w:rPr>
        <w:t>Condensed Consolidated Statements of Changes in Stockholder's Equity (Unaudited) - (Continued)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2204"/>
        <w:gridCol w:w="40"/>
        <w:gridCol w:w="36"/>
        <w:gridCol w:w="36"/>
        <w:gridCol w:w="36"/>
        <w:gridCol w:w="71"/>
        <w:gridCol w:w="425"/>
        <w:gridCol w:w="37"/>
        <w:gridCol w:w="37"/>
        <w:gridCol w:w="37"/>
        <w:gridCol w:w="36"/>
        <w:gridCol w:w="101"/>
        <w:gridCol w:w="509"/>
        <w:gridCol w:w="36"/>
        <w:gridCol w:w="36"/>
        <w:gridCol w:w="36"/>
        <w:gridCol w:w="36"/>
        <w:gridCol w:w="101"/>
        <w:gridCol w:w="456"/>
        <w:gridCol w:w="36"/>
        <w:gridCol w:w="36"/>
        <w:gridCol w:w="36"/>
        <w:gridCol w:w="36"/>
        <w:gridCol w:w="101"/>
        <w:gridCol w:w="566"/>
        <w:gridCol w:w="36"/>
        <w:gridCol w:w="36"/>
        <w:gridCol w:w="36"/>
        <w:gridCol w:w="36"/>
        <w:gridCol w:w="101"/>
        <w:gridCol w:w="1003"/>
        <w:gridCol w:w="36"/>
        <w:gridCol w:w="36"/>
        <w:gridCol w:w="36"/>
        <w:gridCol w:w="36"/>
        <w:gridCol w:w="101"/>
        <w:gridCol w:w="975"/>
        <w:gridCol w:w="36"/>
        <w:gridCol w:w="36"/>
        <w:gridCol w:w="36"/>
        <w:gridCol w:w="36"/>
        <w:gridCol w:w="100"/>
        <w:gridCol w:w="400"/>
        <w:gridCol w:w="36"/>
      </w:tblGrid>
      <w:tr w:rsidR="00000000">
        <w:trPr>
          <w:divId w:val="1671827635"/>
          <w:jc w:val="center"/>
        </w:trPr>
        <w:tc>
          <w:tcPr>
            <w:tcW w:w="50" w:type="pct"/>
            <w:vAlign w:val="center"/>
            <w:hideMark/>
          </w:tcPr>
          <w:p w:rsidR="00000000" w:rsidRDefault="005048A7">
            <w:pPr>
              <w:jc w:val="center"/>
              <w:rPr>
                <w:rFonts w:eastAsia="Times New Roman"/>
              </w:rPr>
            </w:pPr>
          </w:p>
        </w:tc>
        <w:tc>
          <w:tcPr>
            <w:tcW w:w="170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30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30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27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3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5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30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1671827635"/>
          <w:jc w:val="center"/>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NCR Stockholders</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671827635"/>
          <w:trHeight w:val="240"/>
          <w:jc w:val="center"/>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Accumulated Other Comprehensive (Loss) Income</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Non-Redeemable Noncontrolling Interests in Subsidiaries</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671827635"/>
          <w:trHeight w:val="660"/>
          <w:jc w:val="center"/>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Retained Earnings</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5048A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vMerge/>
            <w:vAlign w:val="center"/>
            <w:hideMark/>
          </w:tcPr>
          <w:p w:rsidR="00000000" w:rsidRDefault="005048A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Total</w:t>
            </w:r>
          </w:p>
        </w:tc>
      </w:tr>
      <w:tr w:rsidR="005048A7">
        <w:trPr>
          <w:divId w:val="1671827635"/>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December 31, 2020</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129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368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950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(271)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1,051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671827635"/>
          <w:jc w:val="center"/>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Comprehensive income:</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671827635"/>
          <w:jc w:val="center"/>
        </w:trPr>
        <w:tc>
          <w:tcPr>
            <w:tcW w:w="0" w:type="auto"/>
            <w:gridSpan w:val="3"/>
            <w:shd w:val="clear" w:color="auto" w:fill="CCEEFF"/>
            <w:tcMar>
              <w:top w:w="30" w:type="dxa"/>
              <w:left w:w="155"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     Net income (loss)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30 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31 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671827635"/>
          <w:jc w:val="center"/>
        </w:trPr>
        <w:tc>
          <w:tcPr>
            <w:tcW w:w="0" w:type="auto"/>
            <w:gridSpan w:val="3"/>
            <w:shd w:val="clear" w:color="auto" w:fill="FFFFFF"/>
            <w:tcMar>
              <w:top w:w="30" w:type="dxa"/>
              <w:left w:w="155"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     </w:t>
            </w:r>
            <w:r>
              <w:rPr>
                <w:rFonts w:eastAsia="Times New Roman"/>
                <w:color w:val="000000"/>
                <w:sz w:val="16"/>
                <w:szCs w:val="16"/>
              </w:rPr>
              <w:t xml:space="preserve">Other comprehensive income (loss) </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671827635"/>
          <w:jc w:val="center"/>
        </w:trPr>
        <w:tc>
          <w:tcPr>
            <w:tcW w:w="0" w:type="auto"/>
            <w:gridSpan w:val="3"/>
            <w:shd w:val="clear" w:color="auto" w:fill="CCEEFF"/>
            <w:tcMar>
              <w:top w:w="30" w:type="dxa"/>
              <w:left w:w="155"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 xml:space="preserve">Total comprehensive income (loss) </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671827635"/>
          <w:jc w:val="center"/>
        </w:trPr>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671827635"/>
          <w:jc w:val="center"/>
        </w:trPr>
        <w:tc>
          <w:tcPr>
            <w:tcW w:w="0" w:type="auto"/>
            <w:gridSpan w:val="3"/>
            <w:shd w:val="clear" w:color="auto" w:fill="FFFFFF"/>
            <w:tcMar>
              <w:top w:w="30" w:type="dxa"/>
              <w:left w:w="155"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30 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30 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671827635"/>
          <w:jc w:val="center"/>
        </w:trPr>
        <w:tc>
          <w:tcPr>
            <w:tcW w:w="0" w:type="auto"/>
            <w:gridSpan w:val="3"/>
            <w:shd w:val="clear" w:color="auto" w:fill="CCEEFF"/>
            <w:tcMar>
              <w:top w:w="30" w:type="dxa"/>
              <w:left w:w="155"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Series A convertible 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671827635"/>
          <w:jc w:val="center"/>
        </w:trPr>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5048A7">
        <w:trPr>
          <w:divId w:val="1671827635"/>
          <w:jc w:val="center"/>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March 31, 2021</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131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398</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976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(279)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1,100</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671827635"/>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Comprehensive income:</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671827635"/>
          <w:jc w:val="center"/>
        </w:trPr>
        <w:tc>
          <w:tcPr>
            <w:tcW w:w="0" w:type="auto"/>
            <w:gridSpan w:val="3"/>
            <w:shd w:val="clear" w:color="auto" w:fill="FFFFFF"/>
            <w:tcMar>
              <w:top w:w="30" w:type="dxa"/>
              <w:left w:w="395"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(9)</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(9)</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671827635"/>
          <w:jc w:val="center"/>
        </w:trPr>
        <w:tc>
          <w:tcPr>
            <w:tcW w:w="0" w:type="auto"/>
            <w:gridSpan w:val="3"/>
            <w:shd w:val="clear" w:color="auto" w:fill="CCEEFF"/>
            <w:tcMar>
              <w:top w:w="30" w:type="dxa"/>
              <w:left w:w="395"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 xml:space="preserve">Other comprehensive income (loss) </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671827635"/>
          <w:jc w:val="center"/>
        </w:trPr>
        <w:tc>
          <w:tcPr>
            <w:tcW w:w="0" w:type="auto"/>
            <w:gridSpan w:val="3"/>
            <w:shd w:val="clear" w:color="auto" w:fill="FFFFFF"/>
            <w:tcMar>
              <w:top w:w="30" w:type="dxa"/>
              <w:left w:w="155"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 xml:space="preserve">Total comprehensive income (loss) </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671827635"/>
          <w:jc w:val="center"/>
        </w:trPr>
        <w:tc>
          <w:tcPr>
            <w:tcW w:w="0" w:type="auto"/>
            <w:gridSpan w:val="3"/>
            <w:shd w:val="clear" w:color="auto" w:fill="CCEEFF"/>
            <w:tcMar>
              <w:top w:w="30" w:type="dxa"/>
              <w:left w:w="155"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44 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44 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671827635"/>
          <w:jc w:val="center"/>
        </w:trPr>
        <w:tc>
          <w:tcPr>
            <w:tcW w:w="0" w:type="auto"/>
            <w:gridSpan w:val="3"/>
            <w:shd w:val="clear" w:color="auto" w:fill="FFFFFF"/>
            <w:tcMar>
              <w:top w:w="30" w:type="dxa"/>
              <w:left w:w="155"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Fair value of converted Cardtronics awards attributable to pre-combination services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19 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19 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671827635"/>
          <w:jc w:val="center"/>
        </w:trPr>
        <w:tc>
          <w:tcPr>
            <w:tcW w:w="0" w:type="auto"/>
            <w:gridSpan w:val="3"/>
            <w:shd w:val="clear" w:color="auto" w:fill="CCEEFF"/>
            <w:tcMar>
              <w:top w:w="30" w:type="dxa"/>
              <w:left w:w="155"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Series A convertible 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5048A7">
        <w:trPr>
          <w:divId w:val="1671827635"/>
          <w:jc w:val="center"/>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June 30, 2021</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131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461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963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(271)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16"/>
                <w:szCs w:val="16"/>
              </w:rPr>
              <w:t>1,158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671827635"/>
          <w:jc w:val="center"/>
        </w:trPr>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671827635"/>
          <w:jc w:val="center"/>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671827635"/>
          <w:jc w:val="center"/>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671827635"/>
          <w:jc w:val="center"/>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671827635"/>
          <w:jc w:val="center"/>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671827635"/>
          <w:jc w:val="center"/>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671827635"/>
          <w:jc w:val="center"/>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671827635"/>
          <w:jc w:val="center"/>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bl>
    <w:p w:rsidR="00000000" w:rsidRDefault="005048A7">
      <w:pPr>
        <w:jc w:val="center"/>
        <w:rPr>
          <w:rFonts w:eastAsia="Times New Roman"/>
        </w:rPr>
      </w:pPr>
    </w:p>
    <w:p w:rsidR="00000000" w:rsidRDefault="005048A7">
      <w:pPr>
        <w:jc w:val="center"/>
        <w:rPr>
          <w:rFonts w:eastAsia="Times New Roman"/>
        </w:rPr>
      </w:pPr>
      <w:r>
        <w:rPr>
          <w:rFonts w:eastAsia="Times New Roman"/>
          <w:color w:val="000000"/>
          <w:sz w:val="20"/>
          <w:szCs w:val="20"/>
        </w:rPr>
        <w:t>See Notes to Conde</w:t>
      </w:r>
      <w:r>
        <w:rPr>
          <w:rFonts w:eastAsia="Times New Roman"/>
          <w:color w:val="000000"/>
          <w:sz w:val="20"/>
          <w:szCs w:val="20"/>
        </w:rPr>
        <w:t>nsed Consolidated Financial Statements.</w:t>
      </w:r>
    </w:p>
    <w:p w:rsidR="00000000" w:rsidRDefault="005048A7">
      <w:pPr>
        <w:jc w:val="center"/>
        <w:rPr>
          <w:rFonts w:eastAsia="Times New Roman"/>
        </w:rPr>
      </w:pPr>
    </w:p>
    <w:p w:rsidR="00000000" w:rsidRDefault="005048A7">
      <w:pPr>
        <w:divId w:val="928848214"/>
        <w:rPr>
          <w:rFonts w:eastAsia="Times New Roman"/>
        </w:rPr>
      </w:pPr>
    </w:p>
    <w:p w:rsidR="00000000" w:rsidRDefault="005048A7">
      <w:pPr>
        <w:jc w:val="center"/>
        <w:divId w:val="305354678"/>
        <w:rPr>
          <w:rFonts w:eastAsia="Times New Roman"/>
        </w:rPr>
      </w:pPr>
      <w:r>
        <w:rPr>
          <w:rFonts w:eastAsia="Times New Roman"/>
          <w:color w:val="000000"/>
          <w:sz w:val="20"/>
          <w:szCs w:val="20"/>
        </w:rPr>
        <w:t>8</w:t>
      </w:r>
    </w:p>
    <w:p w:rsidR="00000000" w:rsidRDefault="005048A7">
      <w:pPr>
        <w:rPr>
          <w:rFonts w:eastAsia="Times New Roman"/>
        </w:rPr>
      </w:pPr>
      <w:r>
        <w:rPr>
          <w:rFonts w:eastAsia="Times New Roman"/>
        </w:rPr>
        <w:pict>
          <v:rect id="_x0000_i1033" style="width:0;height:1.5pt" o:hralign="center" o:hrstd="t" o:hr="t" fillcolor="#a0a0a0" stroked="f"/>
        </w:pict>
      </w:r>
    </w:p>
    <w:p w:rsidR="00000000" w:rsidRDefault="005048A7">
      <w:pPr>
        <w:divId w:val="1249271274"/>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jc w:val="center"/>
        <w:rPr>
          <w:rFonts w:eastAsia="Times New Roman"/>
        </w:rPr>
      </w:pPr>
      <w:r>
        <w:rPr>
          <w:rFonts w:eastAsia="Times New Roman"/>
          <w:b/>
          <w:bCs/>
          <w:color w:val="000000"/>
          <w:sz w:val="20"/>
          <w:szCs w:val="20"/>
        </w:rPr>
        <w:t>NCR Corporation</w:t>
      </w:r>
    </w:p>
    <w:p w:rsidR="00000000" w:rsidRDefault="005048A7">
      <w:pPr>
        <w:jc w:val="center"/>
        <w:divId w:val="1886330426"/>
        <w:rPr>
          <w:rFonts w:eastAsia="Times New Roman"/>
        </w:rPr>
      </w:pPr>
      <w:r>
        <w:rPr>
          <w:rFonts w:eastAsia="Times New Roman"/>
          <w:b/>
          <w:bCs/>
          <w:color w:val="000000"/>
          <w:sz w:val="20"/>
          <w:szCs w:val="20"/>
        </w:rPr>
        <w:t>Notes to Condensed Consolidated Financial Statements (Unaudited)</w:t>
      </w:r>
    </w:p>
    <w:p w:rsidR="00000000" w:rsidRDefault="005048A7">
      <w:pPr>
        <w:jc w:val="center"/>
        <w:divId w:val="888105551"/>
        <w:rPr>
          <w:rFonts w:eastAsia="Times New Roman"/>
        </w:rPr>
      </w:pPr>
    </w:p>
    <w:p w:rsidR="00000000" w:rsidRDefault="005048A7">
      <w:pPr>
        <w:jc w:val="center"/>
        <w:rPr>
          <w:rFonts w:eastAsia="Times New Roman"/>
        </w:rPr>
      </w:pPr>
      <w:r>
        <w:rPr>
          <w:rFonts w:eastAsia="Times New Roman"/>
          <w:b/>
          <w:bCs/>
          <w:color w:val="000000"/>
          <w:sz w:val="20"/>
          <w:szCs w:val="20"/>
        </w:rPr>
        <w:t>Index to Financial Statements and Supplemental Data</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8200"/>
        <w:gridCol w:w="38"/>
      </w:tblGrid>
      <w:tr w:rsidR="00000000">
        <w:trPr>
          <w:divId w:val="520123389"/>
          <w:jc w:val="center"/>
        </w:trPr>
        <w:tc>
          <w:tcPr>
            <w:tcW w:w="50" w:type="pct"/>
            <w:vAlign w:val="center"/>
            <w:hideMark/>
          </w:tcPr>
          <w:p w:rsidR="00000000" w:rsidRDefault="005048A7">
            <w:pPr>
              <w:jc w:val="center"/>
              <w:rPr>
                <w:rFonts w:eastAsia="Times New Roman"/>
              </w:rPr>
            </w:pPr>
          </w:p>
        </w:tc>
        <w:tc>
          <w:tcPr>
            <w:tcW w:w="494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520123389"/>
          <w:trHeight w:val="300"/>
          <w:jc w:val="center"/>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520123389"/>
          <w:jc w:val="center"/>
        </w:trPr>
        <w:tc>
          <w:tcPr>
            <w:tcW w:w="0" w:type="auto"/>
            <w:gridSpan w:val="3"/>
            <w:tcMar>
              <w:top w:w="30" w:type="dxa"/>
              <w:left w:w="20" w:type="dxa"/>
              <w:bottom w:w="30" w:type="dxa"/>
              <w:right w:w="20" w:type="dxa"/>
            </w:tcMar>
            <w:vAlign w:val="bottom"/>
            <w:hideMark/>
          </w:tcPr>
          <w:p w:rsidR="00000000" w:rsidRDefault="005048A7">
            <w:pPr>
              <w:spacing w:after="100"/>
              <w:divId w:val="249462185"/>
              <w:rPr>
                <w:rFonts w:eastAsia="Times New Roman"/>
              </w:rPr>
            </w:pPr>
            <w:hyperlink w:anchor="i1e5a5c829d0c4e47b43817acb739c3cf_34" w:history="1">
              <w:r>
                <w:rPr>
                  <w:rStyle w:val="a3"/>
                  <w:rFonts w:eastAsia="Times New Roman"/>
                  <w:sz w:val="20"/>
                  <w:szCs w:val="20"/>
                </w:rPr>
                <w:t>Note 1. Basis of Presentation and Summary of Significant Accounting Policies</w:t>
              </w:r>
            </w:hyperlink>
          </w:p>
        </w:tc>
      </w:tr>
      <w:tr w:rsidR="00000000">
        <w:trPr>
          <w:divId w:val="520123389"/>
          <w:jc w:val="center"/>
        </w:trPr>
        <w:tc>
          <w:tcPr>
            <w:tcW w:w="0" w:type="auto"/>
            <w:gridSpan w:val="3"/>
            <w:tcMar>
              <w:top w:w="30" w:type="dxa"/>
              <w:left w:w="20" w:type="dxa"/>
              <w:bottom w:w="30" w:type="dxa"/>
              <w:right w:w="20" w:type="dxa"/>
            </w:tcMar>
            <w:vAlign w:val="bottom"/>
            <w:hideMark/>
          </w:tcPr>
          <w:p w:rsidR="00000000" w:rsidRDefault="005048A7">
            <w:pPr>
              <w:spacing w:after="100"/>
              <w:divId w:val="1560478617"/>
              <w:rPr>
                <w:rFonts w:eastAsia="Times New Roman"/>
              </w:rPr>
            </w:pPr>
            <w:hyperlink w:anchor="i1e5a5c829d0c4e47b43817acb739c3cf_37" w:history="1">
              <w:r>
                <w:rPr>
                  <w:rStyle w:val="a3"/>
                  <w:rFonts w:eastAsia="Times New Roman"/>
                  <w:sz w:val="20"/>
                  <w:szCs w:val="20"/>
                </w:rPr>
                <w:t>Note 2. Business Combinations</w:t>
              </w:r>
            </w:hyperlink>
          </w:p>
        </w:tc>
      </w:tr>
      <w:tr w:rsidR="00000000">
        <w:trPr>
          <w:divId w:val="520123389"/>
          <w:jc w:val="center"/>
        </w:trPr>
        <w:tc>
          <w:tcPr>
            <w:tcW w:w="0" w:type="auto"/>
            <w:gridSpan w:val="3"/>
            <w:tcMar>
              <w:top w:w="30" w:type="dxa"/>
              <w:left w:w="20" w:type="dxa"/>
              <w:bottom w:w="30" w:type="dxa"/>
              <w:right w:w="20" w:type="dxa"/>
            </w:tcMar>
            <w:vAlign w:val="bottom"/>
            <w:hideMark/>
          </w:tcPr>
          <w:p w:rsidR="00000000" w:rsidRDefault="005048A7">
            <w:pPr>
              <w:spacing w:after="100"/>
              <w:divId w:val="253786232"/>
              <w:rPr>
                <w:rFonts w:eastAsia="Times New Roman"/>
              </w:rPr>
            </w:pPr>
            <w:hyperlink w:anchor="i1e5a5c829d0c4e47b43817acb739c3cf_40" w:history="1">
              <w:r>
                <w:rPr>
                  <w:rStyle w:val="a3"/>
                  <w:rFonts w:eastAsia="Times New Roman"/>
                  <w:sz w:val="20"/>
                  <w:szCs w:val="20"/>
                </w:rPr>
                <w:t xml:space="preserve">Note 3. Goodwill and </w:t>
              </w:r>
            </w:hyperlink>
            <w:hyperlink w:anchor="i1e5a5c829d0c4e47b43817acb739c3cf_40" w:history="1">
              <w:r>
                <w:rPr>
                  <w:rStyle w:val="a3"/>
                  <w:rFonts w:eastAsia="Times New Roman"/>
                  <w:sz w:val="20"/>
                  <w:szCs w:val="20"/>
                </w:rPr>
                <w:t>Purchased Intangible</w:t>
              </w:r>
            </w:hyperlink>
            <w:hyperlink w:anchor="i1e5a5c829d0c4e47b43817acb739c3cf_40" w:history="1">
              <w:r>
                <w:rPr>
                  <w:rStyle w:val="a3"/>
                  <w:rFonts w:eastAsia="Times New Roman"/>
                  <w:sz w:val="20"/>
                  <w:szCs w:val="20"/>
                </w:rPr>
                <w:t xml:space="preserve"> Assets</w:t>
              </w:r>
            </w:hyperlink>
          </w:p>
        </w:tc>
      </w:tr>
      <w:tr w:rsidR="00000000">
        <w:trPr>
          <w:divId w:val="520123389"/>
          <w:jc w:val="center"/>
        </w:trPr>
        <w:tc>
          <w:tcPr>
            <w:tcW w:w="0" w:type="auto"/>
            <w:gridSpan w:val="3"/>
            <w:tcMar>
              <w:top w:w="30" w:type="dxa"/>
              <w:left w:w="20" w:type="dxa"/>
              <w:bottom w:w="30" w:type="dxa"/>
              <w:right w:w="20" w:type="dxa"/>
            </w:tcMar>
            <w:vAlign w:val="bottom"/>
            <w:hideMark/>
          </w:tcPr>
          <w:p w:rsidR="00000000" w:rsidRDefault="005048A7">
            <w:pPr>
              <w:spacing w:after="100"/>
              <w:divId w:val="1367289310"/>
              <w:rPr>
                <w:rFonts w:eastAsia="Times New Roman"/>
              </w:rPr>
            </w:pPr>
            <w:hyperlink w:anchor="i1e5a5c829d0c4e47b43817acb739c3cf_43" w:history="1">
              <w:r>
                <w:rPr>
                  <w:rStyle w:val="a3"/>
                  <w:rFonts w:eastAsia="Times New Roman"/>
                  <w:sz w:val="20"/>
                  <w:szCs w:val="20"/>
                </w:rPr>
                <w:t>Note 4. Segment Information and Concentrations</w:t>
              </w:r>
            </w:hyperlink>
          </w:p>
        </w:tc>
      </w:tr>
      <w:tr w:rsidR="00000000">
        <w:trPr>
          <w:divId w:val="520123389"/>
          <w:jc w:val="center"/>
        </w:trPr>
        <w:tc>
          <w:tcPr>
            <w:tcW w:w="0" w:type="auto"/>
            <w:gridSpan w:val="3"/>
            <w:tcMar>
              <w:top w:w="30" w:type="dxa"/>
              <w:left w:w="20" w:type="dxa"/>
              <w:bottom w:w="30" w:type="dxa"/>
              <w:right w:w="20" w:type="dxa"/>
            </w:tcMar>
            <w:vAlign w:val="bottom"/>
            <w:hideMark/>
          </w:tcPr>
          <w:p w:rsidR="00000000" w:rsidRDefault="005048A7">
            <w:pPr>
              <w:spacing w:after="100"/>
              <w:divId w:val="1158619879"/>
              <w:rPr>
                <w:rFonts w:eastAsia="Times New Roman"/>
              </w:rPr>
            </w:pPr>
            <w:hyperlink w:anchor="i1e5a5c829d0c4e47b43817acb739c3cf_46" w:history="1">
              <w:r>
                <w:rPr>
                  <w:rStyle w:val="a3"/>
                  <w:rFonts w:eastAsia="Times New Roman"/>
                  <w:sz w:val="20"/>
                  <w:szCs w:val="20"/>
                </w:rPr>
                <w:t>Note 5. Debt Obligations</w:t>
              </w:r>
            </w:hyperlink>
          </w:p>
        </w:tc>
      </w:tr>
      <w:tr w:rsidR="00000000">
        <w:trPr>
          <w:divId w:val="520123389"/>
          <w:jc w:val="center"/>
        </w:trPr>
        <w:tc>
          <w:tcPr>
            <w:tcW w:w="0" w:type="auto"/>
            <w:gridSpan w:val="3"/>
            <w:tcMar>
              <w:top w:w="30" w:type="dxa"/>
              <w:left w:w="20" w:type="dxa"/>
              <w:bottom w:w="30" w:type="dxa"/>
              <w:right w:w="20" w:type="dxa"/>
            </w:tcMar>
            <w:vAlign w:val="bottom"/>
            <w:hideMark/>
          </w:tcPr>
          <w:p w:rsidR="00000000" w:rsidRDefault="005048A7">
            <w:pPr>
              <w:spacing w:after="100"/>
              <w:divId w:val="444425363"/>
              <w:rPr>
                <w:rFonts w:eastAsia="Times New Roman"/>
              </w:rPr>
            </w:pPr>
            <w:hyperlink w:anchor="i1e5a5c829d0c4e47b43817acb739c3cf_52" w:history="1">
              <w:r>
                <w:rPr>
                  <w:rStyle w:val="a3"/>
                  <w:rFonts w:eastAsia="Times New Roman"/>
                  <w:sz w:val="20"/>
                  <w:szCs w:val="20"/>
                </w:rPr>
                <w:t>Note 6. Trade Receivables Fa</w:t>
              </w:r>
              <w:r>
                <w:rPr>
                  <w:rStyle w:val="a3"/>
                  <w:rFonts w:eastAsia="Times New Roman"/>
                  <w:sz w:val="20"/>
                  <w:szCs w:val="20"/>
                </w:rPr>
                <w:t>cility</w:t>
              </w:r>
            </w:hyperlink>
          </w:p>
        </w:tc>
      </w:tr>
      <w:tr w:rsidR="00000000">
        <w:trPr>
          <w:divId w:val="520123389"/>
          <w:jc w:val="center"/>
        </w:trPr>
        <w:tc>
          <w:tcPr>
            <w:tcW w:w="0" w:type="auto"/>
            <w:gridSpan w:val="3"/>
            <w:tcMar>
              <w:top w:w="30" w:type="dxa"/>
              <w:left w:w="20" w:type="dxa"/>
              <w:bottom w:w="30" w:type="dxa"/>
              <w:right w:w="20" w:type="dxa"/>
            </w:tcMar>
            <w:vAlign w:val="bottom"/>
            <w:hideMark/>
          </w:tcPr>
          <w:p w:rsidR="00000000" w:rsidRDefault="005048A7">
            <w:pPr>
              <w:spacing w:after="100"/>
              <w:divId w:val="278725442"/>
              <w:rPr>
                <w:rFonts w:eastAsia="Times New Roman"/>
              </w:rPr>
            </w:pPr>
            <w:hyperlink w:anchor="i1e5a5c829d0c4e47b43817acb739c3cf_55" w:history="1">
              <w:r>
                <w:rPr>
                  <w:rStyle w:val="a3"/>
                  <w:rFonts w:eastAsia="Times New Roman"/>
                  <w:sz w:val="20"/>
                  <w:szCs w:val="20"/>
                </w:rPr>
                <w:t>Note 7. Income Taxes</w:t>
              </w:r>
            </w:hyperlink>
          </w:p>
        </w:tc>
      </w:tr>
      <w:tr w:rsidR="00000000">
        <w:trPr>
          <w:divId w:val="520123389"/>
          <w:jc w:val="center"/>
        </w:trPr>
        <w:tc>
          <w:tcPr>
            <w:tcW w:w="0" w:type="auto"/>
            <w:gridSpan w:val="3"/>
            <w:tcMar>
              <w:top w:w="30" w:type="dxa"/>
              <w:left w:w="20" w:type="dxa"/>
              <w:bottom w:w="30" w:type="dxa"/>
              <w:right w:w="20" w:type="dxa"/>
            </w:tcMar>
            <w:vAlign w:val="bottom"/>
            <w:hideMark/>
          </w:tcPr>
          <w:p w:rsidR="00000000" w:rsidRDefault="005048A7">
            <w:pPr>
              <w:spacing w:after="100"/>
              <w:divId w:val="31467491"/>
              <w:rPr>
                <w:rFonts w:eastAsia="Times New Roman"/>
              </w:rPr>
            </w:pPr>
            <w:hyperlink w:anchor="i1e5a5c829d0c4e47b43817acb739c3cf_58" w:history="1">
              <w:r>
                <w:rPr>
                  <w:rStyle w:val="a3"/>
                  <w:rFonts w:eastAsia="Times New Roman"/>
                  <w:sz w:val="20"/>
                  <w:szCs w:val="20"/>
                </w:rPr>
                <w:t>Note 8. Stock Compensation Plans</w:t>
              </w:r>
            </w:hyperlink>
          </w:p>
        </w:tc>
      </w:tr>
      <w:tr w:rsidR="00000000">
        <w:trPr>
          <w:divId w:val="520123389"/>
          <w:jc w:val="center"/>
        </w:trPr>
        <w:tc>
          <w:tcPr>
            <w:tcW w:w="0" w:type="auto"/>
            <w:gridSpan w:val="3"/>
            <w:tcMar>
              <w:top w:w="30" w:type="dxa"/>
              <w:left w:w="20" w:type="dxa"/>
              <w:bottom w:w="30" w:type="dxa"/>
              <w:right w:w="20" w:type="dxa"/>
            </w:tcMar>
            <w:vAlign w:val="bottom"/>
            <w:hideMark/>
          </w:tcPr>
          <w:p w:rsidR="00000000" w:rsidRDefault="005048A7">
            <w:pPr>
              <w:spacing w:after="100"/>
              <w:divId w:val="1267689571"/>
              <w:rPr>
                <w:rFonts w:eastAsia="Times New Roman"/>
              </w:rPr>
            </w:pPr>
            <w:hyperlink w:anchor="i1e5a5c829d0c4e47b43817acb739c3cf_61" w:history="1">
              <w:r>
                <w:rPr>
                  <w:rStyle w:val="a3"/>
                  <w:rFonts w:eastAsia="Times New Roman"/>
                  <w:sz w:val="20"/>
                  <w:szCs w:val="20"/>
                </w:rPr>
                <w:t>Note 9. Employee Benefit Plans</w:t>
              </w:r>
            </w:hyperlink>
          </w:p>
        </w:tc>
      </w:tr>
      <w:tr w:rsidR="00000000">
        <w:trPr>
          <w:divId w:val="520123389"/>
          <w:jc w:val="center"/>
        </w:trPr>
        <w:tc>
          <w:tcPr>
            <w:tcW w:w="0" w:type="auto"/>
            <w:gridSpan w:val="3"/>
            <w:tcMar>
              <w:top w:w="30" w:type="dxa"/>
              <w:left w:w="20" w:type="dxa"/>
              <w:bottom w:w="30" w:type="dxa"/>
              <w:right w:w="20" w:type="dxa"/>
            </w:tcMar>
            <w:vAlign w:val="bottom"/>
            <w:hideMark/>
          </w:tcPr>
          <w:p w:rsidR="00000000" w:rsidRDefault="005048A7">
            <w:pPr>
              <w:spacing w:after="100"/>
              <w:divId w:val="882712902"/>
              <w:rPr>
                <w:rFonts w:eastAsia="Times New Roman"/>
              </w:rPr>
            </w:pPr>
            <w:hyperlink w:anchor="i1e5a5c829d0c4e47b43817acb739c3cf_64" w:history="1">
              <w:r>
                <w:rPr>
                  <w:rStyle w:val="a3"/>
                  <w:rFonts w:eastAsia="Times New Roman"/>
                  <w:sz w:val="20"/>
                  <w:szCs w:val="20"/>
                </w:rPr>
                <w:t>Note 10. Commitments and Contingencies</w:t>
              </w:r>
            </w:hyperlink>
          </w:p>
        </w:tc>
      </w:tr>
      <w:tr w:rsidR="00000000">
        <w:trPr>
          <w:divId w:val="520123389"/>
          <w:jc w:val="center"/>
        </w:trPr>
        <w:tc>
          <w:tcPr>
            <w:tcW w:w="0" w:type="auto"/>
            <w:gridSpan w:val="3"/>
            <w:vAlign w:val="center"/>
            <w:hideMark/>
          </w:tcPr>
          <w:p w:rsidR="00000000" w:rsidRDefault="005048A7">
            <w:pPr>
              <w:spacing w:after="100"/>
              <w:rPr>
                <w:rFonts w:eastAsia="Times New Roman"/>
              </w:rPr>
            </w:pPr>
          </w:p>
        </w:tc>
      </w:tr>
      <w:tr w:rsidR="00000000">
        <w:trPr>
          <w:divId w:val="520123389"/>
          <w:jc w:val="center"/>
        </w:trPr>
        <w:tc>
          <w:tcPr>
            <w:tcW w:w="0" w:type="auto"/>
            <w:gridSpan w:val="3"/>
            <w:tcMar>
              <w:top w:w="30" w:type="dxa"/>
              <w:left w:w="20" w:type="dxa"/>
              <w:bottom w:w="30" w:type="dxa"/>
              <w:right w:w="20" w:type="dxa"/>
            </w:tcMar>
            <w:vAlign w:val="bottom"/>
            <w:hideMark/>
          </w:tcPr>
          <w:p w:rsidR="00000000" w:rsidRDefault="005048A7">
            <w:pPr>
              <w:spacing w:after="100"/>
              <w:divId w:val="255097157"/>
              <w:rPr>
                <w:rFonts w:eastAsia="Times New Roman"/>
              </w:rPr>
            </w:pPr>
            <w:hyperlink w:anchor="i1e5a5c829d0c4e47b43817acb739c3cf_70" w:history="1">
              <w:r>
                <w:rPr>
                  <w:rStyle w:val="a3"/>
                  <w:rFonts w:eastAsia="Times New Roman"/>
                  <w:sz w:val="20"/>
                  <w:szCs w:val="20"/>
                </w:rPr>
                <w:t>Note 11. Series A Convertible Preferred Stock</w:t>
              </w:r>
            </w:hyperlink>
          </w:p>
        </w:tc>
      </w:tr>
      <w:tr w:rsidR="00000000">
        <w:trPr>
          <w:divId w:val="520123389"/>
          <w:jc w:val="center"/>
        </w:trPr>
        <w:tc>
          <w:tcPr>
            <w:tcW w:w="0" w:type="auto"/>
            <w:gridSpan w:val="3"/>
            <w:tcMar>
              <w:top w:w="30" w:type="dxa"/>
              <w:left w:w="20" w:type="dxa"/>
              <w:bottom w:w="30" w:type="dxa"/>
              <w:right w:w="20" w:type="dxa"/>
            </w:tcMar>
            <w:vAlign w:val="bottom"/>
            <w:hideMark/>
          </w:tcPr>
          <w:p w:rsidR="00000000" w:rsidRDefault="005048A7">
            <w:pPr>
              <w:spacing w:after="100"/>
              <w:divId w:val="118496676"/>
              <w:rPr>
                <w:rFonts w:eastAsia="Times New Roman"/>
              </w:rPr>
            </w:pPr>
            <w:hyperlink w:anchor="i1e5a5c829d0c4e47b43817acb739c3cf_73" w:history="1">
              <w:r>
                <w:rPr>
                  <w:rStyle w:val="a3"/>
                  <w:rFonts w:eastAsia="Times New Roman"/>
                  <w:sz w:val="20"/>
                  <w:szCs w:val="20"/>
                </w:rPr>
                <w:t>Note 12. Earnings Per Share</w:t>
              </w:r>
            </w:hyperlink>
          </w:p>
        </w:tc>
      </w:tr>
      <w:tr w:rsidR="00000000">
        <w:trPr>
          <w:divId w:val="520123389"/>
          <w:jc w:val="center"/>
        </w:trPr>
        <w:tc>
          <w:tcPr>
            <w:tcW w:w="0" w:type="auto"/>
            <w:gridSpan w:val="3"/>
            <w:tcMar>
              <w:top w:w="30" w:type="dxa"/>
              <w:left w:w="20" w:type="dxa"/>
              <w:bottom w:w="30" w:type="dxa"/>
              <w:right w:w="20" w:type="dxa"/>
            </w:tcMar>
            <w:vAlign w:val="bottom"/>
            <w:hideMark/>
          </w:tcPr>
          <w:p w:rsidR="00000000" w:rsidRDefault="005048A7">
            <w:pPr>
              <w:spacing w:after="100"/>
              <w:divId w:val="530191878"/>
              <w:rPr>
                <w:rFonts w:eastAsia="Times New Roman"/>
              </w:rPr>
            </w:pPr>
            <w:hyperlink w:anchor="i1e5a5c829d0c4e47b43817acb739c3cf_76" w:history="1">
              <w:r>
                <w:rPr>
                  <w:rStyle w:val="a3"/>
                  <w:rFonts w:eastAsia="Times New Roman"/>
                  <w:sz w:val="20"/>
                  <w:szCs w:val="20"/>
                </w:rPr>
                <w:t>Note 13. Derivatives and Hedging Instruments</w:t>
              </w:r>
            </w:hyperlink>
          </w:p>
        </w:tc>
      </w:tr>
      <w:tr w:rsidR="00000000">
        <w:trPr>
          <w:divId w:val="520123389"/>
          <w:jc w:val="center"/>
        </w:trPr>
        <w:tc>
          <w:tcPr>
            <w:tcW w:w="0" w:type="auto"/>
            <w:gridSpan w:val="3"/>
            <w:tcMar>
              <w:top w:w="30" w:type="dxa"/>
              <w:left w:w="20" w:type="dxa"/>
              <w:bottom w:w="30" w:type="dxa"/>
              <w:right w:w="20" w:type="dxa"/>
            </w:tcMar>
            <w:vAlign w:val="bottom"/>
            <w:hideMark/>
          </w:tcPr>
          <w:p w:rsidR="00000000" w:rsidRDefault="005048A7">
            <w:pPr>
              <w:spacing w:after="100"/>
              <w:divId w:val="1789666327"/>
              <w:rPr>
                <w:rFonts w:eastAsia="Times New Roman"/>
              </w:rPr>
            </w:pPr>
            <w:hyperlink w:anchor="i1e5a5c829d0c4e47b43817acb739c3cf_82" w:history="1">
              <w:r>
                <w:rPr>
                  <w:rStyle w:val="a3"/>
                  <w:rFonts w:eastAsia="Times New Roman"/>
                  <w:sz w:val="20"/>
                  <w:szCs w:val="20"/>
                </w:rPr>
                <w:t>Note 14. Fair Value of Assets and Liabilities</w:t>
              </w:r>
            </w:hyperlink>
          </w:p>
        </w:tc>
      </w:tr>
      <w:tr w:rsidR="00000000">
        <w:trPr>
          <w:divId w:val="520123389"/>
          <w:jc w:val="center"/>
        </w:trPr>
        <w:tc>
          <w:tcPr>
            <w:tcW w:w="0" w:type="auto"/>
            <w:gridSpan w:val="3"/>
            <w:tcMar>
              <w:top w:w="30" w:type="dxa"/>
              <w:left w:w="20" w:type="dxa"/>
              <w:bottom w:w="30" w:type="dxa"/>
              <w:right w:w="20" w:type="dxa"/>
            </w:tcMar>
            <w:vAlign w:val="bottom"/>
            <w:hideMark/>
          </w:tcPr>
          <w:p w:rsidR="00000000" w:rsidRDefault="005048A7">
            <w:pPr>
              <w:spacing w:after="100"/>
              <w:divId w:val="719287227"/>
              <w:rPr>
                <w:rFonts w:eastAsia="Times New Roman"/>
              </w:rPr>
            </w:pPr>
            <w:hyperlink w:anchor="i1e5a5c829d0c4e47b43817acb739c3cf_88" w:history="1">
              <w:r>
                <w:rPr>
                  <w:rStyle w:val="a3"/>
                  <w:rFonts w:eastAsia="Times New Roman"/>
                  <w:sz w:val="20"/>
                  <w:szCs w:val="20"/>
                </w:rPr>
                <w:t>Note 15. Accumulated Other Comprehensive Income (Loss) (AOCI)</w:t>
              </w:r>
            </w:hyperlink>
          </w:p>
        </w:tc>
      </w:tr>
      <w:tr w:rsidR="00000000">
        <w:trPr>
          <w:divId w:val="520123389"/>
          <w:jc w:val="center"/>
        </w:trPr>
        <w:tc>
          <w:tcPr>
            <w:tcW w:w="0" w:type="auto"/>
            <w:gridSpan w:val="3"/>
            <w:tcMar>
              <w:top w:w="30" w:type="dxa"/>
              <w:left w:w="20" w:type="dxa"/>
              <w:bottom w:w="30" w:type="dxa"/>
              <w:right w:w="20" w:type="dxa"/>
            </w:tcMar>
            <w:vAlign w:val="bottom"/>
            <w:hideMark/>
          </w:tcPr>
          <w:p w:rsidR="00000000" w:rsidRDefault="005048A7">
            <w:pPr>
              <w:spacing w:after="100"/>
              <w:divId w:val="1703704979"/>
              <w:rPr>
                <w:rFonts w:eastAsia="Times New Roman"/>
              </w:rPr>
            </w:pPr>
            <w:hyperlink w:anchor="i1e5a5c829d0c4e47b43817acb739c3cf_91" w:history="1">
              <w:r>
                <w:rPr>
                  <w:rStyle w:val="a3"/>
                  <w:rFonts w:eastAsia="Times New Roman"/>
                  <w:sz w:val="20"/>
                  <w:szCs w:val="20"/>
                </w:rPr>
                <w:t>Note 16. Supplemental Financial Information</w:t>
              </w:r>
            </w:hyperlink>
          </w:p>
        </w:tc>
      </w:tr>
    </w:tbl>
    <w:p w:rsidR="00000000" w:rsidRDefault="005048A7">
      <w:pPr>
        <w:jc w:val="center"/>
        <w:rPr>
          <w:rFonts w:eastAsia="Times New Roman"/>
        </w:rPr>
      </w:pPr>
    </w:p>
    <w:p w:rsidR="00000000" w:rsidRDefault="005048A7">
      <w:pPr>
        <w:ind w:firstLine="720"/>
        <w:divId w:val="1220481073"/>
        <w:rPr>
          <w:rFonts w:eastAsia="Times New Roman"/>
        </w:rPr>
      </w:pPr>
    </w:p>
    <w:p w:rsidR="00000000" w:rsidRDefault="005048A7">
      <w:pPr>
        <w:divId w:val="992098932"/>
        <w:rPr>
          <w:rFonts w:eastAsia="Times New Roman"/>
        </w:rPr>
      </w:pPr>
      <w:r>
        <w:rPr>
          <w:rFonts w:eastAsia="Times New Roman"/>
          <w:b/>
          <w:bCs/>
          <w:color w:val="54B948"/>
          <w:sz w:val="20"/>
          <w:szCs w:val="20"/>
        </w:rPr>
        <w:t>1. BASIS OF PRESENTATION AND SUMMARY OF SIGNIFICANT ACCOUNTING POLICIES</w:t>
      </w:r>
      <w:r>
        <w:rPr>
          <w:rFonts w:eastAsia="Times New Roman"/>
          <w:b/>
          <w:bCs/>
          <w:color w:val="000000"/>
          <w:sz w:val="20"/>
          <w:szCs w:val="20"/>
        </w:rPr>
        <w:t xml:space="preserve"> </w:t>
      </w:r>
    </w:p>
    <w:p w:rsidR="00000000" w:rsidRDefault="005048A7">
      <w:pPr>
        <w:divId w:val="237177572"/>
        <w:rPr>
          <w:rFonts w:eastAsia="Times New Roman"/>
        </w:rPr>
      </w:pPr>
    </w:p>
    <w:p w:rsidR="00000000" w:rsidRDefault="005048A7">
      <w:pPr>
        <w:jc w:val="both"/>
        <w:rPr>
          <w:rFonts w:eastAsia="Times New Roman"/>
        </w:rPr>
      </w:pPr>
      <w:r>
        <w:rPr>
          <w:rFonts w:eastAsia="Times New Roman"/>
          <w:color w:val="000000"/>
          <w:sz w:val="20"/>
          <w:szCs w:val="20"/>
        </w:rPr>
        <w:t>The accompanying Condensed Consolidated Financial Statements have been prepared by NCR Corporation (“NCR”, the “Company”, “we” or “us”) without audit pursuant to the rules and regul</w:t>
      </w:r>
      <w:r>
        <w:rPr>
          <w:rFonts w:eastAsia="Times New Roman"/>
          <w:color w:val="000000"/>
          <w:sz w:val="20"/>
          <w:szCs w:val="20"/>
        </w:rPr>
        <w:t xml:space="preserve">ations of the U.S. Securities and Exchange Commission (“SEC”) and, in the opinion of management, include all adjustments (consisting of normal, recurring adjustments, unless otherwise disclosed) necessary for a fair statement of the condensed consolidated </w:t>
      </w:r>
      <w:r>
        <w:rPr>
          <w:rFonts w:eastAsia="Times New Roman"/>
          <w:color w:val="000000"/>
          <w:sz w:val="20"/>
          <w:szCs w:val="20"/>
        </w:rPr>
        <w:t>results of operations, financial position, and cash flows for each period presented. The consolidated results for the interim periods are not necessarily indicative of results to be expected for the full year. The 2021 year-end Condensed Consolidated Balan</w:t>
      </w:r>
      <w:r>
        <w:rPr>
          <w:rFonts w:eastAsia="Times New Roman"/>
          <w:color w:val="000000"/>
          <w:sz w:val="20"/>
          <w:szCs w:val="20"/>
        </w:rPr>
        <w:t>ce Sheet was derived from audited financial statements, but does not include all disclosures required by accounting principles generally accepted in the United States (GAAP). These financial statements should be read in conjunction with NCR’s Form 10-K for</w:t>
      </w:r>
      <w:r>
        <w:rPr>
          <w:rFonts w:eastAsia="Times New Roman"/>
          <w:color w:val="000000"/>
          <w:sz w:val="20"/>
          <w:szCs w:val="20"/>
        </w:rPr>
        <w:t xml:space="preserve"> the year ended December 31, 2021. </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Change in reportable segments</w:t>
      </w:r>
      <w:r>
        <w:rPr>
          <w:rFonts w:eastAsia="Times New Roman"/>
          <w:color w:val="000000"/>
          <w:sz w:val="20"/>
          <w:szCs w:val="20"/>
        </w:rPr>
        <w:t xml:space="preserve"> Effective January 1, 2022, the Company realigned its reportable segments to correspond with changes to its operating model, management structure and organizational responsibilities. The re</w:t>
      </w:r>
      <w:r>
        <w:rPr>
          <w:rFonts w:eastAsia="Times New Roman"/>
          <w:color w:val="000000"/>
          <w:sz w:val="20"/>
          <w:szCs w:val="20"/>
        </w:rPr>
        <w:t>portable segments effective January 1, 2022 include: Payments &amp; Network, Digital Banking, Self-Service Banking, Retail, and Hospitality. Additionally, effective January 1, 2022, the Company manages Corporate &amp; Other, which includes income and expenses that</w:t>
      </w:r>
      <w:r>
        <w:rPr>
          <w:rFonts w:eastAsia="Times New Roman"/>
          <w:color w:val="000000"/>
          <w:sz w:val="20"/>
          <w:szCs w:val="20"/>
        </w:rPr>
        <w:t xml:space="preserve"> are not specifically attributable to an individual reportable segment and thus will be reflected only in consolidated results, as well as our Telecommunications &amp; Technology business, an immaterial operating segment. We have reclassified prior period segm</w:t>
      </w:r>
      <w:r>
        <w:rPr>
          <w:rFonts w:eastAsia="Times New Roman"/>
          <w:color w:val="000000"/>
          <w:sz w:val="20"/>
          <w:szCs w:val="20"/>
        </w:rPr>
        <w:t>ent disclosures to conform to current period presentation. Refer to Note 4, “Segment Information and Concentrations”, for additional information on our reportable segments.</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Conflict in Eastern Europe</w:t>
      </w:r>
      <w:r>
        <w:rPr>
          <w:rFonts w:eastAsia="Times New Roman"/>
          <w:color w:val="000000"/>
          <w:sz w:val="20"/>
          <w:szCs w:val="20"/>
        </w:rPr>
        <w:t xml:space="preserve"> The war in Eastern Europe and related sanctions impose</w:t>
      </w:r>
      <w:r>
        <w:rPr>
          <w:rFonts w:eastAsia="Times New Roman"/>
          <w:color w:val="000000"/>
          <w:sz w:val="20"/>
          <w:szCs w:val="20"/>
        </w:rPr>
        <w:t>d on Russia and related actors by the United States and other jurisdictions required us to commence the orderly wind down of our operations in Russia beginning in the first quarter of 2022. As of June 30, 2022, we have substantially ceased operations in Ru</w:t>
      </w:r>
      <w:r>
        <w:rPr>
          <w:rFonts w:eastAsia="Times New Roman"/>
          <w:color w:val="000000"/>
          <w:sz w:val="20"/>
          <w:szCs w:val="20"/>
        </w:rPr>
        <w:t xml:space="preserve">ssia and are in the process of dissolving our only subsidiary in Russia. As a result of these actions, the operations of the business in Russia were significantly reduced, and our results for the three and six months ended June 30, 2022 reflect the impact </w:t>
      </w:r>
      <w:r>
        <w:rPr>
          <w:rFonts w:eastAsia="Times New Roman"/>
          <w:color w:val="000000"/>
          <w:sz w:val="20"/>
          <w:szCs w:val="20"/>
        </w:rPr>
        <w:t>of the impairment and write down of the assets and liabilities of the entity, severance charges, the assessment of collectability on revenue recognition, and the residual operations of the entity. We recognized a pre-tax net loss of $3 million and $22 mill</w:t>
      </w:r>
      <w:r>
        <w:rPr>
          <w:rFonts w:eastAsia="Times New Roman"/>
          <w:color w:val="000000"/>
          <w:sz w:val="20"/>
          <w:szCs w:val="20"/>
        </w:rPr>
        <w:t xml:space="preserve">ion for the three and six months </w:t>
      </w:r>
    </w:p>
    <w:p w:rsidR="00000000" w:rsidRDefault="005048A7">
      <w:pPr>
        <w:jc w:val="center"/>
        <w:divId w:val="1766069937"/>
        <w:rPr>
          <w:rFonts w:eastAsia="Times New Roman"/>
        </w:rPr>
      </w:pPr>
      <w:r>
        <w:rPr>
          <w:rFonts w:eastAsia="Times New Roman"/>
          <w:color w:val="000000"/>
          <w:sz w:val="20"/>
          <w:szCs w:val="20"/>
        </w:rPr>
        <w:t>9</w:t>
      </w:r>
    </w:p>
    <w:p w:rsidR="00000000" w:rsidRDefault="005048A7">
      <w:pPr>
        <w:rPr>
          <w:rFonts w:eastAsia="Times New Roman"/>
        </w:rPr>
      </w:pPr>
      <w:r>
        <w:rPr>
          <w:rFonts w:eastAsia="Times New Roman"/>
        </w:rPr>
        <w:pict>
          <v:rect id="_x0000_i1034" style="width:0;height:1.5pt" o:hralign="center" o:hrstd="t" o:hr="t" fillcolor="#a0a0a0" stroked="f"/>
        </w:pict>
      </w:r>
    </w:p>
    <w:p w:rsidR="00000000" w:rsidRDefault="005048A7">
      <w:pPr>
        <w:ind w:firstLine="720"/>
        <w:divId w:val="1236671754"/>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103118454"/>
        <w:rPr>
          <w:rFonts w:eastAsia="Times New Roman"/>
        </w:rPr>
      </w:pPr>
      <w:r>
        <w:rPr>
          <w:rFonts w:eastAsia="Times New Roman"/>
          <w:b/>
          <w:bCs/>
          <w:color w:val="000000"/>
          <w:sz w:val="20"/>
          <w:szCs w:val="20"/>
        </w:rPr>
        <w:t>NCR Corporation</w:t>
      </w:r>
    </w:p>
    <w:p w:rsidR="00000000" w:rsidRDefault="005048A7">
      <w:pPr>
        <w:jc w:val="center"/>
        <w:divId w:val="103118454"/>
        <w:rPr>
          <w:rFonts w:eastAsia="Times New Roman"/>
        </w:rPr>
      </w:pPr>
      <w:r>
        <w:rPr>
          <w:rFonts w:eastAsia="Times New Roman"/>
          <w:b/>
          <w:bCs/>
          <w:color w:val="000000"/>
          <w:sz w:val="20"/>
          <w:szCs w:val="20"/>
        </w:rPr>
        <w:t>Notes to Condensed Consolidated Financial Statements (Unaudited)—(Continued)</w:t>
      </w:r>
    </w:p>
    <w:p w:rsidR="00000000" w:rsidRDefault="005048A7">
      <w:pPr>
        <w:jc w:val="both"/>
        <w:rPr>
          <w:rFonts w:eastAsia="Times New Roman"/>
        </w:rPr>
      </w:pPr>
      <w:r>
        <w:rPr>
          <w:rFonts w:eastAsia="Times New Roman"/>
          <w:color w:val="000000"/>
          <w:sz w:val="20"/>
          <w:szCs w:val="20"/>
        </w:rPr>
        <w:t xml:space="preserve">ended June 30, 2022, respectively, related to these </w:t>
      </w:r>
      <w:r>
        <w:rPr>
          <w:rFonts w:eastAsia="Times New Roman"/>
          <w:color w:val="000000"/>
          <w:sz w:val="20"/>
          <w:szCs w:val="20"/>
        </w:rPr>
        <w:t>actions, recognized primarily in Cost of products, Cost of services and Selling, general and administrative expenses on the Condensed Consolidated Statement of Operations.</w:t>
      </w:r>
    </w:p>
    <w:p w:rsidR="00000000" w:rsidRDefault="005048A7">
      <w:pPr>
        <w:jc w:val="both"/>
        <w:rPr>
          <w:rFonts w:eastAsia="Times New Roman"/>
        </w:rPr>
      </w:pPr>
    </w:p>
    <w:p w:rsidR="00000000" w:rsidRDefault="005048A7">
      <w:pPr>
        <w:jc w:val="both"/>
        <w:rPr>
          <w:rFonts w:eastAsia="Times New Roman"/>
        </w:rPr>
      </w:pPr>
      <w:r>
        <w:rPr>
          <w:rFonts w:eastAsia="Times New Roman"/>
          <w:b/>
          <w:bCs/>
          <w:color w:val="000000"/>
          <w:sz w:val="20"/>
          <w:szCs w:val="20"/>
        </w:rPr>
        <w:t>Use of Estimates</w:t>
      </w:r>
      <w:r>
        <w:rPr>
          <w:rFonts w:eastAsia="Times New Roman"/>
          <w:color w:val="000000"/>
          <w:sz w:val="20"/>
          <w:szCs w:val="20"/>
        </w:rPr>
        <w:t xml:space="preserve"> The preparation of financial statements in accordance with GAAP r</w:t>
      </w:r>
      <w:r>
        <w:rPr>
          <w:rFonts w:eastAsia="Times New Roman"/>
          <w:color w:val="000000"/>
          <w:sz w:val="20"/>
          <w:szCs w:val="20"/>
        </w:rPr>
        <w:t>equires management to make estimates and judgments that affect the reported amounts of assets and liabilities, the disclosure of contingent assets and liabilities at the date of the financial statements, and revenue and expenses during the period reported.</w:t>
      </w:r>
      <w:r>
        <w:rPr>
          <w:rFonts w:eastAsia="Times New Roman"/>
          <w:color w:val="000000"/>
          <w:sz w:val="20"/>
          <w:szCs w:val="20"/>
        </w:rPr>
        <w:t xml:space="preserve">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Although our estimates contemplate current and expected future conditions, as applicable, it is reasonably possible that actual conditions could differ from our expectations, which could materially affect our results of operations and financial positio</w:t>
      </w:r>
      <w:r>
        <w:rPr>
          <w:rFonts w:eastAsia="Times New Roman"/>
          <w:color w:val="000000"/>
          <w:sz w:val="20"/>
          <w:szCs w:val="20"/>
        </w:rPr>
        <w:t>n. In particular, a number of estimates have been and will continue to be affected by the ongoing variants of the novel coronavirus (COVID-19) pandemic, macroeconomic pressures and geopolitical challenges. The ultimate impact on our overall financial condi</w:t>
      </w:r>
      <w:r>
        <w:rPr>
          <w:rFonts w:eastAsia="Times New Roman"/>
          <w:color w:val="000000"/>
          <w:sz w:val="20"/>
          <w:szCs w:val="20"/>
        </w:rPr>
        <w:t>tion and operating results will depend on the currently unknowable duration and severity of the pandemic, supply chain challenges and cost escalations including materials, interest, labor and freight, and any additional governmental and public actions take</w:t>
      </w:r>
      <w:r>
        <w:rPr>
          <w:rFonts w:eastAsia="Times New Roman"/>
          <w:color w:val="000000"/>
          <w:sz w:val="20"/>
          <w:szCs w:val="20"/>
        </w:rPr>
        <w:t>n in response. As a result, our accounting estimates and assumptions may change over time as a consequence of the effects of COVID-19 and other external factors. Such changes could result in future impairments of goodwill, intangible assets, long-lived ass</w:t>
      </w:r>
      <w:r>
        <w:rPr>
          <w:rFonts w:eastAsia="Times New Roman"/>
          <w:color w:val="000000"/>
          <w:sz w:val="20"/>
          <w:szCs w:val="20"/>
        </w:rPr>
        <w:t>ets, incremental credit losses on accounts receivable and decreases in the carrying amount of our tax assets.</w:t>
      </w:r>
    </w:p>
    <w:p w:rsidR="00000000" w:rsidRDefault="005048A7">
      <w:pPr>
        <w:jc w:val="both"/>
        <w:rPr>
          <w:rFonts w:eastAsia="Times New Roman"/>
        </w:rPr>
      </w:pPr>
    </w:p>
    <w:p w:rsidR="00000000" w:rsidRDefault="005048A7">
      <w:pPr>
        <w:jc w:val="both"/>
        <w:rPr>
          <w:rFonts w:eastAsia="Times New Roman"/>
        </w:rPr>
      </w:pPr>
      <w:r>
        <w:rPr>
          <w:rFonts w:eastAsia="Times New Roman"/>
          <w:b/>
          <w:bCs/>
          <w:color w:val="000000"/>
          <w:sz w:val="20"/>
          <w:szCs w:val="20"/>
        </w:rPr>
        <w:t>Evaluation of Subsequent Events</w:t>
      </w:r>
      <w:r>
        <w:rPr>
          <w:rFonts w:eastAsia="Times New Roman"/>
          <w:color w:val="000000"/>
          <w:sz w:val="20"/>
          <w:szCs w:val="20"/>
        </w:rPr>
        <w:t> The Company evaluated subsequent events through the date that our Condensed Consolidated Financial Statements we</w:t>
      </w:r>
      <w:r>
        <w:rPr>
          <w:rFonts w:eastAsia="Times New Roman"/>
          <w:color w:val="000000"/>
          <w:sz w:val="20"/>
          <w:szCs w:val="20"/>
        </w:rPr>
        <w:t>re issued. Other than the items discussed below and within the Notes to Condensed Consolidated Financial Statements, no matters were identified that required adjustment to the Condensed Consolidated Financial Statements or additional disclosure.</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Budapest</w:t>
      </w:r>
      <w:r>
        <w:rPr>
          <w:rFonts w:eastAsia="Times New Roman"/>
          <w:i/>
          <w:iCs/>
          <w:color w:val="000000"/>
          <w:sz w:val="20"/>
          <w:szCs w:val="20"/>
        </w:rPr>
        <w:t xml:space="preserve"> Manufacturing Facility</w:t>
      </w:r>
      <w:r>
        <w:rPr>
          <w:rFonts w:eastAsia="Times New Roman"/>
          <w:color w:val="000000"/>
          <w:sz w:val="20"/>
          <w:szCs w:val="20"/>
        </w:rPr>
        <w:t xml:space="preserve"> As a part of its previously announced initiative to evaluate and implement programs to drive sustainable margin improvement in its hardware and services segments through higher productivity, process efficiency, and, using technology</w:t>
      </w:r>
      <w:r>
        <w:rPr>
          <w:rFonts w:eastAsia="Times New Roman"/>
          <w:color w:val="000000"/>
          <w:sz w:val="20"/>
          <w:szCs w:val="20"/>
        </w:rPr>
        <w:t xml:space="preserve"> as an enabler, NCR announced its intention to streamline its manufacturing operations by transferring the Budapest manufacturing facility to a third party manufacturer. In July 2022, the Company entered into a Manufacturing Services Agreement (Agreement) </w:t>
      </w:r>
      <w:r>
        <w:rPr>
          <w:rFonts w:eastAsia="Times New Roman"/>
          <w:color w:val="000000"/>
          <w:sz w:val="20"/>
          <w:szCs w:val="20"/>
        </w:rPr>
        <w:t>with Ennoconn Corp (Ennoconn). The Agreement provides for NCR to obtain manufacturing services from Ennoconn for NCR’s automated teller machines, point-of-sale, and self-service checkout solutions. Manufacturing at the Budapest facility was transitioned ef</w:t>
      </w:r>
      <w:r>
        <w:rPr>
          <w:rFonts w:eastAsia="Times New Roman"/>
          <w:color w:val="000000"/>
          <w:sz w:val="20"/>
          <w:szCs w:val="20"/>
        </w:rPr>
        <w:t>fective July 25, 2022.</w:t>
      </w:r>
    </w:p>
    <w:p w:rsidR="00000000" w:rsidRDefault="005048A7">
      <w:pPr>
        <w:jc w:val="both"/>
        <w:rPr>
          <w:rFonts w:eastAsia="Times New Roman"/>
        </w:rPr>
      </w:pPr>
    </w:p>
    <w:p w:rsidR="00000000" w:rsidRDefault="005048A7">
      <w:pPr>
        <w:jc w:val="both"/>
        <w:rPr>
          <w:rFonts w:eastAsia="Times New Roman"/>
        </w:rPr>
      </w:pPr>
      <w:r>
        <w:rPr>
          <w:rFonts w:eastAsia="Times New Roman"/>
          <w:b/>
          <w:bCs/>
          <w:color w:val="000000"/>
          <w:sz w:val="20"/>
          <w:szCs w:val="20"/>
        </w:rPr>
        <w:t>Reclassifications</w:t>
      </w:r>
      <w:r>
        <w:rPr>
          <w:rFonts w:eastAsia="Times New Roman"/>
          <w:color w:val="000000"/>
          <w:sz w:val="20"/>
          <w:szCs w:val="20"/>
        </w:rPr>
        <w:t xml:space="preserve"> Certain prior-period amounts have been reclassified in the accompanying Condensed Consolidated Financial Statements and Notes thereto in order to conform to the current period presentation. Reclassifications had n</w:t>
      </w:r>
      <w:r>
        <w:rPr>
          <w:rFonts w:eastAsia="Times New Roman"/>
          <w:color w:val="000000"/>
          <w:sz w:val="20"/>
          <w:szCs w:val="20"/>
        </w:rPr>
        <w:t>o effect on prior year net income or shareholders’ equity.</w:t>
      </w: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r>
        <w:rPr>
          <w:rFonts w:eastAsia="Times New Roman"/>
          <w:b/>
          <w:bCs/>
          <w:color w:val="000000"/>
          <w:sz w:val="20"/>
          <w:szCs w:val="20"/>
        </w:rPr>
        <w:t xml:space="preserve">Cash, Cash Equivalents, and Restricted Cash </w:t>
      </w:r>
      <w:r>
        <w:rPr>
          <w:rFonts w:eastAsia="Times New Roman"/>
          <w:color w:val="000000"/>
          <w:sz w:val="20"/>
          <w:szCs w:val="20"/>
        </w:rPr>
        <w:t>The reconciliation of cash, cash equivalents and restricted cash in the Condensed Consolidated Statements of Cash Flows is as follows:</w:t>
      </w:r>
    </w:p>
    <w:tbl>
      <w:tblPr>
        <w:tblW w:w="5000" w:type="pct"/>
        <w:tblCellMar>
          <w:top w:w="15" w:type="dxa"/>
          <w:left w:w="15" w:type="dxa"/>
          <w:bottom w:w="15" w:type="dxa"/>
          <w:right w:w="15" w:type="dxa"/>
        </w:tblCellMar>
        <w:tblLook w:val="04A0" w:firstRow="1" w:lastRow="0" w:firstColumn="1" w:lastColumn="0" w:noHBand="0" w:noVBand="1"/>
      </w:tblPr>
      <w:tblGrid>
        <w:gridCol w:w="44"/>
        <w:gridCol w:w="3549"/>
        <w:gridCol w:w="36"/>
        <w:gridCol w:w="36"/>
        <w:gridCol w:w="36"/>
        <w:gridCol w:w="36"/>
        <w:gridCol w:w="38"/>
        <w:gridCol w:w="2334"/>
        <w:gridCol w:w="37"/>
        <w:gridCol w:w="36"/>
        <w:gridCol w:w="36"/>
        <w:gridCol w:w="36"/>
        <w:gridCol w:w="120"/>
        <w:gridCol w:w="748"/>
        <w:gridCol w:w="36"/>
        <w:gridCol w:w="36"/>
        <w:gridCol w:w="36"/>
        <w:gridCol w:w="36"/>
        <w:gridCol w:w="120"/>
        <w:gridCol w:w="884"/>
        <w:gridCol w:w="36"/>
      </w:tblGrid>
      <w:tr w:rsidR="00000000">
        <w:tc>
          <w:tcPr>
            <w:tcW w:w="50" w:type="pct"/>
            <w:vAlign w:val="center"/>
            <w:hideMark/>
          </w:tcPr>
          <w:p w:rsidR="00000000" w:rsidRDefault="005048A7">
            <w:pPr>
              <w:jc w:val="both"/>
              <w:rPr>
                <w:rFonts w:eastAsia="Times New Roman"/>
              </w:rPr>
            </w:pPr>
          </w:p>
        </w:tc>
        <w:tc>
          <w:tcPr>
            <w:tcW w:w="215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4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142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4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7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4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5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trHeight w:val="240"/>
        </w:trPr>
        <w:tc>
          <w:tcPr>
            <w:tcW w:w="0" w:type="auto"/>
            <w:gridSpan w:val="3"/>
            <w:vMerge w:val="restart"/>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June 30</w:t>
            </w:r>
          </w:p>
        </w:tc>
      </w:tr>
      <w:tr w:rsidR="00000000">
        <w:trPr>
          <w:trHeight w:val="300"/>
        </w:trPr>
        <w:tc>
          <w:tcPr>
            <w:tcW w:w="0" w:type="auto"/>
            <w:gridSpan w:val="3"/>
            <w:vMerge/>
            <w:vAlign w:val="center"/>
            <w:hideMark/>
          </w:tcPr>
          <w:p w:rsidR="00000000" w:rsidRDefault="005048A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Balance Sheet Location</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5048A7">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5048A7">
            <w:pPr>
              <w:spacing w:after="100"/>
              <w:jc w:val="center"/>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048A7">
            <w:pPr>
              <w:spacing w:after="100"/>
              <w:jc w:val="right"/>
              <w:rPr>
                <w:rFonts w:eastAsia="Times New Roman"/>
              </w:rPr>
            </w:pPr>
            <w:r>
              <w:rPr>
                <w:rFonts w:eastAsia="Times New Roman"/>
                <w:color w:val="000000"/>
                <w:sz w:val="20"/>
                <w:szCs w:val="20"/>
              </w:rPr>
              <w:t>398 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048A7">
            <w:pPr>
              <w:spacing w:after="100"/>
              <w:jc w:val="right"/>
              <w:rPr>
                <w:rFonts w:eastAsia="Times New Roman"/>
              </w:rPr>
            </w:pPr>
            <w:r>
              <w:rPr>
                <w:rFonts w:eastAsia="Times New Roman"/>
                <w:color w:val="000000"/>
                <w:sz w:val="20"/>
                <w:szCs w:val="20"/>
              </w:rPr>
              <w:t>449 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048A7">
            <w:pPr>
              <w:spacing w:after="100"/>
              <w:jc w:val="right"/>
              <w:rPr>
                <w:rFonts w:eastAsia="Times New Roman"/>
              </w:rPr>
            </w:pPr>
          </w:p>
        </w:tc>
      </w:tr>
      <w:tr w:rsidR="00000000">
        <w:tc>
          <w:tcPr>
            <w:tcW w:w="0" w:type="auto"/>
            <w:gridSpan w:val="3"/>
            <w:tcMar>
              <w:top w:w="30" w:type="dxa"/>
              <w:left w:w="245" w:type="dxa"/>
              <w:bottom w:w="30" w:type="dxa"/>
              <w:right w:w="20" w:type="dxa"/>
            </w:tcMar>
            <w:vAlign w:val="center"/>
            <w:hideMark/>
          </w:tcPr>
          <w:p w:rsidR="00000000" w:rsidRDefault="005048A7">
            <w:pPr>
              <w:spacing w:after="100"/>
              <w:rPr>
                <w:rFonts w:eastAsia="Times New Roman"/>
              </w:rPr>
            </w:pPr>
            <w:r>
              <w:rPr>
                <w:rFonts w:eastAsia="Times New Roman"/>
                <w:color w:val="000000"/>
                <w:sz w:val="20"/>
                <w:szCs w:val="20"/>
              </w:rPr>
              <w:t>Long term restricted cash</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color w:val="000000"/>
                <w:sz w:val="20"/>
                <w:szCs w:val="20"/>
              </w:rPr>
              <w:t>Other assets</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11 </w:t>
            </w:r>
          </w:p>
        </w:tc>
        <w:tc>
          <w:tcPr>
            <w:tcW w:w="0" w:type="auto"/>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7 </w:t>
            </w:r>
          </w:p>
        </w:tc>
        <w:tc>
          <w:tcPr>
            <w:tcW w:w="0" w:type="auto"/>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5048A7">
            <w:pPr>
              <w:spacing w:after="100"/>
              <w:rPr>
                <w:rFonts w:eastAsia="Times New Roman"/>
              </w:rPr>
            </w:pPr>
            <w:r>
              <w:rPr>
                <w:rFonts w:eastAsia="Times New Roman"/>
                <w:color w:val="000000"/>
                <w:sz w:val="20"/>
                <w:szCs w:val="20"/>
              </w:rPr>
              <w:t>Funds held for client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color w:val="000000"/>
                <w:sz w:val="20"/>
                <w:szCs w:val="20"/>
              </w:rPr>
              <w:t>Restricted cash</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c>
          <w:tcPr>
            <w:tcW w:w="0" w:type="auto"/>
            <w:gridSpan w:val="3"/>
            <w:tcMar>
              <w:top w:w="30" w:type="dxa"/>
              <w:left w:w="245" w:type="dxa"/>
              <w:bottom w:w="30" w:type="dxa"/>
              <w:right w:w="20" w:type="dxa"/>
            </w:tcMar>
            <w:vAlign w:val="center"/>
            <w:hideMark/>
          </w:tcPr>
          <w:p w:rsidR="00000000" w:rsidRDefault="005048A7">
            <w:pPr>
              <w:spacing w:after="100"/>
              <w:rPr>
                <w:rFonts w:eastAsia="Times New Roman"/>
              </w:rPr>
            </w:pPr>
            <w:r>
              <w:rPr>
                <w:rFonts w:eastAsia="Times New Roman"/>
                <w:color w:val="000000"/>
                <w:sz w:val="20"/>
                <w:szCs w:val="20"/>
              </w:rPr>
              <w:t>Cash included in settlement processing assets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color w:val="000000"/>
                <w:sz w:val="20"/>
                <w:szCs w:val="20"/>
              </w:rPr>
              <w:t>Restricted cash</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210 </w:t>
            </w:r>
          </w:p>
        </w:tc>
        <w:tc>
          <w:tcPr>
            <w:tcW w:w="0" w:type="auto"/>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205 </w:t>
            </w:r>
          </w:p>
        </w:tc>
        <w:tc>
          <w:tcPr>
            <w:tcW w:w="0" w:type="auto"/>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5048A7">
            <w:pPr>
              <w:spacing w:after="100"/>
              <w:rPr>
                <w:rFonts w:eastAsia="Times New Roman"/>
              </w:rPr>
            </w:pPr>
            <w:r>
              <w:rPr>
                <w:rFonts w:eastAsia="Times New Roman"/>
                <w:b/>
                <w:bCs/>
                <w:color w:val="000000"/>
                <w:sz w:val="20"/>
                <w:szCs w:val="20"/>
              </w:rPr>
              <w:t>Total 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5048A7">
            <w:pPr>
              <w:spacing w:after="100"/>
              <w:jc w:val="right"/>
              <w:rPr>
                <w:rFonts w:eastAsia="Times New Roman"/>
              </w:rPr>
            </w:pPr>
            <w:r>
              <w:rPr>
                <w:rFonts w:eastAsia="Times New Roman"/>
                <w:color w:val="000000"/>
                <w:sz w:val="20"/>
                <w:szCs w:val="20"/>
              </w:rPr>
              <w:t>664 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5048A7">
            <w:pPr>
              <w:spacing w:after="100"/>
              <w:jc w:val="right"/>
              <w:rPr>
                <w:rFonts w:eastAsia="Times New Roman"/>
              </w:rPr>
            </w:pPr>
            <w:r>
              <w:rPr>
                <w:rFonts w:eastAsia="Times New Roman"/>
                <w:color w:val="000000"/>
                <w:sz w:val="20"/>
                <w:szCs w:val="20"/>
              </w:rPr>
              <w:t>697 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5048A7">
            <w:pPr>
              <w:spacing w:after="100"/>
              <w:jc w:val="right"/>
              <w:rPr>
                <w:rFonts w:eastAsia="Times New Roman"/>
              </w:rPr>
            </w:pPr>
          </w:p>
        </w:tc>
      </w:tr>
    </w:tbl>
    <w:p w:rsidR="00000000" w:rsidRDefault="005048A7">
      <w:pPr>
        <w:jc w:val="both"/>
        <w:rPr>
          <w:rFonts w:eastAsia="Times New Roman"/>
        </w:rPr>
      </w:pPr>
    </w:p>
    <w:p w:rsidR="00000000" w:rsidRDefault="005048A7">
      <w:pPr>
        <w:jc w:val="both"/>
        <w:rPr>
          <w:rFonts w:eastAsia="Times New Roman"/>
        </w:rPr>
      </w:pPr>
      <w:r>
        <w:rPr>
          <w:rFonts w:eastAsia="Times New Roman"/>
          <w:b/>
          <w:bCs/>
          <w:color w:val="000000"/>
          <w:sz w:val="20"/>
          <w:szCs w:val="20"/>
        </w:rPr>
        <w:t xml:space="preserve">Contract Assets and Liabilities </w:t>
      </w:r>
      <w:r>
        <w:rPr>
          <w:rFonts w:eastAsia="Times New Roman"/>
          <w:color w:val="000000"/>
          <w:sz w:val="20"/>
          <w:szCs w:val="20"/>
        </w:rPr>
        <w:t>The following table presents the net contract liability balances as of June 30, 2022 and December 31,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2531"/>
        <w:gridCol w:w="36"/>
        <w:gridCol w:w="46"/>
        <w:gridCol w:w="3018"/>
        <w:gridCol w:w="36"/>
        <w:gridCol w:w="36"/>
        <w:gridCol w:w="36"/>
        <w:gridCol w:w="36"/>
        <w:gridCol w:w="120"/>
        <w:gridCol w:w="1019"/>
        <w:gridCol w:w="36"/>
        <w:gridCol w:w="36"/>
        <w:gridCol w:w="36"/>
        <w:gridCol w:w="36"/>
        <w:gridCol w:w="121"/>
        <w:gridCol w:w="1045"/>
        <w:gridCol w:w="36"/>
      </w:tblGrid>
      <w:tr w:rsidR="00000000">
        <w:trPr>
          <w:divId w:val="1844930358"/>
          <w:jc w:val="center"/>
        </w:trPr>
        <w:tc>
          <w:tcPr>
            <w:tcW w:w="50" w:type="pct"/>
            <w:vAlign w:val="center"/>
            <w:hideMark/>
          </w:tcPr>
          <w:p w:rsidR="00000000" w:rsidRDefault="005048A7">
            <w:pPr>
              <w:jc w:val="both"/>
              <w:rPr>
                <w:rFonts w:eastAsia="Times New Roman"/>
              </w:rPr>
            </w:pPr>
          </w:p>
        </w:tc>
        <w:tc>
          <w:tcPr>
            <w:tcW w:w="154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183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5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6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1844930358"/>
          <w:jc w:val="center"/>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Location in the Condensed Consolidated Balance Sheet</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December 31, 2021</w:t>
            </w:r>
          </w:p>
        </w:tc>
      </w:tr>
      <w:tr w:rsidR="00000000">
        <w:trPr>
          <w:divId w:val="1844930358"/>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Current portion of contract liabilities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Contract liabilities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844930358"/>
          <w:jc w:val="center"/>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Non-current portion of contract liabilities</w:t>
            </w: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both"/>
        <w:rPr>
          <w:rFonts w:eastAsia="Times New Roman"/>
        </w:rPr>
      </w:pPr>
    </w:p>
    <w:p w:rsidR="00000000" w:rsidRDefault="005048A7">
      <w:pPr>
        <w:jc w:val="center"/>
        <w:divId w:val="889000045"/>
        <w:rPr>
          <w:rFonts w:eastAsia="Times New Roman"/>
        </w:rPr>
      </w:pPr>
      <w:r>
        <w:rPr>
          <w:rFonts w:eastAsia="Times New Roman"/>
          <w:color w:val="000000"/>
          <w:sz w:val="20"/>
          <w:szCs w:val="20"/>
        </w:rPr>
        <w:t>10</w:t>
      </w:r>
    </w:p>
    <w:p w:rsidR="00000000" w:rsidRDefault="005048A7">
      <w:pPr>
        <w:rPr>
          <w:rFonts w:eastAsia="Times New Roman"/>
        </w:rPr>
      </w:pPr>
      <w:r>
        <w:rPr>
          <w:rFonts w:eastAsia="Times New Roman"/>
        </w:rPr>
        <w:pict>
          <v:rect id="_x0000_i1035" style="width:0;height:1.5pt" o:hralign="center" o:hrstd="t" o:hr="t" fillcolor="#a0a0a0" stroked="f"/>
        </w:pict>
      </w:r>
    </w:p>
    <w:p w:rsidR="00000000" w:rsidRDefault="005048A7">
      <w:pPr>
        <w:ind w:firstLine="720"/>
        <w:divId w:val="695422417"/>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1918242210"/>
        <w:rPr>
          <w:rFonts w:eastAsia="Times New Roman"/>
        </w:rPr>
      </w:pPr>
      <w:r>
        <w:rPr>
          <w:rFonts w:eastAsia="Times New Roman"/>
          <w:b/>
          <w:bCs/>
          <w:color w:val="000000"/>
          <w:sz w:val="20"/>
          <w:szCs w:val="20"/>
        </w:rPr>
        <w:t>NCR Corporation</w:t>
      </w:r>
    </w:p>
    <w:p w:rsidR="00000000" w:rsidRDefault="005048A7">
      <w:pPr>
        <w:jc w:val="center"/>
        <w:divId w:val="1918242210"/>
        <w:rPr>
          <w:rFonts w:eastAsia="Times New Roman"/>
        </w:rPr>
      </w:pPr>
      <w:r>
        <w:rPr>
          <w:rFonts w:eastAsia="Times New Roman"/>
          <w:b/>
          <w:bCs/>
          <w:color w:val="000000"/>
          <w:sz w:val="20"/>
          <w:szCs w:val="20"/>
        </w:rPr>
        <w:t>Notes to Condensed Consolidated Financial Statements (Unaudited)—(Continued)</w:t>
      </w:r>
    </w:p>
    <w:p w:rsidR="00000000" w:rsidRDefault="005048A7">
      <w:pPr>
        <w:jc w:val="both"/>
        <w:rPr>
          <w:rFonts w:eastAsia="Times New Roman"/>
        </w:rPr>
      </w:pPr>
      <w:r>
        <w:rPr>
          <w:rFonts w:eastAsia="Times New Roman"/>
          <w:color w:val="000000"/>
          <w:sz w:val="20"/>
          <w:szCs w:val="20"/>
        </w:rPr>
        <w:t>During the six months ended June 30, 2022, the Compa</w:t>
      </w:r>
      <w:r>
        <w:rPr>
          <w:rFonts w:eastAsia="Times New Roman"/>
          <w:color w:val="000000"/>
          <w:sz w:val="20"/>
          <w:szCs w:val="20"/>
        </w:rPr>
        <w:t>ny recognized $309 million</w:t>
      </w:r>
      <w:r>
        <w:rPr>
          <w:rFonts w:eastAsia="Times New Roman"/>
          <w:color w:val="000000"/>
          <w:sz w:val="20"/>
          <w:szCs w:val="20"/>
          <w:shd w:val="clear" w:color="auto" w:fill="FFFFFF"/>
        </w:rPr>
        <w:t xml:space="preserve"> </w:t>
      </w:r>
      <w:r>
        <w:rPr>
          <w:rFonts w:eastAsia="Times New Roman"/>
          <w:color w:val="000000"/>
          <w:sz w:val="20"/>
          <w:szCs w:val="20"/>
        </w:rPr>
        <w:t>in revenue that was included in contract liabilities as of December 31, 2021. During the six months ended June 30, 2021 the Company recognized</w:t>
      </w:r>
      <w:r>
        <w:rPr>
          <w:rFonts w:eastAsia="Times New Roman"/>
          <w:color w:val="000000"/>
          <w:sz w:val="20"/>
          <w:szCs w:val="20"/>
          <w:shd w:val="clear" w:color="auto" w:fill="FFFFFF"/>
        </w:rPr>
        <w:t xml:space="preserve"> $323 million </w:t>
      </w:r>
      <w:r>
        <w:rPr>
          <w:rFonts w:eastAsia="Times New Roman"/>
          <w:color w:val="000000"/>
          <w:sz w:val="20"/>
          <w:szCs w:val="20"/>
        </w:rPr>
        <w:t>in revenue that was included in contract liabilities as of December 31, 2</w:t>
      </w:r>
      <w:r>
        <w:rPr>
          <w:rFonts w:eastAsia="Times New Roman"/>
          <w:color w:val="000000"/>
          <w:sz w:val="20"/>
          <w:szCs w:val="20"/>
        </w:rPr>
        <w:t>020.</w:t>
      </w:r>
    </w:p>
    <w:p w:rsidR="00000000" w:rsidRDefault="005048A7">
      <w:pPr>
        <w:jc w:val="both"/>
        <w:rPr>
          <w:rFonts w:eastAsia="Times New Roman"/>
        </w:rPr>
      </w:pPr>
    </w:p>
    <w:p w:rsidR="00000000" w:rsidRDefault="005048A7">
      <w:pPr>
        <w:jc w:val="both"/>
        <w:rPr>
          <w:rFonts w:eastAsia="Times New Roman"/>
        </w:rPr>
      </w:pPr>
      <w:r>
        <w:rPr>
          <w:rFonts w:eastAsia="Times New Roman"/>
          <w:b/>
          <w:bCs/>
          <w:color w:val="000000"/>
          <w:sz w:val="20"/>
          <w:szCs w:val="20"/>
        </w:rPr>
        <w:t xml:space="preserve">Remaining Performance Obligations </w:t>
      </w:r>
      <w:r>
        <w:rPr>
          <w:rFonts w:eastAsia="Times New Roman"/>
          <w:color w:val="000000"/>
          <w:sz w:val="20"/>
          <w:szCs w:val="20"/>
        </w:rPr>
        <w:t>Remaining performance obligations represent the transaction price of orders for which products have not been delivered or services have not been performed. As of June 30, 2022, the aggregate amount of the transactio</w:t>
      </w:r>
      <w:r>
        <w:rPr>
          <w:rFonts w:eastAsia="Times New Roman"/>
          <w:color w:val="000000"/>
          <w:sz w:val="20"/>
          <w:szCs w:val="20"/>
        </w:rPr>
        <w:t xml:space="preserve">n price allocated to remaining performance obligations was approximately $3.8 billion. The Company expects to recognize revenue on approximately three-quarters of the remaining performance obligations over the next 12 months, with the remainder recognized </w:t>
      </w:r>
      <w:r>
        <w:rPr>
          <w:rFonts w:eastAsia="Times New Roman"/>
          <w:color w:val="000000"/>
          <w:sz w:val="20"/>
          <w:szCs w:val="20"/>
        </w:rPr>
        <w:t>thereafter. The majority of our professional services are expected to be recognized over the next 12 months but this is contingent upon a number of factors, including customers’ needs and schedules.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 Company has made three elections that affect the va</w:t>
      </w:r>
      <w:r>
        <w:rPr>
          <w:rFonts w:eastAsia="Times New Roman"/>
          <w:color w:val="000000"/>
          <w:sz w:val="20"/>
          <w:szCs w:val="20"/>
        </w:rPr>
        <w:t>lue of remaining performance obligations described above. We do not disclose remaining performance obligations for contracts where variable consideration is directly allocated based on usage or when the original expected duration is one year or less. Addit</w:t>
      </w:r>
      <w:r>
        <w:rPr>
          <w:rFonts w:eastAsia="Times New Roman"/>
          <w:color w:val="000000"/>
          <w:sz w:val="20"/>
          <w:szCs w:val="20"/>
        </w:rPr>
        <w:t xml:space="preserve">ionally, we do not disclose remaining performance obligations for contracts where we recognize revenue from the satisfaction of the performance obligation in accordance with the 'right to invoice' practical expedient. </w:t>
      </w:r>
    </w:p>
    <w:p w:rsidR="00000000" w:rsidRDefault="005048A7">
      <w:pPr>
        <w:jc w:val="both"/>
        <w:rPr>
          <w:rFonts w:eastAsia="Times New Roman"/>
        </w:rPr>
      </w:pPr>
    </w:p>
    <w:p w:rsidR="00000000" w:rsidRDefault="005048A7">
      <w:pPr>
        <w:jc w:val="both"/>
        <w:rPr>
          <w:rFonts w:eastAsia="Times New Roman"/>
        </w:rPr>
      </w:pPr>
      <w:r>
        <w:rPr>
          <w:rFonts w:eastAsia="Times New Roman"/>
          <w:b/>
          <w:bCs/>
          <w:color w:val="000000"/>
          <w:sz w:val="20"/>
          <w:szCs w:val="20"/>
        </w:rPr>
        <w:t>Recent Accounting Pronouncements</w:t>
      </w:r>
      <w:r>
        <w:rPr>
          <w:rFonts w:eastAsia="Times New Roman"/>
          <w:color w:val="000000"/>
          <w:sz w:val="20"/>
          <w:szCs w:val="20"/>
        </w:rPr>
        <w:t xml:space="preserve"> </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Adoption of New Accounting Pronouncements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 xml:space="preserve">In August 2020, the Financial Accounting Standards Board (“FASB”) issued ASU 2020-06, </w:t>
      </w:r>
      <w:r>
        <w:rPr>
          <w:rFonts w:eastAsia="Times New Roman"/>
          <w:i/>
          <w:iCs/>
          <w:color w:val="000000"/>
          <w:sz w:val="20"/>
          <w:szCs w:val="20"/>
        </w:rPr>
        <w:t>Debt—</w:t>
      </w:r>
      <w:r>
        <w:rPr>
          <w:rFonts w:eastAsia="Times New Roman"/>
          <w:i/>
          <w:iCs/>
          <w:color w:val="000000"/>
          <w:sz w:val="20"/>
          <w:szCs w:val="20"/>
        </w:rPr>
        <w:t>Debt with Conversion and Other Options (Subtopic 470-20) and Derivatives and Hedging—Contracts in Entity’s Own Equity (Subtopic 815-40): Accounting for Convertible Instruments and Contracts in an Entity’s Own Equity</w:t>
      </w:r>
      <w:r>
        <w:rPr>
          <w:rFonts w:eastAsia="Times New Roman"/>
          <w:color w:val="000000"/>
          <w:sz w:val="20"/>
          <w:szCs w:val="20"/>
        </w:rPr>
        <w:t>, with new guidance for convertible prefe</w:t>
      </w:r>
      <w:r>
        <w:rPr>
          <w:rFonts w:eastAsia="Times New Roman"/>
          <w:color w:val="000000"/>
          <w:sz w:val="20"/>
          <w:szCs w:val="20"/>
        </w:rPr>
        <w:t>rred stock, which eliminates considerations related to the beneficial conversion feature model. The standard also requires entities to use an average stock price when calculating the denominator for diluted earnings per share for stock units where the sett</w:t>
      </w:r>
      <w:r>
        <w:rPr>
          <w:rFonts w:eastAsia="Times New Roman"/>
          <w:color w:val="000000"/>
          <w:sz w:val="20"/>
          <w:szCs w:val="20"/>
        </w:rPr>
        <w:t>lement of the number of shares is based on the stock price. The new standard is effective for fiscal years, and interim periods within those fiscal years, beginning after December 15, 2021. Early adoption was permitted no earlier than fiscal years beginnin</w:t>
      </w:r>
      <w:r>
        <w:rPr>
          <w:rFonts w:eastAsia="Times New Roman"/>
          <w:color w:val="000000"/>
          <w:sz w:val="20"/>
          <w:szCs w:val="20"/>
        </w:rPr>
        <w:t>g after December 15, 2020 and interim periods within those fiscal years. The adoption of this accounting standards update did not have a material effect on the Company's net income, cash flows, earnings per share or financial condition.</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 xml:space="preserve">In May 2021, the </w:t>
      </w:r>
      <w:r>
        <w:rPr>
          <w:rFonts w:eastAsia="Times New Roman"/>
          <w:color w:val="000000"/>
          <w:sz w:val="20"/>
          <w:szCs w:val="20"/>
        </w:rPr>
        <w:t xml:space="preserve">FASB issued ASU 2021-04, </w:t>
      </w:r>
      <w:r>
        <w:rPr>
          <w:rFonts w:eastAsia="Times New Roman"/>
          <w:i/>
          <w:iCs/>
          <w:color w:val="000000"/>
          <w:sz w:val="20"/>
          <w:szCs w:val="20"/>
        </w:rPr>
        <w:t>Earnings Per Share (Topic 260), Debt—Modifications and Extinguishments (Subtopic 470-50), Compensation—Stock Compensation (Topic 718), and Derivatives and Hedging—Contracts in Entity’s Own Equity (Subtopic 815-40): Issuer’s Account</w:t>
      </w:r>
      <w:r>
        <w:rPr>
          <w:rFonts w:eastAsia="Times New Roman"/>
          <w:i/>
          <w:iCs/>
          <w:color w:val="000000"/>
          <w:sz w:val="20"/>
          <w:szCs w:val="20"/>
        </w:rPr>
        <w:t>ing for Certain Modifications or Exchanges of Freestanding Equity-Classified Written Call Options,</w:t>
      </w:r>
      <w:r>
        <w:rPr>
          <w:rFonts w:eastAsia="Times New Roman"/>
          <w:color w:val="000000"/>
          <w:sz w:val="20"/>
          <w:szCs w:val="20"/>
        </w:rPr>
        <w:t xml:space="preserve"> with new guidance for freestanding equity-classified written call options. The new guidance requires issuers to account for modifications or exchanges of fre</w:t>
      </w:r>
      <w:r>
        <w:rPr>
          <w:rFonts w:eastAsia="Times New Roman"/>
          <w:color w:val="000000"/>
          <w:sz w:val="20"/>
          <w:szCs w:val="20"/>
        </w:rPr>
        <w:t>estanding equity-classified written call options that remain equity classified after the modification or exchange based on the economic substance of the modification or exchange. The new standard is effective for fiscal years, and interim periods within th</w:t>
      </w:r>
      <w:r>
        <w:rPr>
          <w:rFonts w:eastAsia="Times New Roman"/>
          <w:color w:val="000000"/>
          <w:sz w:val="20"/>
          <w:szCs w:val="20"/>
        </w:rPr>
        <w:t xml:space="preserve">ose fiscal years, beginning after December 15, 2021, with early adoption permitted. The adoption of this accounting standards update did not have a material effect on the Company's net income, cash flows, earnings per share or financial condition.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In Ma</w:t>
      </w:r>
      <w:r>
        <w:rPr>
          <w:rFonts w:eastAsia="Times New Roman"/>
          <w:color w:val="000000"/>
          <w:sz w:val="20"/>
          <w:szCs w:val="20"/>
        </w:rPr>
        <w:t>rch 2022, the SEC staff released Staff Accounting Bulletin No. 121 (“SAB 121”), which expressed the views of the SEC staff regarding the accounting for obligations to safeguard crypto-assets an entity holds for users of its crypto platform. This guidance r</w:t>
      </w:r>
      <w:r>
        <w:rPr>
          <w:rFonts w:eastAsia="Times New Roman"/>
          <w:color w:val="000000"/>
          <w:sz w:val="20"/>
          <w:szCs w:val="20"/>
        </w:rPr>
        <w:t>equires entities that hold crypto-assets on behalf of platform users to recognize a liability to reflect the entity’s obligation to safeguard the crypto-assets held for its platform users. The liability should be measured at initial recognition and each re</w:t>
      </w:r>
      <w:r>
        <w:rPr>
          <w:rFonts w:eastAsia="Times New Roman"/>
          <w:color w:val="000000"/>
          <w:sz w:val="20"/>
          <w:szCs w:val="20"/>
        </w:rPr>
        <w:t>porting date at the fair value of the crypto-assets that the entity is responsible for holding for its platform users. The entity should also recognize an asset at the same time that it recognizes the safeguarding liability, measured at initial recognition</w:t>
      </w:r>
      <w:r>
        <w:rPr>
          <w:rFonts w:eastAsia="Times New Roman"/>
          <w:color w:val="000000"/>
          <w:sz w:val="20"/>
          <w:szCs w:val="20"/>
        </w:rPr>
        <w:t xml:space="preserve"> and each reporting date at the fair value of the crypto-assets held for its platform users. SAB 121 also includes guidance on disclosures related to the Company’s safeguarding of crypto-assets. This guidance is effective from the first interim or annual p</w:t>
      </w:r>
      <w:r>
        <w:rPr>
          <w:rFonts w:eastAsia="Times New Roman"/>
          <w:color w:val="000000"/>
          <w:sz w:val="20"/>
          <w:szCs w:val="20"/>
        </w:rPr>
        <w:t xml:space="preserve">eriod after June 15, 2022 and should be applied retrospectively to the beginning of the fiscal year to which the interim or annual period relates. The Company adopted this guidance in the interim period ending June 30, 2022; however, as the Company is not </w:t>
      </w:r>
      <w:r>
        <w:rPr>
          <w:rFonts w:eastAsia="Times New Roman"/>
          <w:color w:val="000000"/>
          <w:sz w:val="20"/>
          <w:szCs w:val="20"/>
        </w:rPr>
        <w:t>currently offering digital asset safeguarding services to its customers, the adoption of this guidance did not have an impact on the Company’s net income, cash flows, earnings per share or financial condition.</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Although there are several other new account</w:t>
      </w:r>
      <w:r>
        <w:rPr>
          <w:rFonts w:eastAsia="Times New Roman"/>
          <w:color w:val="000000"/>
          <w:sz w:val="20"/>
          <w:szCs w:val="20"/>
        </w:rPr>
        <w:t>ing pronouncements issued by the FASB and adopted by or effective for the Company, the Company does not believe any of these accounting pronouncements had a material impact on its consolidated financial statements.</w:t>
      </w: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center"/>
        <w:divId w:val="2041316435"/>
        <w:rPr>
          <w:rFonts w:eastAsia="Times New Roman"/>
        </w:rPr>
      </w:pPr>
      <w:r>
        <w:rPr>
          <w:rFonts w:eastAsia="Times New Roman"/>
          <w:color w:val="000000"/>
          <w:sz w:val="20"/>
          <w:szCs w:val="20"/>
        </w:rPr>
        <w:t>11</w:t>
      </w:r>
    </w:p>
    <w:p w:rsidR="00000000" w:rsidRDefault="005048A7">
      <w:pPr>
        <w:rPr>
          <w:rFonts w:eastAsia="Times New Roman"/>
        </w:rPr>
      </w:pPr>
      <w:r>
        <w:rPr>
          <w:rFonts w:eastAsia="Times New Roman"/>
        </w:rPr>
        <w:pict>
          <v:rect id="_x0000_i1036" style="width:0;height:1.5pt" o:hralign="center" o:hrstd="t" o:hr="t" fillcolor="#a0a0a0" stroked="f"/>
        </w:pict>
      </w:r>
    </w:p>
    <w:p w:rsidR="00000000" w:rsidRDefault="005048A7">
      <w:pPr>
        <w:ind w:firstLine="720"/>
        <w:divId w:val="1693452495"/>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1998872456"/>
        <w:rPr>
          <w:rFonts w:eastAsia="Times New Roman"/>
        </w:rPr>
      </w:pPr>
      <w:r>
        <w:rPr>
          <w:rFonts w:eastAsia="Times New Roman"/>
          <w:b/>
          <w:bCs/>
          <w:color w:val="000000"/>
          <w:sz w:val="20"/>
          <w:szCs w:val="20"/>
        </w:rPr>
        <w:t>NCR Corporation</w:t>
      </w:r>
    </w:p>
    <w:p w:rsidR="00000000" w:rsidRDefault="005048A7">
      <w:pPr>
        <w:jc w:val="center"/>
        <w:divId w:val="1998872456"/>
        <w:rPr>
          <w:rFonts w:eastAsia="Times New Roman"/>
        </w:rPr>
      </w:pPr>
      <w:r>
        <w:rPr>
          <w:rFonts w:eastAsia="Times New Roman"/>
          <w:b/>
          <w:bCs/>
          <w:color w:val="000000"/>
          <w:sz w:val="20"/>
          <w:szCs w:val="20"/>
        </w:rPr>
        <w:t>Notes to Condensed Consolidated Financial Statements (Unaudited)—(Continued)</w:t>
      </w:r>
    </w:p>
    <w:p w:rsidR="00000000" w:rsidRDefault="005048A7">
      <w:pPr>
        <w:jc w:val="both"/>
        <w:rPr>
          <w:rFonts w:eastAsia="Times New Roman"/>
        </w:rPr>
      </w:pPr>
      <w:r>
        <w:rPr>
          <w:rFonts w:eastAsia="Times New Roman"/>
          <w:i/>
          <w:iCs/>
          <w:color w:val="000000"/>
          <w:sz w:val="20"/>
          <w:szCs w:val="20"/>
        </w:rPr>
        <w:t>Accounting Pronouncements Issued But Not Yet Adopted</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 xml:space="preserve">In October 2021, the FASB issued accounting standards update (“ASU”) 2021-08, </w:t>
      </w:r>
      <w:r>
        <w:rPr>
          <w:rFonts w:eastAsia="Times New Roman"/>
          <w:i/>
          <w:iCs/>
          <w:color w:val="000000"/>
          <w:sz w:val="20"/>
          <w:szCs w:val="20"/>
        </w:rPr>
        <w:t>Business Combinations (Topic 805): Accounting for Contract Assets and Contract Liabilities from Contracts with Customers</w:t>
      </w:r>
      <w:r>
        <w:rPr>
          <w:rFonts w:eastAsia="Times New Roman"/>
          <w:color w:val="000000"/>
          <w:sz w:val="20"/>
          <w:szCs w:val="20"/>
        </w:rPr>
        <w:t>, w</w:t>
      </w:r>
      <w:r>
        <w:rPr>
          <w:rFonts w:eastAsia="Times New Roman"/>
          <w:color w:val="000000"/>
          <w:sz w:val="20"/>
          <w:szCs w:val="20"/>
        </w:rPr>
        <w:t>ith new guidance for contract assets and contract liabilities acquired in a business combination. The new guidance requires contract assets and contract liabilities, such as deferred revenue, acquired in a business combination to be recognized and measured</w:t>
      </w:r>
      <w:r>
        <w:rPr>
          <w:rFonts w:eastAsia="Times New Roman"/>
          <w:color w:val="000000"/>
          <w:sz w:val="20"/>
          <w:szCs w:val="20"/>
        </w:rPr>
        <w:t xml:space="preserve"> by the acquirer on the acquisition date in accordance with Accounting Standard Codification (“ASC”) 606, </w:t>
      </w:r>
      <w:r>
        <w:rPr>
          <w:rFonts w:eastAsia="Times New Roman"/>
          <w:i/>
          <w:iCs/>
          <w:color w:val="000000"/>
          <w:sz w:val="20"/>
          <w:szCs w:val="20"/>
        </w:rPr>
        <w:t>Revenue from Contracts with Customers</w:t>
      </w:r>
      <w:r>
        <w:rPr>
          <w:rFonts w:eastAsia="Times New Roman"/>
          <w:color w:val="000000"/>
          <w:sz w:val="20"/>
          <w:szCs w:val="20"/>
        </w:rPr>
        <w:t>. Prior to the issuance of this guidance, contract assets and contract liabilities were recognized by the acquire</w:t>
      </w:r>
      <w:r>
        <w:rPr>
          <w:rFonts w:eastAsia="Times New Roman"/>
          <w:color w:val="000000"/>
          <w:sz w:val="20"/>
          <w:szCs w:val="20"/>
        </w:rPr>
        <w:t>r at fair value on the acquisition date. The accounting standards update is effective for fiscal years, and interim periods within those fiscal years, beginning after December 15, 2022, with early adoption permitted and should be applied prospectively to a</w:t>
      </w:r>
      <w:r>
        <w:rPr>
          <w:rFonts w:eastAsia="Times New Roman"/>
          <w:color w:val="000000"/>
          <w:sz w:val="20"/>
          <w:szCs w:val="20"/>
        </w:rPr>
        <w:t>cquisitions occurring on or after the effective date. The Company does not expect to early adopt the new accounting standards update. The adoption of this accounting standards update is not expected to have a material effect on the Company's net income, ca</w:t>
      </w:r>
      <w:r>
        <w:rPr>
          <w:rFonts w:eastAsia="Times New Roman"/>
          <w:color w:val="000000"/>
          <w:sz w:val="20"/>
          <w:szCs w:val="20"/>
        </w:rPr>
        <w:t xml:space="preserve">sh flows, earnings per share or financial condition.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Although there are several other new accounting pronouncements issued by the FASB and not yet adopted by or effective for the Company, the Company does not believe any of these accounting pronouncemen</w:t>
      </w:r>
      <w:r>
        <w:rPr>
          <w:rFonts w:eastAsia="Times New Roman"/>
          <w:color w:val="000000"/>
          <w:sz w:val="20"/>
          <w:szCs w:val="20"/>
        </w:rPr>
        <w:t>ts will have a material impact on its consolidated financial statements.</w:t>
      </w:r>
    </w:p>
    <w:p w:rsidR="00000000" w:rsidRDefault="005048A7">
      <w:pPr>
        <w:divId w:val="367068221"/>
        <w:rPr>
          <w:rFonts w:eastAsia="Times New Roman"/>
        </w:rPr>
      </w:pPr>
    </w:p>
    <w:p w:rsidR="00000000" w:rsidRDefault="005048A7">
      <w:pPr>
        <w:divId w:val="318391057"/>
        <w:rPr>
          <w:rFonts w:eastAsia="Times New Roman"/>
        </w:rPr>
      </w:pPr>
    </w:p>
    <w:p w:rsidR="00000000" w:rsidRDefault="005048A7">
      <w:pPr>
        <w:divId w:val="2125884755"/>
        <w:rPr>
          <w:rFonts w:eastAsia="Times New Roman"/>
        </w:rPr>
      </w:pPr>
      <w:r>
        <w:rPr>
          <w:rFonts w:eastAsia="Times New Roman"/>
          <w:b/>
          <w:bCs/>
          <w:color w:val="54B948"/>
          <w:sz w:val="20"/>
          <w:szCs w:val="20"/>
        </w:rPr>
        <w:t>2. BUSINESS COMBINATIONS</w:t>
      </w:r>
    </w:p>
    <w:p w:rsidR="00000000" w:rsidRDefault="005048A7">
      <w:pPr>
        <w:divId w:val="886063671"/>
        <w:rPr>
          <w:rFonts w:eastAsia="Times New Roman"/>
        </w:rPr>
      </w:pPr>
    </w:p>
    <w:p w:rsidR="00000000" w:rsidRDefault="005048A7">
      <w:pPr>
        <w:divId w:val="1469738544"/>
        <w:rPr>
          <w:rFonts w:eastAsia="Times New Roman"/>
        </w:rPr>
      </w:pPr>
      <w:r>
        <w:rPr>
          <w:rFonts w:eastAsia="Times New Roman"/>
          <w:b/>
          <w:bCs/>
          <w:color w:val="000000"/>
          <w:sz w:val="20"/>
          <w:szCs w:val="20"/>
        </w:rPr>
        <w:t>Acquisition of LibertyX</w:t>
      </w:r>
    </w:p>
    <w:p w:rsidR="00000000" w:rsidRDefault="005048A7">
      <w:pPr>
        <w:divId w:val="1241015351"/>
        <w:rPr>
          <w:rFonts w:eastAsia="Times New Roman"/>
        </w:rPr>
      </w:pPr>
    </w:p>
    <w:p w:rsidR="00000000" w:rsidRDefault="005048A7">
      <w:pPr>
        <w:jc w:val="both"/>
        <w:rPr>
          <w:rFonts w:eastAsia="Times New Roman"/>
        </w:rPr>
      </w:pPr>
      <w:r>
        <w:rPr>
          <w:rFonts w:eastAsia="Times New Roman"/>
          <w:color w:val="000000"/>
          <w:sz w:val="20"/>
          <w:szCs w:val="20"/>
        </w:rPr>
        <w:t>On January 5, 2022, NCR completed its acquisition of Moon Inc., dba LibertyX, a leading cryptocurrency software provider, with</w:t>
      </w:r>
      <w:r>
        <w:rPr>
          <w:rFonts w:eastAsia="Times New Roman"/>
          <w:color w:val="000000"/>
          <w:sz w:val="20"/>
          <w:szCs w:val="20"/>
        </w:rPr>
        <w:t xml:space="preserve"> the goal of enabling NCR to provide a complete digital currency solution, including the ability to buy and sell cryptocurrency, conduct cross-border remittance, and accept digital currency payments across digital and physical channels. We purchased all ou</w:t>
      </w:r>
      <w:r>
        <w:rPr>
          <w:rFonts w:eastAsia="Times New Roman"/>
          <w:color w:val="000000"/>
          <w:sz w:val="20"/>
          <w:szCs w:val="20"/>
        </w:rPr>
        <w:t>tstanding shares of LibertyX for $1 million cash consideration and approximately 1.4 million shares of the Company's common stock at a price of $42.13 per share. The Company also converted approximately 0.2 million outstanding unvested LibertyX option awar</w:t>
      </w:r>
      <w:r>
        <w:rPr>
          <w:rFonts w:eastAsia="Times New Roman"/>
          <w:color w:val="000000"/>
          <w:sz w:val="20"/>
          <w:szCs w:val="20"/>
        </w:rPr>
        <w:t>ds into NCR awards pursuant to an exchange ratio as defined in the acquisition agreement. LibertyX stock option awards were converted into NCR stock option awards with an exercise price per share for option awards equal to the exercise price per share of s</w:t>
      </w:r>
      <w:r>
        <w:rPr>
          <w:rFonts w:eastAsia="Times New Roman"/>
          <w:color w:val="000000"/>
          <w:sz w:val="20"/>
          <w:szCs w:val="20"/>
        </w:rPr>
        <w:t>uch stock option award immediately prior to the completion of the acquisition divided by the exchange ratio, and vested immediately. The value of the option awards was deemed attributable to services already rendered and was included as a portion of the pu</w:t>
      </w:r>
      <w:r>
        <w:rPr>
          <w:rFonts w:eastAsia="Times New Roman"/>
          <w:color w:val="000000"/>
          <w:sz w:val="20"/>
          <w:szCs w:val="20"/>
        </w:rPr>
        <w:t xml:space="preserve">rchase price. Total purchase consideration for the LibertyX acquisition was approximately $69 million. As a result of the acquisition, LibertyX became a wholly-owned subsidiary of NCR. </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Recording of Assets Acquired and Liabilities Assumed</w:t>
      </w:r>
      <w:r>
        <w:rPr>
          <w:rFonts w:eastAsia="Times New Roman"/>
          <w:color w:val="000000"/>
          <w:sz w:val="20"/>
          <w:szCs w:val="20"/>
        </w:rPr>
        <w:t xml:space="preserve"> The fair value </w:t>
      </w:r>
      <w:r>
        <w:rPr>
          <w:rFonts w:eastAsia="Times New Roman"/>
          <w:color w:val="000000"/>
          <w:sz w:val="20"/>
          <w:szCs w:val="20"/>
        </w:rPr>
        <w:t>of consideration transferred was allocated to the identifiable assets acquired and liabilities assumed based upon their estimated fair values as of the date of the acquisition as set forth below. The provisional amounts for intangible assets are based on t</w:t>
      </w:r>
      <w:r>
        <w:rPr>
          <w:rFonts w:eastAsia="Times New Roman"/>
          <w:color w:val="000000"/>
          <w:sz w:val="20"/>
          <w:szCs w:val="20"/>
        </w:rPr>
        <w:t>hird-party valuations performed. The allocation of the purchase price is provisional as of June 30, 2022 and may be subject to future adjustments, within the measurement period, as the Company obtains additional information to finalize the accounting for t</w:t>
      </w:r>
      <w:r>
        <w:rPr>
          <w:rFonts w:eastAsia="Times New Roman"/>
          <w:color w:val="000000"/>
          <w:sz w:val="20"/>
          <w:szCs w:val="20"/>
        </w:rPr>
        <w:t>he business combination, including additional refinement to finalize valuations, among other items. The preliminary allocation of the purchase price is as follows:</w:t>
      </w:r>
    </w:p>
    <w:p w:rsidR="00000000" w:rsidRDefault="005048A7">
      <w:pPr>
        <w:jc w:val="both"/>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50"/>
        <w:gridCol w:w="6956"/>
        <w:gridCol w:w="39"/>
        <w:gridCol w:w="121"/>
        <w:gridCol w:w="1054"/>
        <w:gridCol w:w="36"/>
      </w:tblGrid>
      <w:tr w:rsidR="00000000">
        <w:tc>
          <w:tcPr>
            <w:tcW w:w="50" w:type="pct"/>
            <w:vAlign w:val="center"/>
            <w:hideMark/>
          </w:tcPr>
          <w:p w:rsidR="00000000" w:rsidRDefault="005048A7">
            <w:pPr>
              <w:jc w:val="both"/>
              <w:rPr>
                <w:rFonts w:eastAsia="Times New Roman"/>
              </w:rPr>
            </w:pPr>
          </w:p>
        </w:tc>
        <w:tc>
          <w:tcPr>
            <w:tcW w:w="423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5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Fair Value</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5048A7">
            <w:pPr>
              <w:spacing w:after="100"/>
              <w:rPr>
                <w:rFonts w:eastAsia="Times New Roman"/>
              </w:rPr>
            </w:pPr>
            <w:r>
              <w:rPr>
                <w:rFonts w:eastAsia="Times New Roman"/>
                <w:color w:val="000000"/>
                <w:sz w:val="20"/>
                <w:szCs w:val="20"/>
              </w:rPr>
              <w:t>Cash acquired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5048A7">
            <w:pPr>
              <w:spacing w:after="100"/>
              <w:rPr>
                <w:rFonts w:eastAsia="Times New Roman"/>
              </w:rPr>
            </w:pPr>
            <w:r>
              <w:rPr>
                <w:rFonts w:eastAsia="Times New Roman"/>
                <w:color w:val="000000"/>
                <w:sz w:val="20"/>
                <w:szCs w:val="20"/>
              </w:rPr>
              <w:t>Tangible assets acquired</w:t>
            </w: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3</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5048A7">
            <w:pPr>
              <w:spacing w:after="100"/>
              <w:rPr>
                <w:rFonts w:eastAsia="Times New Roman"/>
              </w:rPr>
            </w:pPr>
            <w:r>
              <w:rPr>
                <w:rFonts w:eastAsia="Times New Roman"/>
                <w:color w:val="000000"/>
                <w:sz w:val="20"/>
                <w:szCs w:val="20"/>
              </w:rPr>
              <w:t>Acquired intangible assets other than goodwill</w:t>
            </w: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38</w:t>
            </w:r>
          </w:p>
        </w:tc>
      </w:tr>
      <w:tr w:rsidR="00000000">
        <w:tc>
          <w:tcPr>
            <w:tcW w:w="0" w:type="auto"/>
            <w:gridSpan w:val="3"/>
            <w:shd w:val="clear" w:color="auto" w:fill="FFFFFF"/>
            <w:tcMar>
              <w:top w:w="30" w:type="dxa"/>
              <w:left w:w="20" w:type="dxa"/>
              <w:bottom w:w="30" w:type="dxa"/>
              <w:right w:w="20" w:type="dxa"/>
            </w:tcMar>
            <w:vAlign w:val="center"/>
            <w:hideMark/>
          </w:tcPr>
          <w:p w:rsidR="00000000" w:rsidRDefault="005048A7">
            <w:pPr>
              <w:spacing w:after="100"/>
              <w:rPr>
                <w:rFonts w:eastAsia="Times New Roman"/>
              </w:rPr>
            </w:pPr>
            <w:r>
              <w:rPr>
                <w:rFonts w:eastAsia="Times New Roman"/>
                <w:color w:val="000000"/>
                <w:sz w:val="20"/>
                <w:szCs w:val="20"/>
              </w:rPr>
              <w:t>Acquired goodwill</w:t>
            </w: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41</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5048A7">
            <w:pPr>
              <w:spacing w:after="100"/>
              <w:rPr>
                <w:rFonts w:eastAsia="Times New Roman"/>
              </w:rPr>
            </w:pPr>
            <w:r>
              <w:rPr>
                <w:rFonts w:eastAsia="Times New Roman"/>
                <w:color w:val="000000"/>
                <w:sz w:val="20"/>
                <w:szCs w:val="20"/>
              </w:rPr>
              <w:t>Deferred tax liabilities</w:t>
            </w: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(11)</w:t>
            </w:r>
          </w:p>
        </w:tc>
      </w:tr>
      <w:tr w:rsidR="00000000">
        <w:tc>
          <w:tcPr>
            <w:tcW w:w="0" w:type="auto"/>
            <w:gridSpan w:val="3"/>
            <w:shd w:val="clear" w:color="auto" w:fill="FFFFFF"/>
            <w:tcMar>
              <w:top w:w="30" w:type="dxa"/>
              <w:left w:w="20" w:type="dxa"/>
              <w:bottom w:w="30" w:type="dxa"/>
              <w:right w:w="20" w:type="dxa"/>
            </w:tcMar>
            <w:vAlign w:val="center"/>
            <w:hideMark/>
          </w:tcPr>
          <w:p w:rsidR="00000000" w:rsidRDefault="005048A7">
            <w:pPr>
              <w:spacing w:after="100"/>
              <w:rPr>
                <w:rFonts w:eastAsia="Times New Roman"/>
              </w:rPr>
            </w:pPr>
            <w:r>
              <w:rPr>
                <w:rFonts w:eastAsia="Times New Roman"/>
                <w:color w:val="000000"/>
                <w:sz w:val="20"/>
                <w:szCs w:val="20"/>
              </w:rPr>
              <w:t>Liabilities assumed</w:t>
            </w: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(4)</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5048A7">
            <w:pPr>
              <w:spacing w:after="100"/>
              <w:rPr>
                <w:rFonts w:eastAsia="Times New Roman"/>
              </w:rPr>
            </w:pPr>
            <w:r>
              <w:rPr>
                <w:rFonts w:eastAsia="Times New Roman"/>
                <w:b/>
                <w:bCs/>
                <w:color w:val="000000"/>
                <w:sz w:val="20"/>
                <w:szCs w:val="20"/>
              </w:rPr>
              <w:t>Total purchase consideration</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Goodwill represents the future economic benefits arising from other assets acquired that could not be individually separately recognized. The goodwill arising from the acquisition consists of revenue and cost synergies expected from combining the operation</w:t>
      </w:r>
      <w:r>
        <w:rPr>
          <w:rFonts w:eastAsia="Times New Roman"/>
          <w:color w:val="000000"/>
          <w:sz w:val="20"/>
          <w:szCs w:val="20"/>
        </w:rPr>
        <w:t xml:space="preserve">s of NCR and LibertyX and is not deductible for tax purposes. The goodwill arising from the LibertyX acquisition has </w:t>
      </w:r>
    </w:p>
    <w:p w:rsidR="00000000" w:rsidRDefault="005048A7">
      <w:pPr>
        <w:jc w:val="center"/>
        <w:divId w:val="122385728"/>
        <w:rPr>
          <w:rFonts w:eastAsia="Times New Roman"/>
        </w:rPr>
      </w:pPr>
      <w:r>
        <w:rPr>
          <w:rFonts w:eastAsia="Times New Roman"/>
          <w:color w:val="000000"/>
          <w:sz w:val="20"/>
          <w:szCs w:val="20"/>
        </w:rPr>
        <w:t>12</w:t>
      </w:r>
    </w:p>
    <w:p w:rsidR="00000000" w:rsidRDefault="005048A7">
      <w:pPr>
        <w:rPr>
          <w:rFonts w:eastAsia="Times New Roman"/>
        </w:rPr>
      </w:pPr>
      <w:r>
        <w:rPr>
          <w:rFonts w:eastAsia="Times New Roman"/>
        </w:rPr>
        <w:pict>
          <v:rect id="_x0000_i1037" style="width:0;height:1.5pt" o:hralign="center" o:hrstd="t" o:hr="t" fillcolor="#a0a0a0" stroked="f"/>
        </w:pict>
      </w:r>
    </w:p>
    <w:p w:rsidR="00000000" w:rsidRDefault="005048A7">
      <w:pPr>
        <w:ind w:firstLine="720"/>
        <w:divId w:val="552619871"/>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76094719"/>
        <w:rPr>
          <w:rFonts w:eastAsia="Times New Roman"/>
        </w:rPr>
      </w:pPr>
      <w:r>
        <w:rPr>
          <w:rFonts w:eastAsia="Times New Roman"/>
          <w:b/>
          <w:bCs/>
          <w:color w:val="000000"/>
          <w:sz w:val="20"/>
          <w:szCs w:val="20"/>
        </w:rPr>
        <w:t>NCR Corporation</w:t>
      </w:r>
    </w:p>
    <w:p w:rsidR="00000000" w:rsidRDefault="005048A7">
      <w:pPr>
        <w:jc w:val="center"/>
        <w:divId w:val="76094719"/>
        <w:rPr>
          <w:rFonts w:eastAsia="Times New Roman"/>
        </w:rPr>
      </w:pPr>
      <w:r>
        <w:rPr>
          <w:rFonts w:eastAsia="Times New Roman"/>
          <w:b/>
          <w:bCs/>
          <w:color w:val="000000"/>
          <w:sz w:val="20"/>
          <w:szCs w:val="20"/>
        </w:rPr>
        <w:t>Notes t</w:t>
      </w:r>
      <w:r>
        <w:rPr>
          <w:rFonts w:eastAsia="Times New Roman"/>
          <w:b/>
          <w:bCs/>
          <w:color w:val="000000"/>
          <w:sz w:val="20"/>
          <w:szCs w:val="20"/>
        </w:rPr>
        <w:t>o Condensed Consolidated Financial Statements (Unaudited)—(Continued)</w:t>
      </w:r>
    </w:p>
    <w:p w:rsidR="00000000" w:rsidRDefault="005048A7">
      <w:pPr>
        <w:jc w:val="both"/>
        <w:rPr>
          <w:rFonts w:eastAsia="Times New Roman"/>
        </w:rPr>
      </w:pPr>
      <w:r>
        <w:rPr>
          <w:rFonts w:eastAsia="Times New Roman"/>
          <w:color w:val="000000"/>
          <w:sz w:val="20"/>
          <w:szCs w:val="20"/>
        </w:rPr>
        <w:t xml:space="preserve">been allocated to our Payments &amp; Network segment. Refer to Note 3, “Goodwill and Purchased Intangible Assets”, for the carrying amounts of goodwill by segment. </w:t>
      </w:r>
    </w:p>
    <w:p w:rsidR="00000000" w:rsidRDefault="005048A7">
      <w:pPr>
        <w:jc w:val="both"/>
        <w:rPr>
          <w:rFonts w:eastAsia="Times New Roman"/>
        </w:rPr>
      </w:pPr>
    </w:p>
    <w:p w:rsidR="00000000" w:rsidRDefault="005048A7">
      <w:pPr>
        <w:divId w:val="2057658024"/>
        <w:rPr>
          <w:rFonts w:eastAsia="Times New Roman"/>
        </w:rPr>
      </w:pPr>
      <w:r>
        <w:rPr>
          <w:rFonts w:eastAsia="Times New Roman"/>
          <w:color w:val="000000"/>
          <w:sz w:val="20"/>
          <w:szCs w:val="20"/>
        </w:rPr>
        <w:t>The following table set</w:t>
      </w:r>
      <w:r>
        <w:rPr>
          <w:rFonts w:eastAsia="Times New Roman"/>
          <w:color w:val="000000"/>
          <w:sz w:val="20"/>
          <w:szCs w:val="20"/>
        </w:rPr>
        <w:t xml:space="preserve">s forth the components of the intangible assets acquired as of the acquisition date: </w:t>
      </w:r>
    </w:p>
    <w:tbl>
      <w:tblPr>
        <w:tblW w:w="4970" w:type="pct"/>
        <w:jc w:val="center"/>
        <w:tblCellMar>
          <w:top w:w="15" w:type="dxa"/>
          <w:left w:w="15" w:type="dxa"/>
          <w:bottom w:w="15" w:type="dxa"/>
          <w:right w:w="15" w:type="dxa"/>
        </w:tblCellMar>
        <w:tblLook w:val="04A0" w:firstRow="1" w:lastRow="0" w:firstColumn="1" w:lastColumn="0" w:noHBand="0" w:noVBand="1"/>
      </w:tblPr>
      <w:tblGrid>
        <w:gridCol w:w="53"/>
        <w:gridCol w:w="5028"/>
        <w:gridCol w:w="36"/>
        <w:gridCol w:w="122"/>
        <w:gridCol w:w="1383"/>
        <w:gridCol w:w="37"/>
        <w:gridCol w:w="36"/>
        <w:gridCol w:w="38"/>
        <w:gridCol w:w="36"/>
        <w:gridCol w:w="53"/>
        <w:gridCol w:w="1398"/>
        <w:gridCol w:w="36"/>
      </w:tblGrid>
      <w:tr w:rsidR="00000000">
        <w:trPr>
          <w:divId w:val="1869874763"/>
          <w:jc w:val="center"/>
        </w:trPr>
        <w:tc>
          <w:tcPr>
            <w:tcW w:w="50" w:type="pct"/>
            <w:vAlign w:val="center"/>
            <w:hideMark/>
          </w:tcPr>
          <w:p w:rsidR="00000000" w:rsidRDefault="005048A7">
            <w:pPr>
              <w:rPr>
                <w:rFonts w:eastAsia="Times New Roman"/>
              </w:rPr>
            </w:pPr>
          </w:p>
        </w:tc>
        <w:tc>
          <w:tcPr>
            <w:tcW w:w="306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85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4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86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1869874763"/>
          <w:jc w:val="center"/>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Weighted Average Amortization Period</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r>
      <w:tr w:rsidR="00000000">
        <w:trPr>
          <w:divId w:val="1869874763"/>
          <w:jc w:val="center"/>
        </w:trPr>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(In years)</w:t>
            </w:r>
          </w:p>
        </w:tc>
      </w:tr>
      <w:tr w:rsidR="00000000">
        <w:trPr>
          <w:divId w:val="1869874763"/>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Direct customer relationships</w:t>
            </w:r>
          </w:p>
        </w:tc>
        <w:tc>
          <w:tcPr>
            <w:tcW w:w="0" w:type="auto"/>
            <w:shd w:val="clear" w:color="auto" w:fill="CCEEFF"/>
            <w:tcMar>
              <w:top w:w="30" w:type="dxa"/>
              <w:left w:w="20" w:type="dxa"/>
              <w:bottom w:w="30" w:type="dxa"/>
              <w:right w:w="0" w:type="dxa"/>
            </w:tcMar>
            <w:vAlign w:val="center"/>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048A7">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center"/>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10</w:t>
            </w:r>
          </w:p>
        </w:tc>
      </w:tr>
      <w:tr w:rsidR="00000000">
        <w:trPr>
          <w:divId w:val="1869874763"/>
          <w:jc w:val="center"/>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Technology - Software</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13</w:t>
            </w:r>
          </w:p>
        </w:tc>
      </w:tr>
      <w:tr w:rsidR="00000000">
        <w:trPr>
          <w:divId w:val="1869874763"/>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 xml:space="preserve">Non-compete </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r>
      <w:tr w:rsidR="00000000">
        <w:trPr>
          <w:divId w:val="1869874763"/>
          <w:jc w:val="center"/>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Tradenames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2</w:t>
            </w:r>
          </w:p>
        </w:tc>
      </w:tr>
      <w:tr w:rsidR="00000000">
        <w:trPr>
          <w:divId w:val="1869874763"/>
          <w:jc w:val="center"/>
        </w:trPr>
        <w:tc>
          <w:tcPr>
            <w:tcW w:w="0" w:type="auto"/>
            <w:gridSpan w:val="3"/>
            <w:shd w:val="clear" w:color="auto" w:fill="CCEEFF"/>
            <w:tcMar>
              <w:top w:w="30" w:type="dxa"/>
              <w:left w:w="20" w:type="dxa"/>
              <w:bottom w:w="30" w:type="dxa"/>
              <w:right w:w="20" w:type="dxa"/>
            </w:tcMar>
            <w:vAlign w:val="center"/>
            <w:hideMark/>
          </w:tcPr>
          <w:p w:rsidR="00000000" w:rsidRDefault="005048A7">
            <w:pPr>
              <w:spacing w:after="100"/>
              <w:rPr>
                <w:rFonts w:eastAsia="Times New Roman"/>
              </w:rPr>
            </w:pPr>
            <w:r>
              <w:rPr>
                <w:rFonts w:eastAsia="Times New Roman"/>
                <w:color w:val="000000"/>
                <w:sz w:val="20"/>
                <w:szCs w:val="20"/>
              </w:rPr>
              <w:t>Total acquired intangible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bl>
    <w:p w:rsidR="00000000" w:rsidRDefault="005048A7">
      <w:pPr>
        <w:jc w:val="both"/>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w:t>
      </w:r>
      <w:r>
        <w:rPr>
          <w:rFonts w:eastAsia="Times New Roman"/>
          <w:color w:val="000000"/>
          <w:sz w:val="18"/>
          <w:szCs w:val="18"/>
        </w:rPr>
        <w:t>Determination of the weighted average period of the individual categories of intangible assets was based on the nature of applicable intangible asset and the expected future cash flows to be derived from the intangible asset. Amortization of intangible ass</w:t>
      </w:r>
      <w:r>
        <w:rPr>
          <w:rFonts w:eastAsia="Times New Roman"/>
          <w:color w:val="000000"/>
          <w:sz w:val="18"/>
          <w:szCs w:val="18"/>
        </w:rPr>
        <w:t>ets with definite lives is recognized over the period of time the assets are expected to contribute to future cash flows.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 operating results of LibertyX have been included within NCR's results since the closing date of the acquisition. Supplemental pr</w:t>
      </w:r>
      <w:r>
        <w:rPr>
          <w:rFonts w:eastAsia="Times New Roman"/>
          <w:color w:val="000000"/>
          <w:sz w:val="20"/>
          <w:szCs w:val="20"/>
        </w:rPr>
        <w:t xml:space="preserve">o forma information and actual revenue and earnings since the acquisition date have not been provided as the acquisition did not have a material impact on the Company's Condensed Consolidated Statements of Operations. </w:t>
      </w:r>
    </w:p>
    <w:p w:rsidR="00000000" w:rsidRDefault="005048A7">
      <w:pPr>
        <w:divId w:val="27032522"/>
        <w:rPr>
          <w:rFonts w:eastAsia="Times New Roman"/>
        </w:rPr>
      </w:pPr>
    </w:p>
    <w:p w:rsidR="00000000" w:rsidRDefault="005048A7">
      <w:pPr>
        <w:divId w:val="406654343"/>
        <w:rPr>
          <w:rFonts w:eastAsia="Times New Roman"/>
        </w:rPr>
      </w:pPr>
      <w:r>
        <w:rPr>
          <w:rFonts w:eastAsia="Times New Roman"/>
          <w:b/>
          <w:bCs/>
          <w:color w:val="000000"/>
          <w:sz w:val="20"/>
          <w:szCs w:val="20"/>
        </w:rPr>
        <w:t>Acquisition of Cardtronics plc (202</w:t>
      </w:r>
      <w:r>
        <w:rPr>
          <w:rFonts w:eastAsia="Times New Roman"/>
          <w:b/>
          <w:bCs/>
          <w:color w:val="000000"/>
          <w:sz w:val="20"/>
          <w:szCs w:val="20"/>
        </w:rPr>
        <w:t>1)</w:t>
      </w:r>
    </w:p>
    <w:p w:rsidR="00000000" w:rsidRDefault="005048A7">
      <w:pPr>
        <w:divId w:val="260114593"/>
        <w:rPr>
          <w:rFonts w:eastAsia="Times New Roman"/>
        </w:rPr>
      </w:pPr>
    </w:p>
    <w:p w:rsidR="00000000" w:rsidRDefault="005048A7">
      <w:pPr>
        <w:jc w:val="both"/>
        <w:rPr>
          <w:rFonts w:eastAsia="Times New Roman"/>
        </w:rPr>
      </w:pPr>
      <w:r>
        <w:rPr>
          <w:rFonts w:eastAsia="Times New Roman"/>
          <w:color w:val="000000"/>
          <w:sz w:val="20"/>
          <w:szCs w:val="20"/>
        </w:rPr>
        <w:t>On June 21, 2021, NCR acquired all outstanding shares of Cardtronics plc (“Cardtronics”) for $39.00 per share (the “Cardtronics Transaction”</w:t>
      </w:r>
      <w:r>
        <w:rPr>
          <w:rFonts w:eastAsia="Times New Roman"/>
          <w:color w:val="000000"/>
          <w:sz w:val="20"/>
          <w:szCs w:val="20"/>
        </w:rPr>
        <w:t>). The fair value of consideration transferred to acquire Cardtronics was allocated to the identifiable assets acquired and liabilities assumed based upon their estimated fair values as of the date of the acquisition. The allocation of the purchase price w</w:t>
      </w:r>
      <w:r>
        <w:rPr>
          <w:rFonts w:eastAsia="Times New Roman"/>
          <w:color w:val="000000"/>
          <w:sz w:val="20"/>
          <w:szCs w:val="20"/>
        </w:rPr>
        <w:t xml:space="preserve">as finalized in June 2022. There have been no material adjustments to the allocation of purchase price since December 31, 2021. </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Unaudited Pro forma Information</w:t>
      </w:r>
      <w:r>
        <w:rPr>
          <w:rFonts w:eastAsia="Times New Roman"/>
          <w:color w:val="000000"/>
          <w:sz w:val="20"/>
          <w:szCs w:val="20"/>
        </w:rPr>
        <w:t xml:space="preserve"> The following unaudited pro forma information presents the consolidated results of NCR and Ca</w:t>
      </w:r>
      <w:r>
        <w:rPr>
          <w:rFonts w:eastAsia="Times New Roman"/>
          <w:color w:val="000000"/>
          <w:sz w:val="20"/>
          <w:szCs w:val="20"/>
        </w:rPr>
        <w:t xml:space="preserve">rdtronics for the three and six months ended June 30, 2021. The unaudited pro forma information is presented for illustrative purposes only. It is not necessarily indicative of the results of operations of future periods, or the results of operations that </w:t>
      </w:r>
      <w:r>
        <w:rPr>
          <w:rFonts w:eastAsia="Times New Roman"/>
          <w:color w:val="000000"/>
          <w:sz w:val="20"/>
          <w:szCs w:val="20"/>
        </w:rPr>
        <w:t xml:space="preserve">actually would have been realized had the entities been a single company during the periods presented or the results that the combined company will experience after the acquisition. The unaudited pro forma information does not give effect to the potential </w:t>
      </w:r>
      <w:r>
        <w:rPr>
          <w:rFonts w:eastAsia="Times New Roman"/>
          <w:color w:val="000000"/>
          <w:sz w:val="20"/>
          <w:szCs w:val="20"/>
        </w:rPr>
        <w:t xml:space="preserve">impact of current financial conditions, regulatory matters or any anticipated synergies, operating efficiencies or cost savings that may be associated with the acquisition. The unaudited pro forma information also does not include any integration costs or </w:t>
      </w:r>
      <w:r>
        <w:rPr>
          <w:rFonts w:eastAsia="Times New Roman"/>
          <w:color w:val="000000"/>
          <w:sz w:val="20"/>
          <w:szCs w:val="20"/>
        </w:rPr>
        <w:t>remaining future transaction costs that the companies may incur related to the acquisition as part of combining the operations of the companies.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 unaudited pro forma consolidated results of operations, assuming the acquisition had occurred on January 1, 2020, are as follows:</w:t>
      </w:r>
    </w:p>
    <w:p w:rsidR="00000000" w:rsidRDefault="005048A7">
      <w:pPr>
        <w:divId w:val="15318910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4459"/>
        <w:gridCol w:w="37"/>
        <w:gridCol w:w="120"/>
        <w:gridCol w:w="1531"/>
        <w:gridCol w:w="36"/>
        <w:gridCol w:w="36"/>
        <w:gridCol w:w="36"/>
        <w:gridCol w:w="36"/>
        <w:gridCol w:w="36"/>
        <w:gridCol w:w="36"/>
        <w:gridCol w:w="120"/>
        <w:gridCol w:w="1532"/>
        <w:gridCol w:w="36"/>
        <w:gridCol w:w="36"/>
        <w:gridCol w:w="36"/>
        <w:gridCol w:w="36"/>
        <w:gridCol w:w="36"/>
        <w:gridCol w:w="36"/>
        <w:gridCol w:w="36"/>
      </w:tblGrid>
      <w:tr w:rsidR="00000000">
        <w:trPr>
          <w:divId w:val="872620864"/>
        </w:trPr>
        <w:tc>
          <w:tcPr>
            <w:tcW w:w="50" w:type="pct"/>
            <w:vAlign w:val="center"/>
            <w:hideMark/>
          </w:tcPr>
          <w:p w:rsidR="00000000" w:rsidRDefault="005048A7">
            <w:pPr>
              <w:rPr>
                <w:rFonts w:eastAsia="Times New Roman"/>
              </w:rPr>
            </w:pPr>
          </w:p>
        </w:tc>
        <w:tc>
          <w:tcPr>
            <w:tcW w:w="282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99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99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872620864"/>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r>
      <w:tr w:rsidR="00000000">
        <w:trPr>
          <w:divId w:val="872620864"/>
        </w:trPr>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rsidR="00000000" w:rsidRDefault="005048A7">
            <w:pPr>
              <w:spacing w:after="100"/>
              <w:jc w:val="center"/>
              <w:rPr>
                <w:rFonts w:eastAsia="Times New Roman"/>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872620864"/>
        </w:trPr>
        <w:tc>
          <w:tcPr>
            <w:tcW w:w="0" w:type="auto"/>
            <w:gridSpan w:val="3"/>
            <w:shd w:val="clear" w:color="auto" w:fill="FFFFFF"/>
            <w:tcMar>
              <w:top w:w="30" w:type="dxa"/>
              <w:left w:w="20" w:type="dxa"/>
              <w:bottom w:w="30" w:type="dxa"/>
              <w:right w:w="20" w:type="dxa"/>
            </w:tcMar>
            <w:vAlign w:val="center"/>
            <w:hideMark/>
          </w:tcPr>
          <w:p w:rsidR="00000000" w:rsidRDefault="005048A7">
            <w:pPr>
              <w:spacing w:after="100"/>
              <w:rPr>
                <w:rFonts w:eastAsia="Times New Roman"/>
              </w:rPr>
            </w:pPr>
            <w:r>
              <w:rPr>
                <w:rFonts w:eastAsia="Times New Roman"/>
                <w:color w:val="000000"/>
                <w:sz w:val="20"/>
                <w:szCs w:val="20"/>
              </w:rPr>
              <w:t>Revenue</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048A7">
            <w:pPr>
              <w:spacing w:after="100"/>
              <w:jc w:val="right"/>
              <w:rPr>
                <w:rFonts w:eastAsia="Times New Roman"/>
              </w:rPr>
            </w:pPr>
            <w:r>
              <w:rPr>
                <w:rFonts w:eastAsia="Times New Roman"/>
                <w:b/>
                <w:bCs/>
                <w:color w:val="000000"/>
                <w:sz w:val="20"/>
                <w:szCs w:val="20"/>
              </w:rPr>
              <w:t>1,919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048A7">
            <w:pPr>
              <w:spacing w:after="100"/>
              <w:jc w:val="right"/>
              <w:rPr>
                <w:rFonts w:eastAsia="Times New Roman"/>
              </w:rPr>
            </w:pPr>
            <w:r>
              <w:rPr>
                <w:rFonts w:eastAsia="Times New Roman"/>
                <w:b/>
                <w:bCs/>
                <w:color w:val="000000"/>
                <w:sz w:val="20"/>
                <w:szCs w:val="20"/>
              </w:rPr>
              <w:t>3,703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048A7">
            <w:pPr>
              <w:spacing w:after="100"/>
              <w:jc w:val="right"/>
              <w:rPr>
                <w:rFonts w:eastAsia="Times New Roman"/>
              </w:rPr>
            </w:pPr>
          </w:p>
        </w:tc>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872620864"/>
        </w:trPr>
        <w:tc>
          <w:tcPr>
            <w:tcW w:w="0" w:type="auto"/>
            <w:gridSpan w:val="3"/>
            <w:shd w:val="clear" w:color="auto" w:fill="CCEEFF"/>
            <w:tcMar>
              <w:top w:w="30" w:type="dxa"/>
              <w:left w:w="20" w:type="dxa"/>
              <w:bottom w:w="30" w:type="dxa"/>
              <w:right w:w="20" w:type="dxa"/>
            </w:tcMar>
            <w:vAlign w:val="center"/>
            <w:hideMark/>
          </w:tcPr>
          <w:p w:rsidR="00000000" w:rsidRDefault="005048A7">
            <w:pPr>
              <w:spacing w:after="100"/>
              <w:rPr>
                <w:rFonts w:eastAsia="Times New Roman"/>
              </w:rPr>
            </w:pPr>
            <w:r>
              <w:rPr>
                <w:rFonts w:eastAsia="Times New Roman"/>
                <w:color w:val="000000"/>
                <w:sz w:val="20"/>
                <w:szCs w:val="20"/>
              </w:rPr>
              <w:t>Net Income attributable to NCR</w:t>
            </w: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bl>
    <w:p w:rsidR="00000000" w:rsidRDefault="005048A7">
      <w:pPr>
        <w:divId w:val="1592352803"/>
        <w:rPr>
          <w:rFonts w:eastAsia="Times New Roman"/>
        </w:rPr>
      </w:pPr>
    </w:p>
    <w:p w:rsidR="00000000" w:rsidRDefault="005048A7">
      <w:pPr>
        <w:jc w:val="both"/>
        <w:rPr>
          <w:rFonts w:eastAsia="Times New Roman"/>
        </w:rPr>
      </w:pPr>
      <w:r>
        <w:rPr>
          <w:rFonts w:eastAsia="Times New Roman"/>
          <w:color w:val="000000"/>
          <w:sz w:val="20"/>
          <w:szCs w:val="20"/>
        </w:rPr>
        <w:t>The unaudited pro forma results for the three months ended June 30, 2021 include:</w:t>
      </w:r>
    </w:p>
    <w:p w:rsidR="00000000" w:rsidRDefault="005048A7">
      <w:pPr>
        <w:ind w:hanging="360"/>
        <w:jc w:val="both"/>
        <w:rPr>
          <w:rFonts w:eastAsia="Times New Roman"/>
        </w:rPr>
      </w:pPr>
      <w:r>
        <w:rPr>
          <w:rFonts w:eastAsia="Times New Roman"/>
          <w:color w:val="000000"/>
          <w:sz w:val="20"/>
          <w:szCs w:val="20"/>
        </w:rPr>
        <w:t>•$24 million in eliminated intercompany revenue and cost between NCR and Cardtronics;</w:t>
      </w:r>
    </w:p>
    <w:p w:rsidR="00000000" w:rsidRDefault="005048A7">
      <w:pPr>
        <w:ind w:hanging="360"/>
        <w:jc w:val="both"/>
        <w:rPr>
          <w:rFonts w:eastAsia="Times New Roman"/>
        </w:rPr>
      </w:pPr>
      <w:r>
        <w:rPr>
          <w:rFonts w:eastAsia="Times New Roman"/>
          <w:color w:val="000000"/>
          <w:sz w:val="20"/>
          <w:szCs w:val="20"/>
        </w:rPr>
        <w:t>•$15 </w:t>
      </w:r>
      <w:r>
        <w:rPr>
          <w:rFonts w:eastAsia="Times New Roman"/>
          <w:color w:val="000000"/>
          <w:sz w:val="20"/>
          <w:szCs w:val="20"/>
        </w:rPr>
        <w:t>million, net of tax, in additional amortization expense for acquired intangible assets;</w:t>
      </w:r>
    </w:p>
    <w:p w:rsidR="00000000" w:rsidRDefault="005048A7">
      <w:pPr>
        <w:ind w:hanging="360"/>
        <w:jc w:val="both"/>
        <w:rPr>
          <w:rFonts w:eastAsia="Times New Roman"/>
        </w:rPr>
      </w:pPr>
      <w:r>
        <w:rPr>
          <w:rFonts w:eastAsia="Times New Roman"/>
          <w:color w:val="000000"/>
          <w:sz w:val="20"/>
          <w:szCs w:val="20"/>
        </w:rPr>
        <w:t>•$71 million, net of tax, in eliminated transaction costs as if those costs were incurred in the prior year period; and</w:t>
      </w:r>
    </w:p>
    <w:p w:rsidR="00000000" w:rsidRDefault="005048A7">
      <w:pPr>
        <w:ind w:hanging="360"/>
        <w:jc w:val="both"/>
        <w:rPr>
          <w:rFonts w:eastAsia="Times New Roman"/>
        </w:rPr>
      </w:pPr>
      <w:r>
        <w:rPr>
          <w:rFonts w:eastAsia="Times New Roman"/>
          <w:color w:val="000000"/>
          <w:sz w:val="20"/>
          <w:szCs w:val="20"/>
          <w:shd w:val="clear" w:color="auto" w:fill="FFFFFF"/>
        </w:rPr>
        <w:t>•</w:t>
      </w:r>
      <w:r>
        <w:rPr>
          <w:rFonts w:eastAsia="Times New Roman"/>
          <w:color w:val="000000"/>
          <w:sz w:val="20"/>
          <w:szCs w:val="20"/>
        </w:rPr>
        <w:t>$18 million, net of tax, in additional interest</w:t>
      </w:r>
      <w:r>
        <w:rPr>
          <w:rFonts w:eastAsia="Times New Roman"/>
          <w:color w:val="000000"/>
          <w:sz w:val="20"/>
          <w:szCs w:val="20"/>
        </w:rPr>
        <w:t xml:space="preserve"> expense from the incremental borrowings under the Senior Secured Credit Facility as well as the 5.125%</w:t>
      </w:r>
      <w:r>
        <w:rPr>
          <w:rFonts w:eastAsia="Times New Roman"/>
          <w:color w:val="000000"/>
          <w:sz w:val="20"/>
          <w:szCs w:val="20"/>
          <w:shd w:val="clear" w:color="auto" w:fill="FFFFFF"/>
        </w:rPr>
        <w:t xml:space="preserve"> senior notes</w:t>
      </w:r>
      <w:r>
        <w:rPr>
          <w:rFonts w:eastAsia="Times New Roman"/>
          <w:color w:val="000000"/>
          <w:sz w:val="20"/>
          <w:szCs w:val="20"/>
        </w:rPr>
        <w:t>.</w:t>
      </w: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center"/>
        <w:divId w:val="1307591566"/>
        <w:rPr>
          <w:rFonts w:eastAsia="Times New Roman"/>
        </w:rPr>
      </w:pPr>
      <w:r>
        <w:rPr>
          <w:rFonts w:eastAsia="Times New Roman"/>
          <w:color w:val="000000"/>
          <w:sz w:val="20"/>
          <w:szCs w:val="20"/>
        </w:rPr>
        <w:t>13</w:t>
      </w:r>
    </w:p>
    <w:p w:rsidR="00000000" w:rsidRDefault="005048A7">
      <w:pPr>
        <w:rPr>
          <w:rFonts w:eastAsia="Times New Roman"/>
        </w:rPr>
      </w:pPr>
      <w:r>
        <w:rPr>
          <w:rFonts w:eastAsia="Times New Roman"/>
        </w:rPr>
        <w:pict>
          <v:rect id="_x0000_i1038" style="width:0;height:1.5pt" o:hralign="center" o:hrstd="t" o:hr="t" fillcolor="#a0a0a0" stroked="f"/>
        </w:pict>
      </w:r>
    </w:p>
    <w:p w:rsidR="00000000" w:rsidRDefault="005048A7">
      <w:pPr>
        <w:ind w:firstLine="720"/>
        <w:divId w:val="1539315703"/>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3015982"/>
        <w:rPr>
          <w:rFonts w:eastAsia="Times New Roman"/>
        </w:rPr>
      </w:pPr>
      <w:r>
        <w:rPr>
          <w:rFonts w:eastAsia="Times New Roman"/>
          <w:b/>
          <w:bCs/>
          <w:color w:val="000000"/>
          <w:sz w:val="20"/>
          <w:szCs w:val="20"/>
        </w:rPr>
        <w:t>NCR Corporation</w:t>
      </w:r>
    </w:p>
    <w:p w:rsidR="00000000" w:rsidRDefault="005048A7">
      <w:pPr>
        <w:jc w:val="center"/>
        <w:divId w:val="3015982"/>
        <w:rPr>
          <w:rFonts w:eastAsia="Times New Roman"/>
        </w:rPr>
      </w:pPr>
      <w:r>
        <w:rPr>
          <w:rFonts w:eastAsia="Times New Roman"/>
          <w:b/>
          <w:bCs/>
          <w:color w:val="000000"/>
          <w:sz w:val="20"/>
          <w:szCs w:val="20"/>
        </w:rPr>
        <w:t>Notes to Condensed Consolidated Financial Statements (Unaudited)—(Continued)</w:t>
      </w:r>
    </w:p>
    <w:p w:rsidR="00000000" w:rsidRDefault="005048A7">
      <w:pPr>
        <w:jc w:val="both"/>
        <w:rPr>
          <w:rFonts w:eastAsia="Times New Roman"/>
        </w:rPr>
      </w:pPr>
      <w:r>
        <w:rPr>
          <w:rFonts w:eastAsia="Times New Roman"/>
          <w:color w:val="000000"/>
          <w:sz w:val="20"/>
          <w:szCs w:val="20"/>
        </w:rPr>
        <w:t>The unaudited pro forma results for the six months e</w:t>
      </w:r>
      <w:r>
        <w:rPr>
          <w:rFonts w:eastAsia="Times New Roman"/>
          <w:color w:val="000000"/>
          <w:sz w:val="20"/>
          <w:szCs w:val="20"/>
        </w:rPr>
        <w:t>nded June 30, 2021 include:</w:t>
      </w:r>
    </w:p>
    <w:p w:rsidR="00000000" w:rsidRDefault="005048A7">
      <w:pPr>
        <w:ind w:hanging="360"/>
        <w:jc w:val="both"/>
        <w:rPr>
          <w:rFonts w:eastAsia="Times New Roman"/>
        </w:rPr>
      </w:pPr>
      <w:r>
        <w:rPr>
          <w:rFonts w:eastAsia="Times New Roman"/>
          <w:color w:val="000000"/>
          <w:sz w:val="20"/>
          <w:szCs w:val="20"/>
        </w:rPr>
        <w:t>•$53 million in eliminated intercompany revenue and cost between NCR and Cardtronics;</w:t>
      </w:r>
    </w:p>
    <w:p w:rsidR="00000000" w:rsidRDefault="005048A7">
      <w:pPr>
        <w:ind w:hanging="360"/>
        <w:jc w:val="both"/>
        <w:rPr>
          <w:rFonts w:eastAsia="Times New Roman"/>
        </w:rPr>
      </w:pPr>
      <w:r>
        <w:rPr>
          <w:rFonts w:eastAsia="Times New Roman"/>
          <w:color w:val="000000"/>
          <w:sz w:val="20"/>
          <w:szCs w:val="20"/>
        </w:rPr>
        <w:t>•$25 million, net of tax, in additional amortization expense for acquired intangible assets;</w:t>
      </w:r>
    </w:p>
    <w:p w:rsidR="00000000" w:rsidRDefault="005048A7">
      <w:pPr>
        <w:ind w:hanging="360"/>
        <w:jc w:val="both"/>
        <w:rPr>
          <w:rFonts w:eastAsia="Times New Roman"/>
        </w:rPr>
      </w:pPr>
      <w:r>
        <w:rPr>
          <w:rFonts w:eastAsia="Times New Roman"/>
          <w:color w:val="000000"/>
          <w:sz w:val="20"/>
          <w:szCs w:val="20"/>
        </w:rPr>
        <w:t>•$87 million, net of tax, in eliminated transacti</w:t>
      </w:r>
      <w:r>
        <w:rPr>
          <w:rFonts w:eastAsia="Times New Roman"/>
          <w:color w:val="000000"/>
          <w:sz w:val="20"/>
          <w:szCs w:val="20"/>
        </w:rPr>
        <w:t>on costs as if those costs were incurred in the prior year period; and</w:t>
      </w:r>
    </w:p>
    <w:p w:rsidR="00000000" w:rsidRDefault="005048A7">
      <w:pPr>
        <w:ind w:hanging="360"/>
        <w:jc w:val="both"/>
        <w:rPr>
          <w:rFonts w:eastAsia="Times New Roman"/>
        </w:rPr>
      </w:pPr>
      <w:r>
        <w:rPr>
          <w:rFonts w:eastAsia="Times New Roman"/>
          <w:color w:val="000000"/>
          <w:sz w:val="20"/>
          <w:szCs w:val="20"/>
          <w:shd w:val="clear" w:color="auto" w:fill="FFFFFF"/>
        </w:rPr>
        <w:t>•</w:t>
      </w:r>
      <w:r>
        <w:rPr>
          <w:rFonts w:eastAsia="Times New Roman"/>
          <w:color w:val="000000"/>
          <w:sz w:val="20"/>
          <w:szCs w:val="20"/>
        </w:rPr>
        <w:t>$35 million, net of tax, in additional interest expense from the incremental borrowings under the Senior Secured Credit Facility as well as the 5.125%</w:t>
      </w:r>
      <w:r>
        <w:rPr>
          <w:rFonts w:eastAsia="Times New Roman"/>
          <w:color w:val="000000"/>
          <w:sz w:val="20"/>
          <w:szCs w:val="20"/>
          <w:shd w:val="clear" w:color="auto" w:fill="FFFFFF"/>
        </w:rPr>
        <w:t xml:space="preserve"> senior notes</w:t>
      </w:r>
      <w:r>
        <w:rPr>
          <w:rFonts w:eastAsia="Times New Roman"/>
          <w:color w:val="000000"/>
          <w:sz w:val="20"/>
          <w:szCs w:val="20"/>
        </w:rPr>
        <w:t>.</w:t>
      </w:r>
    </w:p>
    <w:p w:rsidR="00000000" w:rsidRDefault="005048A7">
      <w:pPr>
        <w:jc w:val="both"/>
        <w:rPr>
          <w:rFonts w:eastAsia="Times New Roman"/>
        </w:rPr>
      </w:pPr>
    </w:p>
    <w:p w:rsidR="00000000" w:rsidRDefault="005048A7">
      <w:pPr>
        <w:jc w:val="both"/>
        <w:rPr>
          <w:rFonts w:eastAsia="Times New Roman"/>
        </w:rPr>
      </w:pPr>
    </w:p>
    <w:p w:rsidR="00000000" w:rsidRDefault="005048A7">
      <w:pPr>
        <w:divId w:val="913320861"/>
        <w:rPr>
          <w:rFonts w:eastAsia="Times New Roman"/>
        </w:rPr>
      </w:pPr>
      <w:r>
        <w:rPr>
          <w:rFonts w:eastAsia="Times New Roman"/>
          <w:b/>
          <w:bCs/>
          <w:color w:val="54B948"/>
          <w:sz w:val="20"/>
          <w:szCs w:val="20"/>
        </w:rPr>
        <w:t>3. GOODWILL AND</w:t>
      </w:r>
      <w:r>
        <w:rPr>
          <w:rFonts w:eastAsia="Times New Roman"/>
          <w:b/>
          <w:bCs/>
          <w:color w:val="54B948"/>
          <w:sz w:val="20"/>
          <w:szCs w:val="20"/>
        </w:rPr>
        <w:t xml:space="preserve"> PURCHASED INTANGIBLE ASSETS</w:t>
      </w:r>
      <w:r>
        <w:rPr>
          <w:rFonts w:eastAsia="Times New Roman"/>
          <w:b/>
          <w:bCs/>
          <w:color w:val="000000"/>
          <w:sz w:val="20"/>
          <w:szCs w:val="20"/>
        </w:rPr>
        <w:t xml:space="preserve"> </w:t>
      </w:r>
    </w:p>
    <w:p w:rsidR="00000000" w:rsidRDefault="005048A7">
      <w:pPr>
        <w:divId w:val="1183592537"/>
        <w:rPr>
          <w:rFonts w:eastAsia="Times New Roman"/>
        </w:rPr>
      </w:pPr>
    </w:p>
    <w:p w:rsidR="00000000" w:rsidRDefault="005048A7">
      <w:pPr>
        <w:jc w:val="both"/>
        <w:rPr>
          <w:rFonts w:eastAsia="Times New Roman"/>
        </w:rPr>
      </w:pPr>
      <w:r>
        <w:rPr>
          <w:rFonts w:eastAsia="Times New Roman"/>
          <w:i/>
          <w:iCs/>
          <w:color w:val="000000"/>
          <w:sz w:val="20"/>
          <w:szCs w:val="20"/>
        </w:rPr>
        <w:t xml:space="preserve">Goodwill by Segment </w:t>
      </w:r>
      <w:r>
        <w:rPr>
          <w:rFonts w:eastAsia="Times New Roman"/>
          <w:color w:val="000000"/>
          <w:sz w:val="20"/>
          <w:szCs w:val="20"/>
        </w:rPr>
        <w:t>As described in Note 1, “Basis of Presentation and Summary of Significant Accounting Policies”, effective January 1, 2022, the Company realigned its reportable segments to correspond with changes to its o</w:t>
      </w:r>
      <w:r>
        <w:rPr>
          <w:rFonts w:eastAsia="Times New Roman"/>
          <w:color w:val="000000"/>
          <w:sz w:val="20"/>
          <w:szCs w:val="20"/>
        </w:rPr>
        <w:t>perating model, management structure and organizational responsibilities. In connection with the change in reportable segments, during the first quarter of 2022, the Company determined its reporting units and then assigned goodwill to the new reporting uni</w:t>
      </w:r>
      <w:r>
        <w:rPr>
          <w:rFonts w:eastAsia="Times New Roman"/>
          <w:color w:val="000000"/>
          <w:sz w:val="20"/>
          <w:szCs w:val="20"/>
        </w:rPr>
        <w:t>ts based on the relative fair value allocation approach. We have reclassified prior period goodwill disclosures to conform to the current period presentation.</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 carrying amounts of goodwill by segment as of June 30, 2022 and December 31, 2021 are inclu</w:t>
      </w:r>
      <w:r>
        <w:rPr>
          <w:rFonts w:eastAsia="Times New Roman"/>
          <w:color w:val="000000"/>
          <w:sz w:val="20"/>
          <w:szCs w:val="20"/>
        </w:rPr>
        <w:t>ded in the table below. Foreign currency fluctuations are included within other adjustments</w:t>
      </w:r>
      <w:r>
        <w:rPr>
          <w:rFonts w:eastAsia="Times New Roman"/>
          <w:color w:val="000000"/>
          <w:sz w:val="16"/>
          <w:szCs w:val="16"/>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49"/>
        <w:gridCol w:w="876"/>
        <w:gridCol w:w="37"/>
        <w:gridCol w:w="121"/>
        <w:gridCol w:w="581"/>
        <w:gridCol w:w="36"/>
        <w:gridCol w:w="121"/>
        <w:gridCol w:w="846"/>
        <w:gridCol w:w="36"/>
        <w:gridCol w:w="120"/>
        <w:gridCol w:w="500"/>
        <w:gridCol w:w="36"/>
        <w:gridCol w:w="36"/>
        <w:gridCol w:w="36"/>
        <w:gridCol w:w="36"/>
        <w:gridCol w:w="36"/>
        <w:gridCol w:w="36"/>
        <w:gridCol w:w="121"/>
        <w:gridCol w:w="606"/>
        <w:gridCol w:w="36"/>
        <w:gridCol w:w="36"/>
        <w:gridCol w:w="36"/>
        <w:gridCol w:w="36"/>
        <w:gridCol w:w="121"/>
        <w:gridCol w:w="763"/>
        <w:gridCol w:w="36"/>
        <w:gridCol w:w="36"/>
        <w:gridCol w:w="36"/>
        <w:gridCol w:w="36"/>
        <w:gridCol w:w="121"/>
        <w:gridCol w:w="370"/>
        <w:gridCol w:w="36"/>
        <w:gridCol w:w="36"/>
        <w:gridCol w:w="36"/>
        <w:gridCol w:w="36"/>
        <w:gridCol w:w="121"/>
        <w:gridCol w:w="576"/>
        <w:gridCol w:w="36"/>
        <w:gridCol w:w="121"/>
        <w:gridCol w:w="846"/>
        <w:gridCol w:w="36"/>
        <w:gridCol w:w="120"/>
        <w:gridCol w:w="500"/>
        <w:gridCol w:w="36"/>
      </w:tblGrid>
      <w:tr w:rsidR="00000000">
        <w:trPr>
          <w:divId w:val="1345784418"/>
          <w:jc w:val="center"/>
        </w:trPr>
        <w:tc>
          <w:tcPr>
            <w:tcW w:w="50" w:type="pct"/>
            <w:vAlign w:val="center"/>
            <w:hideMark/>
          </w:tcPr>
          <w:p w:rsidR="00000000" w:rsidRDefault="005048A7">
            <w:pPr>
              <w:jc w:val="both"/>
              <w:rPr>
                <w:rFonts w:eastAsia="Times New Roman"/>
              </w:rPr>
            </w:pPr>
          </w:p>
        </w:tc>
        <w:tc>
          <w:tcPr>
            <w:tcW w:w="90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39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6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39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33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0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25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36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6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32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1345784418"/>
          <w:jc w:val="center"/>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June 30, 2022</w:t>
            </w:r>
          </w:p>
        </w:tc>
      </w:tr>
      <w:tr w:rsidR="00000000">
        <w:trPr>
          <w:divId w:val="1345784418"/>
          <w:jc w:val="center"/>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Goodwill</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Accumulated Impairment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Additions</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Impairment</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Other</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Goodwill</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Accumulated Impairment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Total</w:t>
            </w:r>
          </w:p>
        </w:tc>
      </w:tr>
      <w:tr w:rsidR="00000000">
        <w:trPr>
          <w:divId w:val="1345784418"/>
          <w:jc w:val="center"/>
        </w:trPr>
        <w:tc>
          <w:tcPr>
            <w:tcW w:w="0" w:type="auto"/>
            <w:gridSpan w:val="3"/>
            <w:vAlign w:val="center"/>
            <w:hideMark/>
          </w:tcPr>
          <w:p w:rsidR="00000000" w:rsidRDefault="005048A7">
            <w:pPr>
              <w:spacing w:after="100"/>
              <w:jc w:val="center"/>
              <w:rPr>
                <w:rFonts w:eastAsia="Times New Roman"/>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5048A7">
        <w:trPr>
          <w:divId w:val="1345784418"/>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Payments &amp; Network</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988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988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345784418"/>
          <w:jc w:val="center"/>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Digital Banking</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345784418"/>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Self-Service Banking</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1,635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(101)</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1,534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1,643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(101)</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1,542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345784418"/>
          <w:jc w:val="center"/>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 xml:space="preserve">Retail </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981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972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345784418"/>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Hospitality</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345784418"/>
          <w:jc w:val="center"/>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divId w:val="1261912265"/>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5048A7">
        <w:trPr>
          <w:divId w:val="1345784418"/>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Total goodwill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4,688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(169)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4,519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4,744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(169)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4,575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Other segment includes the goodwill associated with ou</w:t>
      </w:r>
      <w:r>
        <w:rPr>
          <w:rFonts w:eastAsia="Times New Roman"/>
          <w:color w:val="000000"/>
          <w:sz w:val="18"/>
          <w:szCs w:val="18"/>
        </w:rPr>
        <w:t>r Technology &amp; Telecommunications reporting unit.</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Additions during the first half of 2022 include immaterial purchase accounting adjustments related to the Cardtronics acquisition as well as the goodwill acquired through the LibertyX transaction on January 5, 2022. For additional information on these busi</w:t>
      </w:r>
      <w:r>
        <w:rPr>
          <w:rFonts w:eastAsia="Times New Roman"/>
          <w:color w:val="000000"/>
          <w:sz w:val="20"/>
          <w:szCs w:val="20"/>
        </w:rPr>
        <w:t>ness combinations, refer to Note 2, “Business Combinations”.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Due to the change in reportable segments, management performed an interim goodwill impairment analysis immediately before and as of the effective date of January 1, 2022. The assessment as of D</w:t>
      </w:r>
      <w:r>
        <w:rPr>
          <w:rFonts w:eastAsia="Times New Roman"/>
          <w:color w:val="000000"/>
          <w:sz w:val="20"/>
          <w:szCs w:val="20"/>
        </w:rPr>
        <w:t>ecember 31, 2021 was performed based on a qualitative assessment of the historical Banking, Retail, Hospitality and Telecommunications &amp; Technology reporting units. No impairment was identified. The assessment as of January 1, 2022 was performed using a we</w:t>
      </w:r>
      <w:r>
        <w:rPr>
          <w:rFonts w:eastAsia="Times New Roman"/>
          <w:color w:val="000000"/>
          <w:sz w:val="20"/>
          <w:szCs w:val="20"/>
        </w:rPr>
        <w:t>ighted combination of both guideline public company and discounted cash flow valuation methods. This assessment included, but was not limited to, our consideration of the potential impacts of the COVID-19 pandemic to the current and future cash flows, as w</w:t>
      </w:r>
      <w:r>
        <w:rPr>
          <w:rFonts w:eastAsia="Times New Roman"/>
          <w:color w:val="000000"/>
          <w:sz w:val="20"/>
          <w:szCs w:val="20"/>
        </w:rPr>
        <w:t>ell as macroeconomic conditions, industry and market considerations, and financial performance, including forecasted revenue, earnings and capital expenditures of each reporting unit. Based on this analysis, it was determined that the fair value of all rep</w:t>
      </w:r>
      <w:r>
        <w:rPr>
          <w:rFonts w:eastAsia="Times New Roman"/>
          <w:color w:val="000000"/>
          <w:sz w:val="20"/>
          <w:szCs w:val="20"/>
        </w:rPr>
        <w:t>orting units were substantially in excess of the carrying value. However, if the actual results differ from our expectations for any of our reporting units, there is a possibility we would have to perform additional interim impairment tests, which could le</w:t>
      </w:r>
      <w:r>
        <w:rPr>
          <w:rFonts w:eastAsia="Times New Roman"/>
          <w:color w:val="000000"/>
          <w:sz w:val="20"/>
          <w:szCs w:val="20"/>
        </w:rPr>
        <w:t>ad to an impairment of goodwill or other assets.</w:t>
      </w: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center"/>
        <w:divId w:val="1373116230"/>
        <w:rPr>
          <w:rFonts w:eastAsia="Times New Roman"/>
        </w:rPr>
      </w:pPr>
      <w:r>
        <w:rPr>
          <w:rFonts w:eastAsia="Times New Roman"/>
          <w:color w:val="000000"/>
          <w:sz w:val="20"/>
          <w:szCs w:val="20"/>
        </w:rPr>
        <w:t>14</w:t>
      </w:r>
    </w:p>
    <w:p w:rsidR="00000000" w:rsidRDefault="005048A7">
      <w:pPr>
        <w:rPr>
          <w:rFonts w:eastAsia="Times New Roman"/>
        </w:rPr>
      </w:pPr>
      <w:r>
        <w:rPr>
          <w:rFonts w:eastAsia="Times New Roman"/>
        </w:rPr>
        <w:pict>
          <v:rect id="_x0000_i1039" style="width:0;height:1.5pt" o:hralign="center" o:hrstd="t" o:hr="t" fillcolor="#a0a0a0" stroked="f"/>
        </w:pict>
      </w:r>
    </w:p>
    <w:p w:rsidR="00000000" w:rsidRDefault="005048A7">
      <w:pPr>
        <w:ind w:firstLine="720"/>
        <w:divId w:val="1971352768"/>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135343484"/>
        <w:rPr>
          <w:rFonts w:eastAsia="Times New Roman"/>
        </w:rPr>
      </w:pPr>
      <w:r>
        <w:rPr>
          <w:rFonts w:eastAsia="Times New Roman"/>
          <w:b/>
          <w:bCs/>
          <w:color w:val="000000"/>
          <w:sz w:val="20"/>
          <w:szCs w:val="20"/>
        </w:rPr>
        <w:t>NCR Corporation</w:t>
      </w:r>
    </w:p>
    <w:p w:rsidR="00000000" w:rsidRDefault="005048A7">
      <w:pPr>
        <w:jc w:val="center"/>
        <w:divId w:val="135343484"/>
        <w:rPr>
          <w:rFonts w:eastAsia="Times New Roman"/>
        </w:rPr>
      </w:pPr>
      <w:r>
        <w:rPr>
          <w:rFonts w:eastAsia="Times New Roman"/>
          <w:b/>
          <w:bCs/>
          <w:color w:val="000000"/>
          <w:sz w:val="20"/>
          <w:szCs w:val="20"/>
        </w:rPr>
        <w:t>Notes to Condensed Consolidated Financial Statements (Unaudited)—(Continued)</w:t>
      </w:r>
    </w:p>
    <w:p w:rsidR="00000000" w:rsidRDefault="005048A7">
      <w:pPr>
        <w:jc w:val="both"/>
        <w:rPr>
          <w:rFonts w:eastAsia="Times New Roman"/>
        </w:rPr>
      </w:pPr>
      <w:r>
        <w:rPr>
          <w:rFonts w:eastAsia="Times New Roman"/>
          <w:i/>
          <w:iCs/>
          <w:color w:val="000000"/>
          <w:sz w:val="20"/>
          <w:szCs w:val="20"/>
        </w:rPr>
        <w:t xml:space="preserve">Identifiable Intangible Assets </w:t>
      </w:r>
      <w:r>
        <w:rPr>
          <w:rFonts w:eastAsia="Times New Roman"/>
          <w:color w:val="000000"/>
          <w:sz w:val="20"/>
          <w:szCs w:val="20"/>
        </w:rPr>
        <w:t>NCR's purchased intan</w:t>
      </w:r>
      <w:r>
        <w:rPr>
          <w:rFonts w:eastAsia="Times New Roman"/>
          <w:color w:val="000000"/>
          <w:sz w:val="20"/>
          <w:szCs w:val="20"/>
        </w:rPr>
        <w:t>gible assets, reported in Intangibles, net in the Condensed Consolidated Balance Sheets, were specifically identified when acquired, and are deemed to have finite lives. The gross carrying amount and accumulated amortization for NCR’s identifiable intangib</w:t>
      </w:r>
      <w:r>
        <w:rPr>
          <w:rFonts w:eastAsia="Times New Roman"/>
          <w:color w:val="000000"/>
          <w:sz w:val="20"/>
          <w:szCs w:val="20"/>
        </w:rPr>
        <w:t xml:space="preserve">le assets were as set forth in the table below. </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2969"/>
        <w:gridCol w:w="36"/>
        <w:gridCol w:w="81"/>
        <w:gridCol w:w="867"/>
        <w:gridCol w:w="36"/>
        <w:gridCol w:w="36"/>
        <w:gridCol w:w="36"/>
        <w:gridCol w:w="36"/>
        <w:gridCol w:w="121"/>
        <w:gridCol w:w="742"/>
        <w:gridCol w:w="36"/>
        <w:gridCol w:w="36"/>
        <w:gridCol w:w="36"/>
        <w:gridCol w:w="36"/>
        <w:gridCol w:w="121"/>
        <w:gridCol w:w="867"/>
        <w:gridCol w:w="36"/>
        <w:gridCol w:w="36"/>
        <w:gridCol w:w="36"/>
        <w:gridCol w:w="36"/>
        <w:gridCol w:w="121"/>
        <w:gridCol w:w="701"/>
        <w:gridCol w:w="36"/>
        <w:gridCol w:w="36"/>
        <w:gridCol w:w="36"/>
        <w:gridCol w:w="36"/>
        <w:gridCol w:w="121"/>
        <w:gridCol w:w="872"/>
        <w:gridCol w:w="36"/>
      </w:tblGrid>
      <w:tr w:rsidR="00000000">
        <w:trPr>
          <w:jc w:val="center"/>
        </w:trPr>
        <w:tc>
          <w:tcPr>
            <w:tcW w:w="50" w:type="pct"/>
            <w:vAlign w:val="center"/>
            <w:hideMark/>
          </w:tcPr>
          <w:p w:rsidR="00000000" w:rsidRDefault="005048A7">
            <w:pPr>
              <w:jc w:val="both"/>
              <w:rPr>
                <w:rFonts w:eastAsia="Times New Roman"/>
              </w:rPr>
            </w:pPr>
          </w:p>
        </w:tc>
        <w:tc>
          <w:tcPr>
            <w:tcW w:w="182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1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6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 xml:space="preserve">Amortization </w:t>
            </w:r>
            <w:r>
              <w:rPr>
                <w:rFonts w:eastAsia="Times New Roman"/>
                <w:b/>
                <w:bCs/>
                <w:color w:val="000000"/>
                <w:sz w:val="16"/>
                <w:szCs w:val="16"/>
              </w:rPr>
              <w:br/>
              <w:t>Period</w:t>
            </w:r>
            <w:r>
              <w:rPr>
                <w:rFonts w:eastAsia="Times New Roman"/>
                <w:b/>
                <w:bCs/>
                <w:color w:val="000000"/>
                <w:sz w:val="16"/>
                <w:szCs w:val="16"/>
              </w:rPr>
              <w:br/>
              <w:t>(in Years)</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December 31, 2021</w:t>
            </w:r>
          </w:p>
        </w:tc>
      </w:tr>
      <w:tr w:rsidR="00000000">
        <w:trPr>
          <w:trHeight w:val="580"/>
          <w:jc w:val="center"/>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vMerge/>
            <w:vAlign w:val="center"/>
            <w:hideMark/>
          </w:tcPr>
          <w:p w:rsidR="00000000" w:rsidRDefault="005048A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Gross Carrying 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Accumulated Amortization</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Gross Carrying 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Accumulated Amortization</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Identifiable intangible assets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Reseller &amp; customer relationships</w:t>
            </w: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color w:val="000000"/>
                <w:sz w:val="20"/>
                <w:szCs w:val="20"/>
              </w:rPr>
              <w:t>1 - 20</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1,121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(429)</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1,126 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(391)</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Intellectual property</w:t>
            </w: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color w:val="000000"/>
                <w:sz w:val="20"/>
                <w:szCs w:val="20"/>
              </w:rPr>
              <w:t>2 - 8</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(516)</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1,008 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(474)</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Customer contracts</w:t>
            </w: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color w:val="000000"/>
                <w:sz w:val="20"/>
                <w:szCs w:val="20"/>
              </w:rPr>
              <w:t>8</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(89)</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(89)</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Tradenames</w:t>
            </w: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color w:val="000000"/>
                <w:sz w:val="20"/>
                <w:szCs w:val="20"/>
              </w:rPr>
              <w:t>1 - 10</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(89)</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(83)</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Total identifiable intangible assets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2,373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(1,123)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2,353 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(1,037)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Amortization expense related to identifiable intangible assets for the following periods is:.</w:t>
      </w:r>
    </w:p>
    <w:tbl>
      <w:tblPr>
        <w:tblW w:w="5000" w:type="pct"/>
        <w:tblCellMar>
          <w:top w:w="15" w:type="dxa"/>
          <w:left w:w="15" w:type="dxa"/>
          <w:bottom w:w="15" w:type="dxa"/>
          <w:right w:w="15" w:type="dxa"/>
        </w:tblCellMar>
        <w:tblLook w:val="04A0" w:firstRow="1" w:lastRow="0" w:firstColumn="1" w:lastColumn="0" w:noHBand="0" w:noVBand="1"/>
      </w:tblPr>
      <w:tblGrid>
        <w:gridCol w:w="38"/>
        <w:gridCol w:w="2737"/>
        <w:gridCol w:w="36"/>
        <w:gridCol w:w="36"/>
        <w:gridCol w:w="36"/>
        <w:gridCol w:w="36"/>
        <w:gridCol w:w="120"/>
        <w:gridCol w:w="1126"/>
        <w:gridCol w:w="36"/>
        <w:gridCol w:w="36"/>
        <w:gridCol w:w="36"/>
        <w:gridCol w:w="36"/>
        <w:gridCol w:w="120"/>
        <w:gridCol w:w="1059"/>
        <w:gridCol w:w="36"/>
        <w:gridCol w:w="36"/>
        <w:gridCol w:w="36"/>
        <w:gridCol w:w="36"/>
        <w:gridCol w:w="120"/>
        <w:gridCol w:w="1127"/>
        <w:gridCol w:w="36"/>
        <w:gridCol w:w="36"/>
        <w:gridCol w:w="36"/>
        <w:gridCol w:w="36"/>
        <w:gridCol w:w="120"/>
        <w:gridCol w:w="1127"/>
        <w:gridCol w:w="36"/>
      </w:tblGrid>
      <w:tr w:rsidR="00000000">
        <w:tc>
          <w:tcPr>
            <w:tcW w:w="50" w:type="pct"/>
            <w:vAlign w:val="center"/>
            <w:hideMark/>
          </w:tcPr>
          <w:p w:rsidR="00000000" w:rsidRDefault="005048A7">
            <w:pPr>
              <w:jc w:val="both"/>
              <w:rPr>
                <w:rFonts w:eastAsia="Times New Roman"/>
              </w:rPr>
            </w:pPr>
          </w:p>
        </w:tc>
        <w:tc>
          <w:tcPr>
            <w:tcW w:w="171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2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2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2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2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r>
      <w:tr w:rsidR="00000000">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r>
      <w:tr w:rsidR="00000000">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Amortization expense</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 estimated aggregate amortization expense for identifiable intangible assets for the follow</w:t>
      </w:r>
      <w:r>
        <w:rPr>
          <w:rFonts w:eastAsia="Times New Roman"/>
          <w:color w:val="000000"/>
          <w:sz w:val="20"/>
          <w:szCs w:val="20"/>
        </w:rPr>
        <w:t xml:space="preserve">ing periods is: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374"/>
        <w:gridCol w:w="36"/>
        <w:gridCol w:w="121"/>
        <w:gridCol w:w="877"/>
        <w:gridCol w:w="36"/>
        <w:gridCol w:w="36"/>
        <w:gridCol w:w="36"/>
        <w:gridCol w:w="36"/>
        <w:gridCol w:w="120"/>
        <w:gridCol w:w="695"/>
        <w:gridCol w:w="36"/>
        <w:gridCol w:w="36"/>
        <w:gridCol w:w="36"/>
        <w:gridCol w:w="36"/>
        <w:gridCol w:w="120"/>
        <w:gridCol w:w="695"/>
        <w:gridCol w:w="36"/>
        <w:gridCol w:w="36"/>
        <w:gridCol w:w="36"/>
        <w:gridCol w:w="36"/>
        <w:gridCol w:w="120"/>
        <w:gridCol w:w="695"/>
        <w:gridCol w:w="36"/>
        <w:gridCol w:w="36"/>
        <w:gridCol w:w="36"/>
        <w:gridCol w:w="36"/>
        <w:gridCol w:w="120"/>
        <w:gridCol w:w="720"/>
        <w:gridCol w:w="36"/>
        <w:gridCol w:w="36"/>
        <w:gridCol w:w="36"/>
        <w:gridCol w:w="36"/>
        <w:gridCol w:w="120"/>
        <w:gridCol w:w="699"/>
        <w:gridCol w:w="36"/>
      </w:tblGrid>
      <w:tr w:rsidR="00000000">
        <w:trPr>
          <w:jc w:val="center"/>
        </w:trPr>
        <w:tc>
          <w:tcPr>
            <w:tcW w:w="50" w:type="pct"/>
            <w:vAlign w:val="center"/>
            <w:hideMark/>
          </w:tcPr>
          <w:p w:rsidR="00000000" w:rsidRDefault="005048A7">
            <w:pPr>
              <w:jc w:val="both"/>
              <w:rPr>
                <w:rFonts w:eastAsia="Times New Roman"/>
              </w:rPr>
            </w:pPr>
          </w:p>
        </w:tc>
        <w:tc>
          <w:tcPr>
            <w:tcW w:w="146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5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7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7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7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9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7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For the years ended December 31</w:t>
            </w:r>
          </w:p>
        </w:tc>
      </w:tr>
      <w:tr w:rsidR="00000000">
        <w:trPr>
          <w:jc w:val="center"/>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Remainder of 2022</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2025</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2027</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Amortization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center"/>
        <w:rPr>
          <w:rFonts w:eastAsia="Times New Roman"/>
        </w:rPr>
      </w:pPr>
      <w:r>
        <w:rPr>
          <w:rFonts w:eastAsia="Times New Roman"/>
          <w:color w:val="000000"/>
          <w:sz w:val="20"/>
          <w:szCs w:val="20"/>
        </w:rPr>
        <w:t>    </w:t>
      </w:r>
    </w:p>
    <w:p w:rsidR="00000000" w:rsidRDefault="005048A7">
      <w:pPr>
        <w:divId w:val="1195845981"/>
        <w:rPr>
          <w:rFonts w:eastAsia="Times New Roman"/>
        </w:rPr>
      </w:pPr>
    </w:p>
    <w:p w:rsidR="00000000" w:rsidRDefault="005048A7">
      <w:pPr>
        <w:divId w:val="1602444796"/>
        <w:rPr>
          <w:rFonts w:eastAsia="Times New Roman"/>
        </w:rPr>
      </w:pPr>
      <w:r>
        <w:rPr>
          <w:rFonts w:eastAsia="Times New Roman"/>
          <w:b/>
          <w:bCs/>
          <w:color w:val="54B948"/>
          <w:sz w:val="20"/>
          <w:szCs w:val="20"/>
        </w:rPr>
        <w:t>4. SEGMENT INFORMATION AND CONCENTRATIONS</w:t>
      </w:r>
    </w:p>
    <w:p w:rsidR="00000000" w:rsidRDefault="005048A7">
      <w:pPr>
        <w:divId w:val="861938602"/>
        <w:rPr>
          <w:rFonts w:eastAsia="Times New Roman"/>
        </w:rPr>
      </w:pPr>
    </w:p>
    <w:p w:rsidR="00000000" w:rsidRDefault="005048A7">
      <w:pPr>
        <w:jc w:val="both"/>
        <w:rPr>
          <w:rFonts w:eastAsia="Times New Roman"/>
        </w:rPr>
      </w:pPr>
      <w:r>
        <w:rPr>
          <w:rFonts w:eastAsia="Times New Roman"/>
          <w:color w:val="000000"/>
          <w:sz w:val="20"/>
          <w:szCs w:val="20"/>
        </w:rPr>
        <w:t>As described in Note 1, “</w:t>
      </w:r>
      <w:r>
        <w:rPr>
          <w:rFonts w:eastAsia="Times New Roman"/>
          <w:color w:val="000000"/>
          <w:sz w:val="20"/>
          <w:szCs w:val="20"/>
        </w:rPr>
        <w:t xml:space="preserve">Basis of Presentation and Summary of Significant Accounting Policies”, effective January 1, 2022, the Company realigned its reportable segments to correspond with changes to its operating model, management structure and organizational responsibilities. We </w:t>
      </w:r>
      <w:r>
        <w:rPr>
          <w:rFonts w:eastAsia="Times New Roman"/>
          <w:color w:val="000000"/>
          <w:sz w:val="20"/>
          <w:szCs w:val="20"/>
        </w:rPr>
        <w:t>have reclassified prior period segment disclosures to conform to the current period presentation. As a result of the change, the Company manages and reports the following segments:</w:t>
      </w:r>
    </w:p>
    <w:p w:rsidR="00000000" w:rsidRDefault="005048A7">
      <w:pPr>
        <w:jc w:val="both"/>
        <w:rPr>
          <w:rFonts w:eastAsia="Times New Roman"/>
        </w:rPr>
      </w:pPr>
    </w:p>
    <w:p w:rsidR="00000000" w:rsidRDefault="005048A7">
      <w:pPr>
        <w:ind w:hanging="360"/>
        <w:jc w:val="both"/>
        <w:rPr>
          <w:rFonts w:eastAsia="Times New Roman"/>
        </w:rPr>
      </w:pPr>
      <w:r>
        <w:rPr>
          <w:rFonts w:eastAsia="Times New Roman"/>
          <w:i/>
          <w:iCs/>
          <w:color w:val="000000"/>
          <w:sz w:val="20"/>
          <w:szCs w:val="20"/>
        </w:rPr>
        <w:t>•Payments &amp; Network</w:t>
      </w:r>
      <w:r>
        <w:rPr>
          <w:rFonts w:eastAsia="Times New Roman"/>
          <w:color w:val="000000"/>
          <w:sz w:val="20"/>
          <w:szCs w:val="20"/>
        </w:rPr>
        <w:t xml:space="preserve"> - </w:t>
      </w:r>
      <w:r>
        <w:rPr>
          <w:rFonts w:eastAsia="Times New Roman"/>
          <w:color w:val="0E101A"/>
          <w:sz w:val="20"/>
          <w:szCs w:val="20"/>
        </w:rPr>
        <w:t>We provide a cost-effective way for financial insti</w:t>
      </w:r>
      <w:r>
        <w:rPr>
          <w:rFonts w:eastAsia="Times New Roman"/>
          <w:color w:val="0E101A"/>
          <w:sz w:val="20"/>
          <w:szCs w:val="20"/>
        </w:rPr>
        <w:t xml:space="preserve">tutions, fintechs, and neobanks to reach and serve their customers through our network of automated teller machines ("ATMs") and multi-functioning financial services kiosks. </w:t>
      </w:r>
      <w:r>
        <w:rPr>
          <w:rFonts w:eastAsia="Times New Roman"/>
          <w:color w:val="000000"/>
          <w:sz w:val="20"/>
          <w:szCs w:val="20"/>
        </w:rPr>
        <w:t>We offer credit unions, banks, digital banks, fintechs, stored-value debit card is</w:t>
      </w:r>
      <w:r>
        <w:rPr>
          <w:rFonts w:eastAsia="Times New Roman"/>
          <w:color w:val="000000"/>
          <w:sz w:val="20"/>
          <w:szCs w:val="20"/>
        </w:rPr>
        <w:t>suers, and other consumer financial services providers access to our Allpoint retail-based ATM network, providing convenient and fee-free cash withdrawal and deposit access to their customers and cardholders as well as</w:t>
      </w:r>
      <w:r>
        <w:rPr>
          <w:rFonts w:eastAsia="Times New Roman"/>
          <w:color w:val="0E101A"/>
          <w:sz w:val="20"/>
          <w:szCs w:val="20"/>
        </w:rPr>
        <w:t xml:space="preserve"> the ability to convert a digital valu</w:t>
      </w:r>
      <w:r>
        <w:rPr>
          <w:rFonts w:eastAsia="Times New Roman"/>
          <w:color w:val="0E101A"/>
          <w:sz w:val="20"/>
          <w:szCs w:val="20"/>
        </w:rPr>
        <w:t xml:space="preserve">e to cash, or vice versa, via NCRPay360. We also provide ATM branding, management and services to financial institutions and businesses. </w:t>
      </w:r>
    </w:p>
    <w:p w:rsidR="00000000" w:rsidRDefault="005048A7">
      <w:pPr>
        <w:jc w:val="both"/>
        <w:rPr>
          <w:rFonts w:eastAsia="Times New Roman"/>
        </w:rPr>
      </w:pPr>
    </w:p>
    <w:p w:rsidR="00000000" w:rsidRDefault="005048A7">
      <w:pPr>
        <w:ind w:hanging="360"/>
        <w:jc w:val="both"/>
        <w:rPr>
          <w:rFonts w:eastAsia="Times New Roman"/>
        </w:rPr>
      </w:pPr>
      <w:r>
        <w:rPr>
          <w:rFonts w:eastAsia="Times New Roman"/>
          <w:i/>
          <w:iCs/>
          <w:color w:val="000000"/>
          <w:sz w:val="20"/>
          <w:szCs w:val="20"/>
        </w:rPr>
        <w:t>•Digital Banking</w:t>
      </w:r>
      <w:r>
        <w:rPr>
          <w:rFonts w:eastAsia="Times New Roman"/>
          <w:color w:val="000000"/>
          <w:sz w:val="20"/>
          <w:szCs w:val="20"/>
        </w:rPr>
        <w:t xml:space="preserve"> - NCR Digital Banking helps financial institutions implement their digital-first platform strategy </w:t>
      </w:r>
      <w:r>
        <w:rPr>
          <w:rFonts w:eastAsia="Times New Roman"/>
          <w:color w:val="000000"/>
          <w:sz w:val="20"/>
          <w:szCs w:val="20"/>
        </w:rPr>
        <w:t xml:space="preserve">by providing solutions for account opening, account management, transaction processing, imaging, and branch services to enable financial institutions to offer a compelling customer experience. </w:t>
      </w:r>
    </w:p>
    <w:p w:rsidR="00000000" w:rsidRDefault="005048A7">
      <w:pPr>
        <w:jc w:val="both"/>
        <w:rPr>
          <w:rFonts w:eastAsia="Times New Roman"/>
        </w:rPr>
      </w:pPr>
    </w:p>
    <w:p w:rsidR="00000000" w:rsidRDefault="005048A7">
      <w:pPr>
        <w:ind w:hanging="360"/>
        <w:jc w:val="both"/>
        <w:rPr>
          <w:rFonts w:eastAsia="Times New Roman"/>
        </w:rPr>
      </w:pPr>
      <w:r>
        <w:rPr>
          <w:rFonts w:eastAsia="Times New Roman"/>
          <w:i/>
          <w:iCs/>
          <w:color w:val="000000"/>
          <w:sz w:val="20"/>
          <w:szCs w:val="20"/>
        </w:rPr>
        <w:t>•Self-Service Banking</w:t>
      </w:r>
      <w:r>
        <w:rPr>
          <w:rFonts w:eastAsia="Times New Roman"/>
          <w:color w:val="000000"/>
          <w:sz w:val="20"/>
          <w:szCs w:val="20"/>
        </w:rPr>
        <w:t xml:space="preserve"> - We offer solutions to enable custome</w:t>
      </w:r>
      <w:r>
        <w:rPr>
          <w:rFonts w:eastAsia="Times New Roman"/>
          <w:color w:val="000000"/>
          <w:sz w:val="20"/>
          <w:szCs w:val="20"/>
        </w:rPr>
        <w:t>rs in the financial services industry to reduce costs, generate new revenue streams and enhance customer loyalty. These solutions include a comprehensive line of ATM hardware and software, and related installation, maintenance, and managed and professional</w:t>
      </w:r>
      <w:r>
        <w:rPr>
          <w:rFonts w:eastAsia="Times New Roman"/>
          <w:color w:val="000000"/>
          <w:sz w:val="20"/>
          <w:szCs w:val="20"/>
        </w:rPr>
        <w:t xml:space="preserve"> services. </w:t>
      </w:r>
    </w:p>
    <w:p w:rsidR="00000000" w:rsidRDefault="005048A7">
      <w:pPr>
        <w:jc w:val="both"/>
        <w:rPr>
          <w:rFonts w:eastAsia="Times New Roman"/>
        </w:rPr>
      </w:pPr>
    </w:p>
    <w:p w:rsidR="00000000" w:rsidRDefault="005048A7">
      <w:pPr>
        <w:ind w:hanging="360"/>
        <w:jc w:val="both"/>
        <w:rPr>
          <w:rFonts w:eastAsia="Times New Roman"/>
        </w:rPr>
      </w:pPr>
      <w:r>
        <w:rPr>
          <w:rFonts w:eastAsia="Times New Roman"/>
          <w:i/>
          <w:iCs/>
          <w:color w:val="000000"/>
          <w:sz w:val="20"/>
          <w:szCs w:val="20"/>
        </w:rPr>
        <w:t>•Retail</w:t>
      </w:r>
      <w:r>
        <w:rPr>
          <w:rFonts w:eastAsia="Times New Roman"/>
          <w:color w:val="000000"/>
          <w:sz w:val="20"/>
          <w:szCs w:val="20"/>
        </w:rPr>
        <w:t xml:space="preserve"> - We offer software-led solutions to customers in the retail industry, leading with digital to connect retail operations end to end to integrate all aspects of a customer’s operations in indoor and outdoor settings from POS, to paymen</w:t>
      </w:r>
      <w:r>
        <w:rPr>
          <w:rFonts w:eastAsia="Times New Roman"/>
          <w:color w:val="000000"/>
          <w:sz w:val="20"/>
          <w:szCs w:val="20"/>
        </w:rPr>
        <w:t xml:space="preserve">ts, inventory management, fraud and loss prevention applications, loyalty and consumer engagement. These solutions include retail-oriented technologies such as comprehensive API-point of sale retail software platforms and applications, hardware terminals, </w:t>
      </w:r>
      <w:r>
        <w:rPr>
          <w:rFonts w:eastAsia="Times New Roman"/>
          <w:color w:val="000000"/>
          <w:sz w:val="20"/>
          <w:szCs w:val="20"/>
        </w:rPr>
        <w:t>self-service kiosks including self-checkout ("SCO"), payment processing solutions, and bar-code scanners.</w:t>
      </w:r>
    </w:p>
    <w:p w:rsidR="00000000" w:rsidRDefault="005048A7">
      <w:pPr>
        <w:jc w:val="center"/>
        <w:divId w:val="1419211800"/>
        <w:rPr>
          <w:rFonts w:eastAsia="Times New Roman"/>
        </w:rPr>
      </w:pPr>
      <w:r>
        <w:rPr>
          <w:rFonts w:eastAsia="Times New Roman"/>
          <w:color w:val="000000"/>
          <w:sz w:val="20"/>
          <w:szCs w:val="20"/>
        </w:rPr>
        <w:t>15</w:t>
      </w:r>
    </w:p>
    <w:p w:rsidR="00000000" w:rsidRDefault="005048A7">
      <w:pPr>
        <w:rPr>
          <w:rFonts w:eastAsia="Times New Roman"/>
        </w:rPr>
      </w:pPr>
      <w:r>
        <w:rPr>
          <w:rFonts w:eastAsia="Times New Roman"/>
        </w:rPr>
        <w:pict>
          <v:rect id="_x0000_i1040" style="width:0;height:1.5pt" o:hralign="center" o:hrstd="t" o:hr="t" fillcolor="#a0a0a0" stroked="f"/>
        </w:pict>
      </w:r>
    </w:p>
    <w:p w:rsidR="00000000" w:rsidRDefault="005048A7">
      <w:pPr>
        <w:ind w:firstLine="720"/>
        <w:divId w:val="307056257"/>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1041707481"/>
        <w:rPr>
          <w:rFonts w:eastAsia="Times New Roman"/>
        </w:rPr>
      </w:pPr>
      <w:r>
        <w:rPr>
          <w:rFonts w:eastAsia="Times New Roman"/>
          <w:b/>
          <w:bCs/>
          <w:color w:val="000000"/>
          <w:sz w:val="20"/>
          <w:szCs w:val="20"/>
        </w:rPr>
        <w:t>NCR Corporation</w:t>
      </w:r>
    </w:p>
    <w:p w:rsidR="00000000" w:rsidRDefault="005048A7">
      <w:pPr>
        <w:jc w:val="center"/>
        <w:divId w:val="1041707481"/>
        <w:rPr>
          <w:rFonts w:eastAsia="Times New Roman"/>
        </w:rPr>
      </w:pPr>
      <w:r>
        <w:rPr>
          <w:rFonts w:eastAsia="Times New Roman"/>
          <w:b/>
          <w:bCs/>
          <w:color w:val="000000"/>
          <w:sz w:val="20"/>
          <w:szCs w:val="20"/>
        </w:rPr>
        <w:t>Notes to Condensed Consolidated Financial Statements (Unaudited)—(Continued)</w:t>
      </w:r>
    </w:p>
    <w:p w:rsidR="00000000" w:rsidRDefault="005048A7">
      <w:pPr>
        <w:jc w:val="both"/>
        <w:rPr>
          <w:rFonts w:eastAsia="Times New Roman"/>
        </w:rPr>
      </w:pPr>
    </w:p>
    <w:p w:rsidR="00000000" w:rsidRDefault="005048A7">
      <w:pPr>
        <w:ind w:hanging="360"/>
        <w:jc w:val="both"/>
        <w:rPr>
          <w:rFonts w:eastAsia="Times New Roman"/>
        </w:rPr>
      </w:pPr>
      <w:r>
        <w:rPr>
          <w:rFonts w:eastAsia="Times New Roman"/>
          <w:color w:val="000000"/>
          <w:sz w:val="20"/>
          <w:szCs w:val="20"/>
        </w:rPr>
        <w:t>•</w:t>
      </w:r>
      <w:r>
        <w:rPr>
          <w:rFonts w:eastAsia="Times New Roman"/>
          <w:i/>
          <w:iCs/>
          <w:color w:val="000000"/>
          <w:sz w:val="20"/>
          <w:szCs w:val="20"/>
        </w:rPr>
        <w:t>Hospitality</w:t>
      </w:r>
      <w:r>
        <w:rPr>
          <w:rFonts w:eastAsia="Times New Roman"/>
          <w:color w:val="000000"/>
          <w:sz w:val="20"/>
          <w:szCs w:val="20"/>
        </w:rPr>
        <w:t xml:space="preserve"> - We offer technology solutions to customers in the hospitality industry, including table-service, quick-service and fast casual restaurants of all sizes, that are </w:t>
      </w:r>
      <w:r>
        <w:rPr>
          <w:rFonts w:eastAsia="Times New Roman"/>
          <w:color w:val="000000"/>
          <w:sz w:val="20"/>
          <w:szCs w:val="20"/>
        </w:rPr>
        <w:t>designed to improve operational efficiency, increase customer satisfaction, streamline order and transaction processing and reduce operating costs. Our solutions include POS hardware and software solutions, installation, maintenance, managed and profession</w:t>
      </w:r>
      <w:r>
        <w:rPr>
          <w:rFonts w:eastAsia="Times New Roman"/>
          <w:color w:val="000000"/>
          <w:sz w:val="20"/>
          <w:szCs w:val="20"/>
        </w:rPr>
        <w:t>al services as well as payment processing solutions.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Corporate and Other includes income and expenses related to corporate functions that are not specifically attributable to an individual reportable segment along with any immaterial operating segment(s)</w:t>
      </w:r>
      <w:r>
        <w:rPr>
          <w:rFonts w:eastAsia="Times New Roman"/>
          <w:color w:val="000000"/>
          <w:sz w:val="20"/>
          <w:szCs w:val="20"/>
        </w:rPr>
        <w:t>.</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Eliminations include revenues from contracts with customers and the related costs that are reported in the Payments &amp; Network segment as well as in the Retail or Hospitality segments, including merchant acquiring services that are monetized via payment</w:t>
      </w:r>
      <w:r>
        <w:rPr>
          <w:rFonts w:eastAsia="Times New Roman"/>
          <w:color w:val="000000"/>
          <w:sz w:val="20"/>
          <w:szCs w:val="20"/>
        </w:rPr>
        <w:t>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These segments represent components of the Company for which separate financial information is available that is utilized on a regular basis by the chief operating decision maker in assessing segment performance and in allocating the Company's resourc</w:t>
      </w:r>
      <w:r>
        <w:rPr>
          <w:rFonts w:eastAsia="Times New Roman"/>
          <w:color w:val="000000"/>
          <w:sz w:val="20"/>
          <w:szCs w:val="20"/>
        </w:rPr>
        <w:t>es. Management evaluates the performance of the segments based on revenue and Adjusted EBITDA. Adjusted EBITDA is defined as GAAP net income (loss) from continuing operations attributable to NCR plus interest expense, net; plus income tax expense (benefit)</w:t>
      </w:r>
      <w:r>
        <w:rPr>
          <w:rFonts w:eastAsia="Times New Roman"/>
          <w:color w:val="000000"/>
          <w:sz w:val="20"/>
          <w:szCs w:val="20"/>
        </w:rPr>
        <w:t>; plus depreciation and amortization; plus stock-based compensation expense; plus other income (expense); plus pension mark-to-market adjustments, pension settlements, pension curtailments and pension special termination benefits and other special items, i</w:t>
      </w:r>
      <w:r>
        <w:rPr>
          <w:rFonts w:eastAsia="Times New Roman"/>
          <w:color w:val="000000"/>
          <w:sz w:val="20"/>
          <w:szCs w:val="20"/>
        </w:rPr>
        <w:t>ncluding amortization of acquisition-related intangibles, restructuring charges, among others. The special items are considered non-operational so are excluded from the Adjusted EBITDA metric utilized by our chief operating decision maker in evaluating seg</w:t>
      </w:r>
      <w:r>
        <w:rPr>
          <w:rFonts w:eastAsia="Times New Roman"/>
          <w:color w:val="000000"/>
          <w:sz w:val="20"/>
          <w:szCs w:val="20"/>
        </w:rPr>
        <w:t>ment performance and are separately delineated to reconcile back to total reported GAAP net income (loss) from continuing operations attributable to NCR.</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Special Item Related to Russia</w:t>
      </w:r>
      <w:r>
        <w:rPr>
          <w:rFonts w:eastAsia="Times New Roman"/>
          <w:color w:val="000000"/>
          <w:sz w:val="20"/>
          <w:szCs w:val="20"/>
        </w:rPr>
        <w:t xml:space="preserve"> </w:t>
      </w:r>
      <w:r>
        <w:rPr>
          <w:rFonts w:eastAsia="Times New Roman"/>
          <w:color w:val="000000"/>
          <w:sz w:val="20"/>
          <w:szCs w:val="20"/>
        </w:rPr>
        <w:t>The war in Eastern Europe and related sanctions imposed on Russia and related actors by the United States and other jurisdictions required us to commence the orderly wind down of our operations in Russia beginning in the first quarter of 2022. As of June 3</w:t>
      </w:r>
      <w:r>
        <w:rPr>
          <w:rFonts w:eastAsia="Times New Roman"/>
          <w:color w:val="000000"/>
          <w:sz w:val="20"/>
          <w:szCs w:val="20"/>
        </w:rPr>
        <w:t>0, 2022, we have substantially ceased operations in Russia and are in the process of dissolving our only subsidiary in Russia. As a result, for the three and six months ending June 30, 2022, our presentation of segment revenue and Adjusted EBITDA exclude t</w:t>
      </w:r>
      <w:r>
        <w:rPr>
          <w:rFonts w:eastAsia="Times New Roman"/>
          <w:color w:val="000000"/>
          <w:sz w:val="20"/>
          <w:szCs w:val="20"/>
        </w:rPr>
        <w:t>he immaterial impact of our operating results in Russia, as well as the impact of impairments taken to write down the carrying value of assets and liabilities, severance charges, and the assessment of collectability on revenue recognition. We consider this</w:t>
      </w:r>
      <w:r>
        <w:rPr>
          <w:rFonts w:eastAsia="Times New Roman"/>
          <w:color w:val="000000"/>
          <w:sz w:val="20"/>
          <w:szCs w:val="20"/>
        </w:rPr>
        <w:t xml:space="preserve"> to be a non-recurring special item and management has reviewed the results of its business segments excluding these impacts. We have not adjusted the presentation of the prior year period due to the immaterial impact of Russia to revenue and income from c</w:t>
      </w:r>
      <w:r>
        <w:rPr>
          <w:rFonts w:eastAsia="Times New Roman"/>
          <w:color w:val="000000"/>
          <w:sz w:val="20"/>
          <w:szCs w:val="20"/>
        </w:rPr>
        <w:t>ontinuing operations for the three and six months ended June 30, 2021.</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Assets are not allocated to segments, and thus are not included in the assessment of segment performance. Consequently, we do not disclose total assets by reportable segment. The acco</w:t>
      </w:r>
      <w:r>
        <w:rPr>
          <w:rFonts w:eastAsia="Times New Roman"/>
          <w:color w:val="000000"/>
          <w:sz w:val="20"/>
          <w:szCs w:val="20"/>
        </w:rPr>
        <w:t>unting policies used to determine the results of the operating segments are the same as those utilized for the condensed consolidated financial statements as a whole. Intersegment sales and transfers are not material.</w:t>
      </w:r>
    </w:p>
    <w:p w:rsidR="00000000" w:rsidRDefault="005048A7">
      <w:pPr>
        <w:jc w:val="both"/>
        <w:divId w:val="1930918861"/>
        <w:rPr>
          <w:rFonts w:eastAsia="Times New Roman"/>
        </w:rPr>
      </w:pPr>
    </w:p>
    <w:p w:rsidR="00000000" w:rsidRDefault="005048A7">
      <w:pPr>
        <w:jc w:val="both"/>
        <w:divId w:val="514614931"/>
        <w:rPr>
          <w:rFonts w:eastAsia="Times New Roman"/>
        </w:rPr>
      </w:pPr>
    </w:p>
    <w:p w:rsidR="00000000" w:rsidRDefault="005048A7">
      <w:pPr>
        <w:jc w:val="both"/>
        <w:divId w:val="1259754081"/>
        <w:rPr>
          <w:rFonts w:eastAsia="Times New Roman"/>
        </w:rPr>
      </w:pPr>
    </w:p>
    <w:p w:rsidR="00000000" w:rsidRDefault="005048A7">
      <w:pPr>
        <w:jc w:val="both"/>
        <w:divId w:val="1790540726"/>
        <w:rPr>
          <w:rFonts w:eastAsia="Times New Roman"/>
        </w:rPr>
      </w:pPr>
    </w:p>
    <w:p w:rsidR="00000000" w:rsidRDefault="005048A7">
      <w:pPr>
        <w:jc w:val="both"/>
        <w:divId w:val="680857839"/>
        <w:rPr>
          <w:rFonts w:eastAsia="Times New Roman"/>
        </w:rPr>
      </w:pPr>
    </w:p>
    <w:p w:rsidR="00000000" w:rsidRDefault="005048A7">
      <w:pPr>
        <w:jc w:val="both"/>
        <w:divId w:val="752900688"/>
        <w:rPr>
          <w:rFonts w:eastAsia="Times New Roman"/>
        </w:rPr>
      </w:pPr>
    </w:p>
    <w:p w:rsidR="00000000" w:rsidRDefault="005048A7">
      <w:pPr>
        <w:jc w:val="both"/>
        <w:divId w:val="1446316269"/>
        <w:rPr>
          <w:rFonts w:eastAsia="Times New Roman"/>
        </w:rPr>
      </w:pPr>
    </w:p>
    <w:p w:rsidR="00000000" w:rsidRDefault="005048A7">
      <w:pPr>
        <w:jc w:val="both"/>
        <w:divId w:val="112865364"/>
        <w:rPr>
          <w:rFonts w:eastAsia="Times New Roman"/>
        </w:rPr>
      </w:pPr>
    </w:p>
    <w:p w:rsidR="00000000" w:rsidRDefault="005048A7">
      <w:pPr>
        <w:jc w:val="both"/>
        <w:divId w:val="755320184"/>
        <w:rPr>
          <w:rFonts w:eastAsia="Times New Roman"/>
        </w:rPr>
      </w:pPr>
    </w:p>
    <w:p w:rsidR="00000000" w:rsidRDefault="005048A7">
      <w:pPr>
        <w:jc w:val="both"/>
        <w:divId w:val="393354984"/>
        <w:rPr>
          <w:rFonts w:eastAsia="Times New Roman"/>
        </w:rPr>
      </w:pPr>
    </w:p>
    <w:p w:rsidR="00000000" w:rsidRDefault="005048A7">
      <w:pPr>
        <w:jc w:val="center"/>
        <w:divId w:val="883718321"/>
        <w:rPr>
          <w:rFonts w:eastAsia="Times New Roman"/>
        </w:rPr>
      </w:pPr>
      <w:r>
        <w:rPr>
          <w:rFonts w:eastAsia="Times New Roman"/>
          <w:color w:val="000000"/>
          <w:sz w:val="20"/>
          <w:szCs w:val="20"/>
        </w:rPr>
        <w:t>16</w:t>
      </w:r>
    </w:p>
    <w:p w:rsidR="00000000" w:rsidRDefault="005048A7">
      <w:pPr>
        <w:rPr>
          <w:rFonts w:eastAsia="Times New Roman"/>
        </w:rPr>
      </w:pPr>
      <w:r>
        <w:rPr>
          <w:rFonts w:eastAsia="Times New Roman"/>
        </w:rPr>
        <w:pict>
          <v:rect id="_x0000_i1041" style="width:0;height:1.5pt" o:hralign="center" o:hrstd="t" o:hr="t" fillcolor="#a0a0a0" stroked="f"/>
        </w:pict>
      </w:r>
    </w:p>
    <w:p w:rsidR="00000000" w:rsidRDefault="005048A7">
      <w:pPr>
        <w:ind w:firstLine="720"/>
        <w:divId w:val="51082176"/>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871310606"/>
        <w:rPr>
          <w:rFonts w:eastAsia="Times New Roman"/>
        </w:rPr>
      </w:pPr>
      <w:r>
        <w:rPr>
          <w:rFonts w:eastAsia="Times New Roman"/>
          <w:b/>
          <w:bCs/>
          <w:color w:val="000000"/>
          <w:sz w:val="20"/>
          <w:szCs w:val="20"/>
        </w:rPr>
        <w:t>NCR Corporation</w:t>
      </w:r>
    </w:p>
    <w:p w:rsidR="00000000" w:rsidRDefault="005048A7">
      <w:pPr>
        <w:jc w:val="center"/>
        <w:divId w:val="871310606"/>
        <w:rPr>
          <w:rFonts w:eastAsia="Times New Roman"/>
        </w:rPr>
      </w:pPr>
      <w:r>
        <w:rPr>
          <w:rFonts w:eastAsia="Times New Roman"/>
          <w:b/>
          <w:bCs/>
          <w:color w:val="000000"/>
          <w:sz w:val="20"/>
          <w:szCs w:val="20"/>
        </w:rPr>
        <w:t>Notes to Condensed Consolidated Financial Statements (Unaudited)—(Continued)</w:t>
      </w:r>
    </w:p>
    <w:p w:rsidR="00000000" w:rsidRDefault="005048A7">
      <w:pPr>
        <w:jc w:val="both"/>
        <w:divId w:val="706024969"/>
        <w:rPr>
          <w:rFonts w:eastAsia="Times New Roman"/>
        </w:rPr>
      </w:pPr>
      <w:r>
        <w:rPr>
          <w:rFonts w:eastAsia="Times New Roman"/>
          <w:color w:val="000000"/>
          <w:sz w:val="20"/>
          <w:szCs w:val="20"/>
        </w:rPr>
        <w:t>The following table presents revenue and Adjusted EBITDA by segmen</w:t>
      </w:r>
      <w:r>
        <w:rPr>
          <w:rFonts w:eastAsia="Times New Roman"/>
          <w:color w:val="000000"/>
          <w:sz w:val="20"/>
          <w:szCs w:val="20"/>
        </w:rPr>
        <w:t>t:</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049"/>
        <w:gridCol w:w="40"/>
        <w:gridCol w:w="120"/>
        <w:gridCol w:w="1057"/>
        <w:gridCol w:w="36"/>
        <w:gridCol w:w="36"/>
        <w:gridCol w:w="36"/>
        <w:gridCol w:w="36"/>
        <w:gridCol w:w="120"/>
        <w:gridCol w:w="1057"/>
        <w:gridCol w:w="36"/>
        <w:gridCol w:w="36"/>
        <w:gridCol w:w="36"/>
        <w:gridCol w:w="36"/>
        <w:gridCol w:w="120"/>
        <w:gridCol w:w="1057"/>
        <w:gridCol w:w="36"/>
        <w:gridCol w:w="36"/>
        <w:gridCol w:w="36"/>
        <w:gridCol w:w="36"/>
        <w:gridCol w:w="120"/>
        <w:gridCol w:w="1057"/>
        <w:gridCol w:w="36"/>
      </w:tblGrid>
      <w:tr w:rsidR="00000000">
        <w:trPr>
          <w:divId w:val="929461030"/>
          <w:jc w:val="center"/>
        </w:trPr>
        <w:tc>
          <w:tcPr>
            <w:tcW w:w="50" w:type="pct"/>
            <w:vAlign w:val="center"/>
            <w:hideMark/>
          </w:tcPr>
          <w:p w:rsidR="00000000" w:rsidRDefault="005048A7">
            <w:pPr>
              <w:jc w:val="both"/>
              <w:rPr>
                <w:rFonts w:eastAsia="Times New Roman"/>
              </w:rPr>
            </w:pPr>
          </w:p>
        </w:tc>
        <w:tc>
          <w:tcPr>
            <w:tcW w:w="190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8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8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8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8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929461030"/>
          <w:trHeight w:val="240"/>
          <w:jc w:val="center"/>
        </w:trPr>
        <w:tc>
          <w:tcPr>
            <w:tcW w:w="0" w:type="auto"/>
            <w:gridSpan w:val="3"/>
            <w:vMerge w:val="restart"/>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r>
      <w:tr w:rsidR="00000000">
        <w:trPr>
          <w:divId w:val="929461030"/>
          <w:trHeight w:val="240"/>
          <w:jc w:val="center"/>
        </w:trPr>
        <w:tc>
          <w:tcPr>
            <w:tcW w:w="0" w:type="auto"/>
            <w:gridSpan w:val="3"/>
            <w:vMerge/>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r>
      <w:tr w:rsidR="00000000">
        <w:trPr>
          <w:divId w:val="929461030"/>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Revenue by segment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929461030"/>
          <w:jc w:val="center"/>
        </w:trPr>
        <w:tc>
          <w:tcPr>
            <w:tcW w:w="0" w:type="auto"/>
            <w:gridSpan w:val="3"/>
            <w:shd w:val="clear" w:color="auto" w:fill="FFFFFF"/>
            <w:tcMar>
              <w:top w:w="30" w:type="dxa"/>
              <w:left w:w="260" w:type="dxa"/>
              <w:bottom w:w="30" w:type="dxa"/>
              <w:right w:w="20" w:type="dxa"/>
            </w:tcMar>
            <w:hideMark/>
          </w:tcPr>
          <w:p w:rsidR="00000000" w:rsidRDefault="005048A7">
            <w:pPr>
              <w:spacing w:after="100"/>
              <w:rPr>
                <w:rFonts w:eastAsia="Times New Roman"/>
              </w:rPr>
            </w:pPr>
            <w:r>
              <w:rPr>
                <w:rFonts w:eastAsia="Times New Roman"/>
                <w:color w:val="000000"/>
                <w:sz w:val="20"/>
                <w:szCs w:val="20"/>
              </w:rPr>
              <w:t>Payments &amp; Network</w:t>
            </w: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929461030"/>
          <w:jc w:val="center"/>
        </w:trPr>
        <w:tc>
          <w:tcPr>
            <w:tcW w:w="0" w:type="auto"/>
            <w:gridSpan w:val="3"/>
            <w:shd w:val="clear" w:color="auto" w:fill="CCEEFF"/>
            <w:tcMar>
              <w:top w:w="30" w:type="dxa"/>
              <w:left w:w="260" w:type="dxa"/>
              <w:bottom w:w="30" w:type="dxa"/>
              <w:right w:w="20" w:type="dxa"/>
            </w:tcMar>
            <w:hideMark/>
          </w:tcPr>
          <w:p w:rsidR="00000000" w:rsidRDefault="005048A7">
            <w:pPr>
              <w:spacing w:after="100"/>
              <w:rPr>
                <w:rFonts w:eastAsia="Times New Roman"/>
              </w:rPr>
            </w:pPr>
            <w:r>
              <w:rPr>
                <w:rFonts w:eastAsia="Times New Roman"/>
                <w:color w:val="000000"/>
                <w:sz w:val="20"/>
                <w:szCs w:val="20"/>
              </w:rPr>
              <w:t>Digital Banking</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252 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929461030"/>
          <w:jc w:val="center"/>
        </w:trPr>
        <w:tc>
          <w:tcPr>
            <w:tcW w:w="0" w:type="auto"/>
            <w:gridSpan w:val="3"/>
            <w:shd w:val="clear" w:color="auto" w:fill="FFFFFF"/>
            <w:tcMar>
              <w:top w:w="30" w:type="dxa"/>
              <w:left w:w="26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Self-Service Banking</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645 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1,290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1,273 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929461030"/>
          <w:jc w:val="center"/>
        </w:trPr>
        <w:tc>
          <w:tcPr>
            <w:tcW w:w="0" w:type="auto"/>
            <w:gridSpan w:val="3"/>
            <w:shd w:val="clear" w:color="auto" w:fill="CCEEFF"/>
            <w:tcMar>
              <w:top w:w="30" w:type="dxa"/>
              <w:left w:w="260" w:type="dxa"/>
              <w:bottom w:w="30" w:type="dxa"/>
              <w:right w:w="20" w:type="dxa"/>
            </w:tcMar>
            <w:hideMark/>
          </w:tcPr>
          <w:p w:rsidR="00000000" w:rsidRDefault="005048A7">
            <w:pPr>
              <w:spacing w:after="100"/>
              <w:rPr>
                <w:rFonts w:eastAsia="Times New Roman"/>
              </w:rPr>
            </w:pPr>
            <w:r>
              <w:rPr>
                <w:rFonts w:eastAsia="Times New Roman"/>
                <w:color w:val="000000"/>
                <w:sz w:val="20"/>
                <w:szCs w:val="20"/>
              </w:rPr>
              <w:t>Retail</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562 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1,108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1,082 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929461030"/>
          <w:jc w:val="center"/>
        </w:trPr>
        <w:tc>
          <w:tcPr>
            <w:tcW w:w="0" w:type="auto"/>
            <w:gridSpan w:val="3"/>
            <w:shd w:val="clear" w:color="auto" w:fill="FFFFFF"/>
            <w:tcMar>
              <w:top w:w="30" w:type="dxa"/>
              <w:left w:w="260" w:type="dxa"/>
              <w:bottom w:w="30" w:type="dxa"/>
              <w:right w:w="20" w:type="dxa"/>
            </w:tcMar>
            <w:hideMark/>
          </w:tcPr>
          <w:p w:rsidR="00000000" w:rsidRDefault="005048A7">
            <w:pPr>
              <w:spacing w:after="100"/>
              <w:rPr>
                <w:rFonts w:eastAsia="Times New Roman"/>
              </w:rPr>
            </w:pPr>
            <w:r>
              <w:rPr>
                <w:rFonts w:eastAsia="Times New Roman"/>
                <w:color w:val="000000"/>
                <w:sz w:val="20"/>
                <w:szCs w:val="20"/>
              </w:rPr>
              <w:t>Hospitality</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215 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394 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929461030"/>
          <w:jc w:val="center"/>
        </w:trPr>
        <w:tc>
          <w:tcPr>
            <w:tcW w:w="0" w:type="auto"/>
            <w:gridSpan w:val="3"/>
            <w:shd w:val="clear" w:color="auto" w:fill="CCEE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154 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929461030"/>
          <w:jc w:val="center"/>
        </w:trPr>
        <w:tc>
          <w:tcPr>
            <w:tcW w:w="0" w:type="auto"/>
            <w:gridSpan w:val="3"/>
            <w:shd w:val="clear" w:color="auto" w:fill="FFFF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Eliminations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929461030"/>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segment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1,991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1,677 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3,854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929461030"/>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divId w:val="1600675894"/>
              <w:rPr>
                <w:rFonts w:eastAsia="Times New Roman"/>
              </w:rPr>
            </w:pPr>
            <w:r>
              <w:rPr>
                <w:rFonts w:eastAsia="Times New Roman"/>
                <w:color w:val="000000"/>
                <w:sz w:val="20"/>
                <w:szCs w:val="20"/>
              </w:rPr>
              <w:t>Other adjustment</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929461030"/>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Consolidated revenue</w:t>
            </w: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1,677 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3,863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3,221 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929461030"/>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929461030"/>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 xml:space="preserve">Adjusted EBITDA by segment </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929461030"/>
          <w:jc w:val="center"/>
        </w:trPr>
        <w:tc>
          <w:tcPr>
            <w:tcW w:w="0" w:type="auto"/>
            <w:gridSpan w:val="3"/>
            <w:shd w:val="clear" w:color="auto" w:fill="FFFFFF"/>
            <w:tcMar>
              <w:top w:w="30" w:type="dxa"/>
              <w:left w:w="260" w:type="dxa"/>
              <w:bottom w:w="30" w:type="dxa"/>
              <w:right w:w="20" w:type="dxa"/>
            </w:tcMar>
            <w:hideMark/>
          </w:tcPr>
          <w:p w:rsidR="00000000" w:rsidRDefault="005048A7">
            <w:pPr>
              <w:spacing w:after="100"/>
              <w:rPr>
                <w:rFonts w:eastAsia="Times New Roman"/>
              </w:rPr>
            </w:pPr>
            <w:r>
              <w:rPr>
                <w:rFonts w:eastAsia="Times New Roman"/>
                <w:color w:val="000000"/>
                <w:sz w:val="20"/>
                <w:szCs w:val="20"/>
              </w:rPr>
              <w:t>Payments &amp; Network</w:t>
            </w: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929461030"/>
          <w:jc w:val="center"/>
        </w:trPr>
        <w:tc>
          <w:tcPr>
            <w:tcW w:w="0" w:type="auto"/>
            <w:gridSpan w:val="3"/>
            <w:shd w:val="clear" w:color="auto" w:fill="CCEEFF"/>
            <w:tcMar>
              <w:top w:w="30" w:type="dxa"/>
              <w:left w:w="260" w:type="dxa"/>
              <w:bottom w:w="30" w:type="dxa"/>
              <w:right w:w="20" w:type="dxa"/>
            </w:tcMar>
            <w:hideMark/>
          </w:tcPr>
          <w:p w:rsidR="00000000" w:rsidRDefault="005048A7">
            <w:pPr>
              <w:spacing w:after="100"/>
              <w:rPr>
                <w:rFonts w:eastAsia="Times New Roman"/>
              </w:rPr>
            </w:pPr>
            <w:r>
              <w:rPr>
                <w:rFonts w:eastAsia="Times New Roman"/>
                <w:color w:val="000000"/>
                <w:sz w:val="20"/>
                <w:szCs w:val="20"/>
              </w:rPr>
              <w:t>Digital Banking</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109 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929461030"/>
          <w:jc w:val="center"/>
        </w:trPr>
        <w:tc>
          <w:tcPr>
            <w:tcW w:w="0" w:type="auto"/>
            <w:gridSpan w:val="3"/>
            <w:shd w:val="clear" w:color="auto" w:fill="FFFFFF"/>
            <w:tcMar>
              <w:top w:w="30" w:type="dxa"/>
              <w:left w:w="26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Self-Service Banking</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140 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277 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929461030"/>
          <w:jc w:val="center"/>
        </w:trPr>
        <w:tc>
          <w:tcPr>
            <w:tcW w:w="0" w:type="auto"/>
            <w:gridSpan w:val="3"/>
            <w:shd w:val="clear" w:color="auto" w:fill="CCEEFF"/>
            <w:tcMar>
              <w:top w:w="30" w:type="dxa"/>
              <w:left w:w="260" w:type="dxa"/>
              <w:bottom w:w="30" w:type="dxa"/>
              <w:right w:w="20" w:type="dxa"/>
            </w:tcMar>
            <w:hideMark/>
          </w:tcPr>
          <w:p w:rsidR="00000000" w:rsidRDefault="005048A7">
            <w:pPr>
              <w:spacing w:after="100"/>
              <w:rPr>
                <w:rFonts w:eastAsia="Times New Roman"/>
              </w:rPr>
            </w:pPr>
            <w:r>
              <w:rPr>
                <w:rFonts w:eastAsia="Times New Roman"/>
                <w:color w:val="000000"/>
                <w:sz w:val="20"/>
                <w:szCs w:val="20"/>
              </w:rPr>
              <w:t>Retail</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121 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219 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929461030"/>
          <w:jc w:val="center"/>
        </w:trPr>
        <w:tc>
          <w:tcPr>
            <w:tcW w:w="0" w:type="auto"/>
            <w:gridSpan w:val="3"/>
            <w:shd w:val="clear" w:color="auto" w:fill="FFFFFF"/>
            <w:tcMar>
              <w:top w:w="30" w:type="dxa"/>
              <w:left w:w="260" w:type="dxa"/>
              <w:bottom w:w="30" w:type="dxa"/>
              <w:right w:w="20" w:type="dxa"/>
            </w:tcMar>
            <w:hideMark/>
          </w:tcPr>
          <w:p w:rsidR="00000000" w:rsidRDefault="005048A7">
            <w:pPr>
              <w:spacing w:after="100"/>
              <w:rPr>
                <w:rFonts w:eastAsia="Times New Roman"/>
              </w:rPr>
            </w:pPr>
            <w:r>
              <w:rPr>
                <w:rFonts w:eastAsia="Times New Roman"/>
                <w:color w:val="000000"/>
                <w:sz w:val="20"/>
                <w:szCs w:val="20"/>
              </w:rPr>
              <w:t>Hospitality</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929461030"/>
          <w:jc w:val="center"/>
        </w:trPr>
        <w:tc>
          <w:tcPr>
            <w:tcW w:w="0" w:type="auto"/>
            <w:gridSpan w:val="3"/>
            <w:shd w:val="clear" w:color="auto" w:fill="CCEE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(98)</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(89)</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(195)</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(156)</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929461030"/>
          <w:jc w:val="center"/>
        </w:trPr>
        <w:tc>
          <w:tcPr>
            <w:tcW w:w="0" w:type="auto"/>
            <w:gridSpan w:val="3"/>
            <w:shd w:val="clear" w:color="auto" w:fill="FFFFFF"/>
            <w:tcMar>
              <w:top w:w="30" w:type="dxa"/>
              <w:left w:w="26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Eliminations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929461030"/>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Adjusted EBITDA</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339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both"/>
        <w:divId w:val="796532274"/>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Other adjustment reflects the revenue attributable to the Company's operations in Russia for the three and six months ending June 30, 2022 that were excluded from manage</w:t>
      </w:r>
      <w:r>
        <w:rPr>
          <w:rFonts w:eastAsia="Times New Roman"/>
          <w:color w:val="000000"/>
          <w:sz w:val="18"/>
          <w:szCs w:val="18"/>
        </w:rPr>
        <w:t>ment's measure of revenue due to our previous announcement to suspend sales to Russia and anticipated orderly wind down of our operations in Russia. The revenue attributable to the Russian operations for the three and six months ended June 30, 2021 of $11 </w:t>
      </w:r>
      <w:r>
        <w:rPr>
          <w:rFonts w:eastAsia="Times New Roman"/>
          <w:color w:val="000000"/>
          <w:sz w:val="18"/>
          <w:szCs w:val="18"/>
        </w:rPr>
        <w:t xml:space="preserve">million and $19 million, respectively, is included in the respective segments. </w:t>
      </w:r>
    </w:p>
    <w:p w:rsidR="00000000" w:rsidRDefault="005048A7">
      <w:pPr>
        <w:jc w:val="both"/>
        <w:divId w:val="1930457981"/>
        <w:rPr>
          <w:rFonts w:eastAsia="Times New Roman"/>
        </w:rPr>
      </w:pPr>
      <w:r>
        <w:rPr>
          <w:rFonts w:eastAsia="Times New Roman"/>
          <w:color w:val="000000"/>
          <w:sz w:val="20"/>
          <w:szCs w:val="20"/>
        </w:rPr>
        <w:t>For the three and six months ended</w:t>
      </w:r>
      <w:r>
        <w:rPr>
          <w:rFonts w:eastAsia="Times New Roman"/>
          <w:color w:val="000000"/>
          <w:sz w:val="20"/>
          <w:szCs w:val="20"/>
          <w:shd w:val="clear" w:color="auto" w:fill="FFFFFF"/>
        </w:rPr>
        <w:t xml:space="preserve"> </w:t>
      </w:r>
      <w:r>
        <w:rPr>
          <w:rFonts w:eastAsia="Times New Roman"/>
          <w:color w:val="000000"/>
          <w:sz w:val="20"/>
          <w:szCs w:val="20"/>
        </w:rPr>
        <w:t>June 30, 2022, the operations of Cardtronics are included in the Payments &amp; Network and Self-Service Banking segments. For the three and six months ended June 30, 2021, the operations of Cardtronics from the close date, June 21, 2021, to June 30, 2021 have</w:t>
      </w:r>
      <w:r>
        <w:rPr>
          <w:rFonts w:eastAsia="Times New Roman"/>
          <w:color w:val="000000"/>
          <w:sz w:val="20"/>
          <w:szCs w:val="20"/>
        </w:rPr>
        <w:t xml:space="preserve"> been included in the Payments &amp; Network and Self-Service Banking segment results, which includes $29 million and $3 million of revenue and $10 million and $1 million of Adjusted EBITDA, respectively. </w:t>
      </w: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center"/>
        <w:divId w:val="717313681"/>
        <w:rPr>
          <w:rFonts w:eastAsia="Times New Roman"/>
        </w:rPr>
      </w:pPr>
      <w:r>
        <w:rPr>
          <w:rFonts w:eastAsia="Times New Roman"/>
          <w:color w:val="000000"/>
          <w:sz w:val="20"/>
          <w:szCs w:val="20"/>
        </w:rPr>
        <w:t>17</w:t>
      </w:r>
    </w:p>
    <w:p w:rsidR="00000000" w:rsidRDefault="005048A7">
      <w:pPr>
        <w:rPr>
          <w:rFonts w:eastAsia="Times New Roman"/>
        </w:rPr>
      </w:pPr>
      <w:r>
        <w:rPr>
          <w:rFonts w:eastAsia="Times New Roman"/>
        </w:rPr>
        <w:pict>
          <v:rect id="_x0000_i1042" style="width:0;height:1.5pt" o:hralign="center" o:hrstd="t" o:hr="t" fillcolor="#a0a0a0" stroked="f"/>
        </w:pict>
      </w:r>
    </w:p>
    <w:p w:rsidR="00000000" w:rsidRDefault="005048A7">
      <w:pPr>
        <w:ind w:firstLine="720"/>
        <w:divId w:val="1311207678"/>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1739670738"/>
        <w:rPr>
          <w:rFonts w:eastAsia="Times New Roman"/>
        </w:rPr>
      </w:pPr>
      <w:r>
        <w:rPr>
          <w:rFonts w:eastAsia="Times New Roman"/>
          <w:b/>
          <w:bCs/>
          <w:color w:val="000000"/>
          <w:sz w:val="20"/>
          <w:szCs w:val="20"/>
        </w:rPr>
        <w:t>NCR Corporation</w:t>
      </w:r>
    </w:p>
    <w:p w:rsidR="00000000" w:rsidRDefault="005048A7">
      <w:pPr>
        <w:jc w:val="center"/>
        <w:divId w:val="1739670738"/>
        <w:rPr>
          <w:rFonts w:eastAsia="Times New Roman"/>
        </w:rPr>
      </w:pPr>
      <w:r>
        <w:rPr>
          <w:rFonts w:eastAsia="Times New Roman"/>
          <w:b/>
          <w:bCs/>
          <w:color w:val="000000"/>
          <w:sz w:val="20"/>
          <w:szCs w:val="20"/>
        </w:rPr>
        <w:t>Notes to Condensed Consolidated Financial Statements (Unaudited)—(Continued)</w:t>
      </w:r>
    </w:p>
    <w:p w:rsidR="00000000" w:rsidRDefault="005048A7">
      <w:pPr>
        <w:jc w:val="both"/>
        <w:rPr>
          <w:rFonts w:eastAsia="Times New Roman"/>
        </w:rPr>
      </w:pPr>
      <w:r>
        <w:rPr>
          <w:rFonts w:eastAsia="Times New Roman"/>
          <w:color w:val="000000"/>
          <w:sz w:val="20"/>
          <w:szCs w:val="20"/>
        </w:rPr>
        <w:t>The following table reconciles net income (loss) from continuing</w:t>
      </w:r>
      <w:r>
        <w:rPr>
          <w:rFonts w:eastAsia="Times New Roman"/>
          <w:color w:val="000000"/>
          <w:sz w:val="20"/>
          <w:szCs w:val="20"/>
        </w:rPr>
        <w:t xml:space="preserve"> operations to Adjusted EBITDA:</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053"/>
        <w:gridCol w:w="37"/>
        <w:gridCol w:w="120"/>
        <w:gridCol w:w="1057"/>
        <w:gridCol w:w="36"/>
        <w:gridCol w:w="36"/>
        <w:gridCol w:w="36"/>
        <w:gridCol w:w="36"/>
        <w:gridCol w:w="120"/>
        <w:gridCol w:w="1057"/>
        <w:gridCol w:w="36"/>
        <w:gridCol w:w="36"/>
        <w:gridCol w:w="36"/>
        <w:gridCol w:w="36"/>
        <w:gridCol w:w="120"/>
        <w:gridCol w:w="1057"/>
        <w:gridCol w:w="36"/>
        <w:gridCol w:w="36"/>
        <w:gridCol w:w="36"/>
        <w:gridCol w:w="36"/>
        <w:gridCol w:w="120"/>
        <w:gridCol w:w="1058"/>
        <w:gridCol w:w="36"/>
      </w:tblGrid>
      <w:tr w:rsidR="00000000">
        <w:trPr>
          <w:divId w:val="802381198"/>
          <w:jc w:val="center"/>
        </w:trPr>
        <w:tc>
          <w:tcPr>
            <w:tcW w:w="50" w:type="pct"/>
            <w:vAlign w:val="center"/>
            <w:hideMark/>
          </w:tcPr>
          <w:p w:rsidR="00000000" w:rsidRDefault="005048A7">
            <w:pPr>
              <w:jc w:val="both"/>
              <w:rPr>
                <w:rFonts w:eastAsia="Times New Roman"/>
              </w:rPr>
            </w:pPr>
          </w:p>
        </w:tc>
        <w:tc>
          <w:tcPr>
            <w:tcW w:w="190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8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8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8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8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802381198"/>
          <w:trHeight w:val="360"/>
          <w:jc w:val="center"/>
        </w:trPr>
        <w:tc>
          <w:tcPr>
            <w:tcW w:w="0" w:type="auto"/>
            <w:gridSpan w:val="3"/>
            <w:vMerge w:val="restart"/>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r>
      <w:tr w:rsidR="00000000">
        <w:trPr>
          <w:divId w:val="802381198"/>
          <w:trHeight w:val="240"/>
          <w:jc w:val="center"/>
        </w:trPr>
        <w:tc>
          <w:tcPr>
            <w:tcW w:w="0" w:type="auto"/>
            <w:gridSpan w:val="3"/>
            <w:vMerge/>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r>
      <w:tr w:rsidR="00000000">
        <w:trPr>
          <w:divId w:val="802381198"/>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Net income (loss) from continuing operations attributable to NCR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802381198"/>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Transformation costs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802381198"/>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Acquisition-related amortization of intangibles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802381198"/>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Acquisition-related costs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802381198"/>
          <w:jc w:val="center"/>
        </w:trPr>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802381198"/>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106 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802381198"/>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Interest income</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802381198"/>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Depreciation and amortization (excluding acquisition-related amortization of intangibles)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802381198"/>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Income tax expense (benefit)</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802381198"/>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802381198"/>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Russia</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802381198"/>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Adjusted EBITDA</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339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 following table presents revenue by geography for NCR:</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054"/>
        <w:gridCol w:w="36"/>
        <w:gridCol w:w="120"/>
        <w:gridCol w:w="1057"/>
        <w:gridCol w:w="36"/>
        <w:gridCol w:w="36"/>
        <w:gridCol w:w="36"/>
        <w:gridCol w:w="36"/>
        <w:gridCol w:w="120"/>
        <w:gridCol w:w="1057"/>
        <w:gridCol w:w="36"/>
        <w:gridCol w:w="36"/>
        <w:gridCol w:w="36"/>
        <w:gridCol w:w="36"/>
        <w:gridCol w:w="120"/>
        <w:gridCol w:w="1058"/>
        <w:gridCol w:w="36"/>
        <w:gridCol w:w="36"/>
        <w:gridCol w:w="36"/>
        <w:gridCol w:w="36"/>
        <w:gridCol w:w="120"/>
        <w:gridCol w:w="1058"/>
        <w:gridCol w:w="36"/>
      </w:tblGrid>
      <w:tr w:rsidR="00000000">
        <w:trPr>
          <w:divId w:val="686441278"/>
          <w:jc w:val="center"/>
        </w:trPr>
        <w:tc>
          <w:tcPr>
            <w:tcW w:w="50" w:type="pct"/>
            <w:vAlign w:val="center"/>
            <w:hideMark/>
          </w:tcPr>
          <w:p w:rsidR="00000000" w:rsidRDefault="005048A7">
            <w:pPr>
              <w:jc w:val="both"/>
              <w:rPr>
                <w:rFonts w:eastAsia="Times New Roman"/>
              </w:rPr>
            </w:pPr>
          </w:p>
        </w:tc>
        <w:tc>
          <w:tcPr>
            <w:tcW w:w="190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8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8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8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8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686441278"/>
          <w:trHeight w:val="240"/>
          <w:jc w:val="center"/>
        </w:trPr>
        <w:tc>
          <w:tcPr>
            <w:tcW w:w="0" w:type="auto"/>
            <w:gridSpan w:val="3"/>
            <w:vMerge w:val="restart"/>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r>
      <w:tr w:rsidR="00000000">
        <w:trPr>
          <w:divId w:val="686441278"/>
          <w:trHeight w:val="240"/>
          <w:jc w:val="center"/>
        </w:trPr>
        <w:tc>
          <w:tcPr>
            <w:tcW w:w="0" w:type="auto"/>
            <w:gridSpan w:val="3"/>
            <w:vMerge/>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r>
      <w:tr w:rsidR="00000000">
        <w:trPr>
          <w:divId w:val="686441278"/>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Americas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1,276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2,457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1,936 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686441278"/>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Europe, Middle East and Africa (EMEA)</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447 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964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864 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686441278"/>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Asia Pacific (APJ)</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223 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421 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686441278"/>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revenue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1,997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1,677 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3,863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3,221 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 following table presents the recurring revenue for NCR:</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054"/>
        <w:gridCol w:w="36"/>
        <w:gridCol w:w="120"/>
        <w:gridCol w:w="1057"/>
        <w:gridCol w:w="36"/>
        <w:gridCol w:w="36"/>
        <w:gridCol w:w="36"/>
        <w:gridCol w:w="36"/>
        <w:gridCol w:w="120"/>
        <w:gridCol w:w="1057"/>
        <w:gridCol w:w="36"/>
        <w:gridCol w:w="36"/>
        <w:gridCol w:w="36"/>
        <w:gridCol w:w="36"/>
        <w:gridCol w:w="120"/>
        <w:gridCol w:w="1058"/>
        <w:gridCol w:w="36"/>
        <w:gridCol w:w="36"/>
        <w:gridCol w:w="36"/>
        <w:gridCol w:w="36"/>
        <w:gridCol w:w="120"/>
        <w:gridCol w:w="1058"/>
        <w:gridCol w:w="36"/>
      </w:tblGrid>
      <w:tr w:rsidR="00000000">
        <w:trPr>
          <w:divId w:val="1622688995"/>
          <w:jc w:val="center"/>
        </w:trPr>
        <w:tc>
          <w:tcPr>
            <w:tcW w:w="50" w:type="pct"/>
            <w:vAlign w:val="center"/>
            <w:hideMark/>
          </w:tcPr>
          <w:p w:rsidR="00000000" w:rsidRDefault="005048A7">
            <w:pPr>
              <w:jc w:val="both"/>
              <w:rPr>
                <w:rFonts w:eastAsia="Times New Roman"/>
              </w:rPr>
            </w:pPr>
          </w:p>
        </w:tc>
        <w:tc>
          <w:tcPr>
            <w:tcW w:w="190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8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8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8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8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1622688995"/>
          <w:trHeight w:val="240"/>
          <w:jc w:val="center"/>
        </w:trPr>
        <w:tc>
          <w:tcPr>
            <w:tcW w:w="0" w:type="auto"/>
            <w:gridSpan w:val="3"/>
            <w:vMerge w:val="restart"/>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r>
      <w:tr w:rsidR="00000000">
        <w:trPr>
          <w:divId w:val="1622688995"/>
          <w:trHeight w:val="240"/>
          <w:jc w:val="center"/>
        </w:trPr>
        <w:tc>
          <w:tcPr>
            <w:tcW w:w="0" w:type="auto"/>
            <w:gridSpan w:val="3"/>
            <w:vMerge/>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r>
      <w:tr w:rsidR="00000000">
        <w:trPr>
          <w:divId w:val="1622688995"/>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divId w:val="1164124071"/>
              <w:rPr>
                <w:rFonts w:eastAsia="Times New Roman"/>
              </w:rPr>
            </w:pPr>
            <w:r>
              <w:rPr>
                <w:rFonts w:eastAsia="Times New Roman"/>
                <w:color w:val="000000"/>
                <w:sz w:val="20"/>
                <w:szCs w:val="20"/>
              </w:rPr>
              <w:t>Recurring revenue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1,217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2,396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1,803 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622688995"/>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All other products and services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748 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1,467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1,418 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622688995"/>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revenue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1,997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1,677 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3,863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3,221 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center"/>
        <w:rPr>
          <w:rFonts w:eastAsia="Times New Roman"/>
        </w:rPr>
      </w:pPr>
    </w:p>
    <w:p w:rsidR="00000000" w:rsidRDefault="005048A7">
      <w:pPr>
        <w:ind w:hanging="270"/>
        <w:jc w:val="both"/>
        <w:rPr>
          <w:rFonts w:eastAsia="Times New Roman"/>
        </w:rPr>
      </w:pPr>
      <w:r>
        <w:rPr>
          <w:rFonts w:eastAsia="Times New Roman"/>
          <w:color w:val="000000"/>
          <w:sz w:val="12"/>
          <w:szCs w:val="12"/>
        </w:rPr>
        <w:t>(1)</w:t>
      </w:r>
      <w:r>
        <w:rPr>
          <w:rFonts w:eastAsia="Times New Roman"/>
          <w:color w:val="000000"/>
          <w:sz w:val="12"/>
          <w:szCs w:val="12"/>
        </w:rPr>
        <w:t xml:space="preserve"> </w:t>
      </w:r>
      <w:r>
        <w:rPr>
          <w:rFonts w:eastAsia="Times New Roman"/>
          <w:color w:val="000000"/>
          <w:sz w:val="18"/>
          <w:szCs w:val="18"/>
        </w:rPr>
        <w:t>Recurring revenue includes all revenue streams from contracts where there is a predictable revenue pattern that will occur at regular intervals with a relativel</w:t>
      </w:r>
      <w:r>
        <w:rPr>
          <w:rFonts w:eastAsia="Times New Roman"/>
          <w:color w:val="000000"/>
          <w:sz w:val="18"/>
          <w:szCs w:val="18"/>
        </w:rPr>
        <w:t>y high degree of certainty. This includes hardware and software maintenance revenue, cloud revenue, payment processing revenue, interchange and network revenue, and certain professional services arrangements, as well as term-based software license arrangem</w:t>
      </w:r>
      <w:r>
        <w:rPr>
          <w:rFonts w:eastAsia="Times New Roman"/>
          <w:color w:val="000000"/>
          <w:sz w:val="18"/>
          <w:szCs w:val="18"/>
        </w:rPr>
        <w:t>ents that include customer termination rights.</w:t>
      </w:r>
    </w:p>
    <w:p w:rsidR="00000000" w:rsidRDefault="005048A7">
      <w:pPr>
        <w:ind w:hanging="270"/>
        <w:jc w:val="both"/>
        <w:rPr>
          <w:rFonts w:eastAsia="Times New Roman"/>
        </w:rPr>
      </w:pPr>
    </w:p>
    <w:p w:rsidR="00000000" w:rsidRDefault="005048A7">
      <w:pPr>
        <w:jc w:val="center"/>
        <w:divId w:val="1174491717"/>
        <w:rPr>
          <w:rFonts w:eastAsia="Times New Roman"/>
        </w:rPr>
      </w:pPr>
      <w:r>
        <w:rPr>
          <w:rFonts w:eastAsia="Times New Roman"/>
          <w:color w:val="000000"/>
          <w:sz w:val="20"/>
          <w:szCs w:val="20"/>
        </w:rPr>
        <w:t>18</w:t>
      </w:r>
    </w:p>
    <w:p w:rsidR="00000000" w:rsidRDefault="005048A7">
      <w:pPr>
        <w:rPr>
          <w:rFonts w:eastAsia="Times New Roman"/>
        </w:rPr>
      </w:pPr>
      <w:r>
        <w:rPr>
          <w:rFonts w:eastAsia="Times New Roman"/>
        </w:rPr>
        <w:pict>
          <v:rect id="_x0000_i1043" style="width:0;height:1.5pt" o:hralign="center" o:hrstd="t" o:hr="t" fillcolor="#a0a0a0" stroked="f"/>
        </w:pict>
      </w:r>
    </w:p>
    <w:p w:rsidR="00000000" w:rsidRDefault="005048A7">
      <w:pPr>
        <w:ind w:firstLine="720"/>
        <w:divId w:val="306785609"/>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1333416347"/>
        <w:rPr>
          <w:rFonts w:eastAsia="Times New Roman"/>
        </w:rPr>
      </w:pPr>
      <w:r>
        <w:rPr>
          <w:rFonts w:eastAsia="Times New Roman"/>
          <w:b/>
          <w:bCs/>
          <w:color w:val="000000"/>
          <w:sz w:val="20"/>
          <w:szCs w:val="20"/>
        </w:rPr>
        <w:t>NCR Corporation</w:t>
      </w:r>
    </w:p>
    <w:p w:rsidR="00000000" w:rsidRDefault="005048A7">
      <w:pPr>
        <w:jc w:val="center"/>
        <w:divId w:val="1333416347"/>
        <w:rPr>
          <w:rFonts w:eastAsia="Times New Roman"/>
        </w:rPr>
      </w:pPr>
      <w:r>
        <w:rPr>
          <w:rFonts w:eastAsia="Times New Roman"/>
          <w:b/>
          <w:bCs/>
          <w:color w:val="000000"/>
          <w:sz w:val="20"/>
          <w:szCs w:val="20"/>
        </w:rPr>
        <w:t>Notes to Condensed Consolidated Financial Statements (Unaudited)—(Continued)</w:t>
      </w:r>
    </w:p>
    <w:p w:rsidR="00000000" w:rsidRDefault="005048A7">
      <w:pPr>
        <w:divId w:val="1401290966"/>
        <w:rPr>
          <w:rFonts w:eastAsia="Times New Roman"/>
        </w:rPr>
      </w:pPr>
      <w:r>
        <w:rPr>
          <w:rFonts w:eastAsia="Times New Roman"/>
          <w:b/>
          <w:bCs/>
          <w:color w:val="54B948"/>
          <w:sz w:val="20"/>
          <w:szCs w:val="20"/>
        </w:rPr>
        <w:t>5. DEBT OBLIGATIONS</w:t>
      </w:r>
    </w:p>
    <w:p w:rsidR="00000000" w:rsidRDefault="005048A7">
      <w:pPr>
        <w:divId w:val="474837422"/>
        <w:rPr>
          <w:rFonts w:eastAsia="Times New Roman"/>
        </w:rPr>
      </w:pPr>
    </w:p>
    <w:p w:rsidR="00000000" w:rsidRDefault="005048A7">
      <w:pPr>
        <w:divId w:val="943271090"/>
        <w:rPr>
          <w:rFonts w:eastAsia="Times New Roman"/>
        </w:rPr>
      </w:pPr>
      <w:r>
        <w:rPr>
          <w:rFonts w:eastAsia="Times New Roman"/>
          <w:color w:val="000000"/>
          <w:sz w:val="20"/>
          <w:szCs w:val="20"/>
        </w:rPr>
        <w:t>The following table summarizes</w:t>
      </w:r>
      <w:r>
        <w:rPr>
          <w:rFonts w:eastAsia="Times New Roman"/>
          <w:color w:val="000000"/>
          <w:sz w:val="20"/>
          <w:szCs w:val="20"/>
        </w:rPr>
        <w:t xml:space="preserve"> the Company's short-term borrowings and long-term debt:</w:t>
      </w:r>
    </w:p>
    <w:tbl>
      <w:tblPr>
        <w:tblW w:w="4926" w:type="pct"/>
        <w:jc w:val="center"/>
        <w:tblCellMar>
          <w:top w:w="15" w:type="dxa"/>
          <w:left w:w="15" w:type="dxa"/>
          <w:bottom w:w="15" w:type="dxa"/>
          <w:right w:w="15" w:type="dxa"/>
        </w:tblCellMar>
        <w:tblLook w:val="04A0" w:firstRow="1" w:lastRow="0" w:firstColumn="1" w:lastColumn="0" w:noHBand="0" w:noVBand="1"/>
      </w:tblPr>
      <w:tblGrid>
        <w:gridCol w:w="38"/>
        <w:gridCol w:w="139"/>
        <w:gridCol w:w="38"/>
        <w:gridCol w:w="44"/>
        <w:gridCol w:w="3189"/>
        <w:gridCol w:w="37"/>
        <w:gridCol w:w="120"/>
        <w:gridCol w:w="991"/>
        <w:gridCol w:w="36"/>
        <w:gridCol w:w="36"/>
        <w:gridCol w:w="36"/>
        <w:gridCol w:w="36"/>
        <w:gridCol w:w="56"/>
        <w:gridCol w:w="974"/>
        <w:gridCol w:w="36"/>
        <w:gridCol w:w="36"/>
        <w:gridCol w:w="36"/>
        <w:gridCol w:w="36"/>
        <w:gridCol w:w="120"/>
        <w:gridCol w:w="962"/>
        <w:gridCol w:w="36"/>
        <w:gridCol w:w="36"/>
        <w:gridCol w:w="36"/>
        <w:gridCol w:w="36"/>
        <w:gridCol w:w="56"/>
        <w:gridCol w:w="951"/>
        <w:gridCol w:w="36"/>
      </w:tblGrid>
      <w:tr w:rsidR="00000000">
        <w:trPr>
          <w:divId w:val="556743571"/>
          <w:jc w:val="center"/>
        </w:trPr>
        <w:tc>
          <w:tcPr>
            <w:tcW w:w="5" w:type="pct"/>
            <w:vAlign w:val="center"/>
            <w:hideMark/>
          </w:tcPr>
          <w:p w:rsidR="00000000" w:rsidRDefault="005048A7">
            <w:pPr>
              <w:rPr>
                <w:rFonts w:eastAsia="Times New Roman"/>
              </w:rPr>
            </w:pPr>
          </w:p>
        </w:tc>
        <w:tc>
          <w:tcPr>
            <w:tcW w:w="10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197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2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4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2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2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2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556743571"/>
          <w:jc w:val="center"/>
        </w:trPr>
        <w:tc>
          <w:tcPr>
            <w:tcW w:w="0" w:type="auto"/>
            <w:gridSpan w:val="6"/>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December 31, 2021</w:t>
            </w:r>
          </w:p>
        </w:tc>
      </w:tr>
      <w:tr w:rsidR="00000000">
        <w:trPr>
          <w:divId w:val="556743571"/>
          <w:jc w:val="center"/>
        </w:trPr>
        <w:tc>
          <w:tcPr>
            <w:tcW w:w="0" w:type="auto"/>
            <w:gridSpan w:val="6"/>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 except percentages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Weighted-Average Interest Rate</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Weighted-Average Interest Rate</w:t>
            </w:r>
          </w:p>
        </w:tc>
      </w:tr>
      <w:tr w:rsidR="00000000">
        <w:trPr>
          <w:divId w:val="556743571"/>
          <w:jc w:val="center"/>
        </w:trPr>
        <w:tc>
          <w:tcPr>
            <w:tcW w:w="0" w:type="auto"/>
            <w:gridSpan w:val="6"/>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i/>
                <w:iCs/>
                <w:color w:val="000000"/>
                <w:sz w:val="20"/>
                <w:szCs w:val="20"/>
              </w:rPr>
              <w:t>Short-Term Borrowings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556743571"/>
          <w:jc w:val="center"/>
        </w:trPr>
        <w:tc>
          <w:tcPr>
            <w:tcW w:w="0" w:type="auto"/>
            <w:gridSpan w:val="6"/>
            <w:shd w:val="clear" w:color="auto" w:fill="FFFFFF"/>
            <w:tcMar>
              <w:top w:w="30" w:type="dxa"/>
              <w:left w:w="20" w:type="dxa"/>
              <w:bottom w:w="30" w:type="dxa"/>
              <w:right w:w="20" w:type="dxa"/>
            </w:tcMar>
            <w:vAlign w:val="bottom"/>
            <w:hideMark/>
          </w:tcPr>
          <w:p w:rsidR="00000000" w:rsidRDefault="005048A7">
            <w:pPr>
              <w:spacing w:after="100"/>
              <w:divId w:val="1144468625"/>
              <w:rPr>
                <w:rFonts w:eastAsia="Times New Roman"/>
              </w:rPr>
            </w:pPr>
            <w:r>
              <w:rPr>
                <w:rFonts w:eastAsia="Times New Roman"/>
                <w:color w:val="000000"/>
                <w:sz w:val="20"/>
                <w:szCs w:val="20"/>
              </w:rPr>
              <w:t>Current portion of Senior Secured Credit Facility</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20"/>
                <w:szCs w:val="20"/>
              </w:rPr>
              <w:t>3.38%</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color w:val="000000"/>
                <w:sz w:val="20"/>
                <w:szCs w:val="20"/>
              </w:rPr>
              <w:t>2.63%</w:t>
            </w:r>
          </w:p>
        </w:tc>
      </w:tr>
      <w:tr w:rsidR="00000000">
        <w:trPr>
          <w:divId w:val="556743571"/>
          <w:jc w:val="center"/>
        </w:trPr>
        <w:tc>
          <w:tcPr>
            <w:tcW w:w="0" w:type="auto"/>
            <w:gridSpan w:val="6"/>
            <w:shd w:val="clear" w:color="auto" w:fill="CCEEFF"/>
            <w:tcMar>
              <w:top w:w="30" w:type="dxa"/>
              <w:left w:w="20" w:type="dxa"/>
              <w:bottom w:w="30" w:type="dxa"/>
              <w:right w:w="20" w:type="dxa"/>
            </w:tcMar>
            <w:vAlign w:val="bottom"/>
            <w:hideMark/>
          </w:tcPr>
          <w:p w:rsidR="00000000" w:rsidRDefault="005048A7">
            <w:pPr>
              <w:spacing w:after="100"/>
              <w:divId w:val="667169674"/>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20"/>
                <w:szCs w:val="20"/>
              </w:rPr>
              <w:t>3.09%</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color w:val="000000"/>
                <w:sz w:val="20"/>
                <w:szCs w:val="20"/>
              </w:rPr>
              <w:t>2.13%</w:t>
            </w:r>
          </w:p>
        </w:tc>
      </w:tr>
      <w:tr w:rsidR="00000000">
        <w:trPr>
          <w:divId w:val="556743571"/>
          <w:jc w:val="center"/>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Total short-term borrowings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556743571"/>
          <w:jc w:val="center"/>
        </w:trPr>
        <w:tc>
          <w:tcPr>
            <w:tcW w:w="0" w:type="auto"/>
            <w:gridSpan w:val="6"/>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i/>
                <w:iCs/>
                <w:color w:val="000000"/>
                <w:sz w:val="20"/>
                <w:szCs w:val="20"/>
              </w:rPr>
              <w:t>Long-Term Debt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556743571"/>
          <w:jc w:val="center"/>
        </w:trPr>
        <w:tc>
          <w:tcPr>
            <w:tcW w:w="0" w:type="auto"/>
            <w:gridSpan w:val="6"/>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Senior Secured Credit Facility:</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556743571"/>
          <w:jc w:val="center"/>
        </w:trPr>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divId w:val="1005208503"/>
              <w:rPr>
                <w:rFonts w:eastAsia="Times New Roman"/>
              </w:rPr>
            </w:pPr>
            <w:r>
              <w:rPr>
                <w:rFonts w:eastAsia="Times New Roman"/>
                <w:color w:val="000000"/>
                <w:sz w:val="20"/>
                <w:szCs w:val="20"/>
              </w:rPr>
              <w:t>Term loan facility</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1,831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20"/>
                <w:szCs w:val="20"/>
              </w:rPr>
              <w:t>3.50%</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1,884 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color w:val="000000"/>
                <w:sz w:val="20"/>
                <w:szCs w:val="20"/>
              </w:rPr>
              <w:t>2.63%</w:t>
            </w:r>
          </w:p>
        </w:tc>
      </w:tr>
      <w:tr w:rsidR="00000000">
        <w:trPr>
          <w:divId w:val="556743571"/>
          <w:jc w:val="center"/>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divId w:val="1649244637"/>
              <w:rPr>
                <w:rFonts w:eastAsia="Times New Roman"/>
              </w:rPr>
            </w:pPr>
            <w:r>
              <w:rPr>
                <w:rFonts w:eastAsia="Times New Roman"/>
                <w:color w:val="000000"/>
                <w:sz w:val="20"/>
                <w:szCs w:val="20"/>
              </w:rPr>
              <w:t>Revolving credit facility</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20"/>
                <w:szCs w:val="20"/>
              </w:rPr>
              <w:t>3.76%</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color w:val="000000"/>
                <w:sz w:val="20"/>
                <w:szCs w:val="20"/>
              </w:rPr>
              <w:t>2.36%</w:t>
            </w:r>
          </w:p>
        </w:tc>
      </w:tr>
      <w:tr w:rsidR="00000000">
        <w:trPr>
          <w:divId w:val="556743571"/>
          <w:jc w:val="center"/>
        </w:trPr>
        <w:tc>
          <w:tcPr>
            <w:tcW w:w="0" w:type="auto"/>
            <w:gridSpan w:val="6"/>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Senior notes: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556743571"/>
          <w:jc w:val="center"/>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556743571"/>
          <w:jc w:val="center"/>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divId w:val="941566897"/>
              <w:rPr>
                <w:rFonts w:eastAsia="Times New Roman"/>
              </w:rPr>
            </w:pPr>
            <w:r>
              <w:rPr>
                <w:rFonts w:eastAsia="Times New Roman"/>
                <w:color w:val="000000"/>
                <w:sz w:val="20"/>
                <w:szCs w:val="20"/>
              </w:rPr>
              <w:t>5.750% Senior Notes due 2027</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556743571"/>
          <w:jc w:val="center"/>
        </w:trPr>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divId w:val="917637029"/>
              <w:rPr>
                <w:rFonts w:eastAsia="Times New Roman"/>
              </w:rPr>
            </w:pPr>
            <w:r>
              <w:rPr>
                <w:rFonts w:eastAsia="Times New Roman"/>
                <w:color w:val="000000"/>
                <w:sz w:val="20"/>
                <w:szCs w:val="20"/>
              </w:rPr>
              <w:t>5.000</w:t>
            </w:r>
            <w:r>
              <w:rPr>
                <w:rFonts w:eastAsia="Times New Roman"/>
                <w:color w:val="000000"/>
                <w:sz w:val="20"/>
                <w:szCs w:val="20"/>
              </w:rPr>
              <w:t>% Senior Notes due 2028</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650 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556743571"/>
          <w:jc w:val="center"/>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both"/>
              <w:rPr>
                <w:rFonts w:eastAsia="Times New Roman"/>
              </w:rPr>
            </w:pPr>
            <w:r>
              <w:rPr>
                <w:rFonts w:eastAsia="Times New Roman"/>
                <w:color w:val="000000"/>
                <w:sz w:val="20"/>
                <w:szCs w:val="20"/>
              </w:rPr>
              <w:t>5.125% Senior Notes due 2029</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1,200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1,200 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556743571"/>
          <w:jc w:val="center"/>
        </w:trPr>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divId w:val="1527907933"/>
              <w:rPr>
                <w:rFonts w:eastAsia="Times New Roman"/>
              </w:rPr>
            </w:pPr>
            <w:r>
              <w:rPr>
                <w:rFonts w:eastAsia="Times New Roman"/>
                <w:color w:val="000000"/>
                <w:sz w:val="20"/>
                <w:szCs w:val="20"/>
              </w:rPr>
              <w:t>6.125% Senior Notes due 2029</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556743571"/>
          <w:jc w:val="center"/>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divId w:val="543297001"/>
              <w:rPr>
                <w:rFonts w:eastAsia="Times New Roman"/>
              </w:rPr>
            </w:pPr>
            <w:r>
              <w:rPr>
                <w:rFonts w:eastAsia="Times New Roman"/>
                <w:color w:val="000000"/>
                <w:sz w:val="20"/>
                <w:szCs w:val="20"/>
              </w:rPr>
              <w:t>5.250% Senior Notes due 2030</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450 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556743571"/>
          <w:jc w:val="center"/>
        </w:trPr>
        <w:tc>
          <w:tcPr>
            <w:tcW w:w="0" w:type="auto"/>
            <w:gridSpan w:val="6"/>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Deferred financing fees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(60)</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556743571"/>
          <w:jc w:val="center"/>
        </w:trPr>
        <w:tc>
          <w:tcPr>
            <w:tcW w:w="0" w:type="auto"/>
            <w:gridSpan w:val="6"/>
            <w:shd w:val="clear" w:color="auto" w:fill="FFFFFF"/>
            <w:tcMar>
              <w:top w:w="30" w:type="dxa"/>
              <w:left w:w="20" w:type="dxa"/>
              <w:bottom w:w="30" w:type="dxa"/>
              <w:right w:w="20" w:type="dxa"/>
            </w:tcMar>
            <w:vAlign w:val="bottom"/>
            <w:hideMark/>
          </w:tcPr>
          <w:p w:rsidR="00000000" w:rsidRDefault="005048A7">
            <w:pPr>
              <w:spacing w:after="100"/>
              <w:divId w:val="654335202"/>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20"/>
                <w:szCs w:val="20"/>
              </w:rPr>
              <w:t>6.60%</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color w:val="000000"/>
                <w:sz w:val="20"/>
                <w:szCs w:val="20"/>
              </w:rPr>
              <w:t>6.62%</w:t>
            </w:r>
          </w:p>
        </w:tc>
      </w:tr>
      <w:tr w:rsidR="00000000">
        <w:trPr>
          <w:divId w:val="556743571"/>
          <w:jc w:val="center"/>
        </w:trPr>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Total long-term debt</w:t>
            </w: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5,497</w:t>
            </w:r>
            <w:r>
              <w:rPr>
                <w:rFonts w:eastAsia="Times New Roman"/>
                <w:color w:val="000000"/>
                <w:sz w:val="20"/>
                <w:szCs w:val="20"/>
              </w:rPr>
              <w:t>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5,505 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bl>
    <w:p w:rsidR="00000000" w:rsidRDefault="005048A7">
      <w:pPr>
        <w:jc w:val="center"/>
        <w:divId w:val="556743571"/>
        <w:rPr>
          <w:rFonts w:eastAsia="Times New Roman"/>
        </w:rPr>
      </w:pPr>
      <w:r>
        <w:rPr>
          <w:rFonts w:eastAsia="Times New Roman"/>
          <w:color w:val="000000"/>
          <w:sz w:val="20"/>
          <w:szCs w:val="20"/>
        </w:rPr>
        <w:t>    </w:t>
      </w:r>
    </w:p>
    <w:p w:rsidR="00000000" w:rsidRDefault="005048A7">
      <w:pPr>
        <w:ind w:hanging="270"/>
        <w:jc w:val="both"/>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Interest rates are weighted-average interest rates as of June 30, 2022 and December 31, 2021. </w:t>
      </w:r>
    </w:p>
    <w:p w:rsidR="00000000" w:rsidRDefault="005048A7">
      <w:pPr>
        <w:jc w:val="both"/>
        <w:divId w:val="2103602589"/>
        <w:rPr>
          <w:rFonts w:eastAsia="Times New Roman"/>
        </w:rPr>
      </w:pPr>
    </w:p>
    <w:p w:rsidR="00000000" w:rsidRDefault="005048A7">
      <w:pPr>
        <w:jc w:val="both"/>
        <w:rPr>
          <w:rFonts w:eastAsia="Times New Roman"/>
        </w:rPr>
      </w:pPr>
      <w:r>
        <w:rPr>
          <w:rFonts w:eastAsia="Times New Roman"/>
          <w:i/>
          <w:iCs/>
          <w:color w:val="000000"/>
          <w:sz w:val="20"/>
          <w:szCs w:val="20"/>
        </w:rPr>
        <w:t xml:space="preserve">Senior Secured Credit Facility </w:t>
      </w:r>
      <w:r>
        <w:rPr>
          <w:rFonts w:eastAsia="Times New Roman"/>
          <w:color w:val="000000"/>
          <w:sz w:val="20"/>
          <w:szCs w:val="20"/>
        </w:rPr>
        <w:t>The Company is party to</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 xml:space="preserve">a Senior Secured Credit Facility, which provides for a senior secured term loan A facility in an aggregate principal amount of $1.305 billion (the “TLA Facility”), a senior secured term loan B facility in an aggregate principal amount of $750 million (the </w:t>
      </w:r>
      <w:r>
        <w:rPr>
          <w:rFonts w:eastAsia="Times New Roman"/>
          <w:color w:val="000000"/>
          <w:sz w:val="20"/>
          <w:szCs w:val="20"/>
          <w:shd w:val="clear" w:color="auto" w:fill="FFFFFF"/>
        </w:rPr>
        <w:t>“TLB Facility” and together with the TLA Facility, the “Term Loan Facilities”), and a revolving credit facility with commitments in an initial aggregate principal amount of $1.3 billion (the “Revolving Credit Facility”).</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shd w:val="clear" w:color="auto" w:fill="FFFFFF"/>
        </w:rPr>
        <w:t>As of June 30, 2022, $1.936 billi</w:t>
      </w:r>
      <w:r>
        <w:rPr>
          <w:rFonts w:eastAsia="Times New Roman"/>
          <w:color w:val="000000"/>
          <w:sz w:val="20"/>
          <w:szCs w:val="20"/>
          <w:shd w:val="clear" w:color="auto" w:fill="FFFFFF"/>
        </w:rPr>
        <w:t>on remained outstanding under the Term Loan Facilities.</w:t>
      </w:r>
      <w:r>
        <w:rPr>
          <w:rFonts w:eastAsia="Times New Roman"/>
          <w:color w:val="000000"/>
          <w:sz w:val="20"/>
          <w:szCs w:val="20"/>
        </w:rPr>
        <w:t xml:space="preserve"> </w:t>
      </w:r>
      <w:r>
        <w:rPr>
          <w:rFonts w:eastAsia="Times New Roman"/>
          <w:color w:val="000000"/>
          <w:sz w:val="20"/>
          <w:szCs w:val="20"/>
          <w:shd w:val="clear" w:color="auto" w:fill="FFFFFF"/>
        </w:rPr>
        <w:t xml:space="preserve">Additionally, as of June 30, 2022, there was $420 million outstanding under the Revolving Credit Facility. The Revolving Credit Facility also contains a sub-facility to be used for letters of credit, </w:t>
      </w:r>
      <w:r>
        <w:rPr>
          <w:rFonts w:eastAsia="Times New Roman"/>
          <w:color w:val="000000"/>
          <w:sz w:val="20"/>
          <w:szCs w:val="20"/>
          <w:shd w:val="clear" w:color="auto" w:fill="FFFFFF"/>
        </w:rPr>
        <w:t xml:space="preserve">and, as of June 30, 2022, outstanding letters of credit were $24 million. Our borrowing capacity under our Revolving Credit Facility was $856 million at June 30, 2022.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 outstanding principal balance of the TLB Facility is required to be repaid in equ</w:t>
      </w:r>
      <w:r>
        <w:rPr>
          <w:rFonts w:eastAsia="Times New Roman"/>
          <w:color w:val="000000"/>
          <w:sz w:val="20"/>
          <w:szCs w:val="20"/>
        </w:rPr>
        <w:t>al quarterly installments of 0.25% of the original aggregate principal amount thereof that began with the fiscal quarter ended December 31, 2019, with the balance being due at maturity on August 28, 2026 (the “TLB Maturity Date”).</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 outstanding principal balance of the TLA Facility is required to be repaid in equal quarterly installments of 1.875% of the original aggregate principal amount thereof, that began with the fiscal quarter ended September 30, 2021, with the balance being</w:t>
      </w:r>
      <w:r>
        <w:rPr>
          <w:rFonts w:eastAsia="Times New Roman"/>
          <w:color w:val="000000"/>
          <w:sz w:val="20"/>
          <w:szCs w:val="20"/>
        </w:rPr>
        <w:t xml:space="preserve"> due at maturity on the earlier of (a) June 21, 2026 and (b) unless the loans under TLB Facility have been repaid prior to such date, the date that is 91 days prior to the TLB Maturity Date.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 xml:space="preserve">Commitments under the Revolving Credit Facility are scheduled </w:t>
      </w:r>
      <w:r>
        <w:rPr>
          <w:rFonts w:eastAsia="Times New Roman"/>
          <w:color w:val="000000"/>
          <w:sz w:val="20"/>
          <w:szCs w:val="20"/>
        </w:rPr>
        <w:t>to terminate on the earlier of (a) June 21, 2026 and (b) unless the loans under TLB Facility have been repaid prior to such date, the date that is 91 days prior to the TLB Maturity Date. Loans under the Revolving Credit Facility may be repaid and reborrowe</w:t>
      </w:r>
      <w:r>
        <w:rPr>
          <w:rFonts w:eastAsia="Times New Roman"/>
          <w:color w:val="000000"/>
          <w:sz w:val="20"/>
          <w:szCs w:val="20"/>
        </w:rPr>
        <w:t>d prior to such date, subject to the satisfaction of customary conditions.</w:t>
      </w:r>
    </w:p>
    <w:p w:rsidR="00000000" w:rsidRDefault="005048A7">
      <w:pPr>
        <w:divId w:val="1502240362"/>
        <w:rPr>
          <w:rFonts w:eastAsia="Times New Roman"/>
        </w:rPr>
      </w:pPr>
    </w:p>
    <w:p w:rsidR="00000000" w:rsidRDefault="005048A7">
      <w:pPr>
        <w:jc w:val="center"/>
        <w:divId w:val="669868579"/>
        <w:rPr>
          <w:rFonts w:eastAsia="Times New Roman"/>
        </w:rPr>
      </w:pPr>
      <w:r>
        <w:rPr>
          <w:rFonts w:eastAsia="Times New Roman"/>
          <w:color w:val="000000"/>
          <w:sz w:val="20"/>
          <w:szCs w:val="20"/>
        </w:rPr>
        <w:t>19</w:t>
      </w:r>
    </w:p>
    <w:p w:rsidR="00000000" w:rsidRDefault="005048A7">
      <w:pPr>
        <w:rPr>
          <w:rFonts w:eastAsia="Times New Roman"/>
        </w:rPr>
      </w:pPr>
      <w:r>
        <w:rPr>
          <w:rFonts w:eastAsia="Times New Roman"/>
        </w:rPr>
        <w:pict>
          <v:rect id="_x0000_i1044" style="width:0;height:1.5pt" o:hralign="center" o:hrstd="t" o:hr="t" fillcolor="#a0a0a0" stroked="f"/>
        </w:pict>
      </w:r>
    </w:p>
    <w:p w:rsidR="00000000" w:rsidRDefault="005048A7">
      <w:pPr>
        <w:ind w:firstLine="720"/>
        <w:divId w:val="713894799"/>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345519490"/>
        <w:rPr>
          <w:rFonts w:eastAsia="Times New Roman"/>
        </w:rPr>
      </w:pPr>
      <w:r>
        <w:rPr>
          <w:rFonts w:eastAsia="Times New Roman"/>
          <w:b/>
          <w:bCs/>
          <w:color w:val="000000"/>
          <w:sz w:val="20"/>
          <w:szCs w:val="20"/>
        </w:rPr>
        <w:t>NCR Corporation</w:t>
      </w:r>
    </w:p>
    <w:p w:rsidR="00000000" w:rsidRDefault="005048A7">
      <w:pPr>
        <w:jc w:val="center"/>
        <w:divId w:val="345519490"/>
        <w:rPr>
          <w:rFonts w:eastAsia="Times New Roman"/>
        </w:rPr>
      </w:pPr>
      <w:r>
        <w:rPr>
          <w:rFonts w:eastAsia="Times New Roman"/>
          <w:b/>
          <w:bCs/>
          <w:color w:val="000000"/>
          <w:sz w:val="20"/>
          <w:szCs w:val="20"/>
        </w:rPr>
        <w:t>Notes to Condensed Consolidated Financial Stateme</w:t>
      </w:r>
      <w:r>
        <w:rPr>
          <w:rFonts w:eastAsia="Times New Roman"/>
          <w:b/>
          <w:bCs/>
          <w:color w:val="000000"/>
          <w:sz w:val="20"/>
          <w:szCs w:val="20"/>
        </w:rPr>
        <w:t>nts (Unaudited)—(Continued)</w:t>
      </w:r>
    </w:p>
    <w:p w:rsidR="00000000" w:rsidRDefault="005048A7">
      <w:pPr>
        <w:jc w:val="both"/>
        <w:rPr>
          <w:rFonts w:eastAsia="Times New Roman"/>
        </w:rPr>
      </w:pPr>
      <w:r>
        <w:rPr>
          <w:rFonts w:eastAsia="Times New Roman"/>
          <w:color w:val="000000"/>
          <w:sz w:val="20"/>
          <w:szCs w:val="20"/>
        </w:rPr>
        <w:t>The obligations under the Senior Secured Credit Facility are guaranteed by certain of the Company’s domestic material subsidiaries including the Guarantor Subsidiary and certain domestic subsidiaries acquired through the Cardtro</w:t>
      </w:r>
      <w:r>
        <w:rPr>
          <w:rFonts w:eastAsia="Times New Roman"/>
          <w:color w:val="000000"/>
          <w:sz w:val="20"/>
          <w:szCs w:val="20"/>
        </w:rPr>
        <w:t>nics Transaction (collectively, the “Cardtronics Guarantors” and together with the Guarantor Subsidiary, the “Guarantors”).</w:t>
      </w:r>
      <w:r>
        <w:rPr>
          <w:rFonts w:eastAsia="Times New Roman"/>
          <w:color w:val="008080"/>
        </w:rPr>
        <w:t xml:space="preserve"> </w:t>
      </w:r>
      <w:r>
        <w:rPr>
          <w:rFonts w:eastAsia="Times New Roman"/>
          <w:color w:val="000000"/>
          <w:sz w:val="20"/>
          <w:szCs w:val="20"/>
        </w:rPr>
        <w:t xml:space="preserve">The obligations under the Senior Secured Credit Facility and the above described guarantee are secured by a first priority lien and </w:t>
      </w:r>
      <w:r>
        <w:rPr>
          <w:rFonts w:eastAsia="Times New Roman"/>
          <w:color w:val="000000"/>
          <w:sz w:val="20"/>
          <w:szCs w:val="20"/>
        </w:rPr>
        <w:t>security interest in certain equity interests owned by the Company and the Guarantors in certain of their respective domestic and foreign subsidiaries, and a first priority lien and security interest in substantially all of the assets of the Company and th</w:t>
      </w:r>
      <w:r>
        <w:rPr>
          <w:rFonts w:eastAsia="Times New Roman"/>
          <w:color w:val="000000"/>
          <w:sz w:val="20"/>
          <w:szCs w:val="20"/>
        </w:rPr>
        <w:t>e Guarantors, subject to certain exclusions. These security interests would be released if the Company achieves an “investment grade” rating and will remain released so long as the Company maintains an “investment grade” rating.</w:t>
      </w:r>
    </w:p>
    <w:p w:rsidR="00000000" w:rsidRDefault="005048A7">
      <w:pPr>
        <w:jc w:val="both"/>
        <w:divId w:val="1574896183"/>
        <w:rPr>
          <w:rFonts w:eastAsia="Times New Roman"/>
        </w:rPr>
      </w:pPr>
      <w:r>
        <w:rPr>
          <w:rFonts w:eastAsia="Times New Roman"/>
          <w:color w:val="000000"/>
          <w:sz w:val="20"/>
          <w:szCs w:val="20"/>
        </w:rPr>
        <w:t>The Senior Secured Credit F</w:t>
      </w:r>
      <w:r>
        <w:rPr>
          <w:rFonts w:eastAsia="Times New Roman"/>
          <w:color w:val="000000"/>
          <w:sz w:val="20"/>
          <w:szCs w:val="20"/>
        </w:rPr>
        <w:t>acility includes affirmative and negative covenants that restrict or limit the ability of the Company and its subsidiaries to, among other things, incur indebtedness; create liens on assets; engage in certain fundamental corporate changes or changes to the</w:t>
      </w:r>
      <w:r>
        <w:rPr>
          <w:rFonts w:eastAsia="Times New Roman"/>
          <w:color w:val="000000"/>
          <w:sz w:val="20"/>
          <w:szCs w:val="20"/>
        </w:rPr>
        <w:t xml:space="preserve"> Company's business activities; make investments; sell or otherwise dispose of assets; engage in sale-leaseback or hedging transactions; repurchase stock, pay dividends or make similar distributions; repay other indebtedness; engage in certain affiliate tr</w:t>
      </w:r>
      <w:r>
        <w:rPr>
          <w:rFonts w:eastAsia="Times New Roman"/>
          <w:color w:val="000000"/>
          <w:sz w:val="20"/>
          <w:szCs w:val="20"/>
        </w:rPr>
        <w:t>ansactions; or enter into agreements that restrict the Company's ability to create liens, pay dividends or make loan repayments. The Senior Secured Credit Facility also includes a financial covenant with respect to the Revolving Credit Facility and the TLA</w:t>
      </w:r>
      <w:r>
        <w:rPr>
          <w:rFonts w:eastAsia="Times New Roman"/>
          <w:color w:val="000000"/>
          <w:sz w:val="20"/>
          <w:szCs w:val="20"/>
        </w:rPr>
        <w:t xml:space="preserve"> Facility. The financial covenant requires the Company to maintain:</w:t>
      </w:r>
    </w:p>
    <w:p w:rsidR="00000000" w:rsidRDefault="005048A7">
      <w:pPr>
        <w:ind w:hanging="360"/>
        <w:jc w:val="both"/>
        <w:divId w:val="1875576440"/>
        <w:rPr>
          <w:rFonts w:eastAsia="Times New Roman"/>
        </w:rPr>
      </w:pPr>
      <w:r>
        <w:rPr>
          <w:rFonts w:eastAsia="Times New Roman"/>
          <w:color w:val="000000"/>
          <w:sz w:val="20"/>
          <w:szCs w:val="20"/>
          <w:shd w:val="clear" w:color="auto" w:fill="FFFFFF"/>
        </w:rPr>
        <w:t>•</w:t>
      </w:r>
      <w:r>
        <w:rPr>
          <w:rFonts w:eastAsia="Times New Roman"/>
          <w:color w:val="000000"/>
          <w:sz w:val="20"/>
          <w:szCs w:val="20"/>
        </w:rPr>
        <w:t>A consolidated leverage ratio on the last day of any fiscal quarter, not to exceed (i) in the case of any fiscal quarter ending on or prior to December 31, 2021, 5.50 to 1.00, (ii) in the</w:t>
      </w:r>
      <w:r>
        <w:rPr>
          <w:rFonts w:eastAsia="Times New Roman"/>
          <w:color w:val="000000"/>
          <w:sz w:val="20"/>
          <w:szCs w:val="20"/>
        </w:rPr>
        <w:t xml:space="preserve"> case of any fiscal quarter ending on or prior to September 30, 2022, 5.25 to 1.00, and (iii) in the case of any fiscal quarter ending on or after December 31, 2022, 4.75 to 1.00.</w:t>
      </w:r>
    </w:p>
    <w:p w:rsidR="00000000" w:rsidRDefault="005048A7">
      <w:pPr>
        <w:jc w:val="both"/>
        <w:rPr>
          <w:rFonts w:eastAsia="Times New Roman"/>
        </w:rPr>
      </w:pPr>
      <w:r>
        <w:rPr>
          <w:rFonts w:eastAsia="Times New Roman"/>
          <w:i/>
          <w:iCs/>
          <w:color w:val="000000"/>
          <w:sz w:val="20"/>
          <w:szCs w:val="20"/>
        </w:rPr>
        <w:t xml:space="preserve">Senior Unsecured Notes </w:t>
      </w:r>
      <w:r>
        <w:rPr>
          <w:rFonts w:eastAsia="Times New Roman"/>
          <w:color w:val="000000"/>
          <w:sz w:val="20"/>
          <w:szCs w:val="20"/>
        </w:rPr>
        <w:t>The Company’s senior unsecured notes are guaranteed b</w:t>
      </w:r>
      <w:r>
        <w:rPr>
          <w:rFonts w:eastAsia="Times New Roman"/>
          <w:color w:val="000000"/>
          <w:sz w:val="20"/>
          <w:szCs w:val="20"/>
        </w:rPr>
        <w:t>y the Guarantors, which have guaranteed fully and unconditionally the obligations to pay principal and interest for the Company’s senior unsecured notes. The</w:t>
      </w:r>
      <w:r>
        <w:rPr>
          <w:rFonts w:eastAsia="Times New Roman"/>
          <w:color w:val="000000"/>
          <w:sz w:val="20"/>
          <w:szCs w:val="20"/>
          <w:shd w:val="clear" w:color="auto" w:fill="FFFFFF"/>
        </w:rPr>
        <w:t xml:space="preserve"> terms of the indentures for the Company’s senior unsecured notes limit the ability of the Company </w:t>
      </w:r>
      <w:r>
        <w:rPr>
          <w:rFonts w:eastAsia="Times New Roman"/>
          <w:color w:val="000000"/>
          <w:sz w:val="20"/>
          <w:szCs w:val="20"/>
          <w:shd w:val="clear" w:color="auto" w:fill="FFFFFF"/>
        </w:rPr>
        <w:t>and certain of its subsidiaries to, among other things, incur additional debt or issue redeemable preferred stock; pay dividends or make certain other restricted payments or investments; incur liens; sell assets; incur restrictions on the ability of the Co</w:t>
      </w:r>
      <w:r>
        <w:rPr>
          <w:rFonts w:eastAsia="Times New Roman"/>
          <w:color w:val="000000"/>
          <w:sz w:val="20"/>
          <w:szCs w:val="20"/>
          <w:shd w:val="clear" w:color="auto" w:fill="FFFFFF"/>
        </w:rPr>
        <w:t>mpany's subsidiaries to pay dividends to the Company; enter into affiliate transactions; engage in sa</w:t>
      </w:r>
      <w:r>
        <w:rPr>
          <w:rFonts w:eastAsia="Times New Roman"/>
          <w:color w:val="000000"/>
          <w:sz w:val="20"/>
          <w:szCs w:val="20"/>
        </w:rPr>
        <w:t>le and leaseback transactions; and consolidate, merge, sell or otherwise dispose of all or substantially all of the Company's or such subsidiaries' assets.</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Fair Value of Debt</w:t>
      </w:r>
      <w:r>
        <w:rPr>
          <w:rFonts w:eastAsia="Times New Roman"/>
          <w:color w:val="000000"/>
          <w:sz w:val="20"/>
          <w:szCs w:val="20"/>
        </w:rPr>
        <w:t xml:space="preserve"> The Company utilized Level 2 inputs, as defined in the fair value hierarchy, to measure the fair value of the long-term debt, which, as of June 30, 2022 and December 31, 2021 was $5.18 billion and $5.74 billion, respectively. Manageme</w:t>
      </w:r>
      <w:r>
        <w:rPr>
          <w:rFonts w:eastAsia="Times New Roman"/>
          <w:color w:val="000000"/>
          <w:sz w:val="20"/>
          <w:szCs w:val="20"/>
        </w:rPr>
        <w:t>nt's fair value estimates were based on quoted prices for recent trades of NCR’s long-term debt, quoted prices for similar instruments, and inquiries with certain investment communities.</w:t>
      </w:r>
    </w:p>
    <w:p w:rsidR="00000000" w:rsidRDefault="005048A7">
      <w:pPr>
        <w:divId w:val="1027295415"/>
        <w:rPr>
          <w:rFonts w:eastAsia="Times New Roman"/>
        </w:rPr>
      </w:pPr>
    </w:p>
    <w:p w:rsidR="00000000" w:rsidRDefault="005048A7">
      <w:pPr>
        <w:divId w:val="647513833"/>
        <w:rPr>
          <w:rFonts w:eastAsia="Times New Roman"/>
        </w:rPr>
      </w:pPr>
    </w:p>
    <w:p w:rsidR="00000000" w:rsidRDefault="005048A7">
      <w:pPr>
        <w:divId w:val="1729643180"/>
        <w:rPr>
          <w:rFonts w:eastAsia="Times New Roman"/>
        </w:rPr>
      </w:pPr>
      <w:r>
        <w:rPr>
          <w:rFonts w:eastAsia="Times New Roman"/>
          <w:b/>
          <w:bCs/>
          <w:color w:val="54B948"/>
          <w:sz w:val="20"/>
          <w:szCs w:val="20"/>
        </w:rPr>
        <w:t>6. TRADE RECEIVABLES FACILITY</w:t>
      </w:r>
    </w:p>
    <w:p w:rsidR="00000000" w:rsidRDefault="005048A7">
      <w:pPr>
        <w:divId w:val="1412459306"/>
        <w:rPr>
          <w:rFonts w:eastAsia="Times New Roman"/>
        </w:rPr>
      </w:pPr>
    </w:p>
    <w:p w:rsidR="00000000" w:rsidRDefault="005048A7">
      <w:pPr>
        <w:jc w:val="both"/>
        <w:rPr>
          <w:rFonts w:eastAsia="Times New Roman"/>
        </w:rPr>
      </w:pPr>
      <w:r>
        <w:rPr>
          <w:rFonts w:eastAsia="Times New Roman"/>
          <w:color w:val="000000"/>
          <w:sz w:val="20"/>
          <w:szCs w:val="20"/>
        </w:rPr>
        <w:t xml:space="preserve">The Company continues to maintain its trade receivables facility (the “T/R Facility”) with PNC Bank, National Association (“PNC”), which allows the Company's wholly-owned, bankruptcy remote subsidiary, NCR Receivables LLC (the “U.S. SPE”), to sell certain </w:t>
      </w:r>
      <w:r>
        <w:rPr>
          <w:rFonts w:eastAsia="Times New Roman"/>
          <w:color w:val="000000"/>
          <w:sz w:val="20"/>
          <w:szCs w:val="20"/>
        </w:rPr>
        <w:t xml:space="preserve">trade receivables on a revolving basis to PNC and the other unaffiliated purchasers participating in the T/R Facility. The T/R Facility, as amended, became effective September 30, 2021 and has a term of two years, which the Company and the U.S. SPE intend </w:t>
      </w:r>
      <w:r>
        <w:rPr>
          <w:rFonts w:eastAsia="Times New Roman"/>
          <w:color w:val="000000"/>
          <w:sz w:val="20"/>
          <w:szCs w:val="20"/>
        </w:rPr>
        <w:t>to renew.</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Under the T/R Facility, the Company and certain United States and Canadian operating subsidiaries of the Company continuously sell their trade receivables as they are originated to the U.S. SPE and a Canadian bankruptcy-remote special purpose e</w:t>
      </w:r>
      <w:r>
        <w:rPr>
          <w:rFonts w:eastAsia="Times New Roman"/>
          <w:color w:val="000000"/>
          <w:sz w:val="20"/>
          <w:szCs w:val="20"/>
        </w:rPr>
        <w:t>ntity (collectively, the “SPEs”), as applicable.</w:t>
      </w:r>
      <w:r>
        <w:rPr>
          <w:rFonts w:eastAsia="Times New Roman"/>
          <w:color w:val="000000"/>
        </w:rPr>
        <w:t xml:space="preserve"> </w:t>
      </w:r>
      <w:r>
        <w:rPr>
          <w:rFonts w:eastAsia="Times New Roman"/>
          <w:color w:val="000000"/>
          <w:sz w:val="20"/>
          <w:szCs w:val="20"/>
        </w:rPr>
        <w:t xml:space="preserve">None of the assets or credit of either SPE is available to satisfy the debts and obligations owed to the creditors of the Company or any other person until the obligations of the SPEs under the T/R Facility </w:t>
      </w:r>
      <w:r>
        <w:rPr>
          <w:rFonts w:eastAsia="Times New Roman"/>
          <w:color w:val="000000"/>
          <w:sz w:val="20"/>
          <w:szCs w:val="20"/>
        </w:rPr>
        <w:t xml:space="preserve">have been satisfied. The Company controls and therefore consolidates the SPEs in its condensed consolidated financial statements.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 xml:space="preserve">As cash is collected on the trade receivables, the U.S. SPE has the ability to continuously transfer ownership and control </w:t>
      </w:r>
      <w:r>
        <w:rPr>
          <w:rFonts w:eastAsia="Times New Roman"/>
          <w:color w:val="000000"/>
          <w:sz w:val="20"/>
          <w:szCs w:val="20"/>
        </w:rPr>
        <w:t>of new qualifying receivables to PNC and the other unaffiliated purchasers such that the total outstanding balance of trade receivables sold can be up to $300 million at any point in time, which is the maximum purchase commitment of PNC and the other unaff</w:t>
      </w:r>
      <w:r>
        <w:rPr>
          <w:rFonts w:eastAsia="Times New Roman"/>
          <w:color w:val="000000"/>
          <w:sz w:val="20"/>
          <w:szCs w:val="20"/>
        </w:rPr>
        <w:t>iliated purchasers. The future outstanding balance of trade receivables that are sold is expected to vary based on the level of activity and other factors and could be less than the maximum purchase commitment of $300 million. The total outstanding balance</w:t>
      </w:r>
      <w:r>
        <w:rPr>
          <w:rFonts w:eastAsia="Times New Roman"/>
          <w:color w:val="000000"/>
          <w:sz w:val="20"/>
          <w:szCs w:val="20"/>
        </w:rPr>
        <w:t xml:space="preserve"> of trade receivables that have been sold and derecognized by the U.S. SPE to PNC and the other unaffiliated purchasers is approximately $300 million as of June 30, 2022 and December 31, 2021. Excluding the trade receivables sold to PNC and other unaffilia</w:t>
      </w:r>
      <w:r>
        <w:rPr>
          <w:rFonts w:eastAsia="Times New Roman"/>
          <w:color w:val="000000"/>
          <w:sz w:val="20"/>
          <w:szCs w:val="20"/>
        </w:rPr>
        <w:t xml:space="preserve">ted purchasers, the SPEs collectively owned $373 million and $228 million of trade receivable as of June 30, </w:t>
      </w:r>
    </w:p>
    <w:p w:rsidR="00000000" w:rsidRDefault="005048A7">
      <w:pPr>
        <w:jc w:val="center"/>
        <w:divId w:val="1490901268"/>
        <w:rPr>
          <w:rFonts w:eastAsia="Times New Roman"/>
        </w:rPr>
      </w:pPr>
      <w:r>
        <w:rPr>
          <w:rFonts w:eastAsia="Times New Roman"/>
          <w:color w:val="000000"/>
          <w:sz w:val="20"/>
          <w:szCs w:val="20"/>
        </w:rPr>
        <w:t>20</w:t>
      </w:r>
    </w:p>
    <w:p w:rsidR="00000000" w:rsidRDefault="005048A7">
      <w:pPr>
        <w:rPr>
          <w:rFonts w:eastAsia="Times New Roman"/>
        </w:rPr>
      </w:pPr>
      <w:r>
        <w:rPr>
          <w:rFonts w:eastAsia="Times New Roman"/>
        </w:rPr>
        <w:pict>
          <v:rect id="_x0000_i1045" style="width:0;height:1.5pt" o:hralign="center" o:hrstd="t" o:hr="t" fillcolor="#a0a0a0" stroked="f"/>
        </w:pict>
      </w:r>
    </w:p>
    <w:p w:rsidR="00000000" w:rsidRDefault="005048A7">
      <w:pPr>
        <w:ind w:firstLine="720"/>
        <w:divId w:val="198010838"/>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873344423"/>
        <w:rPr>
          <w:rFonts w:eastAsia="Times New Roman"/>
        </w:rPr>
      </w:pPr>
      <w:r>
        <w:rPr>
          <w:rFonts w:eastAsia="Times New Roman"/>
          <w:b/>
          <w:bCs/>
          <w:color w:val="000000"/>
          <w:sz w:val="20"/>
          <w:szCs w:val="20"/>
        </w:rPr>
        <w:t>NCR Corporation</w:t>
      </w:r>
    </w:p>
    <w:p w:rsidR="00000000" w:rsidRDefault="005048A7">
      <w:pPr>
        <w:jc w:val="center"/>
        <w:divId w:val="873344423"/>
        <w:rPr>
          <w:rFonts w:eastAsia="Times New Roman"/>
        </w:rPr>
      </w:pPr>
      <w:r>
        <w:rPr>
          <w:rFonts w:eastAsia="Times New Roman"/>
          <w:b/>
          <w:bCs/>
          <w:color w:val="000000"/>
          <w:sz w:val="20"/>
          <w:szCs w:val="20"/>
        </w:rPr>
        <w:t>Notes to Condensed Consolidated Financial Statements (Unaudited)—(Continued)</w:t>
      </w:r>
    </w:p>
    <w:p w:rsidR="00000000" w:rsidRDefault="005048A7">
      <w:pPr>
        <w:jc w:val="both"/>
        <w:rPr>
          <w:rFonts w:eastAsia="Times New Roman"/>
        </w:rPr>
      </w:pPr>
      <w:r>
        <w:rPr>
          <w:rFonts w:eastAsia="Times New Roman"/>
          <w:color w:val="000000"/>
          <w:sz w:val="20"/>
          <w:szCs w:val="20"/>
        </w:rPr>
        <w:t xml:space="preserve">2022 and December 31, 2021, respectively, and these amounts are included in Accounts receivable, net in the Company’s Condensed Consolidated Balance Sheets. </w:t>
      </w:r>
    </w:p>
    <w:p w:rsidR="00000000" w:rsidRDefault="005048A7">
      <w:pPr>
        <w:divId w:val="2022589591"/>
        <w:rPr>
          <w:rFonts w:eastAsia="Times New Roman"/>
        </w:rPr>
      </w:pPr>
    </w:p>
    <w:p w:rsidR="00000000" w:rsidRDefault="005048A7">
      <w:pPr>
        <w:jc w:val="both"/>
        <w:rPr>
          <w:rFonts w:eastAsia="Times New Roman"/>
        </w:rPr>
      </w:pPr>
      <w:r>
        <w:rPr>
          <w:rFonts w:eastAsia="Times New Roman"/>
          <w:color w:val="000000"/>
          <w:sz w:val="20"/>
          <w:szCs w:val="20"/>
        </w:rPr>
        <w:t>Continuous cash act</w:t>
      </w:r>
      <w:r>
        <w:rPr>
          <w:rFonts w:eastAsia="Times New Roman"/>
          <w:color w:val="000000"/>
          <w:sz w:val="20"/>
          <w:szCs w:val="20"/>
        </w:rPr>
        <w:t>ivity related to the T/R Facility is reflected in Net cash provided by operating activities in the Condensed Consolidated Statements of Cash Flows. The U.S. SPE incurs fees due and payable to PNC and the other unaffiliated purchasers participating in the T</w:t>
      </w:r>
      <w:r>
        <w:rPr>
          <w:rFonts w:eastAsia="Times New Roman"/>
          <w:color w:val="000000"/>
          <w:sz w:val="20"/>
          <w:szCs w:val="20"/>
        </w:rPr>
        <w:t>/R Facility. Those fees, which are immaterial, are recorded within Other income (expense), net in the Condensed Consolidated Statements of Operations. In addition, each of the SPEs has provided a full recourse guarantee in favor of PNC and the other unaffi</w:t>
      </w:r>
      <w:r>
        <w:rPr>
          <w:rFonts w:eastAsia="Times New Roman"/>
          <w:color w:val="000000"/>
          <w:sz w:val="20"/>
          <w:szCs w:val="20"/>
        </w:rPr>
        <w:t>liated purchasers of the full and timely payment of all trade receivables sold to them by the U.S. SPE. The guarantee is collateralized by all the trade receivables owned by each of the SPEs that have not been sold to PNC or the other unaffiliated purchase</w:t>
      </w:r>
      <w:r>
        <w:rPr>
          <w:rFonts w:eastAsia="Times New Roman"/>
          <w:color w:val="000000"/>
          <w:sz w:val="20"/>
          <w:szCs w:val="20"/>
        </w:rPr>
        <w:t xml:space="preserve">rs. The reserve recognized for this recourse obligation as of June 30, 2022 is not material. </w:t>
      </w:r>
    </w:p>
    <w:p w:rsidR="00000000" w:rsidRDefault="005048A7">
      <w:pPr>
        <w:divId w:val="1949508089"/>
        <w:rPr>
          <w:rFonts w:eastAsia="Times New Roman"/>
        </w:rPr>
      </w:pPr>
    </w:p>
    <w:p w:rsidR="00000000" w:rsidRDefault="005048A7">
      <w:pPr>
        <w:jc w:val="both"/>
        <w:rPr>
          <w:rFonts w:eastAsia="Times New Roman"/>
        </w:rPr>
      </w:pPr>
      <w:r>
        <w:rPr>
          <w:rFonts w:eastAsia="Times New Roman"/>
          <w:color w:val="000000"/>
          <w:sz w:val="20"/>
          <w:szCs w:val="20"/>
        </w:rPr>
        <w:t>The Company, or in the case of any Canadian trade receivables, NCR Canada Corp., continues to be involved with the trade receivables even after they are transfe</w:t>
      </w:r>
      <w:r>
        <w:rPr>
          <w:rFonts w:eastAsia="Times New Roman"/>
          <w:color w:val="000000"/>
          <w:sz w:val="20"/>
          <w:szCs w:val="20"/>
        </w:rPr>
        <w:t>rred to the SPEs (or further transferred to PNC and the other unaffiliated purchasers) by acting as servicer. In addition to any obligations as servicer, the Company and each of its subsidiaries acting as an originator under the T/R Facility provide the SP</w:t>
      </w:r>
      <w:r>
        <w:rPr>
          <w:rFonts w:eastAsia="Times New Roman"/>
          <w:color w:val="000000"/>
          <w:sz w:val="20"/>
          <w:szCs w:val="20"/>
        </w:rPr>
        <w:t>Es with customary recourse in respect of (i) certain dilutive events with respect to the trade receivables sold to the SPEs that are caused by the Company or another originator and (ii) in the event of certain violations by the Company or another originato</w:t>
      </w:r>
      <w:r>
        <w:rPr>
          <w:rFonts w:eastAsia="Times New Roman"/>
          <w:color w:val="000000"/>
          <w:sz w:val="20"/>
          <w:szCs w:val="20"/>
        </w:rPr>
        <w:t>r of their representations and warranties with respect to the trade receivables sold to the SPEs. These servicing and originator liabilities of the Company and its subsidiaries (other than the SPEs) under the T/R Facility are not expected to be material, g</w:t>
      </w:r>
      <w:r>
        <w:rPr>
          <w:rFonts w:eastAsia="Times New Roman"/>
          <w:color w:val="000000"/>
          <w:sz w:val="20"/>
          <w:szCs w:val="20"/>
        </w:rPr>
        <w:t>iven the high quality of the customers underlying the receivables and the anticipated short collection period.</w:t>
      </w:r>
    </w:p>
    <w:p w:rsidR="00000000" w:rsidRDefault="005048A7">
      <w:pPr>
        <w:jc w:val="both"/>
        <w:rPr>
          <w:rFonts w:eastAsia="Times New Roman"/>
        </w:rPr>
      </w:pPr>
    </w:p>
    <w:p w:rsidR="00000000" w:rsidRDefault="005048A7">
      <w:pPr>
        <w:divId w:val="1873499353"/>
        <w:rPr>
          <w:rFonts w:eastAsia="Times New Roman"/>
        </w:rPr>
      </w:pPr>
      <w:r>
        <w:rPr>
          <w:rFonts w:eastAsia="Times New Roman"/>
          <w:b/>
          <w:bCs/>
          <w:color w:val="54B948"/>
          <w:sz w:val="20"/>
          <w:szCs w:val="20"/>
          <w:shd w:val="clear" w:color="auto" w:fill="FFFFFF"/>
        </w:rPr>
        <w:t>7. INCOME TAXES</w:t>
      </w:r>
    </w:p>
    <w:p w:rsidR="00000000" w:rsidRDefault="005048A7">
      <w:pPr>
        <w:divId w:val="398477636"/>
        <w:rPr>
          <w:rFonts w:eastAsia="Times New Roman"/>
        </w:rPr>
      </w:pPr>
    </w:p>
    <w:p w:rsidR="00000000" w:rsidRDefault="005048A7">
      <w:pPr>
        <w:jc w:val="both"/>
        <w:rPr>
          <w:rFonts w:eastAsia="Times New Roman"/>
        </w:rPr>
      </w:pPr>
      <w:r>
        <w:rPr>
          <w:rFonts w:eastAsia="Times New Roman"/>
          <w:color w:val="000000"/>
          <w:sz w:val="20"/>
          <w:szCs w:val="20"/>
        </w:rPr>
        <w:t>Income tax provisions for interim (quarterly) periods are based on an estimated annual effective income tax rate calculated s</w:t>
      </w:r>
      <w:r>
        <w:rPr>
          <w:rFonts w:eastAsia="Times New Roman"/>
          <w:color w:val="000000"/>
          <w:sz w:val="20"/>
          <w:szCs w:val="20"/>
        </w:rPr>
        <w:t>eparately from the effect of significant, infrequent or unusual items. Income tax expense was approximately zero for the three months ended June 30, 2022 compared to income tax expense of $31 million for the three months ended June 30, 2021. The change was</w:t>
      </w:r>
      <w:r>
        <w:rPr>
          <w:rFonts w:eastAsia="Times New Roman"/>
          <w:color w:val="000000"/>
          <w:sz w:val="20"/>
          <w:szCs w:val="20"/>
        </w:rPr>
        <w:t xml:space="preserve"> primarily driven by discrete tax expenses and benefits. In the three months ended June 30, 2022, the Company recognized a $6 million benefit from provision to return adjustments and a $7 million benefit related to uncertain tax position settlements and st</w:t>
      </w:r>
      <w:r>
        <w:rPr>
          <w:rFonts w:eastAsia="Times New Roman"/>
          <w:color w:val="000000"/>
          <w:sz w:val="20"/>
          <w:szCs w:val="20"/>
        </w:rPr>
        <w:t>atute of limitation lapses. In the three months ended June 30, 2021, the Company recognized a $34 million expense from recording a valuation allowance against interest limitation carryforwards in the U.S. and a $14 million benefit from the deferred tax imp</w:t>
      </w:r>
      <w:r>
        <w:rPr>
          <w:rFonts w:eastAsia="Times New Roman"/>
          <w:color w:val="000000"/>
          <w:sz w:val="20"/>
          <w:szCs w:val="20"/>
        </w:rPr>
        <w:t xml:space="preserve">act of a tax law change enacted in the U.K.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Income tax expense was $13 million for the six months ended June 30, 2022 compared to income tax expense of $48 million for the six months ended June 30, 2021. The change was primarily driven by lower income b</w:t>
      </w:r>
      <w:r>
        <w:rPr>
          <w:rFonts w:eastAsia="Times New Roman"/>
          <w:color w:val="000000"/>
          <w:sz w:val="20"/>
          <w:szCs w:val="20"/>
        </w:rPr>
        <w:t>efore taxes and discrete tax expenses and benefits. In the six months ended June 30, 2022, the Company recognized a $4 million benefit from provision to return adjustments and a $7 million benefit related to uncertain tax position settlements and statute o</w:t>
      </w:r>
      <w:r>
        <w:rPr>
          <w:rFonts w:eastAsia="Times New Roman"/>
          <w:color w:val="000000"/>
          <w:sz w:val="20"/>
          <w:szCs w:val="20"/>
        </w:rPr>
        <w:t xml:space="preserve">f limitation lapses. In the six months ended June 30, 2021, the Company recognized a $34 million expense from recording a valuation allowance against interest limitation carryforwards in the U.S. and a $14 million benefit from the deferred tax impact of a </w:t>
      </w:r>
      <w:r>
        <w:rPr>
          <w:rFonts w:eastAsia="Times New Roman"/>
          <w:color w:val="000000"/>
          <w:sz w:val="20"/>
          <w:szCs w:val="20"/>
        </w:rPr>
        <w:t xml:space="preserve">tax law change in the U.K.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 Company engages in continuous discussions and negotiations with taxing authorities regarding tax matters, and the Company has determined that over the next 12 months it expects to resolve certain tax matters related to U.S</w:t>
      </w:r>
      <w:r>
        <w:rPr>
          <w:rFonts w:eastAsia="Times New Roman"/>
          <w:color w:val="000000"/>
          <w:sz w:val="20"/>
          <w:szCs w:val="20"/>
        </w:rPr>
        <w:t>. and foreign jurisdictions. As a result, as of June 30, 2022, we estimate that it is reasonably possible that gross unrecognized tax benefits may decrease by $3 million to $5 million in the next 12 months.</w:t>
      </w:r>
    </w:p>
    <w:p w:rsidR="00000000" w:rsidRDefault="005048A7">
      <w:pPr>
        <w:jc w:val="both"/>
        <w:rPr>
          <w:rFonts w:eastAsia="Times New Roman"/>
        </w:rPr>
      </w:pPr>
    </w:p>
    <w:p w:rsidR="00000000" w:rsidRDefault="005048A7">
      <w:pPr>
        <w:jc w:val="center"/>
        <w:divId w:val="1643389088"/>
        <w:rPr>
          <w:rFonts w:eastAsia="Times New Roman"/>
        </w:rPr>
      </w:pPr>
      <w:r>
        <w:rPr>
          <w:rFonts w:eastAsia="Times New Roman"/>
          <w:color w:val="000000"/>
          <w:sz w:val="20"/>
          <w:szCs w:val="20"/>
        </w:rPr>
        <w:t>21</w:t>
      </w:r>
    </w:p>
    <w:p w:rsidR="00000000" w:rsidRDefault="005048A7">
      <w:pPr>
        <w:rPr>
          <w:rFonts w:eastAsia="Times New Roman"/>
        </w:rPr>
      </w:pPr>
      <w:r>
        <w:rPr>
          <w:rFonts w:eastAsia="Times New Roman"/>
        </w:rPr>
        <w:pict>
          <v:rect id="_x0000_i1046" style="width:0;height:1.5pt" o:hralign="center" o:hrstd="t" o:hr="t" fillcolor="#a0a0a0" stroked="f"/>
        </w:pict>
      </w:r>
    </w:p>
    <w:p w:rsidR="00000000" w:rsidRDefault="005048A7">
      <w:pPr>
        <w:ind w:firstLine="720"/>
        <w:divId w:val="652753294"/>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472068538"/>
        <w:rPr>
          <w:rFonts w:eastAsia="Times New Roman"/>
        </w:rPr>
      </w:pPr>
      <w:r>
        <w:rPr>
          <w:rFonts w:eastAsia="Times New Roman"/>
          <w:b/>
          <w:bCs/>
          <w:color w:val="000000"/>
          <w:sz w:val="20"/>
          <w:szCs w:val="20"/>
        </w:rPr>
        <w:t>NCR Corporation</w:t>
      </w:r>
    </w:p>
    <w:p w:rsidR="00000000" w:rsidRDefault="005048A7">
      <w:pPr>
        <w:jc w:val="center"/>
        <w:divId w:val="472068538"/>
        <w:rPr>
          <w:rFonts w:eastAsia="Times New Roman"/>
        </w:rPr>
      </w:pPr>
      <w:r>
        <w:rPr>
          <w:rFonts w:eastAsia="Times New Roman"/>
          <w:b/>
          <w:bCs/>
          <w:color w:val="000000"/>
          <w:sz w:val="20"/>
          <w:szCs w:val="20"/>
        </w:rPr>
        <w:t>Notes to Condensed Consolidated Financial Statements (Unaudited)—(Continued)</w:t>
      </w:r>
    </w:p>
    <w:p w:rsidR="00000000" w:rsidRDefault="005048A7">
      <w:pPr>
        <w:ind w:firstLine="720"/>
        <w:divId w:val="1065447360"/>
        <w:rPr>
          <w:rFonts w:eastAsia="Times New Roman"/>
        </w:rPr>
      </w:pPr>
    </w:p>
    <w:p w:rsidR="00000000" w:rsidRDefault="005048A7">
      <w:pPr>
        <w:divId w:val="987321186"/>
        <w:rPr>
          <w:rFonts w:eastAsia="Times New Roman"/>
        </w:rPr>
      </w:pPr>
      <w:r>
        <w:rPr>
          <w:rFonts w:eastAsia="Times New Roman"/>
          <w:b/>
          <w:bCs/>
          <w:color w:val="54B948"/>
          <w:sz w:val="20"/>
          <w:szCs w:val="20"/>
        </w:rPr>
        <w:t>8. STOCK COMPENSATION PLANS</w:t>
      </w:r>
      <w:r>
        <w:rPr>
          <w:rFonts w:eastAsia="Times New Roman"/>
          <w:b/>
          <w:bCs/>
          <w:color w:val="000000"/>
          <w:sz w:val="20"/>
          <w:szCs w:val="20"/>
        </w:rPr>
        <w:t xml:space="preserve"> </w:t>
      </w:r>
    </w:p>
    <w:p w:rsidR="00000000" w:rsidRDefault="005048A7">
      <w:pPr>
        <w:divId w:val="23405838"/>
        <w:rPr>
          <w:rFonts w:eastAsia="Times New Roman"/>
        </w:rPr>
      </w:pPr>
    </w:p>
    <w:p w:rsidR="00000000" w:rsidRDefault="005048A7">
      <w:pPr>
        <w:jc w:val="both"/>
        <w:rPr>
          <w:rFonts w:eastAsia="Times New Roman"/>
        </w:rPr>
      </w:pPr>
      <w:r>
        <w:rPr>
          <w:rFonts w:eastAsia="Times New Roman"/>
          <w:color w:val="000000"/>
          <w:sz w:val="20"/>
          <w:szCs w:val="20"/>
        </w:rPr>
        <w:t>As of June 30, 2022</w:t>
      </w:r>
      <w:r>
        <w:rPr>
          <w:rFonts w:eastAsia="Times New Roman"/>
          <w:color w:val="000000"/>
          <w:sz w:val="20"/>
          <w:szCs w:val="20"/>
        </w:rPr>
        <w:t>, the Company’s primary type of stock-based compensation was restricted stock units and stock options. Stock-based compensation expense for the following periods were:</w:t>
      </w:r>
    </w:p>
    <w:tbl>
      <w:tblPr>
        <w:tblW w:w="4948" w:type="pct"/>
        <w:jc w:val="center"/>
        <w:tblCellMar>
          <w:top w:w="15" w:type="dxa"/>
          <w:left w:w="15" w:type="dxa"/>
          <w:bottom w:w="15" w:type="dxa"/>
          <w:right w:w="15" w:type="dxa"/>
        </w:tblCellMar>
        <w:tblLook w:val="04A0" w:firstRow="1" w:lastRow="0" w:firstColumn="1" w:lastColumn="0" w:noHBand="0" w:noVBand="1"/>
      </w:tblPr>
      <w:tblGrid>
        <w:gridCol w:w="39"/>
        <w:gridCol w:w="3944"/>
        <w:gridCol w:w="37"/>
        <w:gridCol w:w="120"/>
        <w:gridCol w:w="830"/>
        <w:gridCol w:w="36"/>
        <w:gridCol w:w="36"/>
        <w:gridCol w:w="36"/>
        <w:gridCol w:w="36"/>
        <w:gridCol w:w="120"/>
        <w:gridCol w:w="786"/>
        <w:gridCol w:w="36"/>
        <w:gridCol w:w="36"/>
        <w:gridCol w:w="36"/>
        <w:gridCol w:w="36"/>
        <w:gridCol w:w="120"/>
        <w:gridCol w:w="824"/>
        <w:gridCol w:w="36"/>
        <w:gridCol w:w="36"/>
        <w:gridCol w:w="36"/>
        <w:gridCol w:w="36"/>
        <w:gridCol w:w="120"/>
        <w:gridCol w:w="812"/>
        <w:gridCol w:w="36"/>
      </w:tblGrid>
      <w:tr w:rsidR="00000000">
        <w:trPr>
          <w:divId w:val="385569066"/>
          <w:jc w:val="center"/>
        </w:trPr>
        <w:tc>
          <w:tcPr>
            <w:tcW w:w="50" w:type="pct"/>
            <w:vAlign w:val="center"/>
            <w:hideMark/>
          </w:tcPr>
          <w:p w:rsidR="00000000" w:rsidRDefault="005048A7">
            <w:pPr>
              <w:jc w:val="both"/>
              <w:rPr>
                <w:rFonts w:eastAsia="Times New Roman"/>
              </w:rPr>
            </w:pPr>
          </w:p>
        </w:tc>
        <w:tc>
          <w:tcPr>
            <w:tcW w:w="243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4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4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385569066"/>
          <w:trHeight w:val="420"/>
          <w:jc w:val="center"/>
        </w:trPr>
        <w:tc>
          <w:tcPr>
            <w:tcW w:w="0" w:type="auto"/>
            <w:gridSpan w:val="3"/>
            <w:vMerge w:val="restart"/>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r>
      <w:tr w:rsidR="00000000">
        <w:trPr>
          <w:divId w:val="385569066"/>
          <w:trHeight w:val="240"/>
          <w:jc w:val="center"/>
        </w:trPr>
        <w:tc>
          <w:tcPr>
            <w:tcW w:w="0" w:type="auto"/>
            <w:gridSpan w:val="3"/>
            <w:vMerge/>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r>
      <w:tr w:rsidR="00000000">
        <w:trPr>
          <w:divId w:val="385569066"/>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Restricted stock units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385569066"/>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Stock options</w:t>
            </w: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10</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385569066"/>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Employee stock purchase plan</w:t>
            </w: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385569066"/>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Stock-based compensation expense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35</w:t>
            </w:r>
          </w:p>
        </w:tc>
        <w:tc>
          <w:tcPr>
            <w:tcW w:w="0" w:type="auto"/>
            <w:gridSpan w:val="3"/>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37</w:t>
            </w:r>
          </w:p>
        </w:tc>
        <w:tc>
          <w:tcPr>
            <w:tcW w:w="0" w:type="auto"/>
            <w:gridSpan w:val="3"/>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69</w:t>
            </w:r>
          </w:p>
        </w:tc>
        <w:tc>
          <w:tcPr>
            <w:tcW w:w="0" w:type="auto"/>
            <w:gridSpan w:val="3"/>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81</w:t>
            </w:r>
          </w:p>
        </w:tc>
      </w:tr>
      <w:tr w:rsidR="00000000">
        <w:trPr>
          <w:divId w:val="385569066"/>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Tax benefit</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385569066"/>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Stock-based compensation expense (net of tax)</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both"/>
        <w:rPr>
          <w:rFonts w:eastAsia="Times New Roman"/>
        </w:rPr>
      </w:pPr>
      <w:r>
        <w:rPr>
          <w:rFonts w:eastAsia="Times New Roman"/>
          <w:color w:val="000000"/>
          <w:sz w:val="20"/>
          <w:szCs w:val="20"/>
        </w:rPr>
        <w:t>Stock-based compensation expense is rec</w:t>
      </w:r>
      <w:r>
        <w:rPr>
          <w:rFonts w:eastAsia="Times New Roman"/>
          <w:color w:val="000000"/>
          <w:sz w:val="20"/>
          <w:szCs w:val="20"/>
        </w:rPr>
        <w:t xml:space="preserve">ognized in the financial statements based upon fair value.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On February 25, 2022, the Company granted market-based restricted stock units with 100% of the award vesting on December 31, 2024. The number of awards that vest are subject to the performance o</w:t>
      </w:r>
      <w:r>
        <w:rPr>
          <w:rFonts w:eastAsia="Times New Roman"/>
          <w:color w:val="000000"/>
          <w:sz w:val="20"/>
          <w:szCs w:val="20"/>
        </w:rPr>
        <w:t>f the Company's stock price from the date of grant to December 31, 2024. The fair value was determined to be $57.67 per share based on using a Monte-Carlo simulation model and will be recognized over the requisite service period. The table below details th</w:t>
      </w:r>
      <w:r>
        <w:rPr>
          <w:rFonts w:eastAsia="Times New Roman"/>
          <w:color w:val="000000"/>
          <w:sz w:val="20"/>
          <w:szCs w:val="20"/>
        </w:rPr>
        <w:t xml:space="preserve">e assumptions used in determining the fair value of the market-based restricted stock units. </w:t>
      </w:r>
    </w:p>
    <w:tbl>
      <w:tblPr>
        <w:tblW w:w="4970" w:type="pct"/>
        <w:tblCellMar>
          <w:top w:w="15" w:type="dxa"/>
          <w:left w:w="15" w:type="dxa"/>
          <w:bottom w:w="15" w:type="dxa"/>
          <w:right w:w="15" w:type="dxa"/>
        </w:tblCellMar>
        <w:tblLook w:val="04A0" w:firstRow="1" w:lastRow="0" w:firstColumn="1" w:lastColumn="0" w:noHBand="0" w:noVBand="1"/>
      </w:tblPr>
      <w:tblGrid>
        <w:gridCol w:w="37"/>
        <w:gridCol w:w="5918"/>
        <w:gridCol w:w="36"/>
        <w:gridCol w:w="39"/>
        <w:gridCol w:w="2006"/>
        <w:gridCol w:w="220"/>
      </w:tblGrid>
      <w:tr w:rsidR="00000000">
        <w:trPr>
          <w:divId w:val="937757475"/>
        </w:trPr>
        <w:tc>
          <w:tcPr>
            <w:tcW w:w="50" w:type="pct"/>
            <w:vAlign w:val="center"/>
            <w:hideMark/>
          </w:tcPr>
          <w:p w:rsidR="00000000" w:rsidRDefault="005048A7">
            <w:pPr>
              <w:jc w:val="both"/>
              <w:rPr>
                <w:rFonts w:eastAsia="Times New Roman"/>
              </w:rPr>
            </w:pPr>
          </w:p>
        </w:tc>
        <w:tc>
          <w:tcPr>
            <w:tcW w:w="362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126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937757475"/>
          <w:trHeight w:val="360"/>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937757475"/>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Dividend yield</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r>
      <w:tr w:rsidR="00000000">
        <w:trPr>
          <w:divId w:val="937757475"/>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Risk-free interest rate</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r>
      <w:tr w:rsidR="00000000">
        <w:trPr>
          <w:divId w:val="937757475"/>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Expected volatility</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59.26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r>
    </w:tbl>
    <w:p w:rsidR="00000000" w:rsidRDefault="005048A7">
      <w:pPr>
        <w:divId w:val="1101686229"/>
        <w:rPr>
          <w:rFonts w:eastAsia="Times New Roman"/>
        </w:rPr>
      </w:pPr>
    </w:p>
    <w:p w:rsidR="00000000" w:rsidRDefault="005048A7">
      <w:pPr>
        <w:jc w:val="both"/>
        <w:rPr>
          <w:rFonts w:eastAsia="Times New Roman"/>
        </w:rPr>
      </w:pPr>
      <w:r>
        <w:rPr>
          <w:rFonts w:eastAsia="Times New Roman"/>
          <w:color w:val="000000"/>
          <w:sz w:val="20"/>
          <w:szCs w:val="20"/>
        </w:rPr>
        <w:t>Expected volatility for the market-based restricted stock units is calculated as the historical volatility of the Company’s stock over a period of three years, as management believes this is the best representation of prospective trends. The risk-free inte</w:t>
      </w:r>
      <w:r>
        <w:rPr>
          <w:rFonts w:eastAsia="Times New Roman"/>
          <w:color w:val="000000"/>
          <w:sz w:val="20"/>
          <w:szCs w:val="20"/>
        </w:rPr>
        <w:t>rest rate was determined based on a three year U.S. Treasury yield curve in effect at the time of the grant.</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 xml:space="preserve">As of June 30, 2022, the total unrecognized compensation cost of $190 </w:t>
      </w:r>
      <w:r>
        <w:rPr>
          <w:rFonts w:eastAsia="Times New Roman"/>
          <w:color w:val="000000"/>
          <w:sz w:val="20"/>
          <w:szCs w:val="20"/>
        </w:rPr>
        <w:t xml:space="preserve">million related to unvested restricted stock grants is expected to be recognized over a weighted average period of approximately 1.1 years. As of June 30, 2022, the total unrecognized compensation cost of $9 million related to unvested stock option grants </w:t>
      </w:r>
      <w:r>
        <w:rPr>
          <w:rFonts w:eastAsia="Times New Roman"/>
          <w:color w:val="000000"/>
          <w:sz w:val="20"/>
          <w:szCs w:val="20"/>
        </w:rPr>
        <w:t xml:space="preserve">is expected to be recognized over a weighted average period of approximately 0.4 years. </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 xml:space="preserve">Employee Stock Purchase Plan </w:t>
      </w:r>
      <w:r>
        <w:rPr>
          <w:rFonts w:eastAsia="Times New Roman"/>
          <w:color w:val="000000"/>
          <w:sz w:val="20"/>
          <w:szCs w:val="20"/>
        </w:rPr>
        <w:t>The Company's Employee Stock Purchase Plan (“ESPP”) provides employees a 15% discount on stock purchases using a three-month look-back f</w:t>
      </w:r>
      <w:r>
        <w:rPr>
          <w:rFonts w:eastAsia="Times New Roman"/>
          <w:color w:val="000000"/>
          <w:sz w:val="20"/>
          <w:szCs w:val="20"/>
        </w:rPr>
        <w:t xml:space="preserve">eature where the discount is applied to the stock price that represents the lower of NCR’s closing stock price on either the first day or the last day of each calendar quarter. Participants can contribute between 1% and 10% of their compensation.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For th</w:t>
      </w:r>
      <w:r>
        <w:rPr>
          <w:rFonts w:eastAsia="Times New Roman"/>
          <w:color w:val="000000"/>
          <w:sz w:val="20"/>
          <w:szCs w:val="20"/>
        </w:rPr>
        <w:t xml:space="preserve">e three months ended June 30, 2022, employees purchased 0.2 million shares, at a discounted price of $26.44. For the three months ended June 30, 2021, employees purchased 0.2 million shares, at a discounted price of $32.25. </w:t>
      </w:r>
    </w:p>
    <w:p w:rsidR="00000000" w:rsidRDefault="005048A7">
      <w:pPr>
        <w:jc w:val="both"/>
        <w:rPr>
          <w:rFonts w:eastAsia="Times New Roman"/>
        </w:rPr>
      </w:pPr>
    </w:p>
    <w:p w:rsidR="00000000" w:rsidRDefault="005048A7">
      <w:pPr>
        <w:jc w:val="center"/>
        <w:divId w:val="806777932"/>
        <w:rPr>
          <w:rFonts w:eastAsia="Times New Roman"/>
        </w:rPr>
      </w:pPr>
      <w:r>
        <w:rPr>
          <w:rFonts w:eastAsia="Times New Roman"/>
          <w:color w:val="000000"/>
          <w:sz w:val="20"/>
          <w:szCs w:val="20"/>
        </w:rPr>
        <w:t>22</w:t>
      </w:r>
    </w:p>
    <w:p w:rsidR="00000000" w:rsidRDefault="005048A7">
      <w:pPr>
        <w:rPr>
          <w:rFonts w:eastAsia="Times New Roman"/>
        </w:rPr>
      </w:pPr>
      <w:r>
        <w:rPr>
          <w:rFonts w:eastAsia="Times New Roman"/>
        </w:rPr>
        <w:pict>
          <v:rect id="_x0000_i1047" style="width:0;height:1.5pt" o:hralign="center" o:hrstd="t" o:hr="t" fillcolor="#a0a0a0" stroked="f"/>
        </w:pict>
      </w:r>
    </w:p>
    <w:p w:rsidR="00000000" w:rsidRDefault="005048A7">
      <w:pPr>
        <w:ind w:firstLine="720"/>
        <w:divId w:val="1965043428"/>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112403940"/>
        <w:rPr>
          <w:rFonts w:eastAsia="Times New Roman"/>
        </w:rPr>
      </w:pPr>
      <w:r>
        <w:rPr>
          <w:rFonts w:eastAsia="Times New Roman"/>
          <w:b/>
          <w:bCs/>
          <w:color w:val="000000"/>
          <w:sz w:val="20"/>
          <w:szCs w:val="20"/>
        </w:rPr>
        <w:t>NCR Corporation</w:t>
      </w:r>
    </w:p>
    <w:p w:rsidR="00000000" w:rsidRDefault="005048A7">
      <w:pPr>
        <w:jc w:val="center"/>
        <w:divId w:val="112403940"/>
        <w:rPr>
          <w:rFonts w:eastAsia="Times New Roman"/>
        </w:rPr>
      </w:pPr>
      <w:r>
        <w:rPr>
          <w:rFonts w:eastAsia="Times New Roman"/>
          <w:b/>
          <w:bCs/>
          <w:color w:val="000000"/>
          <w:sz w:val="20"/>
          <w:szCs w:val="20"/>
        </w:rPr>
        <w:t>Notes to Condensed Consolidated Financial Statements (Unaudited)—(Continued)</w:t>
      </w:r>
    </w:p>
    <w:p w:rsidR="00000000" w:rsidRDefault="005048A7">
      <w:pPr>
        <w:divId w:val="543833134"/>
        <w:rPr>
          <w:rFonts w:eastAsia="Times New Roman"/>
        </w:rPr>
      </w:pPr>
      <w:r>
        <w:rPr>
          <w:rFonts w:eastAsia="Times New Roman"/>
          <w:b/>
          <w:bCs/>
          <w:color w:val="54B948"/>
          <w:sz w:val="20"/>
          <w:szCs w:val="20"/>
        </w:rPr>
        <w:t>9. EMPLOYEE BENEFIT PLANS</w:t>
      </w:r>
      <w:r>
        <w:rPr>
          <w:rFonts w:eastAsia="Times New Roman"/>
          <w:b/>
          <w:bCs/>
          <w:color w:val="000000"/>
          <w:sz w:val="20"/>
          <w:szCs w:val="20"/>
        </w:rPr>
        <w:t xml:space="preserve"> </w:t>
      </w:r>
    </w:p>
    <w:p w:rsidR="00000000" w:rsidRDefault="005048A7">
      <w:pPr>
        <w:divId w:val="1550458802"/>
        <w:rPr>
          <w:rFonts w:eastAsia="Times New Roman"/>
        </w:rPr>
      </w:pPr>
    </w:p>
    <w:p w:rsidR="00000000" w:rsidRDefault="005048A7">
      <w:pPr>
        <w:divId w:val="185677231"/>
        <w:rPr>
          <w:rFonts w:eastAsia="Times New Roman"/>
        </w:rPr>
      </w:pPr>
      <w:r>
        <w:rPr>
          <w:rFonts w:eastAsia="Times New Roman"/>
          <w:color w:val="000000"/>
          <w:sz w:val="20"/>
          <w:szCs w:val="20"/>
        </w:rPr>
        <w:t xml:space="preserve">Components of net periodic benefit cost (income) </w:t>
      </w:r>
      <w:r>
        <w:rPr>
          <w:rFonts w:eastAsia="Times New Roman"/>
          <w:color w:val="000000"/>
          <w:sz w:val="20"/>
          <w:szCs w:val="20"/>
        </w:rPr>
        <w:t>of the pension plans for the three months ended June 30 were as follows:</w:t>
      </w:r>
    </w:p>
    <w:tbl>
      <w:tblPr>
        <w:tblW w:w="4926" w:type="pct"/>
        <w:jc w:val="center"/>
        <w:tblCellMar>
          <w:top w:w="15" w:type="dxa"/>
          <w:left w:w="15" w:type="dxa"/>
          <w:bottom w:w="15" w:type="dxa"/>
          <w:right w:w="15" w:type="dxa"/>
        </w:tblCellMar>
        <w:tblLook w:val="04A0" w:firstRow="1" w:lastRow="0" w:firstColumn="1" w:lastColumn="0" w:noHBand="0" w:noVBand="1"/>
      </w:tblPr>
      <w:tblGrid>
        <w:gridCol w:w="40"/>
        <w:gridCol w:w="2113"/>
        <w:gridCol w:w="39"/>
        <w:gridCol w:w="121"/>
        <w:gridCol w:w="647"/>
        <w:gridCol w:w="37"/>
        <w:gridCol w:w="37"/>
        <w:gridCol w:w="37"/>
        <w:gridCol w:w="37"/>
        <w:gridCol w:w="120"/>
        <w:gridCol w:w="646"/>
        <w:gridCol w:w="36"/>
        <w:gridCol w:w="36"/>
        <w:gridCol w:w="36"/>
        <w:gridCol w:w="36"/>
        <w:gridCol w:w="121"/>
        <w:gridCol w:w="918"/>
        <w:gridCol w:w="37"/>
        <w:gridCol w:w="37"/>
        <w:gridCol w:w="50"/>
        <w:gridCol w:w="36"/>
        <w:gridCol w:w="120"/>
        <w:gridCol w:w="917"/>
        <w:gridCol w:w="36"/>
        <w:gridCol w:w="36"/>
        <w:gridCol w:w="36"/>
        <w:gridCol w:w="36"/>
        <w:gridCol w:w="121"/>
        <w:gridCol w:w="681"/>
        <w:gridCol w:w="36"/>
        <w:gridCol w:w="36"/>
        <w:gridCol w:w="37"/>
        <w:gridCol w:w="36"/>
        <w:gridCol w:w="120"/>
        <w:gridCol w:w="682"/>
        <w:gridCol w:w="36"/>
      </w:tblGrid>
      <w:tr w:rsidR="00000000">
        <w:trPr>
          <w:divId w:val="1033573529"/>
          <w:jc w:val="center"/>
        </w:trPr>
        <w:tc>
          <w:tcPr>
            <w:tcW w:w="50" w:type="pct"/>
            <w:vAlign w:val="center"/>
            <w:hideMark/>
          </w:tcPr>
          <w:p w:rsidR="00000000" w:rsidRDefault="005048A7">
            <w:pPr>
              <w:rPr>
                <w:rFonts w:eastAsia="Times New Roman"/>
              </w:rPr>
            </w:pPr>
          </w:p>
        </w:tc>
        <w:tc>
          <w:tcPr>
            <w:tcW w:w="151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8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8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8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8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8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8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1033573529"/>
          <w:trHeight w:val="240"/>
          <w:jc w:val="center"/>
        </w:trPr>
        <w:tc>
          <w:tcPr>
            <w:tcW w:w="0" w:type="auto"/>
            <w:gridSpan w:val="3"/>
            <w:vMerge w:val="restart"/>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Total Pension Benefits</w:t>
            </w:r>
          </w:p>
        </w:tc>
      </w:tr>
      <w:tr w:rsidR="00000000">
        <w:trPr>
          <w:divId w:val="1033573529"/>
          <w:trHeight w:val="240"/>
          <w:jc w:val="center"/>
        </w:trPr>
        <w:tc>
          <w:tcPr>
            <w:tcW w:w="0" w:type="auto"/>
            <w:gridSpan w:val="3"/>
            <w:vMerge/>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r>
      <w:tr w:rsidR="00000000">
        <w:trPr>
          <w:divId w:val="1033573529"/>
          <w:jc w:val="center"/>
        </w:trPr>
        <w:tc>
          <w:tcPr>
            <w:tcW w:w="0" w:type="auto"/>
            <w:gridSpan w:val="3"/>
            <w:shd w:val="clear" w:color="auto" w:fill="CCEEFF"/>
            <w:tcMar>
              <w:top w:w="30" w:type="dxa"/>
              <w:left w:w="155" w:type="dxa"/>
              <w:bottom w:w="30" w:type="dxa"/>
              <w:right w:w="20" w:type="dxa"/>
            </w:tcMar>
            <w:hideMark/>
          </w:tcPr>
          <w:p w:rsidR="00000000" w:rsidRDefault="005048A7">
            <w:pPr>
              <w:spacing w:after="100"/>
              <w:rPr>
                <w:rFonts w:eastAsia="Times New Roman"/>
              </w:rPr>
            </w:pPr>
            <w:r>
              <w:rPr>
                <w:rFonts w:eastAsia="Times New Roman"/>
                <w:color w:val="000000"/>
                <w:sz w:val="20"/>
                <w:szCs w:val="20"/>
              </w:rPr>
              <w:t>Net 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033573529"/>
          <w:jc w:val="center"/>
        </w:trPr>
        <w:tc>
          <w:tcPr>
            <w:tcW w:w="0" w:type="auto"/>
            <w:gridSpan w:val="3"/>
            <w:shd w:val="clear" w:color="auto" w:fill="FFFFFF"/>
            <w:tcMar>
              <w:top w:w="30" w:type="dxa"/>
              <w:left w:w="155"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033573529"/>
          <w:jc w:val="center"/>
        </w:trPr>
        <w:tc>
          <w:tcPr>
            <w:tcW w:w="0" w:type="auto"/>
            <w:gridSpan w:val="3"/>
            <w:shd w:val="clear" w:color="auto" w:fill="CCEEFF"/>
            <w:tcMar>
              <w:top w:w="30" w:type="dxa"/>
              <w:left w:w="155" w:type="dxa"/>
              <w:bottom w:w="30" w:type="dxa"/>
              <w:right w:w="20" w:type="dxa"/>
            </w:tcMar>
            <w:hideMark/>
          </w:tcPr>
          <w:p w:rsidR="00000000" w:rsidRDefault="005048A7">
            <w:pPr>
              <w:spacing w:after="100"/>
              <w:rPr>
                <w:rFonts w:eastAsia="Times New Roman"/>
              </w:rPr>
            </w:pPr>
            <w:r>
              <w:rPr>
                <w:rFonts w:eastAsia="Times New Roman"/>
                <w:color w:val="000000"/>
                <w:sz w:val="20"/>
                <w:szCs w:val="20"/>
              </w:rPr>
              <w:t>Expected return on plan assets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b/>
                <w:bCs/>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033573529"/>
          <w:jc w:val="center"/>
        </w:trPr>
        <w:tc>
          <w:tcPr>
            <w:tcW w:w="0" w:type="auto"/>
            <w:gridSpan w:val="3"/>
            <w:shd w:val="clear" w:color="auto" w:fill="FFFFFF"/>
            <w:tcMar>
              <w:top w:w="30" w:type="dxa"/>
              <w:left w:w="155" w:type="dxa"/>
              <w:bottom w:w="30" w:type="dxa"/>
              <w:right w:w="20" w:type="dxa"/>
            </w:tcMar>
            <w:hideMark/>
          </w:tcPr>
          <w:p w:rsidR="00000000" w:rsidRDefault="005048A7">
            <w:pPr>
              <w:spacing w:after="100"/>
              <w:rPr>
                <w:rFonts w:eastAsia="Times New Roman"/>
              </w:rPr>
            </w:pPr>
            <w:r>
              <w:rPr>
                <w:rFonts w:eastAsia="Times New Roman"/>
                <w:color w:val="000000"/>
                <w:sz w:val="20"/>
                <w:szCs w:val="20"/>
              </w:rPr>
              <w:t>Amortization of prior service cost</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033573529"/>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Net periodic benefit cost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center"/>
        <w:divId w:val="1014183423"/>
        <w:rPr>
          <w:rFonts w:eastAsia="Times New Roman"/>
        </w:rPr>
      </w:pPr>
    </w:p>
    <w:p w:rsidR="00000000" w:rsidRDefault="005048A7">
      <w:pPr>
        <w:jc w:val="center"/>
        <w:divId w:val="2090342989"/>
        <w:rPr>
          <w:rFonts w:eastAsia="Times New Roman"/>
        </w:rPr>
      </w:pPr>
      <w:r>
        <w:rPr>
          <w:rFonts w:eastAsia="Times New Roman"/>
          <w:color w:val="000000"/>
          <w:sz w:val="20"/>
          <w:szCs w:val="20"/>
        </w:rPr>
        <w:t>Components of net periodic benefit cost (income) of the pension plans for the six months en</w:t>
      </w:r>
      <w:r>
        <w:rPr>
          <w:rFonts w:eastAsia="Times New Roman"/>
          <w:color w:val="000000"/>
          <w:sz w:val="20"/>
          <w:szCs w:val="20"/>
        </w:rPr>
        <w:t>ded June 30 were as follows:</w:t>
      </w:r>
    </w:p>
    <w:tbl>
      <w:tblPr>
        <w:tblW w:w="4926" w:type="pct"/>
        <w:jc w:val="center"/>
        <w:tblCellMar>
          <w:top w:w="15" w:type="dxa"/>
          <w:left w:w="15" w:type="dxa"/>
          <w:bottom w:w="15" w:type="dxa"/>
          <w:right w:w="15" w:type="dxa"/>
        </w:tblCellMar>
        <w:tblLook w:val="04A0" w:firstRow="1" w:lastRow="0" w:firstColumn="1" w:lastColumn="0" w:noHBand="0" w:noVBand="1"/>
      </w:tblPr>
      <w:tblGrid>
        <w:gridCol w:w="40"/>
        <w:gridCol w:w="2113"/>
        <w:gridCol w:w="39"/>
        <w:gridCol w:w="121"/>
        <w:gridCol w:w="647"/>
        <w:gridCol w:w="37"/>
        <w:gridCol w:w="37"/>
        <w:gridCol w:w="37"/>
        <w:gridCol w:w="37"/>
        <w:gridCol w:w="120"/>
        <w:gridCol w:w="646"/>
        <w:gridCol w:w="36"/>
        <w:gridCol w:w="36"/>
        <w:gridCol w:w="36"/>
        <w:gridCol w:w="36"/>
        <w:gridCol w:w="121"/>
        <w:gridCol w:w="918"/>
        <w:gridCol w:w="37"/>
        <w:gridCol w:w="37"/>
        <w:gridCol w:w="50"/>
        <w:gridCol w:w="36"/>
        <w:gridCol w:w="120"/>
        <w:gridCol w:w="917"/>
        <w:gridCol w:w="36"/>
        <w:gridCol w:w="36"/>
        <w:gridCol w:w="36"/>
        <w:gridCol w:w="36"/>
        <w:gridCol w:w="121"/>
        <w:gridCol w:w="681"/>
        <w:gridCol w:w="36"/>
        <w:gridCol w:w="36"/>
        <w:gridCol w:w="37"/>
        <w:gridCol w:w="36"/>
        <w:gridCol w:w="120"/>
        <w:gridCol w:w="682"/>
        <w:gridCol w:w="36"/>
      </w:tblGrid>
      <w:tr w:rsidR="00000000">
        <w:trPr>
          <w:divId w:val="233975931"/>
          <w:jc w:val="center"/>
        </w:trPr>
        <w:tc>
          <w:tcPr>
            <w:tcW w:w="50" w:type="pct"/>
            <w:vAlign w:val="center"/>
            <w:hideMark/>
          </w:tcPr>
          <w:p w:rsidR="00000000" w:rsidRDefault="005048A7">
            <w:pPr>
              <w:jc w:val="center"/>
              <w:rPr>
                <w:rFonts w:eastAsia="Times New Roman"/>
              </w:rPr>
            </w:pPr>
          </w:p>
        </w:tc>
        <w:tc>
          <w:tcPr>
            <w:tcW w:w="151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8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8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8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8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8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8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233975931"/>
          <w:trHeight w:val="240"/>
          <w:jc w:val="center"/>
        </w:trPr>
        <w:tc>
          <w:tcPr>
            <w:tcW w:w="0" w:type="auto"/>
            <w:gridSpan w:val="3"/>
            <w:vMerge w:val="restart"/>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Total Pension Benefits</w:t>
            </w:r>
          </w:p>
        </w:tc>
      </w:tr>
      <w:tr w:rsidR="00000000">
        <w:trPr>
          <w:divId w:val="233975931"/>
          <w:trHeight w:val="240"/>
          <w:jc w:val="center"/>
        </w:trPr>
        <w:tc>
          <w:tcPr>
            <w:tcW w:w="0" w:type="auto"/>
            <w:gridSpan w:val="3"/>
            <w:vMerge/>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r>
      <w:tr w:rsidR="00000000">
        <w:trPr>
          <w:divId w:val="233975931"/>
          <w:jc w:val="center"/>
        </w:trPr>
        <w:tc>
          <w:tcPr>
            <w:tcW w:w="0" w:type="auto"/>
            <w:gridSpan w:val="3"/>
            <w:shd w:val="clear" w:color="auto" w:fill="CCEEFF"/>
            <w:tcMar>
              <w:top w:w="30" w:type="dxa"/>
              <w:left w:w="155" w:type="dxa"/>
              <w:bottom w:w="30" w:type="dxa"/>
              <w:right w:w="20" w:type="dxa"/>
            </w:tcMar>
            <w:hideMark/>
          </w:tcPr>
          <w:p w:rsidR="00000000" w:rsidRDefault="005048A7">
            <w:pPr>
              <w:spacing w:after="100"/>
              <w:rPr>
                <w:rFonts w:eastAsia="Times New Roman"/>
              </w:rPr>
            </w:pPr>
            <w:r>
              <w:rPr>
                <w:rFonts w:eastAsia="Times New Roman"/>
                <w:color w:val="000000"/>
                <w:sz w:val="20"/>
                <w:szCs w:val="20"/>
              </w:rPr>
              <w:t>Net 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33975931"/>
          <w:jc w:val="center"/>
        </w:trPr>
        <w:tc>
          <w:tcPr>
            <w:tcW w:w="0" w:type="auto"/>
            <w:gridSpan w:val="3"/>
            <w:shd w:val="clear" w:color="auto" w:fill="FFFFFF"/>
            <w:tcMar>
              <w:top w:w="30" w:type="dxa"/>
              <w:left w:w="155"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33975931"/>
          <w:jc w:val="center"/>
        </w:trPr>
        <w:tc>
          <w:tcPr>
            <w:tcW w:w="0" w:type="auto"/>
            <w:gridSpan w:val="3"/>
            <w:shd w:val="clear" w:color="auto" w:fill="CCEEFF"/>
            <w:tcMar>
              <w:top w:w="30" w:type="dxa"/>
              <w:left w:w="155" w:type="dxa"/>
              <w:bottom w:w="30" w:type="dxa"/>
              <w:right w:w="20" w:type="dxa"/>
            </w:tcMar>
            <w:hideMark/>
          </w:tcPr>
          <w:p w:rsidR="00000000" w:rsidRDefault="005048A7">
            <w:pPr>
              <w:spacing w:after="100"/>
              <w:rPr>
                <w:rFonts w:eastAsia="Times New Roman"/>
              </w:rPr>
            </w:pPr>
            <w:r>
              <w:rPr>
                <w:rFonts w:eastAsia="Times New Roman"/>
                <w:color w:val="000000"/>
                <w:sz w:val="20"/>
                <w:szCs w:val="20"/>
              </w:rPr>
              <w:t>Expected return on plan assets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(33)</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(47)</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33975931"/>
          <w:jc w:val="center"/>
        </w:trPr>
        <w:tc>
          <w:tcPr>
            <w:tcW w:w="0" w:type="auto"/>
            <w:gridSpan w:val="3"/>
            <w:shd w:val="clear" w:color="auto" w:fill="FFFFFF"/>
            <w:tcMar>
              <w:top w:w="30" w:type="dxa"/>
              <w:left w:w="155" w:type="dxa"/>
              <w:bottom w:w="30" w:type="dxa"/>
              <w:right w:w="20" w:type="dxa"/>
            </w:tcMar>
            <w:hideMark/>
          </w:tcPr>
          <w:p w:rsidR="00000000" w:rsidRDefault="005048A7">
            <w:pPr>
              <w:spacing w:after="100"/>
              <w:rPr>
                <w:rFonts w:eastAsia="Times New Roman"/>
              </w:rPr>
            </w:pPr>
            <w:r>
              <w:rPr>
                <w:rFonts w:eastAsia="Times New Roman"/>
                <w:color w:val="000000"/>
                <w:sz w:val="20"/>
                <w:szCs w:val="20"/>
              </w:rPr>
              <w:t>Amortization of prior service cost</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33975931"/>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Net periodic benefit cost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center"/>
        <w:rPr>
          <w:rFonts w:eastAsia="Times New Roman"/>
        </w:rPr>
      </w:pPr>
    </w:p>
    <w:p w:rsidR="00000000" w:rsidRDefault="005048A7">
      <w:pPr>
        <w:divId w:val="125398849"/>
        <w:rPr>
          <w:rFonts w:eastAsia="Times New Roman"/>
        </w:rPr>
      </w:pPr>
      <w:r>
        <w:rPr>
          <w:rFonts w:eastAsia="Times New Roman"/>
          <w:color w:val="000000"/>
          <w:sz w:val="20"/>
          <w:szCs w:val="20"/>
        </w:rPr>
        <w:t xml:space="preserve">Net postretirement benefit was zero for the three and six months ending June 30, 2022 and 2021. </w:t>
      </w:r>
    </w:p>
    <w:p w:rsidR="00000000" w:rsidRDefault="005048A7">
      <w:pPr>
        <w:divId w:val="746459347"/>
        <w:rPr>
          <w:rFonts w:eastAsia="Times New Roman"/>
        </w:rPr>
      </w:pPr>
    </w:p>
    <w:p w:rsidR="00000000" w:rsidRDefault="005048A7">
      <w:pPr>
        <w:divId w:val="80680667"/>
        <w:rPr>
          <w:rFonts w:eastAsia="Times New Roman"/>
        </w:rPr>
      </w:pPr>
      <w:r>
        <w:rPr>
          <w:rFonts w:eastAsia="Times New Roman"/>
          <w:color w:val="000000"/>
          <w:sz w:val="20"/>
          <w:szCs w:val="20"/>
        </w:rPr>
        <w:t>Component</w:t>
      </w:r>
      <w:r>
        <w:rPr>
          <w:rFonts w:eastAsia="Times New Roman"/>
          <w:color w:val="000000"/>
          <w:sz w:val="20"/>
          <w:szCs w:val="20"/>
        </w:rPr>
        <w:t xml:space="preserve">s of the net cost of the postemployment plan for the following periods were: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885"/>
        <w:gridCol w:w="38"/>
        <w:gridCol w:w="120"/>
        <w:gridCol w:w="1071"/>
        <w:gridCol w:w="36"/>
        <w:gridCol w:w="36"/>
        <w:gridCol w:w="36"/>
        <w:gridCol w:w="36"/>
        <w:gridCol w:w="121"/>
        <w:gridCol w:w="1071"/>
        <w:gridCol w:w="37"/>
        <w:gridCol w:w="36"/>
        <w:gridCol w:w="36"/>
        <w:gridCol w:w="36"/>
        <w:gridCol w:w="120"/>
        <w:gridCol w:w="1071"/>
        <w:gridCol w:w="36"/>
        <w:gridCol w:w="36"/>
        <w:gridCol w:w="36"/>
        <w:gridCol w:w="36"/>
        <w:gridCol w:w="121"/>
        <w:gridCol w:w="1071"/>
        <w:gridCol w:w="37"/>
        <w:gridCol w:w="36"/>
        <w:gridCol w:w="36"/>
        <w:gridCol w:w="36"/>
      </w:tblGrid>
      <w:tr w:rsidR="00000000">
        <w:trPr>
          <w:divId w:val="102463415"/>
          <w:jc w:val="center"/>
        </w:trPr>
        <w:tc>
          <w:tcPr>
            <w:tcW w:w="50" w:type="pct"/>
            <w:vAlign w:val="center"/>
            <w:hideMark/>
          </w:tcPr>
          <w:p w:rsidR="00000000" w:rsidRDefault="005048A7">
            <w:pPr>
              <w:rPr>
                <w:rFonts w:eastAsia="Times New Roman"/>
              </w:rPr>
            </w:pPr>
          </w:p>
        </w:tc>
        <w:tc>
          <w:tcPr>
            <w:tcW w:w="181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9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9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9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9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102463415"/>
          <w:jc w:val="center"/>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r>
      <w:tr w:rsidR="00000000">
        <w:trPr>
          <w:divId w:val="102463415"/>
          <w:jc w:val="center"/>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r>
      <w:tr w:rsidR="00000000">
        <w:trPr>
          <w:divId w:val="102463415"/>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Net 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r>
      <w:tr w:rsidR="00000000">
        <w:trPr>
          <w:divId w:val="102463415"/>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r>
      <w:tr w:rsidR="00000000">
        <w:trPr>
          <w:divId w:val="102463415"/>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Amortization of:</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02463415"/>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   Prior service benefit</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r>
      <w:tr w:rsidR="00000000">
        <w:trPr>
          <w:divId w:val="102463415"/>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   Actuarial gain</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r>
      <w:tr w:rsidR="00000000">
        <w:trPr>
          <w:divId w:val="102463415"/>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Net benefit cost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r>
    </w:tbl>
    <w:p w:rsidR="00000000" w:rsidRDefault="005048A7">
      <w:pPr>
        <w:jc w:val="center"/>
        <w:divId w:val="1254825329"/>
        <w:rPr>
          <w:rFonts w:eastAsia="Times New Roman"/>
        </w:rPr>
      </w:pPr>
    </w:p>
    <w:p w:rsidR="00000000" w:rsidRDefault="005048A7">
      <w:pPr>
        <w:jc w:val="both"/>
        <w:rPr>
          <w:rFonts w:eastAsia="Times New Roman"/>
        </w:rPr>
      </w:pPr>
      <w:r>
        <w:rPr>
          <w:rFonts w:eastAsia="Times New Roman"/>
          <w:b/>
          <w:bCs/>
          <w:i/>
          <w:iCs/>
          <w:color w:val="000000"/>
          <w:sz w:val="20"/>
          <w:szCs w:val="20"/>
        </w:rPr>
        <w:t>Employer Contributions</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Pension</w:t>
      </w:r>
      <w:r>
        <w:rPr>
          <w:rFonts w:eastAsia="Times New Roman"/>
          <w:color w:val="000000"/>
          <w:sz w:val="20"/>
          <w:szCs w:val="20"/>
        </w:rPr>
        <w:t xml:space="preserve"> For the three and six months ended June 30, 2022, NCR contributed $5 million and $9 million, respectively, to its international pension plans. NCR antici</w:t>
      </w:r>
      <w:r>
        <w:rPr>
          <w:rFonts w:eastAsia="Times New Roman"/>
          <w:color w:val="000000"/>
          <w:sz w:val="20"/>
          <w:szCs w:val="20"/>
        </w:rPr>
        <w:t xml:space="preserve">pates contributing an additional $8 million to its international pension plans for a total of $17 million in 2022. </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Postretirement</w:t>
      </w:r>
      <w:r>
        <w:rPr>
          <w:rFonts w:eastAsia="Times New Roman"/>
          <w:color w:val="000000"/>
          <w:sz w:val="20"/>
          <w:szCs w:val="20"/>
        </w:rPr>
        <w:t xml:space="preserve"> For the three and six months ended June 30, 2022, NCR made no contributions to its U.S. postretirement plan. NCR anticipate</w:t>
      </w:r>
      <w:r>
        <w:rPr>
          <w:rFonts w:eastAsia="Times New Roman"/>
          <w:color w:val="000000"/>
          <w:sz w:val="20"/>
          <w:szCs w:val="20"/>
        </w:rPr>
        <w:t xml:space="preserve">s contributing an additional $1 million to its U.S. postretirement plan for a total of $1 million in 2022. </w:t>
      </w:r>
    </w:p>
    <w:p w:rsidR="00000000" w:rsidRDefault="005048A7">
      <w:pPr>
        <w:jc w:val="both"/>
        <w:rPr>
          <w:rFonts w:eastAsia="Times New Roman"/>
        </w:rPr>
      </w:pPr>
      <w:r>
        <w:rPr>
          <w:rFonts w:eastAsia="Times New Roman"/>
          <w:i/>
          <w:iCs/>
          <w:color w:val="000000"/>
          <w:sz w:val="20"/>
          <w:szCs w:val="20"/>
        </w:rPr>
        <w:t>Postemployment</w:t>
      </w:r>
      <w:r>
        <w:rPr>
          <w:rFonts w:eastAsia="Times New Roman"/>
          <w:color w:val="000000"/>
          <w:sz w:val="20"/>
          <w:szCs w:val="20"/>
        </w:rPr>
        <w:t xml:space="preserve"> For the three and six months ended June 30, 2022, NCR contributed $16 million and $23 million, respectively, to its postemployment pl</w:t>
      </w:r>
      <w:r>
        <w:rPr>
          <w:rFonts w:eastAsia="Times New Roman"/>
          <w:color w:val="000000"/>
          <w:sz w:val="20"/>
          <w:szCs w:val="20"/>
        </w:rPr>
        <w:t>an. NCR anticipates contributing an additional $57 million to its postemployment plan for a total of $80 million in 2022.</w:t>
      </w: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center"/>
        <w:divId w:val="209266996"/>
        <w:rPr>
          <w:rFonts w:eastAsia="Times New Roman"/>
        </w:rPr>
      </w:pPr>
      <w:r>
        <w:rPr>
          <w:rFonts w:eastAsia="Times New Roman"/>
          <w:color w:val="000000"/>
          <w:sz w:val="20"/>
          <w:szCs w:val="20"/>
        </w:rPr>
        <w:t>23</w:t>
      </w:r>
    </w:p>
    <w:p w:rsidR="00000000" w:rsidRDefault="005048A7">
      <w:pPr>
        <w:rPr>
          <w:rFonts w:eastAsia="Times New Roman"/>
        </w:rPr>
      </w:pPr>
      <w:r>
        <w:rPr>
          <w:rFonts w:eastAsia="Times New Roman"/>
        </w:rPr>
        <w:pict>
          <v:rect id="_x0000_i1048" style="width:0;height:1.5pt" o:hralign="center" o:hrstd="t" o:hr="t" fillcolor="#a0a0a0" stroked="f"/>
        </w:pict>
      </w:r>
    </w:p>
    <w:p w:rsidR="00000000" w:rsidRDefault="005048A7">
      <w:pPr>
        <w:ind w:firstLine="720"/>
        <w:divId w:val="1682658012"/>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1507817199"/>
        <w:rPr>
          <w:rFonts w:eastAsia="Times New Roman"/>
        </w:rPr>
      </w:pPr>
      <w:r>
        <w:rPr>
          <w:rFonts w:eastAsia="Times New Roman"/>
          <w:b/>
          <w:bCs/>
          <w:color w:val="000000"/>
          <w:sz w:val="20"/>
          <w:szCs w:val="20"/>
        </w:rPr>
        <w:t>NCR Corporation</w:t>
      </w:r>
    </w:p>
    <w:p w:rsidR="00000000" w:rsidRDefault="005048A7">
      <w:pPr>
        <w:jc w:val="center"/>
        <w:divId w:val="1507817199"/>
        <w:rPr>
          <w:rFonts w:eastAsia="Times New Roman"/>
        </w:rPr>
      </w:pPr>
      <w:r>
        <w:rPr>
          <w:rFonts w:eastAsia="Times New Roman"/>
          <w:b/>
          <w:bCs/>
          <w:color w:val="000000"/>
          <w:sz w:val="20"/>
          <w:szCs w:val="20"/>
        </w:rPr>
        <w:t>Notes to Condensed Consolidated Financial Statements (Unaudited)—(Continued)</w:t>
      </w:r>
    </w:p>
    <w:p w:rsidR="00000000" w:rsidRDefault="005048A7">
      <w:pPr>
        <w:ind w:firstLine="720"/>
        <w:divId w:val="1512337815"/>
        <w:rPr>
          <w:rFonts w:eastAsia="Times New Roman"/>
        </w:rPr>
      </w:pPr>
    </w:p>
    <w:p w:rsidR="00000000" w:rsidRDefault="005048A7">
      <w:pPr>
        <w:jc w:val="both"/>
        <w:rPr>
          <w:rFonts w:eastAsia="Times New Roman"/>
        </w:rPr>
      </w:pPr>
      <w:r>
        <w:rPr>
          <w:rFonts w:eastAsia="Times New Roman"/>
          <w:b/>
          <w:bCs/>
          <w:color w:val="54B948"/>
          <w:sz w:val="20"/>
          <w:szCs w:val="20"/>
        </w:rPr>
        <w:t>10. COMMITMENTS AND CONTINGENCIES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 xml:space="preserve">In the normal </w:t>
      </w:r>
      <w:r>
        <w:rPr>
          <w:rFonts w:eastAsia="Times New Roman"/>
          <w:color w:val="000000"/>
          <w:sz w:val="20"/>
          <w:szCs w:val="20"/>
        </w:rPr>
        <w:t>course of business, NCR is subject to various proceedings, lawsuits, claims and other matters, including, for example, those that relate to the environment and health and safety, labor and employment, employee benefits, import/export compliance, intellectu</w:t>
      </w:r>
      <w:r>
        <w:rPr>
          <w:rFonts w:eastAsia="Times New Roman"/>
          <w:color w:val="000000"/>
          <w:sz w:val="20"/>
          <w:szCs w:val="20"/>
        </w:rPr>
        <w:t>al property, data privacy and security, product liability, commercial disputes and regulatory compliance, among others. Additionally, NCR is subject to diverse and complex laws and regulations, including those relating to corporate governance, public discl</w:t>
      </w:r>
      <w:r>
        <w:rPr>
          <w:rFonts w:eastAsia="Times New Roman"/>
          <w:color w:val="000000"/>
          <w:sz w:val="20"/>
          <w:szCs w:val="20"/>
        </w:rPr>
        <w:t xml:space="preserve">osure and reporting, environmental safety and the discharge of materials into the environment, product safety, import and export compliance, data privacy and security, antitrust and competition, government contracting, anti-corruption, and labor and human </w:t>
      </w:r>
      <w:r>
        <w:rPr>
          <w:rFonts w:eastAsia="Times New Roman"/>
          <w:color w:val="000000"/>
          <w:sz w:val="20"/>
          <w:szCs w:val="20"/>
        </w:rPr>
        <w:t>resources, which are rapidly changing and subject to many possible changes in the future. Compliance with these laws and regulations, including changes in accounting standards, taxation requirements, and federal securities laws among others, may create a s</w:t>
      </w:r>
      <w:r>
        <w:rPr>
          <w:rFonts w:eastAsia="Times New Roman"/>
          <w:color w:val="000000"/>
          <w:sz w:val="20"/>
          <w:szCs w:val="20"/>
        </w:rPr>
        <w:t>ubstantial burden on, and substantially increase costs to NCR or could have an impact on NCR's future operating results. The Company has reflected all liabilities when a loss is considered probable and reasonably estimable in the Condensed Consolidated Fin</w:t>
      </w:r>
      <w:r>
        <w:rPr>
          <w:rFonts w:eastAsia="Times New Roman"/>
          <w:color w:val="000000"/>
          <w:sz w:val="20"/>
          <w:szCs w:val="20"/>
        </w:rPr>
        <w:t>ancial Statements. We do not believe there is a reasonable possibility that losses exceeding amounts already recognized have been incurred, but there can be no assurances that the amounts required to satisfy alleged liabilities from such matters will not i</w:t>
      </w:r>
      <w:r>
        <w:rPr>
          <w:rFonts w:eastAsia="Times New Roman"/>
          <w:color w:val="000000"/>
          <w:sz w:val="20"/>
          <w:szCs w:val="20"/>
        </w:rPr>
        <w:t>mpact future operating results.</w:t>
      </w:r>
      <w:r>
        <w:rPr>
          <w:rFonts w:eastAsia="Times New Roman"/>
          <w:color w:val="000000"/>
        </w:rPr>
        <w:t xml:space="preserve"> </w:t>
      </w:r>
      <w:r>
        <w:rPr>
          <w:rFonts w:eastAsia="Times New Roman"/>
          <w:color w:val="000000"/>
          <w:sz w:val="20"/>
          <w:szCs w:val="20"/>
        </w:rPr>
        <w:t>Other than as stated below, the Company does not currently expect to incur material capital expenditures related to such matters.</w:t>
      </w:r>
      <w:r>
        <w:rPr>
          <w:rFonts w:eastAsia="Times New Roman"/>
          <w:color w:val="000000"/>
        </w:rPr>
        <w:t xml:space="preserve"> </w:t>
      </w:r>
      <w:r>
        <w:rPr>
          <w:rFonts w:eastAsia="Times New Roman"/>
          <w:color w:val="000000"/>
          <w:sz w:val="20"/>
          <w:szCs w:val="20"/>
        </w:rPr>
        <w:t>However, there can be no assurances that the actual amounts required to satisfy alleged liabil</w:t>
      </w:r>
      <w:r>
        <w:rPr>
          <w:rFonts w:eastAsia="Times New Roman"/>
          <w:color w:val="000000"/>
          <w:sz w:val="20"/>
          <w:szCs w:val="20"/>
        </w:rPr>
        <w:t xml:space="preserve">ities from various lawsuits, claims, legal proceedings and other matters, including, but not limited to the Fox River and Kalamazoo River environmental matters and other matters discussed below, and to comply with applicable laws and regulations, will not </w:t>
      </w:r>
      <w:r>
        <w:rPr>
          <w:rFonts w:eastAsia="Times New Roman"/>
          <w:color w:val="000000"/>
          <w:sz w:val="20"/>
          <w:szCs w:val="20"/>
        </w:rPr>
        <w:t>exceed the amounts reflected in NCR’s Condensed Consolidated Financial Statements or will not have a material adverse effect on its consolidated results of operations, capital expenditures, competitive position, financial condition or cash flows.</w:t>
      </w:r>
    </w:p>
    <w:p w:rsidR="00000000" w:rsidRDefault="005048A7">
      <w:pPr>
        <w:jc w:val="both"/>
        <w:rPr>
          <w:rFonts w:eastAsia="Times New Roman"/>
        </w:rPr>
      </w:pPr>
    </w:p>
    <w:p w:rsidR="00000000" w:rsidRDefault="005048A7">
      <w:pPr>
        <w:jc w:val="both"/>
        <w:rPr>
          <w:rFonts w:eastAsia="Times New Roman"/>
        </w:rPr>
      </w:pPr>
      <w:r>
        <w:rPr>
          <w:rFonts w:eastAsia="Times New Roman"/>
          <w:b/>
          <w:bCs/>
          <w:color w:val="000000"/>
          <w:sz w:val="20"/>
          <w:szCs w:val="20"/>
        </w:rPr>
        <w:t>Environ</w:t>
      </w:r>
      <w:r>
        <w:rPr>
          <w:rFonts w:eastAsia="Times New Roman"/>
          <w:b/>
          <w:bCs/>
          <w:color w:val="000000"/>
          <w:sz w:val="20"/>
          <w:szCs w:val="20"/>
        </w:rPr>
        <w:t>mental Matters</w:t>
      </w:r>
      <w:r>
        <w:rPr>
          <w:rFonts w:eastAsia="Times New Roman"/>
          <w:color w:val="000000"/>
          <w:sz w:val="20"/>
          <w:szCs w:val="20"/>
        </w:rPr>
        <w:t xml:space="preserve"> NCR's facilities and operations are subject to a wide range of environmental protection laws, and NCR has investigatory and remedial activities underway at a number of facilities that it currently owns or operates, or formerly owned or opera</w:t>
      </w:r>
      <w:r>
        <w:rPr>
          <w:rFonts w:eastAsia="Times New Roman"/>
          <w:color w:val="000000"/>
          <w:sz w:val="20"/>
          <w:szCs w:val="20"/>
        </w:rPr>
        <w:t>ted, to comply, or to determine compliance, with such laws. Also, NCR has been identified, either by a government agency or by a private party seeking contribution to site clean-up costs, as a potentially responsible party (“PRP”) at a number of sites purs</w:t>
      </w:r>
      <w:r>
        <w:rPr>
          <w:rFonts w:eastAsia="Times New Roman"/>
          <w:color w:val="000000"/>
          <w:sz w:val="20"/>
          <w:szCs w:val="20"/>
        </w:rPr>
        <w:t>uant to various state and federal laws, including the Federal Water Pollution Control Act, the Comprehensive Environmental Response, Compensation and Liability Act (“CERCLA”) and comparable state statutes. Other than the Fox River matter, the Kalamazoo Riv</w:t>
      </w:r>
      <w:r>
        <w:rPr>
          <w:rFonts w:eastAsia="Times New Roman"/>
          <w:color w:val="000000"/>
          <w:sz w:val="20"/>
          <w:szCs w:val="20"/>
        </w:rPr>
        <w:t>er matter and the Ebina matter discussed below, we currently do not anticipate material expenses and liabilities from these environmental matters.</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Fox River</w:t>
      </w:r>
      <w:r>
        <w:rPr>
          <w:rFonts w:eastAsia="Times New Roman"/>
          <w:color w:val="000000"/>
          <w:sz w:val="20"/>
          <w:szCs w:val="20"/>
        </w:rPr>
        <w:t xml:space="preserve"> NCR is one of eight entities that were formally notified by governmental and other entities, such</w:t>
      </w:r>
      <w:r>
        <w:rPr>
          <w:rFonts w:eastAsia="Times New Roman"/>
          <w:color w:val="000000"/>
          <w:sz w:val="20"/>
          <w:szCs w:val="20"/>
        </w:rPr>
        <w:t xml:space="preserve"> as local Native American tribes, that they are PRPs for environmental claims (under CERCLA and other statutes) arising out of the presence of polychlorinated biphenyls (“PCBs”) in sediments in the lower Fox River and in the Bay of Green Bay in Wisconsin. </w:t>
      </w:r>
      <w:r>
        <w:rPr>
          <w:rFonts w:eastAsia="Times New Roman"/>
          <w:color w:val="000000"/>
          <w:sz w:val="20"/>
          <w:szCs w:val="20"/>
        </w:rPr>
        <w:t>Such notice was provided on September 30, 2003. The other Fox River PRPs that received notices include Appleton Papers Inc. (“API”; now known as Appvion, Inc.), P.H. Glatfelter Company (“Glatfelter”), Georgia-Pacific Consumer Products LP (“GP”, successor t</w:t>
      </w:r>
      <w:r>
        <w:rPr>
          <w:rFonts w:eastAsia="Times New Roman"/>
          <w:color w:val="000000"/>
          <w:sz w:val="20"/>
          <w:szCs w:val="20"/>
        </w:rPr>
        <w:t xml:space="preserve">o Fort James Operating Company), and others. NCR was identified as a PRP because of alleged PCB discharges from two carbonless copy paper manufacturing facilities it previously owned, which were located along the Fox River. NCR sold its facilities in 1978 </w:t>
      </w:r>
      <w:r>
        <w:rPr>
          <w:rFonts w:eastAsia="Times New Roman"/>
          <w:color w:val="000000"/>
          <w:sz w:val="20"/>
          <w:szCs w:val="20"/>
        </w:rPr>
        <w:t xml:space="preserve">to API. The parties have also contended that NCR is responsible for PCB discharges from paper mills owned by other companies because NCR carbonless copy paper “broke” was allegedly purchased by those other mills as a raw material.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 United States Envi</w:t>
      </w:r>
      <w:r>
        <w:rPr>
          <w:rFonts w:eastAsia="Times New Roman"/>
          <w:color w:val="000000"/>
          <w:sz w:val="20"/>
          <w:szCs w:val="20"/>
        </w:rPr>
        <w:t>ronmental Protection Agency (“USEPA”) and Wisconsin Department of Natural Resources (together, “the Governments”) developed clean-up plans for the upper and lower parts of the Fox River and for portions of the Bay of Green Bay. On November 13, 2007, the Go</w:t>
      </w:r>
      <w:r>
        <w:rPr>
          <w:rFonts w:eastAsia="Times New Roman"/>
          <w:color w:val="000000"/>
          <w:sz w:val="20"/>
          <w:szCs w:val="20"/>
        </w:rPr>
        <w:t>vernments issued a unilateral administrative order (the “2007 Order”) under CERCLA to the eight original PRPs, requiring them to perform remedial work under the Governments’ clean-up plan for the lower parts of the river (operable units 2 through 5). In Ap</w:t>
      </w:r>
      <w:r>
        <w:rPr>
          <w:rFonts w:eastAsia="Times New Roman"/>
          <w:color w:val="000000"/>
          <w:sz w:val="20"/>
          <w:szCs w:val="20"/>
        </w:rPr>
        <w:t>ril 2009, NCR and API formed a limited liability company (the “LLC”), which entered into an agreement with an environmental remediation contractor to perform the work at the Fox River site. In-water dredging and remediation under the clean-up plan commence</w:t>
      </w:r>
      <w:r>
        <w:rPr>
          <w:rFonts w:eastAsia="Times New Roman"/>
          <w:color w:val="000000"/>
          <w:sz w:val="20"/>
          <w:szCs w:val="20"/>
        </w:rPr>
        <w:t>d shortly thereafter.</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 xml:space="preserve">NCR and API, along with B.A.T Industries p.l.c. (“BAT”), share among themselves a portion of the cost of the Fox River clean-up and natural resource damages (“NRD”) based upon a 1998 agreement (the “Cost Sharing Agreement”), a 2005 </w:t>
      </w:r>
      <w:r>
        <w:rPr>
          <w:rFonts w:eastAsia="Times New Roman"/>
          <w:color w:val="000000"/>
          <w:sz w:val="20"/>
          <w:szCs w:val="20"/>
        </w:rPr>
        <w:t>arbitration award (subsequently confirmed as a judgment), and a September 30, 2014 Funding Agreement (the “Funding Agreement”). The Cost Sharing Agreement and the arbitration resolved disputes that arose out of the Company's 1978 sale of its Fox River faci</w:t>
      </w:r>
      <w:r>
        <w:rPr>
          <w:rFonts w:eastAsia="Times New Roman"/>
          <w:color w:val="000000"/>
          <w:sz w:val="20"/>
          <w:szCs w:val="20"/>
        </w:rPr>
        <w:t xml:space="preserve">lities to API. The Cost Sharing Agreement and arbitration award resulted in a 45% share for NCR of the first $75 million of such costs (a threshold that was reached in 2008), and a 40% share for amounts in excess of $75 million. The </w:t>
      </w:r>
    </w:p>
    <w:p w:rsidR="00000000" w:rsidRDefault="005048A7">
      <w:pPr>
        <w:jc w:val="center"/>
        <w:divId w:val="1279876823"/>
        <w:rPr>
          <w:rFonts w:eastAsia="Times New Roman"/>
        </w:rPr>
      </w:pPr>
      <w:r>
        <w:rPr>
          <w:rFonts w:eastAsia="Times New Roman"/>
          <w:color w:val="000000"/>
          <w:sz w:val="20"/>
          <w:szCs w:val="20"/>
        </w:rPr>
        <w:t>24</w:t>
      </w:r>
    </w:p>
    <w:p w:rsidR="00000000" w:rsidRDefault="005048A7">
      <w:pPr>
        <w:rPr>
          <w:rFonts w:eastAsia="Times New Roman"/>
        </w:rPr>
      </w:pPr>
      <w:r>
        <w:rPr>
          <w:rFonts w:eastAsia="Times New Roman"/>
        </w:rPr>
        <w:pict>
          <v:rect id="_x0000_i1049" style="width:0;height:1.5pt" o:hralign="center" o:hrstd="t" o:hr="t" fillcolor="#a0a0a0" stroked="f"/>
        </w:pict>
      </w:r>
    </w:p>
    <w:p w:rsidR="00000000" w:rsidRDefault="005048A7">
      <w:pPr>
        <w:ind w:firstLine="720"/>
        <w:divId w:val="1301300541"/>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1122770695"/>
        <w:rPr>
          <w:rFonts w:eastAsia="Times New Roman"/>
        </w:rPr>
      </w:pPr>
      <w:r>
        <w:rPr>
          <w:rFonts w:eastAsia="Times New Roman"/>
          <w:b/>
          <w:bCs/>
          <w:color w:val="000000"/>
          <w:sz w:val="20"/>
          <w:szCs w:val="20"/>
        </w:rPr>
        <w:t>NCR Corporation</w:t>
      </w:r>
    </w:p>
    <w:p w:rsidR="00000000" w:rsidRDefault="005048A7">
      <w:pPr>
        <w:jc w:val="center"/>
        <w:divId w:val="1122770695"/>
        <w:rPr>
          <w:rFonts w:eastAsia="Times New Roman"/>
        </w:rPr>
      </w:pPr>
      <w:r>
        <w:rPr>
          <w:rFonts w:eastAsia="Times New Roman"/>
          <w:b/>
          <w:bCs/>
          <w:color w:val="000000"/>
          <w:sz w:val="20"/>
          <w:szCs w:val="20"/>
        </w:rPr>
        <w:t>Notes to Condensed Consolidated Financial Statements (Unaudited)—(Continued)</w:t>
      </w:r>
    </w:p>
    <w:p w:rsidR="00000000" w:rsidRDefault="005048A7">
      <w:pPr>
        <w:jc w:val="both"/>
        <w:rPr>
          <w:rFonts w:eastAsia="Times New Roman"/>
        </w:rPr>
      </w:pPr>
      <w:r>
        <w:rPr>
          <w:rFonts w:eastAsia="Times New Roman"/>
          <w:color w:val="000000"/>
          <w:sz w:val="20"/>
          <w:szCs w:val="20"/>
        </w:rPr>
        <w:t>Funding Agreement arose out of a 2012 to 2014 arbitration dispute betw</w:t>
      </w:r>
      <w:r>
        <w:rPr>
          <w:rFonts w:eastAsia="Times New Roman"/>
          <w:color w:val="000000"/>
          <w:sz w:val="20"/>
          <w:szCs w:val="20"/>
        </w:rPr>
        <w:t>een NCR and API, and provides for regular, ongoing funding of NCR incurred Fox River remediation costs via contributions, made to a new limited liability corporation created by the Funding Agreement, by BAT, API and, for 2014, API's indemnitor, Windward Pr</w:t>
      </w:r>
      <w:r>
        <w:rPr>
          <w:rFonts w:eastAsia="Times New Roman"/>
          <w:color w:val="000000"/>
          <w:sz w:val="20"/>
          <w:szCs w:val="20"/>
        </w:rPr>
        <w:t>ospects. The Funding Agreement creates an obligation on BAT and API to fund 50% of NCR’s Fox River remediation costs from October 1, 2014 forward (API’s Fox River-related obligations under the Funding Agreement were fully satisfied in 2016); the Funding Ag</w:t>
      </w:r>
      <w:r>
        <w:rPr>
          <w:rFonts w:eastAsia="Times New Roman"/>
          <w:color w:val="000000"/>
          <w:sz w:val="20"/>
          <w:szCs w:val="20"/>
        </w:rPr>
        <w:t>reement also provides NCR contractual avenues for payment of, via direct and third-party sources, (1) the difference between BAT’s and API’s 60% obligation under the Cost Sharing Agreement and arbitration award on the one hand and their ongoing (since Sept</w:t>
      </w:r>
      <w:r>
        <w:rPr>
          <w:rFonts w:eastAsia="Times New Roman"/>
          <w:color w:val="000000"/>
          <w:sz w:val="20"/>
          <w:szCs w:val="20"/>
        </w:rPr>
        <w:t>ember 2014) 50% payments under the Funding Agreement on the other, as well as (2) the difference between the amount NCR received under the Funding Agreement and the amount owed to it under the Cost Sharing Agreement and arbitration award for the period fro</w:t>
      </w:r>
      <w:r>
        <w:rPr>
          <w:rFonts w:eastAsia="Times New Roman"/>
          <w:color w:val="000000"/>
          <w:sz w:val="20"/>
          <w:szCs w:val="20"/>
        </w:rPr>
        <w:t xml:space="preserve">m April 2012 through September 2014. </w:t>
      </w:r>
      <w:r>
        <w:rPr>
          <w:rFonts w:eastAsia="Times New Roman"/>
          <w:color w:val="000000"/>
          <w:sz w:val="20"/>
          <w:szCs w:val="20"/>
          <w:shd w:val="clear" w:color="auto" w:fill="FFFFFF"/>
        </w:rPr>
        <w:t xml:space="preserve">As of June 30, 2022 and December 31, 2021, the receivable under the Funding Agreement was approximately $54 million and was included in Other assets in the Condensed </w:t>
      </w:r>
      <w:r>
        <w:rPr>
          <w:rFonts w:eastAsia="Times New Roman"/>
          <w:color w:val="000000"/>
          <w:sz w:val="20"/>
          <w:szCs w:val="20"/>
        </w:rPr>
        <w:t xml:space="preserve">Consolidated Balance Sheets. The timing of collection of sums related to the receivable is uncertain, subject and pursuant to the terms of the Funding Agreement and related agreements. This receivable is not taken into account in calculating the Company’s </w:t>
      </w:r>
      <w:r>
        <w:rPr>
          <w:rFonts w:eastAsia="Times New Roman"/>
          <w:color w:val="000000"/>
          <w:sz w:val="20"/>
          <w:szCs w:val="20"/>
        </w:rPr>
        <w:t xml:space="preserve">Fox River net reserve. </w:t>
      </w:r>
    </w:p>
    <w:p w:rsidR="00000000" w:rsidRDefault="005048A7">
      <w:pPr>
        <w:divId w:val="1520269533"/>
        <w:rPr>
          <w:rFonts w:eastAsia="Times New Roman"/>
        </w:rPr>
      </w:pPr>
    </w:p>
    <w:p w:rsidR="00000000" w:rsidRDefault="005048A7">
      <w:pPr>
        <w:jc w:val="both"/>
        <w:rPr>
          <w:rFonts w:eastAsia="Times New Roman"/>
        </w:rPr>
      </w:pPr>
      <w:r>
        <w:rPr>
          <w:rFonts w:eastAsia="Times New Roman"/>
          <w:color w:val="000000"/>
          <w:sz w:val="20"/>
          <w:szCs w:val="20"/>
        </w:rPr>
        <w:t>The Company's litigations relating to contribution and enforcement claims concerning the Fox River have been concluded. A proposed consent decree settlement (the “CD settlement”) with respect to the contribution action (a case originally filed by NCR and A</w:t>
      </w:r>
      <w:r>
        <w:rPr>
          <w:rFonts w:eastAsia="Times New Roman"/>
          <w:color w:val="000000"/>
          <w:sz w:val="20"/>
          <w:szCs w:val="20"/>
        </w:rPr>
        <w:t>PI) and the government enforcement action (a case originally filed by the federal and state governments against several PRPs, including the Company) was successfully negotiated by NCR and the federal and state governments and was approved on August 22, 201</w:t>
      </w:r>
      <w:r>
        <w:rPr>
          <w:rFonts w:eastAsia="Times New Roman"/>
          <w:color w:val="000000"/>
          <w:sz w:val="20"/>
          <w:szCs w:val="20"/>
        </w:rPr>
        <w:t>7 by the federal district court in Wisconsin that had been presiding over those cases. A final order of dismissal as to the Company in the contribution and government enforcement actions was subsequently entered; one party, Glatfelter, had appealed the app</w:t>
      </w:r>
      <w:r>
        <w:rPr>
          <w:rFonts w:eastAsia="Times New Roman"/>
          <w:color w:val="000000"/>
          <w:sz w:val="20"/>
          <w:szCs w:val="20"/>
        </w:rPr>
        <w:t>roval of the CD settlement. On January 3, 2019, the United States lodged a proposed consent decree with the Wisconsin court, reflecting a settlement reached by the United States, Wisconsin and Glatfelter with respect to Glatfelter’s Fox River liability und</w:t>
      </w:r>
      <w:r>
        <w:rPr>
          <w:rFonts w:eastAsia="Times New Roman"/>
          <w:color w:val="000000"/>
          <w:sz w:val="20"/>
          <w:szCs w:val="20"/>
        </w:rPr>
        <w:t>er the government enforcement action; a component of that settlement was withdrawal of Glatfelter’s appeal opposing the Company’s CD settlement. On March 14, 2019, the Wisconsin court approved the Glatfelter consent decree, and on April 3, 2019, Glatfelter</w:t>
      </w:r>
      <w:r>
        <w:rPr>
          <w:rFonts w:eastAsia="Times New Roman"/>
          <w:color w:val="000000"/>
          <w:sz w:val="20"/>
          <w:szCs w:val="20"/>
        </w:rPr>
        <w:t xml:space="preserve">'s appeal was dismissed.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 CD settlement has now resolved the remaining Fox River-related contribution and enforcement claims against the Company. The key components of the approved CD settlement include (1) the Company’s commitment to complete the re</w:t>
      </w:r>
      <w:r>
        <w:rPr>
          <w:rFonts w:eastAsia="Times New Roman"/>
          <w:color w:val="000000"/>
          <w:sz w:val="20"/>
          <w:szCs w:val="20"/>
        </w:rPr>
        <w:t>mediation of the Fox River, which has now been completed; (2) the Company’s conditional agreement to waive its contribution claims against the two remaining defendants in the case, GP and Glatfelter; (3) the Company’s agreement not to appeal the trial cour</w:t>
      </w:r>
      <w:r>
        <w:rPr>
          <w:rFonts w:eastAsia="Times New Roman"/>
          <w:color w:val="000000"/>
          <w:sz w:val="20"/>
          <w:szCs w:val="20"/>
        </w:rPr>
        <w:t>t’s decision on divisibility of harm; (4) the Governments’ agreement to include in the settlement so-called “contribution protection” in the Company’s favor as to GP’s and Glatfelter’s contribution claims against the Company, the effect of which will be to</w:t>
      </w:r>
      <w:r>
        <w:rPr>
          <w:rFonts w:eastAsia="Times New Roman"/>
          <w:color w:val="000000"/>
          <w:sz w:val="20"/>
          <w:szCs w:val="20"/>
        </w:rPr>
        <w:t xml:space="preserve"> extinguish those claims; (5) the Governments’ agreement not to pursue the Company for the Governments’ past oversight costs; and (6) the Governments’ agreement to exercise prosecutorial discretion in pursuing other parties for future oversight costs and l</w:t>
      </w:r>
      <w:r>
        <w:rPr>
          <w:rFonts w:eastAsia="Times New Roman"/>
          <w:color w:val="000000"/>
          <w:sz w:val="20"/>
          <w:szCs w:val="20"/>
        </w:rPr>
        <w:t>ong-term monitoring and maintenance, with the Company retaining so-called “backstop” liability in the event that the other parties fail to pay future oversight costs or to perform long-term monitoring and maintenance. Additionally, although certain state l</w:t>
      </w:r>
      <w:r>
        <w:rPr>
          <w:rFonts w:eastAsia="Times New Roman"/>
          <w:color w:val="000000"/>
          <w:sz w:val="20"/>
          <w:szCs w:val="20"/>
        </w:rPr>
        <w:t>aw claims by GP and Glatfelter against the Company may not be affected directly by the CD settlement, the CD settlement provides that the Company’s contribution claims against those two parties will revive if those parties attempt to assert any claims agai</w:t>
      </w:r>
      <w:r>
        <w:rPr>
          <w:rFonts w:eastAsia="Times New Roman"/>
          <w:color w:val="000000"/>
          <w:sz w:val="20"/>
          <w:szCs w:val="20"/>
        </w:rPr>
        <w:t>nst the Company relating to the Fox River, including any state law claims.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In the quarter ending September 30, 2017, the remediation general contractor commenced an arbitration against the LLC, in a dispute over contract interpretation. The hearing on th</w:t>
      </w:r>
      <w:r>
        <w:rPr>
          <w:rFonts w:eastAsia="Times New Roman"/>
          <w:color w:val="000000"/>
          <w:sz w:val="20"/>
          <w:szCs w:val="20"/>
        </w:rPr>
        <w:t>is matter was completed in June 2019, and the parties submitted post-trial briefs in August 2019. The amounts claimed by the contractor range from approximately $46 million to approximately $53 million; the Company disputed the claims and contested them vi</w:t>
      </w:r>
      <w:r>
        <w:rPr>
          <w:rFonts w:eastAsia="Times New Roman"/>
          <w:color w:val="000000"/>
          <w:sz w:val="20"/>
          <w:szCs w:val="20"/>
        </w:rPr>
        <w:t xml:space="preserve">gorously during the hearing. In November 2019, having rejected substantial portions of the claims, the arbitration panel awarded the contractor approximately $10 million. The Company’s indemnitors and co-obligors, described below, were responsible for the </w:t>
      </w:r>
      <w:r>
        <w:rPr>
          <w:rFonts w:eastAsia="Times New Roman"/>
          <w:color w:val="000000"/>
          <w:sz w:val="20"/>
          <w:szCs w:val="20"/>
        </w:rPr>
        <w:t>majority of the award, with the Company’s share being approximately 25% of the award.</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With respect to the Company’s prior dispute with API, which was generally superseded by the Funding Agreement, the Company received timely payments as they came due und</w:t>
      </w:r>
      <w:r>
        <w:rPr>
          <w:rFonts w:eastAsia="Times New Roman"/>
          <w:color w:val="000000"/>
          <w:sz w:val="20"/>
          <w:szCs w:val="20"/>
        </w:rPr>
        <w:t>er the Funding Agreement. Although API filed for bankruptcy protection in October 2017, it had made all of the payments to the Company in connection with the Fox River that are required of it by the Funding Agreement.</w:t>
      </w:r>
    </w:p>
    <w:p w:rsidR="00000000" w:rsidRDefault="005048A7">
      <w:pPr>
        <w:jc w:val="both"/>
        <w:rPr>
          <w:rFonts w:eastAsia="Times New Roman"/>
        </w:rPr>
      </w:pPr>
    </w:p>
    <w:p w:rsidR="00000000" w:rsidRDefault="005048A7">
      <w:pPr>
        <w:jc w:val="both"/>
        <w:divId w:val="1930851570"/>
        <w:rPr>
          <w:rFonts w:eastAsia="Times New Roman"/>
        </w:rPr>
      </w:pPr>
      <w:r>
        <w:rPr>
          <w:rFonts w:eastAsia="Times New Roman"/>
          <w:color w:val="000000"/>
          <w:sz w:val="20"/>
          <w:szCs w:val="20"/>
        </w:rPr>
        <w:t>NCR's remediation liability has larg</w:t>
      </w:r>
      <w:r>
        <w:rPr>
          <w:rFonts w:eastAsia="Times New Roman"/>
          <w:color w:val="000000"/>
          <w:sz w:val="20"/>
          <w:szCs w:val="20"/>
        </w:rPr>
        <w:t>ely been met. The EPA is expected to issue a Certificate of Completion to the Company this summer, formally ending the Company's remediation obligation on the Fox River. Long-term monitoring will be performed by others. With respect to NRD, in connection w</w:t>
      </w:r>
      <w:r>
        <w:rPr>
          <w:rFonts w:eastAsia="Times New Roman"/>
          <w:color w:val="000000"/>
          <w:sz w:val="20"/>
          <w:szCs w:val="20"/>
        </w:rPr>
        <w:t xml:space="preserve">ith a certain settlement entered into by other PRPs in 2015, the Government </w:t>
      </w:r>
    </w:p>
    <w:p w:rsidR="00000000" w:rsidRDefault="005048A7">
      <w:pPr>
        <w:jc w:val="center"/>
        <w:divId w:val="338626743"/>
        <w:rPr>
          <w:rFonts w:eastAsia="Times New Roman"/>
        </w:rPr>
      </w:pPr>
      <w:r>
        <w:rPr>
          <w:rFonts w:eastAsia="Times New Roman"/>
          <w:color w:val="000000"/>
          <w:sz w:val="20"/>
          <w:szCs w:val="20"/>
        </w:rPr>
        <w:t>25</w:t>
      </w:r>
    </w:p>
    <w:p w:rsidR="00000000" w:rsidRDefault="005048A7">
      <w:pPr>
        <w:rPr>
          <w:rFonts w:eastAsia="Times New Roman"/>
        </w:rPr>
      </w:pPr>
      <w:r>
        <w:rPr>
          <w:rFonts w:eastAsia="Times New Roman"/>
        </w:rPr>
        <w:pict>
          <v:rect id="_x0000_i1050" style="width:0;height:1.5pt" o:hralign="center" o:hrstd="t" o:hr="t" fillcolor="#a0a0a0" stroked="f"/>
        </w:pict>
      </w:r>
    </w:p>
    <w:p w:rsidR="00000000" w:rsidRDefault="005048A7">
      <w:pPr>
        <w:ind w:firstLine="720"/>
        <w:divId w:val="1094932110"/>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970330718"/>
        <w:rPr>
          <w:rFonts w:eastAsia="Times New Roman"/>
        </w:rPr>
      </w:pPr>
      <w:r>
        <w:rPr>
          <w:rFonts w:eastAsia="Times New Roman"/>
          <w:b/>
          <w:bCs/>
          <w:color w:val="000000"/>
          <w:sz w:val="20"/>
          <w:szCs w:val="20"/>
        </w:rPr>
        <w:t>NCR Corporation</w:t>
      </w:r>
    </w:p>
    <w:p w:rsidR="00000000" w:rsidRDefault="005048A7">
      <w:pPr>
        <w:jc w:val="center"/>
        <w:divId w:val="970330718"/>
        <w:rPr>
          <w:rFonts w:eastAsia="Times New Roman"/>
        </w:rPr>
      </w:pPr>
      <w:r>
        <w:rPr>
          <w:rFonts w:eastAsia="Times New Roman"/>
          <w:b/>
          <w:bCs/>
          <w:color w:val="000000"/>
          <w:sz w:val="20"/>
          <w:szCs w:val="20"/>
        </w:rPr>
        <w:t>Notes to Condensed Consolidated Financial Stateme</w:t>
      </w:r>
      <w:r>
        <w:rPr>
          <w:rFonts w:eastAsia="Times New Roman"/>
          <w:b/>
          <w:bCs/>
          <w:color w:val="000000"/>
          <w:sz w:val="20"/>
          <w:szCs w:val="20"/>
        </w:rPr>
        <w:t>nts (Unaudited)—(Continued)</w:t>
      </w:r>
    </w:p>
    <w:p w:rsidR="00000000" w:rsidRDefault="005048A7">
      <w:pPr>
        <w:jc w:val="both"/>
        <w:divId w:val="691805266"/>
        <w:rPr>
          <w:rFonts w:eastAsia="Times New Roman"/>
        </w:rPr>
      </w:pPr>
      <w:r>
        <w:rPr>
          <w:rFonts w:eastAsia="Times New Roman"/>
          <w:color w:val="000000"/>
          <w:sz w:val="20"/>
          <w:szCs w:val="20"/>
        </w:rPr>
        <w:t>withdrew the NRD claims it had prosecuted on behalf of NRD trustees, including those NRD claims asserted against the Company.</w:t>
      </w:r>
    </w:p>
    <w:p w:rsidR="00000000" w:rsidRDefault="005048A7">
      <w:pPr>
        <w:jc w:val="both"/>
        <w:rPr>
          <w:rFonts w:eastAsia="Times New Roman"/>
        </w:rPr>
      </w:pPr>
      <w:r>
        <w:rPr>
          <w:rFonts w:eastAsia="Times New Roman"/>
          <w:color w:val="000000"/>
          <w:sz w:val="20"/>
          <w:szCs w:val="20"/>
        </w:rPr>
        <w:t>While it is possible there could be additional changes to some elements of the reserve over upcoming p</w:t>
      </w:r>
      <w:r>
        <w:rPr>
          <w:rFonts w:eastAsia="Times New Roman"/>
          <w:color w:val="000000"/>
          <w:sz w:val="20"/>
          <w:szCs w:val="20"/>
        </w:rPr>
        <w:t xml:space="preserve">eriods, including in view of a final reconciliation of indemnitor payments, all in river-remediation, site demolition and site decommissioning have been completed. As noted, a Certificate of Completion is expected this summer. Nonetheless, there can be no </w:t>
      </w:r>
      <w:r>
        <w:rPr>
          <w:rFonts w:eastAsia="Times New Roman"/>
          <w:color w:val="000000"/>
          <w:sz w:val="20"/>
          <w:szCs w:val="20"/>
        </w:rPr>
        <w:t>assurance that unexpected expenditures and liabilities will not have a material effect on NCR's capital expenditures, earnings, financial condition, cash flows, or competitive position. As of June 30, 2022 and December 31, 2021, the gross reserve for the F</w:t>
      </w:r>
      <w:r>
        <w:rPr>
          <w:rFonts w:eastAsia="Times New Roman"/>
          <w:color w:val="000000"/>
          <w:sz w:val="20"/>
          <w:szCs w:val="20"/>
        </w:rPr>
        <w:t>ox River matter was approximately $3 million and $4 million, respectively. As of June 30, 2022 and December 31, 2021, the net reserve for the Fox River matter was approximately $25 million and $26 million, respectively. NCR contributes to the LLC to fund r</w:t>
      </w:r>
      <w:r>
        <w:rPr>
          <w:rFonts w:eastAsia="Times New Roman"/>
          <w:color w:val="000000"/>
          <w:sz w:val="20"/>
          <w:szCs w:val="20"/>
        </w:rPr>
        <w:t xml:space="preserve">emediation activities and generally, by contract, has funded certain amounts of remediation expenses in advance. As of June 30, 2022 and December 31, 2021, approximately zero remained from this funding. NCR's reserve for the Fox River matter is reduced as </w:t>
      </w:r>
      <w:r>
        <w:rPr>
          <w:rFonts w:eastAsia="Times New Roman"/>
          <w:color w:val="000000"/>
          <w:sz w:val="20"/>
          <w:szCs w:val="20"/>
        </w:rPr>
        <w:t xml:space="preserve">the LLC makes payments to the remediation contractor and other vendors with respect to remediation activities.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Regarding indemnitor payments, under a 1996 agreement, AT&amp;T Corp. (“AT&amp;T”) and Nokia (as the successor to Lucent Technologies and Alcatel-Luce</w:t>
      </w:r>
      <w:r>
        <w:rPr>
          <w:rFonts w:eastAsia="Times New Roman"/>
          <w:color w:val="000000"/>
          <w:sz w:val="20"/>
          <w:szCs w:val="20"/>
        </w:rPr>
        <w:t>nt USA) are responsible severally (not jointly) for indemnifying NCR for certain portions of the amounts paid by NCR for the Fox River matter over a defined threshold and subject to certain offsets for insurance recoveries and net tax benefits, if any. (Th</w:t>
      </w:r>
      <w:r>
        <w:rPr>
          <w:rFonts w:eastAsia="Times New Roman"/>
          <w:color w:val="000000"/>
          <w:sz w:val="20"/>
          <w:szCs w:val="20"/>
        </w:rPr>
        <w:t>e agreement governs certain aspects of AT&amp;T's divestiture of NCR and of what was then known as Lucent Technologies.) Those companies have made the payments requested of them by the Company on an ongoing basis.</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Kalamazoo River</w:t>
      </w:r>
      <w:r>
        <w:rPr>
          <w:rFonts w:eastAsia="Times New Roman"/>
          <w:color w:val="000000"/>
          <w:sz w:val="20"/>
          <w:szCs w:val="20"/>
        </w:rPr>
        <w:t>  In November 2010, USEPA iss</w:t>
      </w:r>
      <w:r>
        <w:rPr>
          <w:rFonts w:eastAsia="Times New Roman"/>
          <w:color w:val="000000"/>
          <w:sz w:val="20"/>
          <w:szCs w:val="20"/>
        </w:rPr>
        <w:t>ued a “general notice letter” to NCR with respect to the Allied Paper, Inc./Portage Creek/Kalamazoo River Superfund Site (“Kalamazoo River site”) in Michigan. Three other companies - International Paper, Mead Corporation, and Consumers Energy - also receiv</w:t>
      </w:r>
      <w:r>
        <w:rPr>
          <w:rFonts w:eastAsia="Times New Roman"/>
          <w:color w:val="000000"/>
          <w:sz w:val="20"/>
          <w:szCs w:val="20"/>
        </w:rPr>
        <w:t>ed general notice letters at or about the same time. USEPA asserts that the site is contaminated by various substances, primarily PCBs, as a result of discharges by various paper mills located along the river. USEPA does not claim that the Company made dir</w:t>
      </w:r>
      <w:r>
        <w:rPr>
          <w:rFonts w:eastAsia="Times New Roman"/>
          <w:color w:val="000000"/>
          <w:sz w:val="20"/>
          <w:szCs w:val="20"/>
        </w:rPr>
        <w:t xml:space="preserve">ect discharges into the Kalamazoo River, and NCR never had facilities at or near the Kalamazoo River site, but USEPA indicated that “NCR may be liable under Section 107 of CERCLA ... as an arranger, who by contract or agreement, arranged for the disposal, </w:t>
      </w:r>
      <w:r>
        <w:rPr>
          <w:rFonts w:eastAsia="Times New Roman"/>
          <w:color w:val="000000"/>
          <w:sz w:val="20"/>
          <w:szCs w:val="20"/>
        </w:rPr>
        <w:t>treatment and/or transportation of hazardous substances at the Site.” USEPA stated that it “may issue special notice letters to [NCR] and other PRPs for future RI/FS [remedial investigation / feasibility studies] and RD/RA [remedial design / remedial actio</w:t>
      </w:r>
      <w:r>
        <w:rPr>
          <w:rFonts w:eastAsia="Times New Roman"/>
          <w:color w:val="000000"/>
          <w:sz w:val="20"/>
          <w:szCs w:val="20"/>
        </w:rPr>
        <w:t>n] negotiations.”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In connection with the Kalamazoo River site, in December 2010 the Company, along with two other defendants, was sued in federal court by three GP affiliate corporations in a private-party contribution and cost recovery action for allege</w:t>
      </w:r>
      <w:r>
        <w:rPr>
          <w:rFonts w:eastAsia="Times New Roman"/>
          <w:color w:val="000000"/>
          <w:sz w:val="20"/>
          <w:szCs w:val="20"/>
        </w:rPr>
        <w:t>d pollution. The suit, pending in Michigan, asks that the Company and other defendants pay a “fair portion” of these companies’ costs. Various removal and remedial actions remain to be decided upon and performed at the Kalamazoo River site, the total costs</w:t>
      </w:r>
      <w:r>
        <w:rPr>
          <w:rFonts w:eastAsia="Times New Roman"/>
          <w:color w:val="000000"/>
          <w:sz w:val="20"/>
          <w:szCs w:val="20"/>
        </w:rPr>
        <w:t xml:space="preserve"> for which generally remain undetermined; in 2017, Records of Decisions were issued for two parts of the river, and in 2018 such a decision was issued for another part of the river, but such decisions for the majority of the work are expected to be made on</w:t>
      </w:r>
      <w:r>
        <w:rPr>
          <w:rFonts w:eastAsia="Times New Roman"/>
          <w:color w:val="000000"/>
          <w:sz w:val="20"/>
          <w:szCs w:val="20"/>
        </w:rPr>
        <w:t>ly over the next several years. The suit alleges that the Company is liable to the GP entities as an “arranger” under CERCLA. The initial phase of the case was tried in a Michigan federal court in February 2013; on September 26, 2013 the court issued a dec</w:t>
      </w:r>
      <w:r>
        <w:rPr>
          <w:rFonts w:eastAsia="Times New Roman"/>
          <w:color w:val="000000"/>
          <w:sz w:val="20"/>
          <w:szCs w:val="20"/>
        </w:rPr>
        <w:t>ision that held NCR was liable as an “arranger” as of at least March 1969. (PCB-containing carbonless copy paper was produced from approximately 1954 to April 1971, and the majority of contamination at the Kalamazoo River site had occurred prior to 1969). </w:t>
      </w:r>
      <w:r>
        <w:rPr>
          <w:rFonts w:eastAsia="Times New Roman"/>
          <w:color w:val="000000"/>
          <w:sz w:val="20"/>
          <w:szCs w:val="20"/>
        </w:rPr>
        <w:t xml:space="preserve">NCR preserved its right to appeal the September 2013 decision. </w:t>
      </w:r>
    </w:p>
    <w:p w:rsidR="00000000" w:rsidRDefault="005048A7">
      <w:pPr>
        <w:jc w:val="both"/>
        <w:rPr>
          <w:rFonts w:eastAsia="Times New Roman"/>
        </w:rPr>
      </w:pPr>
    </w:p>
    <w:p w:rsidR="00000000" w:rsidRDefault="005048A7">
      <w:pPr>
        <w:jc w:val="both"/>
        <w:divId w:val="2008047957"/>
        <w:rPr>
          <w:rFonts w:eastAsia="Times New Roman"/>
        </w:rPr>
      </w:pPr>
      <w:r>
        <w:rPr>
          <w:rFonts w:eastAsia="Times New Roman"/>
          <w:color w:val="000000"/>
          <w:sz w:val="20"/>
          <w:szCs w:val="20"/>
        </w:rPr>
        <w:t>In the 2013 decision the Court did not determine NCR’s share of the overall liability. Relative shares of liability for the four companies were tried to the court in a subsequent phase of th</w:t>
      </w:r>
      <w:r>
        <w:rPr>
          <w:rFonts w:eastAsia="Times New Roman"/>
          <w:color w:val="000000"/>
          <w:sz w:val="20"/>
          <w:szCs w:val="20"/>
        </w:rPr>
        <w:t>e case in December 2015. In a ruling issued on March 29, 2018, the court addressed responsibility for the costs that GP had incurred in the past, totaling to approximately $50 million (GP had sought approximately $105 million, but $55 million of those clai</w:t>
      </w:r>
      <w:r>
        <w:rPr>
          <w:rFonts w:eastAsia="Times New Roman"/>
          <w:color w:val="000000"/>
          <w:sz w:val="20"/>
          <w:szCs w:val="20"/>
        </w:rPr>
        <w:t>ms were removed by the court upon motions filed by the Company and other parties); NCR and GP were each assigned a 40% share of those costs, and the other two companies were assigned 15% and 5% as their allocations. The court entered a judgment in the case</w:t>
      </w:r>
      <w:r>
        <w:rPr>
          <w:rFonts w:eastAsia="Times New Roman"/>
          <w:color w:val="000000"/>
          <w:sz w:val="20"/>
          <w:szCs w:val="20"/>
        </w:rPr>
        <w:t xml:space="preserve"> on June 19, 2018, in which it indicated that it would not allocate future costs, but would enter a declaratory judgment that the four companies together had responsibility for future costs, in amounts and shares to be determined. Cross-proceedings have be</w:t>
      </w:r>
      <w:r>
        <w:rPr>
          <w:rFonts w:eastAsia="Times New Roman"/>
          <w:color w:val="000000"/>
          <w:sz w:val="20"/>
          <w:szCs w:val="20"/>
        </w:rPr>
        <w:t>en commenced to obtain recoveries from the other parties pursuant to the judgment; those proceedings were stayed pending the appeal referenced below.</w:t>
      </w:r>
    </w:p>
    <w:p w:rsidR="00000000" w:rsidRDefault="005048A7">
      <w:pPr>
        <w:jc w:val="both"/>
        <w:rPr>
          <w:rFonts w:eastAsia="Times New Roman"/>
        </w:rPr>
      </w:pPr>
      <w:r>
        <w:rPr>
          <w:rFonts w:eastAsia="Times New Roman"/>
          <w:color w:val="000000"/>
          <w:sz w:val="20"/>
          <w:szCs w:val="20"/>
        </w:rPr>
        <w:t>In July 2018, the Company appealed to the United States Court of Appeals for the Sixth Circuit both the 20</w:t>
      </w:r>
      <w:r>
        <w:rPr>
          <w:rFonts w:eastAsia="Times New Roman"/>
          <w:color w:val="000000"/>
          <w:sz w:val="20"/>
          <w:szCs w:val="20"/>
        </w:rPr>
        <w:t>13 court decision, which it believes is in conflict with a decision from the Fox River trial court as to Operable Unit 1 of that site and an affirmance of that decision from the Court of Appeals for the Seventh Circuit, and the 2018 court decision, on vari</w:t>
      </w:r>
      <w:r>
        <w:rPr>
          <w:rFonts w:eastAsia="Times New Roman"/>
          <w:color w:val="000000"/>
          <w:sz w:val="20"/>
          <w:szCs w:val="20"/>
        </w:rPr>
        <w:t xml:space="preserve">ous legal grounds. The Company filed a bond to stay any execution of the judgment pending the appeal, and its application for a stay was approved by </w:t>
      </w:r>
    </w:p>
    <w:p w:rsidR="00000000" w:rsidRDefault="005048A7">
      <w:pPr>
        <w:jc w:val="center"/>
        <w:divId w:val="574170618"/>
        <w:rPr>
          <w:rFonts w:eastAsia="Times New Roman"/>
        </w:rPr>
      </w:pPr>
      <w:r>
        <w:rPr>
          <w:rFonts w:eastAsia="Times New Roman"/>
          <w:color w:val="000000"/>
          <w:sz w:val="20"/>
          <w:szCs w:val="20"/>
        </w:rPr>
        <w:t>26</w:t>
      </w:r>
    </w:p>
    <w:p w:rsidR="00000000" w:rsidRDefault="005048A7">
      <w:pPr>
        <w:rPr>
          <w:rFonts w:eastAsia="Times New Roman"/>
        </w:rPr>
      </w:pPr>
      <w:r>
        <w:rPr>
          <w:rFonts w:eastAsia="Times New Roman"/>
        </w:rPr>
        <w:pict>
          <v:rect id="_x0000_i1051" style="width:0;height:1.5pt" o:hralign="center" o:hrstd="t" o:hr="t" fillcolor="#a0a0a0" stroked="f"/>
        </w:pict>
      </w:r>
    </w:p>
    <w:p w:rsidR="00000000" w:rsidRDefault="005048A7">
      <w:pPr>
        <w:ind w:firstLine="720"/>
        <w:divId w:val="1414932291"/>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1394622299"/>
        <w:rPr>
          <w:rFonts w:eastAsia="Times New Roman"/>
        </w:rPr>
      </w:pPr>
      <w:r>
        <w:rPr>
          <w:rFonts w:eastAsia="Times New Roman"/>
          <w:b/>
          <w:bCs/>
          <w:color w:val="000000"/>
          <w:sz w:val="20"/>
          <w:szCs w:val="20"/>
        </w:rPr>
        <w:t>NCR Corporation</w:t>
      </w:r>
    </w:p>
    <w:p w:rsidR="00000000" w:rsidRDefault="005048A7">
      <w:pPr>
        <w:jc w:val="center"/>
        <w:divId w:val="1394622299"/>
        <w:rPr>
          <w:rFonts w:eastAsia="Times New Roman"/>
        </w:rPr>
      </w:pPr>
      <w:r>
        <w:rPr>
          <w:rFonts w:eastAsia="Times New Roman"/>
          <w:b/>
          <w:bCs/>
          <w:color w:val="000000"/>
          <w:sz w:val="20"/>
          <w:szCs w:val="20"/>
        </w:rPr>
        <w:t>Notes to Condensed Consolidated Financial Statements (Unaudited)—(Continued)</w:t>
      </w:r>
    </w:p>
    <w:p w:rsidR="00000000" w:rsidRDefault="005048A7">
      <w:pPr>
        <w:jc w:val="both"/>
        <w:rPr>
          <w:rFonts w:eastAsia="Times New Roman"/>
        </w:rPr>
      </w:pPr>
      <w:r>
        <w:rPr>
          <w:rFonts w:eastAsia="Times New Roman"/>
          <w:color w:val="000000"/>
          <w:sz w:val="20"/>
          <w:szCs w:val="20"/>
        </w:rPr>
        <w:t>the court and remains stayed until the Company filed its dismissal of the appeal on December 31, 2020 pursuant to a Consent Decree, noted below.</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During the pendency of the Sixth Circuit stay, the Company negotiated a settlement of the Kalamazoo River mat</w:t>
      </w:r>
      <w:r>
        <w:rPr>
          <w:rFonts w:eastAsia="Times New Roman"/>
          <w:color w:val="000000"/>
          <w:sz w:val="20"/>
          <w:szCs w:val="20"/>
        </w:rPr>
        <w:t>ter with the USEPA and other government agencies having oversight over the river. On December 5, 2019, the Company entered into a Consent Decree, filed with the District Court on December 11, 2019, and on December 2, 2020, the District Court approved the C</w:t>
      </w:r>
      <w:r>
        <w:rPr>
          <w:rFonts w:eastAsia="Times New Roman"/>
          <w:color w:val="000000"/>
          <w:sz w:val="20"/>
          <w:szCs w:val="20"/>
        </w:rPr>
        <w:t>onsent Decree, which has now resolved all litigation associated with the river clean-up, including the Sixth Circuit appeal. The Consent Decree requires the Company to pay GP its 40% share of past costs, to pay the USEPA and state agencies their past and f</w:t>
      </w:r>
      <w:r>
        <w:rPr>
          <w:rFonts w:eastAsia="Times New Roman"/>
          <w:color w:val="000000"/>
          <w:sz w:val="20"/>
          <w:szCs w:val="20"/>
        </w:rPr>
        <w:t>uture administrative costs, and to dismiss its Sixth Circuit appeal. The Consent Decree further requires the Company to take responsibility for the remediation of a portion, but not all, of the Kalamazoo River. The Consent Decree further provides the Compa</w:t>
      </w:r>
      <w:r>
        <w:rPr>
          <w:rFonts w:eastAsia="Times New Roman"/>
          <w:color w:val="000000"/>
          <w:sz w:val="20"/>
          <w:szCs w:val="20"/>
        </w:rPr>
        <w:t>ny protection from other PRPs, including GP, seeking contribution for their costs associated with the clean-up anywhere on the river, thereby resolving the allocation of future costs left unresolved by the June 19, 2019 judgment.</w:t>
      </w:r>
    </w:p>
    <w:p w:rsidR="00000000" w:rsidRDefault="005048A7">
      <w:pPr>
        <w:jc w:val="both"/>
        <w:rPr>
          <w:rFonts w:eastAsia="Times New Roman"/>
        </w:rPr>
      </w:pPr>
    </w:p>
    <w:p w:rsidR="00000000" w:rsidRDefault="005048A7">
      <w:pPr>
        <w:jc w:val="both"/>
        <w:divId w:val="511070819"/>
        <w:rPr>
          <w:rFonts w:eastAsia="Times New Roman"/>
        </w:rPr>
      </w:pPr>
      <w:r>
        <w:rPr>
          <w:rFonts w:eastAsia="Times New Roman"/>
          <w:color w:val="000000"/>
          <w:sz w:val="20"/>
          <w:szCs w:val="20"/>
        </w:rPr>
        <w:t>NCR expects to have clai</w:t>
      </w:r>
      <w:r>
        <w:rPr>
          <w:rFonts w:eastAsia="Times New Roman"/>
          <w:color w:val="000000"/>
          <w:sz w:val="20"/>
          <w:szCs w:val="20"/>
        </w:rPr>
        <w:t xml:space="preserve">ms against BAT and API under the Funding Agreement discussed above for the Kalamazoo River remediation expenses. API filed for bankruptcy protection in October 2017, and thus payment of its potential share under the Funding Agreement for so-called “future </w:t>
      </w:r>
      <w:r>
        <w:rPr>
          <w:rFonts w:eastAsia="Times New Roman"/>
          <w:color w:val="000000"/>
          <w:sz w:val="20"/>
          <w:szCs w:val="20"/>
        </w:rPr>
        <w:t>sites,” which would include the Kalamazoo River site, may be at risk, but as liability under the Cost Sharing Agreement and the Funding Agreement is joint and several, the bankruptcy is not anticipated to affect the Company’s ability to seek that amount fr</w:t>
      </w:r>
      <w:r>
        <w:rPr>
          <w:rFonts w:eastAsia="Times New Roman"/>
          <w:color w:val="000000"/>
          <w:sz w:val="20"/>
          <w:szCs w:val="20"/>
        </w:rPr>
        <w:t>om BAT. The Company will also have indemnity or reimbursement claims against AT&amp;T and Nokia under the arrangement discussed above in connection with the Fox River matter after expenses have met a contractual threshold set out in the 1996 agreement referenc</w:t>
      </w:r>
      <w:r>
        <w:rPr>
          <w:rFonts w:eastAsia="Times New Roman"/>
          <w:color w:val="000000"/>
          <w:sz w:val="20"/>
          <w:szCs w:val="20"/>
        </w:rPr>
        <w:t xml:space="preserve">ed above in the Fox River discussion. </w:t>
      </w:r>
    </w:p>
    <w:p w:rsidR="00000000" w:rsidRDefault="005048A7">
      <w:pPr>
        <w:jc w:val="both"/>
        <w:rPr>
          <w:rFonts w:eastAsia="Times New Roman"/>
        </w:rPr>
      </w:pPr>
      <w:r>
        <w:rPr>
          <w:rFonts w:eastAsia="Times New Roman"/>
          <w:color w:val="000000"/>
          <w:sz w:val="20"/>
          <w:szCs w:val="20"/>
        </w:rPr>
        <w:t>As of June 30, 2022 and December 31, 2021, the total reserve for Kalamazoo was $95 million and $99 million, respectively. The reserve is reported on a basis that is net of expected contributions from the Company's co-</w:t>
      </w:r>
      <w:r>
        <w:rPr>
          <w:rFonts w:eastAsia="Times New Roman"/>
          <w:color w:val="000000"/>
          <w:sz w:val="20"/>
          <w:szCs w:val="20"/>
        </w:rPr>
        <w:t>obligors and indemnitors, subject to when the applicable threshold is reached. While the Company believes its co-obligors' and indemnitors' obligations are as previously reported, the reserve reflects changes in positions taken by some of those co-obligors</w:t>
      </w:r>
      <w:r>
        <w:rPr>
          <w:rFonts w:eastAsia="Times New Roman"/>
          <w:color w:val="000000"/>
          <w:sz w:val="20"/>
          <w:szCs w:val="20"/>
        </w:rPr>
        <w:t xml:space="preserve"> and indemnitors with respect to the Kalamazoo River. The contributions from its co-obligors and indemnitors are expected to range from $70 million to $150 million and the Company will continue to pursue such contribution.</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As many aspects of the costs of</w:t>
      </w:r>
      <w:r>
        <w:rPr>
          <w:rFonts w:eastAsia="Times New Roman"/>
          <w:color w:val="000000"/>
          <w:sz w:val="20"/>
          <w:szCs w:val="20"/>
        </w:rPr>
        <w:t xml:space="preserve"> remediation will not be determined for several years (and thus the high end of a range of possible costs for many areas of the site cannot be quantified at this time), the Company has made what it considers to be reasonable estimates of the low end of a r</w:t>
      </w:r>
      <w:r>
        <w:rPr>
          <w:rFonts w:eastAsia="Times New Roman"/>
          <w:color w:val="000000"/>
          <w:sz w:val="20"/>
          <w:szCs w:val="20"/>
        </w:rPr>
        <w:t>ange for such costs where remedies are identified, and/or of the costs of investigations and studies for areas of the river where remedies have not yet been determined, and the reserve is informed by those estimates. The extent of NCR’s potential liability</w:t>
      </w:r>
      <w:r>
        <w:rPr>
          <w:rFonts w:eastAsia="Times New Roman"/>
          <w:color w:val="000000"/>
          <w:sz w:val="20"/>
          <w:szCs w:val="20"/>
        </w:rPr>
        <w:t xml:space="preserve"> remains subject to many uncertainties, notwithstanding the settlement of this matter and related Consent Decree noted above, particularly in as much as remedy decisions and cost estimates will not be generated until times in the future and as most of the </w:t>
      </w:r>
      <w:r>
        <w:rPr>
          <w:rFonts w:eastAsia="Times New Roman"/>
          <w:color w:val="000000"/>
          <w:sz w:val="20"/>
          <w:szCs w:val="20"/>
        </w:rPr>
        <w:t xml:space="preserve">work to be performed will take place through the 2030s. Under other assumptions or estimates for possible costs of remediation, which the Company does not at this point consider to be reasonably estimable or verifiable, it is possible that the reserve the </w:t>
      </w:r>
      <w:r>
        <w:rPr>
          <w:rFonts w:eastAsia="Times New Roman"/>
          <w:color w:val="000000"/>
          <w:sz w:val="20"/>
          <w:szCs w:val="20"/>
        </w:rPr>
        <w:t xml:space="preserve">Company has taken to discontinued operations reflected in this paragraph could more than approximately double the reflected reserve. </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Ebina</w:t>
      </w:r>
      <w:r>
        <w:rPr>
          <w:rFonts w:eastAsia="Times New Roman"/>
          <w:color w:val="000000"/>
          <w:sz w:val="20"/>
          <w:szCs w:val="20"/>
        </w:rPr>
        <w:t xml:space="preserve"> The Company is engaged in cooperative regulatory compliance activities with the government of Japan in connection </w:t>
      </w:r>
      <w:r>
        <w:rPr>
          <w:rFonts w:eastAsia="Times New Roman"/>
          <w:color w:val="000000"/>
          <w:sz w:val="20"/>
          <w:szCs w:val="20"/>
        </w:rPr>
        <w:t xml:space="preserve">with certain environmental contaminants generated in its past operations in that country. The Company has quantities of PCB and other wastes primarily from its former plant at Oiso, Japan, including capsulated undiluted solutions manufactured in the past, </w:t>
      </w:r>
      <w:r>
        <w:rPr>
          <w:rFonts w:eastAsia="Times New Roman"/>
          <w:color w:val="000000"/>
          <w:sz w:val="20"/>
          <w:szCs w:val="20"/>
        </w:rPr>
        <w:t>capacitors, light ballasts and PCB-affected soil from the Oiso plant that was excavated and placed in steel drums. These wastes are stored in a facility at Ebina, Japan in accordance with Japanese regulations governing such materials. Over the past several</w:t>
      </w:r>
      <w:r>
        <w:rPr>
          <w:rFonts w:eastAsia="Times New Roman"/>
          <w:color w:val="000000"/>
          <w:sz w:val="20"/>
          <w:szCs w:val="20"/>
        </w:rPr>
        <w:t xml:space="preserve"> years Japan has enacted and amended legislation governing such wastes, and has set a current deadline for treating and disposing of (at government-constructed disposal facilities) the highest-concentration wastes by 2027. Lower-concentration wastes can be</w:t>
      </w:r>
      <w:r>
        <w:rPr>
          <w:rFonts w:eastAsia="Times New Roman"/>
          <w:color w:val="000000"/>
          <w:sz w:val="20"/>
          <w:szCs w:val="20"/>
        </w:rPr>
        <w:t xml:space="preserve"> and have been disposed of via private contractors, and as of June 30, 2022, NCR had disposed of approximately 68% of its lower-concentration wastes and approximately 51% of its higher-concentration wastes.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 Company and its consultants have met and c</w:t>
      </w:r>
      <w:r>
        <w:rPr>
          <w:rFonts w:eastAsia="Times New Roman"/>
          <w:color w:val="000000"/>
          <w:sz w:val="20"/>
          <w:szCs w:val="20"/>
        </w:rPr>
        <w:t>ommunicated regularly with the Japanese agency charged with administration of the law, and are working with that agency on a program to manage disposal of the high-concentration wastes, including tests of technologies to make the disposal more efficient. T</w:t>
      </w:r>
      <w:r>
        <w:rPr>
          <w:rFonts w:eastAsia="Times New Roman"/>
          <w:color w:val="000000"/>
          <w:sz w:val="20"/>
          <w:szCs w:val="20"/>
        </w:rPr>
        <w:t>he government has given its final approvals, and the Company started to dispose of the high-concentration wastes in 2021, with final deadlines for various of the government-constructed disposal sites currently set for 2022, 2023 and later. Low-concentratio</w:t>
      </w:r>
      <w:r>
        <w:rPr>
          <w:rFonts w:eastAsia="Times New Roman"/>
          <w:color w:val="000000"/>
          <w:sz w:val="20"/>
          <w:szCs w:val="20"/>
        </w:rPr>
        <w:t>n wastes are required to be contracted for disposal by 2027, a timetable that the Company expects to meet. In September 2019, the Company’s environmental consultants, following a series of communications and meetings with the Japanese agency, at the Compan</w:t>
      </w:r>
      <w:r>
        <w:rPr>
          <w:rFonts w:eastAsia="Times New Roman"/>
          <w:color w:val="000000"/>
          <w:sz w:val="20"/>
          <w:szCs w:val="20"/>
        </w:rPr>
        <w:t xml:space="preserve">y’s request prepared an estimate of remaining disposal costs over the coming several years. While the estimate is subject to a range of assumptions and uncertainties, including </w:t>
      </w:r>
    </w:p>
    <w:p w:rsidR="00000000" w:rsidRDefault="005048A7">
      <w:pPr>
        <w:jc w:val="center"/>
        <w:divId w:val="852959376"/>
        <w:rPr>
          <w:rFonts w:eastAsia="Times New Roman"/>
        </w:rPr>
      </w:pPr>
      <w:r>
        <w:rPr>
          <w:rFonts w:eastAsia="Times New Roman"/>
          <w:color w:val="000000"/>
          <w:sz w:val="20"/>
          <w:szCs w:val="20"/>
        </w:rPr>
        <w:t>27</w:t>
      </w:r>
    </w:p>
    <w:p w:rsidR="00000000" w:rsidRDefault="005048A7">
      <w:pPr>
        <w:rPr>
          <w:rFonts w:eastAsia="Times New Roman"/>
        </w:rPr>
      </w:pPr>
      <w:r>
        <w:rPr>
          <w:rFonts w:eastAsia="Times New Roman"/>
        </w:rPr>
        <w:pict>
          <v:rect id="_x0000_i1052" style="width:0;height:1.5pt" o:hralign="center" o:hrstd="t" o:hr="t" fillcolor="#a0a0a0" stroked="f"/>
        </w:pict>
      </w:r>
    </w:p>
    <w:p w:rsidR="00000000" w:rsidRDefault="005048A7">
      <w:pPr>
        <w:ind w:firstLine="720"/>
        <w:divId w:val="307783967"/>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1633052960"/>
        <w:rPr>
          <w:rFonts w:eastAsia="Times New Roman"/>
        </w:rPr>
      </w:pPr>
      <w:r>
        <w:rPr>
          <w:rFonts w:eastAsia="Times New Roman"/>
          <w:b/>
          <w:bCs/>
          <w:color w:val="000000"/>
          <w:sz w:val="20"/>
          <w:szCs w:val="20"/>
        </w:rPr>
        <w:t>NCR Corporation</w:t>
      </w:r>
    </w:p>
    <w:p w:rsidR="00000000" w:rsidRDefault="005048A7">
      <w:pPr>
        <w:jc w:val="center"/>
        <w:divId w:val="1633052960"/>
        <w:rPr>
          <w:rFonts w:eastAsia="Times New Roman"/>
        </w:rPr>
      </w:pPr>
      <w:r>
        <w:rPr>
          <w:rFonts w:eastAsia="Times New Roman"/>
          <w:b/>
          <w:bCs/>
          <w:color w:val="000000"/>
          <w:sz w:val="20"/>
          <w:szCs w:val="20"/>
        </w:rPr>
        <w:t>Notes to Condensed Consolidated Financial Statements (Unaudited)—(Continued)</w:t>
      </w:r>
    </w:p>
    <w:p w:rsidR="00000000" w:rsidRDefault="005048A7">
      <w:pPr>
        <w:jc w:val="both"/>
        <w:rPr>
          <w:rFonts w:eastAsia="Times New Roman"/>
        </w:rPr>
      </w:pPr>
      <w:r>
        <w:rPr>
          <w:rFonts w:eastAsia="Times New Roman"/>
          <w:color w:val="000000"/>
          <w:sz w:val="20"/>
          <w:szCs w:val="20"/>
        </w:rPr>
        <w:t>prospects of cost reduction in coordination with the agency as certain field testing to separate high-concentration and low-co</w:t>
      </w:r>
      <w:r>
        <w:rPr>
          <w:rFonts w:eastAsia="Times New Roman"/>
          <w:color w:val="000000"/>
          <w:sz w:val="20"/>
          <w:szCs w:val="20"/>
        </w:rPr>
        <w:t>ncentration waste progresses over the coming years, the Company adjusted its existing reserve for the matter to take into account this cost estimate. The reserve as of June 30, 2022 and December 31, 2021 is $12 million and $16 million, respectively. The Ja</w:t>
      </w:r>
      <w:r>
        <w:rPr>
          <w:rFonts w:eastAsia="Times New Roman"/>
          <w:color w:val="000000"/>
          <w:sz w:val="20"/>
          <w:szCs w:val="20"/>
        </w:rPr>
        <w:t>pan environmental waste issue is treated as a compliance matter and not as litigation or enforcement, and the Company has received no threats of litigation or enforcement.</w:t>
      </w:r>
    </w:p>
    <w:p w:rsidR="00000000" w:rsidRDefault="005048A7">
      <w:pPr>
        <w:divId w:val="269315731"/>
        <w:rPr>
          <w:rFonts w:eastAsia="Times New Roman"/>
        </w:rPr>
      </w:pPr>
    </w:p>
    <w:p w:rsidR="00000000" w:rsidRDefault="005048A7">
      <w:pPr>
        <w:jc w:val="both"/>
        <w:rPr>
          <w:rFonts w:eastAsia="Times New Roman"/>
        </w:rPr>
      </w:pPr>
      <w:r>
        <w:rPr>
          <w:rFonts w:eastAsia="Times New Roman"/>
          <w:i/>
          <w:iCs/>
          <w:color w:val="000000"/>
          <w:sz w:val="20"/>
          <w:szCs w:val="20"/>
        </w:rPr>
        <w:t>Environmental-Related Insurance Recoveries</w:t>
      </w:r>
      <w:r>
        <w:rPr>
          <w:rFonts w:eastAsia="Times New Roman"/>
          <w:color w:val="000000"/>
          <w:sz w:val="20"/>
          <w:szCs w:val="20"/>
        </w:rPr>
        <w:t xml:space="preserve"> In connection with the Fox River and ot</w:t>
      </w:r>
      <w:r>
        <w:rPr>
          <w:rFonts w:eastAsia="Times New Roman"/>
          <w:color w:val="000000"/>
          <w:sz w:val="20"/>
          <w:szCs w:val="20"/>
        </w:rPr>
        <w:t>her environmental sites, through June 30, 2022, NCR has received a combined gross total of approximately $211 million in settlements reached with various of its insurance carriers. Portions of many of these settlements agreed in the 2010 through 2013 timef</w:t>
      </w:r>
      <w:r>
        <w:rPr>
          <w:rFonts w:eastAsia="Times New Roman"/>
          <w:color w:val="000000"/>
          <w:sz w:val="20"/>
          <w:szCs w:val="20"/>
        </w:rPr>
        <w:t>rame are payable to a law firm that litigated the claims on the Company's behalf. Some of the settlements cover not only the Fox River but also other environmental sites; some are limited to either the Fox River or the Kalamazoo River site. Some of the set</w:t>
      </w:r>
      <w:r>
        <w:rPr>
          <w:rFonts w:eastAsia="Times New Roman"/>
          <w:color w:val="000000"/>
          <w:sz w:val="20"/>
          <w:szCs w:val="20"/>
        </w:rPr>
        <w:t>tlements are directed to defense costs and some are directed to indemnity; some settlements cover both defense costs and indemnity. The Company does not anticipate that further material insurance recoveries specific to Kalamazoo River remediation costs wil</w:t>
      </w:r>
      <w:r>
        <w:rPr>
          <w:rFonts w:eastAsia="Times New Roman"/>
          <w:color w:val="000000"/>
          <w:sz w:val="20"/>
          <w:szCs w:val="20"/>
        </w:rPr>
        <w:t>l be available to it, but is currently in settlement discussions with certain carriers over amounts potentially owed to the Company. In December 2021, the Company recovered approximately $3 million as a result of those discussions and, in the second quarte</w:t>
      </w:r>
      <w:r>
        <w:rPr>
          <w:rFonts w:eastAsia="Times New Roman"/>
          <w:color w:val="000000"/>
          <w:sz w:val="20"/>
          <w:szCs w:val="20"/>
        </w:rPr>
        <w:t>r of 2022, recovered an additional $6 million. Settlement discussions are continuing with the sole remaining carrier. Claims with respect to Kalamazoo River defense costs have now been settled, with the amounts of those settlements included in the sum repo</w:t>
      </w:r>
      <w:r>
        <w:rPr>
          <w:rFonts w:eastAsia="Times New Roman"/>
          <w:color w:val="000000"/>
          <w:sz w:val="20"/>
          <w:szCs w:val="20"/>
        </w:rPr>
        <w:t xml:space="preserve">rted above. </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Environmental Remediation Estimates</w:t>
      </w:r>
      <w:r>
        <w:rPr>
          <w:rFonts w:eastAsia="Times New Roman"/>
          <w:color w:val="000000"/>
          <w:sz w:val="20"/>
          <w:szCs w:val="20"/>
        </w:rPr>
        <w:t> It is difficult to estimate the future financial impact of environmental laws, including potential liabilities. NCR records environmental provisions when it is probable that a liability has been incurred a</w:t>
      </w:r>
      <w:r>
        <w:rPr>
          <w:rFonts w:eastAsia="Times New Roman"/>
          <w:color w:val="000000"/>
          <w:sz w:val="20"/>
          <w:szCs w:val="20"/>
        </w:rPr>
        <w:t>nd the amount or range of the liability is reasonably estimable; in accordance with accounting guidance, where liabilities are not expected to be quantifiable or estimable for a period of years, the estimated costs of investigating those liabilities are re</w:t>
      </w:r>
      <w:r>
        <w:rPr>
          <w:rFonts w:eastAsia="Times New Roman"/>
          <w:color w:val="000000"/>
          <w:sz w:val="20"/>
          <w:szCs w:val="20"/>
        </w:rPr>
        <w:t>corded as a component of the reserve for that particular site. Provisions for estimated losses from environmental restoration and remediation are, depending on the site, based generally on internal and third-party environmental studies, estimates as to the</w:t>
      </w:r>
      <w:r>
        <w:rPr>
          <w:rFonts w:eastAsia="Times New Roman"/>
          <w:color w:val="000000"/>
          <w:sz w:val="20"/>
          <w:szCs w:val="20"/>
        </w:rPr>
        <w:t xml:space="preserve"> number and participation level of other PRPs, the extent of contamination, estimated amounts for attorney and other fees, and the nature of required clean-up and restoration actions. Reserves are adjusted as further information develops or circumstances c</w:t>
      </w:r>
      <w:r>
        <w:rPr>
          <w:rFonts w:eastAsia="Times New Roman"/>
          <w:color w:val="000000"/>
          <w:sz w:val="20"/>
          <w:szCs w:val="20"/>
        </w:rPr>
        <w:t>hange. Management expects that the amounts reserved from time to time will be paid out over the period of investigation, negotiation, remediation and restoration for the applicable sites. The amounts provided for environmental matters in NCR's Condensed Co</w:t>
      </w:r>
      <w:r>
        <w:rPr>
          <w:rFonts w:eastAsia="Times New Roman"/>
          <w:color w:val="000000"/>
          <w:sz w:val="20"/>
          <w:szCs w:val="20"/>
        </w:rPr>
        <w:t>nsolidated Financial Statements are the estimated gross undiscounted amounts of such liabilities, without deductions for indemnity insurance, third-party indemnity claims or recoveries from other PRPs, except as qualified in the following sentences. In tho</w:t>
      </w:r>
      <w:r>
        <w:rPr>
          <w:rFonts w:eastAsia="Times New Roman"/>
          <w:color w:val="000000"/>
          <w:sz w:val="20"/>
          <w:szCs w:val="20"/>
        </w:rPr>
        <w:t>se cases where insurance carriers or third-party indemnitors have agreed to pay any amounts and management believes that collectability of such amounts is probable, the amounts are recorded in the Condensed Consolidated Financial Statements. For the Fox Ri</w:t>
      </w:r>
      <w:r>
        <w:rPr>
          <w:rFonts w:eastAsia="Times New Roman"/>
          <w:color w:val="000000"/>
          <w:sz w:val="20"/>
          <w:szCs w:val="20"/>
        </w:rPr>
        <w:t xml:space="preserve">ver and Kalamazoo River sites, as described above, assets relating to the AT&amp;T and Nokia indemnities and to the BAT obligations are recorded as payment is supported by contractual agreements, public filings and/or payment history. </w:t>
      </w:r>
    </w:p>
    <w:p w:rsidR="00000000" w:rsidRDefault="005048A7">
      <w:pPr>
        <w:jc w:val="both"/>
        <w:rPr>
          <w:rFonts w:eastAsia="Times New Roman"/>
        </w:rPr>
      </w:pPr>
    </w:p>
    <w:p w:rsidR="00000000" w:rsidRDefault="005048A7">
      <w:pPr>
        <w:jc w:val="both"/>
        <w:rPr>
          <w:rFonts w:eastAsia="Times New Roman"/>
        </w:rPr>
      </w:pPr>
      <w:r>
        <w:rPr>
          <w:rFonts w:eastAsia="Times New Roman"/>
          <w:b/>
          <w:bCs/>
          <w:color w:val="000000"/>
          <w:sz w:val="20"/>
          <w:szCs w:val="20"/>
        </w:rPr>
        <w:t>Guarantees and Product</w:t>
      </w:r>
      <w:r>
        <w:rPr>
          <w:rFonts w:eastAsia="Times New Roman"/>
          <w:b/>
          <w:bCs/>
          <w:color w:val="000000"/>
          <w:sz w:val="20"/>
          <w:szCs w:val="20"/>
        </w:rPr>
        <w:t xml:space="preserve"> Warranties</w:t>
      </w:r>
      <w:r>
        <w:rPr>
          <w:rFonts w:eastAsia="Times New Roman"/>
          <w:color w:val="000000"/>
          <w:sz w:val="20"/>
          <w:szCs w:val="20"/>
        </w:rPr>
        <w:t xml:space="preserve"> In the ordinary course of business, NCR may issue performance guarantees on behalf of its subsidiaries to certain of its customers and other parties. Some of those guarantees may be backed by standby letters of credit, surety bonds, or similar </w:t>
      </w:r>
      <w:r>
        <w:rPr>
          <w:rFonts w:eastAsia="Times New Roman"/>
          <w:color w:val="000000"/>
          <w:sz w:val="20"/>
          <w:szCs w:val="20"/>
        </w:rPr>
        <w:t>instruments. In general, under the guarantees, NCR would be obligated to perform, or cause performance, over the term of the underlying contract in the event of an unexcused, uncured breach by its subsidiary, or some other specified triggering event, in ea</w:t>
      </w:r>
      <w:r>
        <w:rPr>
          <w:rFonts w:eastAsia="Times New Roman"/>
          <w:color w:val="000000"/>
          <w:sz w:val="20"/>
          <w:szCs w:val="20"/>
        </w:rPr>
        <w:t>ch case as defined by the applicable guarantee. NCR believes the likelihood of having to perform under any such guarantee is remote. As of June 30, 2022 and December 31, 2021, NCR had no material obligations related to such guarantees, and therefore its Co</w:t>
      </w:r>
      <w:r>
        <w:rPr>
          <w:rFonts w:eastAsia="Times New Roman"/>
          <w:color w:val="000000"/>
          <w:sz w:val="20"/>
          <w:szCs w:val="20"/>
        </w:rPr>
        <w:t>ndensed Consolidated Financial Statements do not have any associated liability balance.</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NCR provides its customers a standard manufacturer’</w:t>
      </w:r>
      <w:r>
        <w:rPr>
          <w:rFonts w:eastAsia="Times New Roman"/>
          <w:color w:val="000000"/>
          <w:sz w:val="20"/>
          <w:szCs w:val="20"/>
        </w:rPr>
        <w:t>s warranty and records, at the time of the sale, a corresponding estimated liability for potential warranty costs. Estimated future obligations due to warranty claims are based upon historical factors, such as labor rates, average repair time, travel time,</w:t>
      </w:r>
      <w:r>
        <w:rPr>
          <w:rFonts w:eastAsia="Times New Roman"/>
          <w:color w:val="000000"/>
          <w:sz w:val="20"/>
          <w:szCs w:val="20"/>
        </w:rPr>
        <w:t xml:space="preserve"> number of service calls per machine and cost of replacement parts. When a sale is consummated, the total customer revenue is recognized, provided that all revenue recognition criteria are otherwise satisfied, and the associated warranty liability is recor</w:t>
      </w:r>
      <w:r>
        <w:rPr>
          <w:rFonts w:eastAsia="Times New Roman"/>
          <w:color w:val="000000"/>
          <w:sz w:val="20"/>
          <w:szCs w:val="20"/>
        </w:rPr>
        <w:t xml:space="preserve">ded using pre-established warranty percentages for the respective product classes.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From time to time, product design or quality corrections are accomplished through modification programs. When identified, associated costs of labor and parts for such pro</w:t>
      </w:r>
      <w:r>
        <w:rPr>
          <w:rFonts w:eastAsia="Times New Roman"/>
          <w:color w:val="000000"/>
          <w:sz w:val="20"/>
          <w:szCs w:val="20"/>
        </w:rPr>
        <w:t>grams are estimated and accrued as part of the warranty reserve.</w:t>
      </w:r>
    </w:p>
    <w:p w:rsidR="00000000" w:rsidRDefault="005048A7">
      <w:pPr>
        <w:jc w:val="both"/>
        <w:rPr>
          <w:rFonts w:eastAsia="Times New Roman"/>
        </w:rPr>
      </w:pPr>
    </w:p>
    <w:p w:rsidR="00000000" w:rsidRDefault="005048A7">
      <w:pPr>
        <w:jc w:val="both"/>
        <w:rPr>
          <w:rFonts w:eastAsia="Times New Roman"/>
        </w:rPr>
      </w:pPr>
    </w:p>
    <w:p w:rsidR="00000000" w:rsidRDefault="005048A7">
      <w:pPr>
        <w:divId w:val="405229928"/>
        <w:rPr>
          <w:rFonts w:eastAsia="Times New Roman"/>
        </w:rPr>
      </w:pPr>
    </w:p>
    <w:p w:rsidR="00000000" w:rsidRDefault="005048A7">
      <w:pPr>
        <w:jc w:val="center"/>
        <w:divId w:val="369653616"/>
        <w:rPr>
          <w:rFonts w:eastAsia="Times New Roman"/>
        </w:rPr>
      </w:pPr>
      <w:r>
        <w:rPr>
          <w:rFonts w:eastAsia="Times New Roman"/>
          <w:color w:val="000000"/>
          <w:sz w:val="20"/>
          <w:szCs w:val="20"/>
        </w:rPr>
        <w:t>28</w:t>
      </w:r>
    </w:p>
    <w:p w:rsidR="00000000" w:rsidRDefault="005048A7">
      <w:pPr>
        <w:rPr>
          <w:rFonts w:eastAsia="Times New Roman"/>
        </w:rPr>
      </w:pPr>
      <w:r>
        <w:rPr>
          <w:rFonts w:eastAsia="Times New Roman"/>
        </w:rPr>
        <w:pict>
          <v:rect id="_x0000_i1053" style="width:0;height:1.5pt" o:hralign="center" o:hrstd="t" o:hr="t" fillcolor="#a0a0a0" stroked="f"/>
        </w:pict>
      </w:r>
    </w:p>
    <w:p w:rsidR="00000000" w:rsidRDefault="005048A7">
      <w:pPr>
        <w:ind w:firstLine="720"/>
        <w:divId w:val="1238782920"/>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1061176867"/>
        <w:rPr>
          <w:rFonts w:eastAsia="Times New Roman"/>
        </w:rPr>
      </w:pPr>
      <w:r>
        <w:rPr>
          <w:rFonts w:eastAsia="Times New Roman"/>
          <w:b/>
          <w:bCs/>
          <w:color w:val="000000"/>
          <w:sz w:val="20"/>
          <w:szCs w:val="20"/>
        </w:rPr>
        <w:t>NCR Corporation</w:t>
      </w:r>
    </w:p>
    <w:p w:rsidR="00000000" w:rsidRDefault="005048A7">
      <w:pPr>
        <w:jc w:val="center"/>
        <w:divId w:val="1061176867"/>
        <w:rPr>
          <w:rFonts w:eastAsia="Times New Roman"/>
        </w:rPr>
      </w:pPr>
      <w:r>
        <w:rPr>
          <w:rFonts w:eastAsia="Times New Roman"/>
          <w:b/>
          <w:bCs/>
          <w:color w:val="000000"/>
          <w:sz w:val="20"/>
          <w:szCs w:val="20"/>
        </w:rPr>
        <w:t>Notes to Condensed Consolidated Financial Statements (U</w:t>
      </w:r>
      <w:r>
        <w:rPr>
          <w:rFonts w:eastAsia="Times New Roman"/>
          <w:b/>
          <w:bCs/>
          <w:color w:val="000000"/>
          <w:sz w:val="20"/>
          <w:szCs w:val="20"/>
        </w:rPr>
        <w:t>naudited)—(Continued)</w:t>
      </w:r>
    </w:p>
    <w:p w:rsidR="00000000" w:rsidRDefault="005048A7">
      <w:pPr>
        <w:divId w:val="1498838764"/>
        <w:rPr>
          <w:rFonts w:eastAsia="Times New Roman"/>
        </w:rPr>
      </w:pPr>
      <w:r>
        <w:rPr>
          <w:rFonts w:eastAsia="Times New Roman"/>
          <w:color w:val="000000"/>
          <w:sz w:val="20"/>
          <w:szCs w:val="20"/>
        </w:rPr>
        <w:t>The Company recorded the activity related to the warranty reserve for the six months ended June 30 as follows: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757"/>
        <w:gridCol w:w="37"/>
        <w:gridCol w:w="120"/>
        <w:gridCol w:w="1031"/>
        <w:gridCol w:w="36"/>
        <w:gridCol w:w="36"/>
        <w:gridCol w:w="36"/>
        <w:gridCol w:w="36"/>
        <w:gridCol w:w="120"/>
        <w:gridCol w:w="996"/>
        <w:gridCol w:w="36"/>
      </w:tblGrid>
      <w:tr w:rsidR="00000000">
        <w:trPr>
          <w:divId w:val="2055688037"/>
          <w:jc w:val="center"/>
        </w:trPr>
        <w:tc>
          <w:tcPr>
            <w:tcW w:w="50" w:type="pct"/>
            <w:vAlign w:val="center"/>
            <w:hideMark/>
          </w:tcPr>
          <w:p w:rsidR="00000000" w:rsidRDefault="005048A7">
            <w:pPr>
              <w:rPr>
                <w:rFonts w:eastAsia="Times New Roman"/>
              </w:rPr>
            </w:pPr>
          </w:p>
        </w:tc>
        <w:tc>
          <w:tcPr>
            <w:tcW w:w="350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4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4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2055688037"/>
          <w:jc w:val="center"/>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r>
      <w:tr w:rsidR="00000000">
        <w:trPr>
          <w:divId w:val="2055688037"/>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Warranty reserve liability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55688037"/>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Beginning balance as of January 1</w:t>
            </w: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055688037"/>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Accruals for warranties issued</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055688037"/>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Settlements (in cash or in kind)</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055688037"/>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 xml:space="preserve">Ending balance as of June 30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divId w:val="24795189"/>
        <w:rPr>
          <w:rFonts w:eastAsia="Times New Roman"/>
        </w:rPr>
      </w:pPr>
      <w:r>
        <w:rPr>
          <w:rFonts w:eastAsia="Times New Roman"/>
          <w:color w:val="000000"/>
          <w:sz w:val="16"/>
          <w:szCs w:val="16"/>
        </w:rPr>
        <w:t> </w:t>
      </w:r>
    </w:p>
    <w:p w:rsidR="00000000" w:rsidRDefault="005048A7">
      <w:pPr>
        <w:jc w:val="both"/>
        <w:rPr>
          <w:rFonts w:eastAsia="Times New Roman"/>
        </w:rPr>
      </w:pPr>
      <w:r>
        <w:rPr>
          <w:rFonts w:eastAsia="Times New Roman"/>
          <w:color w:val="000000"/>
          <w:sz w:val="20"/>
          <w:szCs w:val="20"/>
        </w:rPr>
        <w:t>In addition, NCR provides its customers with certain indemnification rights. In general, NCR agrees to indemnify the customer if a third-party asserts patent or other infringement on the part of its customers for its use of the Company’s products subject t</w:t>
      </w:r>
      <w:r>
        <w:rPr>
          <w:rFonts w:eastAsia="Times New Roman"/>
          <w:color w:val="000000"/>
          <w:sz w:val="20"/>
          <w:szCs w:val="20"/>
        </w:rPr>
        <w:t xml:space="preserve">o certain conditions that are generally standard within the Company’s industries. On limited occasions the Company will undertake additional indemnification obligations for business reasons. From time to time, NCR also enters into agreements in connection </w:t>
      </w:r>
      <w:r>
        <w:rPr>
          <w:rFonts w:eastAsia="Times New Roman"/>
          <w:color w:val="000000"/>
          <w:sz w:val="20"/>
          <w:szCs w:val="20"/>
        </w:rPr>
        <w:t>with its acquisition and divestiture activities that include indemnification obligations by the Company. The fair value of these indemnification obligations is not readily determinable due to the conditional nature of the Company’s potential obligations an</w:t>
      </w:r>
      <w:r>
        <w:rPr>
          <w:rFonts w:eastAsia="Times New Roman"/>
          <w:color w:val="000000"/>
          <w:sz w:val="20"/>
          <w:szCs w:val="20"/>
        </w:rPr>
        <w:t>d the specific facts and circumstances involved with each particular agreement. The Company has not recorded a liability in connection with these indemnifications, and no current indemnification instance is material to the Company’s financial position. His</w:t>
      </w:r>
      <w:r>
        <w:rPr>
          <w:rFonts w:eastAsia="Times New Roman"/>
          <w:color w:val="000000"/>
          <w:sz w:val="20"/>
          <w:szCs w:val="20"/>
        </w:rPr>
        <w:t>torically, payments made by the Company under these types of agreements have not had a material effect on the Company’s condensed consolidated financial condition, results of operations or cash flows.</w:t>
      </w:r>
    </w:p>
    <w:p w:rsidR="00000000" w:rsidRDefault="005048A7">
      <w:pPr>
        <w:jc w:val="both"/>
        <w:rPr>
          <w:rFonts w:eastAsia="Times New Roman"/>
        </w:rPr>
      </w:pPr>
    </w:p>
    <w:p w:rsidR="00000000" w:rsidRDefault="005048A7">
      <w:pPr>
        <w:jc w:val="both"/>
        <w:rPr>
          <w:rFonts w:eastAsia="Times New Roman"/>
        </w:rPr>
      </w:pPr>
      <w:r>
        <w:rPr>
          <w:rFonts w:eastAsia="Times New Roman"/>
          <w:b/>
          <w:bCs/>
          <w:color w:val="000000"/>
          <w:sz w:val="20"/>
          <w:szCs w:val="20"/>
        </w:rPr>
        <w:t>Purchase Commitments</w:t>
      </w:r>
      <w:r>
        <w:rPr>
          <w:rFonts w:eastAsia="Times New Roman"/>
          <w:color w:val="000000"/>
          <w:sz w:val="20"/>
          <w:szCs w:val="20"/>
        </w:rPr>
        <w:t xml:space="preserve"> </w:t>
      </w:r>
      <w:r>
        <w:rPr>
          <w:rFonts w:eastAsia="Times New Roman"/>
          <w:color w:val="000000"/>
          <w:sz w:val="20"/>
          <w:szCs w:val="20"/>
        </w:rPr>
        <w:t>The Company has purchase commitments for materials, supplies, services, and property, plant and equipment as part of the normal course of business. This includes a long-term service agreement with Accenture, under which many of NCR's key transaction proces</w:t>
      </w:r>
      <w:r>
        <w:rPr>
          <w:rFonts w:eastAsia="Times New Roman"/>
          <w:color w:val="000000"/>
          <w:sz w:val="20"/>
          <w:szCs w:val="20"/>
        </w:rPr>
        <w:t xml:space="preserve">sing activities and functions are performed. </w:t>
      </w:r>
    </w:p>
    <w:p w:rsidR="00000000" w:rsidRDefault="005048A7">
      <w:pPr>
        <w:jc w:val="both"/>
        <w:rPr>
          <w:rFonts w:eastAsia="Times New Roman"/>
        </w:rPr>
      </w:pPr>
    </w:p>
    <w:p w:rsidR="00000000" w:rsidRDefault="005048A7">
      <w:pPr>
        <w:divId w:val="2140150863"/>
        <w:rPr>
          <w:rFonts w:eastAsia="Times New Roman"/>
        </w:rPr>
      </w:pPr>
      <w:r>
        <w:rPr>
          <w:rFonts w:eastAsia="Times New Roman"/>
          <w:b/>
          <w:bCs/>
          <w:color w:val="54B948"/>
          <w:sz w:val="20"/>
          <w:szCs w:val="20"/>
        </w:rPr>
        <w:t>11. SERIES A CONVERTIBLE PREFERRED STOCK</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Holders of Series A Convertible Preferred Stock are entitled to a cumulative dividend at the rate of 5.5% per annum, payable quarterly in arrears. Beginning in the f</w:t>
      </w:r>
      <w:r>
        <w:rPr>
          <w:rFonts w:eastAsia="Times New Roman"/>
          <w:color w:val="000000"/>
          <w:sz w:val="20"/>
          <w:szCs w:val="20"/>
        </w:rPr>
        <w:t>irst quarter of 2020, dividends are payable in cash or in-kind at the option of the Company. If the Company does not declare and pay a dividend, the dividend rate will increase to 8.0% per annum until all accrued but unpaid dividends have been paid in full</w:t>
      </w:r>
      <w:r>
        <w:rPr>
          <w:rFonts w:eastAsia="Times New Roman"/>
          <w:color w:val="000000"/>
          <w:sz w:val="20"/>
          <w:szCs w:val="20"/>
        </w:rPr>
        <w:t>.</w:t>
      </w:r>
      <w:r>
        <w:rPr>
          <w:rFonts w:eastAsia="Times New Roman"/>
          <w:color w:val="000000"/>
          <w:sz w:val="20"/>
          <w:szCs w:val="20"/>
          <w:shd w:val="clear" w:color="auto" w:fill="FFFFFF"/>
        </w:rPr>
        <w:t xml:space="preserve"> During the three months ended June 30, 2022 and 2021, the Company paid cash dividends of $4 million</w:t>
      </w:r>
      <w:r>
        <w:rPr>
          <w:rFonts w:eastAsia="Times New Roman"/>
          <w:color w:val="000000"/>
          <w:sz w:val="20"/>
          <w:szCs w:val="20"/>
        </w:rPr>
        <w:t xml:space="preserve">. During the six months ended </w:t>
      </w:r>
      <w:r>
        <w:rPr>
          <w:rFonts w:eastAsia="Times New Roman"/>
          <w:color w:val="000000"/>
          <w:sz w:val="20"/>
          <w:szCs w:val="20"/>
          <w:shd w:val="clear" w:color="auto" w:fill="FFFFFF"/>
        </w:rPr>
        <w:t>June 30, 2022 and 2021, the Company paid cash dividends of $8 million.</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 xml:space="preserve">The Series A Convertible Preferred Stock is convertible at the option of the holders at any time into shares of common stock at a conversion price of $30.00 per share, or a conversion rate of 33.333 shares of common stock per share of Series A Convertible </w:t>
      </w:r>
      <w:r>
        <w:rPr>
          <w:rFonts w:eastAsia="Times New Roman"/>
          <w:color w:val="000000"/>
          <w:sz w:val="20"/>
          <w:szCs w:val="20"/>
        </w:rPr>
        <w:t xml:space="preserve">Preferred Stock. As of June 30, 2022 and December 31, 2021, the maximum number of common shares that could be required to be issued upon conversion of the outstanding shares of Series A Convertible Preferred Stock was 9.2 million shares. </w:t>
      </w:r>
    </w:p>
    <w:p w:rsidR="00000000" w:rsidRDefault="005048A7">
      <w:pPr>
        <w:jc w:val="both"/>
        <w:rPr>
          <w:rFonts w:eastAsia="Times New Roman"/>
        </w:rPr>
      </w:pPr>
    </w:p>
    <w:p w:rsidR="00000000" w:rsidRDefault="005048A7">
      <w:pPr>
        <w:jc w:val="both"/>
        <w:rPr>
          <w:rFonts w:eastAsia="Times New Roman"/>
        </w:rPr>
      </w:pPr>
    </w:p>
    <w:p w:rsidR="00000000" w:rsidRDefault="005048A7">
      <w:pPr>
        <w:divId w:val="459954948"/>
        <w:rPr>
          <w:rFonts w:eastAsia="Times New Roman"/>
        </w:rPr>
      </w:pPr>
      <w:r>
        <w:rPr>
          <w:rFonts w:eastAsia="Times New Roman"/>
          <w:b/>
          <w:bCs/>
          <w:color w:val="54B948"/>
          <w:sz w:val="20"/>
          <w:szCs w:val="20"/>
        </w:rPr>
        <w:t xml:space="preserve">12. EARNINGS </w:t>
      </w:r>
      <w:r>
        <w:rPr>
          <w:rFonts w:eastAsia="Times New Roman"/>
          <w:b/>
          <w:bCs/>
          <w:color w:val="54B948"/>
          <w:sz w:val="20"/>
          <w:szCs w:val="20"/>
        </w:rPr>
        <w:t xml:space="preserve">PER SHARE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Basic earnings per share (“EPS”) is calculated by dividing net income or loss attributable to NCR, less any dividends (declared or cumulative undeclared), deemed dividends, accretion or decretion, redemption or induced conversion on our Series</w:t>
      </w:r>
      <w:r>
        <w:rPr>
          <w:rFonts w:eastAsia="Times New Roman"/>
          <w:color w:val="000000"/>
          <w:sz w:val="20"/>
          <w:szCs w:val="20"/>
        </w:rPr>
        <w:t xml:space="preserve"> A Convertible Preferred Stock, by the weighted average number of shares outstanding during the period.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In computing diluted EPS, we evaluate and reflect the maximum potential dilution, for each issue or series of issues of potential common shares in se</w:t>
      </w:r>
      <w:r>
        <w:rPr>
          <w:rFonts w:eastAsia="Times New Roman"/>
          <w:color w:val="000000"/>
          <w:sz w:val="20"/>
          <w:szCs w:val="20"/>
        </w:rPr>
        <w:t>quence from the most dilutive to the least dilutive. We adjust the numerator used in the basic EPS computation, subject to anti-dilution requirements, to add back the dividends (declared or cumulative undeclared) applicable to the Series A Convertible Pref</w:t>
      </w:r>
      <w:r>
        <w:rPr>
          <w:rFonts w:eastAsia="Times New Roman"/>
          <w:color w:val="000000"/>
          <w:sz w:val="20"/>
          <w:szCs w:val="20"/>
        </w:rPr>
        <w:t>erred Stock. Such add-back would also include any adjustments to equity in the period to accrete the Series A Convertible Preferred Stock to its redemption price, or recorded upon a redemption or induced conversion. We adjust the denominator used in the ba</w:t>
      </w:r>
      <w:r>
        <w:rPr>
          <w:rFonts w:eastAsia="Times New Roman"/>
          <w:color w:val="000000"/>
          <w:sz w:val="20"/>
          <w:szCs w:val="20"/>
        </w:rPr>
        <w:t xml:space="preserve">sic EPS computation, subject to anti-dilution requirements, to include the dilution from potential shares resulting from the issuance of the Series A Convertible Preferred Stock, restricted stock units, and stock options.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 holders of Series A Convert</w:t>
      </w:r>
      <w:r>
        <w:rPr>
          <w:rFonts w:eastAsia="Times New Roman"/>
          <w:color w:val="000000"/>
          <w:sz w:val="20"/>
          <w:szCs w:val="20"/>
        </w:rPr>
        <w:t xml:space="preserve">ible Preferred Stock, unvested restricted stock units and stock options do not have nonforfeitable rights to common stock dividends or common stock dividend equivalents. Accordingly, the Series A Convertible </w:t>
      </w:r>
    </w:p>
    <w:p w:rsidR="00000000" w:rsidRDefault="005048A7">
      <w:pPr>
        <w:jc w:val="center"/>
        <w:divId w:val="1362628941"/>
        <w:rPr>
          <w:rFonts w:eastAsia="Times New Roman"/>
        </w:rPr>
      </w:pPr>
      <w:r>
        <w:rPr>
          <w:rFonts w:eastAsia="Times New Roman"/>
          <w:color w:val="000000"/>
          <w:sz w:val="20"/>
          <w:szCs w:val="20"/>
        </w:rPr>
        <w:t>29</w:t>
      </w:r>
    </w:p>
    <w:p w:rsidR="00000000" w:rsidRDefault="005048A7">
      <w:pPr>
        <w:rPr>
          <w:rFonts w:eastAsia="Times New Roman"/>
        </w:rPr>
      </w:pPr>
      <w:r>
        <w:rPr>
          <w:rFonts w:eastAsia="Times New Roman"/>
        </w:rPr>
        <w:pict>
          <v:rect id="_x0000_i1054" style="width:0;height:1.5pt" o:hralign="center" o:hrstd="t" o:hr="t" fillcolor="#a0a0a0" stroked="f"/>
        </w:pict>
      </w:r>
    </w:p>
    <w:p w:rsidR="00000000" w:rsidRDefault="005048A7">
      <w:pPr>
        <w:ind w:firstLine="720"/>
        <w:divId w:val="1460875257"/>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2138721679"/>
        <w:rPr>
          <w:rFonts w:eastAsia="Times New Roman"/>
        </w:rPr>
      </w:pPr>
      <w:r>
        <w:rPr>
          <w:rFonts w:eastAsia="Times New Roman"/>
          <w:b/>
          <w:bCs/>
          <w:color w:val="000000"/>
          <w:sz w:val="20"/>
          <w:szCs w:val="20"/>
        </w:rPr>
        <w:t>NCR Corporation</w:t>
      </w:r>
    </w:p>
    <w:p w:rsidR="00000000" w:rsidRDefault="005048A7">
      <w:pPr>
        <w:jc w:val="center"/>
        <w:divId w:val="2138721679"/>
        <w:rPr>
          <w:rFonts w:eastAsia="Times New Roman"/>
        </w:rPr>
      </w:pPr>
      <w:r>
        <w:rPr>
          <w:rFonts w:eastAsia="Times New Roman"/>
          <w:b/>
          <w:bCs/>
          <w:color w:val="000000"/>
          <w:sz w:val="20"/>
          <w:szCs w:val="20"/>
        </w:rPr>
        <w:t>Notes to Condensed Consolidated Financial Statements (Unaudited)—(Continued)</w:t>
      </w:r>
    </w:p>
    <w:p w:rsidR="00000000" w:rsidRDefault="005048A7">
      <w:pPr>
        <w:jc w:val="both"/>
        <w:rPr>
          <w:rFonts w:eastAsia="Times New Roman"/>
        </w:rPr>
      </w:pPr>
      <w:r>
        <w:rPr>
          <w:rFonts w:eastAsia="Times New Roman"/>
          <w:color w:val="000000"/>
          <w:sz w:val="20"/>
          <w:szCs w:val="20"/>
        </w:rPr>
        <w:t>Preferred Stock, unvested restricted stock units and stock options do not qualify as participati</w:t>
      </w:r>
      <w:r>
        <w:rPr>
          <w:rFonts w:eastAsia="Times New Roman"/>
          <w:color w:val="000000"/>
          <w:sz w:val="20"/>
          <w:szCs w:val="20"/>
        </w:rPr>
        <w:t>ng securities. See Note 8, “Stock Compensation Plans”, for share information on NCR’s stock compensation plans.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 components of basic earnings per share are as follows:</w:t>
      </w:r>
    </w:p>
    <w:tbl>
      <w:tblPr>
        <w:tblW w:w="5000" w:type="pct"/>
        <w:tblCellMar>
          <w:top w:w="15" w:type="dxa"/>
          <w:left w:w="15" w:type="dxa"/>
          <w:bottom w:w="15" w:type="dxa"/>
          <w:right w:w="15" w:type="dxa"/>
        </w:tblCellMar>
        <w:tblLook w:val="04A0" w:firstRow="1" w:lastRow="0" w:firstColumn="1" w:lastColumn="0" w:noHBand="0" w:noVBand="1"/>
      </w:tblPr>
      <w:tblGrid>
        <w:gridCol w:w="42"/>
        <w:gridCol w:w="3567"/>
        <w:gridCol w:w="41"/>
        <w:gridCol w:w="36"/>
        <w:gridCol w:w="36"/>
        <w:gridCol w:w="36"/>
        <w:gridCol w:w="120"/>
        <w:gridCol w:w="906"/>
        <w:gridCol w:w="36"/>
        <w:gridCol w:w="36"/>
        <w:gridCol w:w="36"/>
        <w:gridCol w:w="36"/>
        <w:gridCol w:w="120"/>
        <w:gridCol w:w="881"/>
        <w:gridCol w:w="36"/>
        <w:gridCol w:w="36"/>
        <w:gridCol w:w="36"/>
        <w:gridCol w:w="36"/>
        <w:gridCol w:w="120"/>
        <w:gridCol w:w="931"/>
        <w:gridCol w:w="36"/>
        <w:gridCol w:w="36"/>
        <w:gridCol w:w="36"/>
        <w:gridCol w:w="36"/>
        <w:gridCol w:w="120"/>
        <w:gridCol w:w="882"/>
        <w:gridCol w:w="36"/>
      </w:tblGrid>
      <w:tr w:rsidR="00000000">
        <w:trPr>
          <w:divId w:val="2018341947"/>
        </w:trPr>
        <w:tc>
          <w:tcPr>
            <w:tcW w:w="50" w:type="pct"/>
            <w:vAlign w:val="center"/>
            <w:hideMark/>
          </w:tcPr>
          <w:p w:rsidR="00000000" w:rsidRDefault="005048A7">
            <w:pPr>
              <w:jc w:val="both"/>
              <w:rPr>
                <w:rFonts w:eastAsia="Times New Roman"/>
              </w:rPr>
            </w:pPr>
          </w:p>
        </w:tc>
        <w:tc>
          <w:tcPr>
            <w:tcW w:w="218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4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9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9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9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9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2018341947"/>
          <w:trHeight w:val="340"/>
        </w:trPr>
        <w:tc>
          <w:tcPr>
            <w:tcW w:w="0" w:type="auto"/>
            <w:gridSpan w:val="3"/>
            <w:vMerge w:val="restart"/>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 except per share amounts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r>
      <w:tr w:rsidR="00000000">
        <w:trPr>
          <w:divId w:val="2018341947"/>
          <w:trHeight w:val="340"/>
        </w:trPr>
        <w:tc>
          <w:tcPr>
            <w:tcW w:w="0" w:type="auto"/>
            <w:gridSpan w:val="3"/>
            <w:vMerge/>
            <w:vAlign w:val="center"/>
            <w:hideMark/>
          </w:tcPr>
          <w:p w:rsidR="00000000" w:rsidRDefault="005048A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r>
      <w:tr w:rsidR="00000000">
        <w:trPr>
          <w:divId w:val="2018341947"/>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Numerator:</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18341947"/>
        </w:trPr>
        <w:tc>
          <w:tcPr>
            <w:tcW w:w="0" w:type="auto"/>
            <w:gridSpan w:val="3"/>
            <w:shd w:val="clear" w:color="auto" w:fill="FFFFFF"/>
            <w:tcMar>
              <w:top w:w="30" w:type="dxa"/>
              <w:left w:w="245" w:type="dxa"/>
              <w:bottom w:w="30" w:type="dxa"/>
              <w:right w:w="20" w:type="dxa"/>
            </w:tcMar>
            <w:vAlign w:val="center"/>
            <w:hideMark/>
          </w:tcPr>
          <w:p w:rsidR="00000000" w:rsidRDefault="005048A7">
            <w:pPr>
              <w:spacing w:after="100"/>
              <w:rPr>
                <w:rFonts w:eastAsia="Times New Roman"/>
              </w:rPr>
            </w:pPr>
            <w:r>
              <w:rPr>
                <w:rFonts w:eastAsia="Times New Roman"/>
                <w:color w:val="000000"/>
                <w:sz w:val="20"/>
                <w:szCs w:val="20"/>
              </w:rPr>
              <w:t>Income (loss)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018341947"/>
        </w:trPr>
        <w:tc>
          <w:tcPr>
            <w:tcW w:w="0" w:type="auto"/>
            <w:gridSpan w:val="3"/>
            <w:shd w:val="clear" w:color="auto" w:fill="CCEEFF"/>
            <w:tcMar>
              <w:top w:w="30" w:type="dxa"/>
              <w:left w:w="245" w:type="dxa"/>
              <w:bottom w:w="30" w:type="dxa"/>
              <w:right w:w="20" w:type="dxa"/>
            </w:tcMar>
            <w:vAlign w:val="center"/>
            <w:hideMark/>
          </w:tcPr>
          <w:p w:rsidR="00000000" w:rsidRDefault="005048A7">
            <w:pPr>
              <w:spacing w:after="100"/>
              <w:rPr>
                <w:rFonts w:eastAsia="Times New Roman"/>
              </w:rPr>
            </w:pPr>
            <w:r>
              <w:rPr>
                <w:rFonts w:eastAsia="Times New Roman"/>
                <w:color w:val="000000"/>
                <w:sz w:val="20"/>
                <w:szCs w:val="20"/>
              </w:rPr>
              <w:t>Dividends on Series A Convertible Preferred Stock</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018341947"/>
        </w:trPr>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2018341947"/>
        </w:trPr>
        <w:tc>
          <w:tcPr>
            <w:tcW w:w="0" w:type="auto"/>
            <w:gridSpan w:val="3"/>
            <w:shd w:val="clear" w:color="auto" w:fill="FFFFFF"/>
            <w:tcMar>
              <w:top w:w="30" w:type="dxa"/>
              <w:left w:w="20" w:type="dxa"/>
              <w:bottom w:w="30" w:type="dxa"/>
              <w:right w:w="20" w:type="dxa"/>
            </w:tcMar>
            <w:vAlign w:val="center"/>
            <w:hideMark/>
          </w:tcPr>
          <w:p w:rsidR="00000000" w:rsidRDefault="005048A7">
            <w:pPr>
              <w:spacing w:after="100"/>
              <w:rPr>
                <w:rFonts w:eastAsia="Times New Roman"/>
              </w:rPr>
            </w:pPr>
            <w:r>
              <w:rPr>
                <w:rFonts w:eastAsia="Times New Roman"/>
                <w:b/>
                <w:bCs/>
                <w:color w:val="000000"/>
                <w:sz w:val="20"/>
                <w:szCs w:val="20"/>
              </w:rPr>
              <w:t>Income (loss) from continuing operations attributable to NCR common stockholders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018341947"/>
        </w:trPr>
        <w:tc>
          <w:tcPr>
            <w:tcW w:w="0" w:type="auto"/>
            <w:gridSpan w:val="3"/>
            <w:shd w:val="clear" w:color="auto" w:fill="CCEEFF"/>
            <w:tcMar>
              <w:top w:w="30" w:type="dxa"/>
              <w:left w:w="245" w:type="dxa"/>
              <w:bottom w:w="30" w:type="dxa"/>
              <w:right w:w="20" w:type="dxa"/>
            </w:tcMar>
            <w:vAlign w:val="center"/>
            <w:hideMark/>
          </w:tcPr>
          <w:p w:rsidR="00000000" w:rsidRDefault="005048A7">
            <w:pPr>
              <w:spacing w:after="100"/>
              <w:rPr>
                <w:rFonts w:eastAsia="Times New Roman"/>
              </w:rPr>
            </w:pPr>
            <w:r>
              <w:rPr>
                <w:rFonts w:eastAsia="Times New Roman"/>
                <w:color w:val="000000"/>
                <w:sz w:val="20"/>
                <w:szCs w:val="20"/>
              </w:rPr>
              <w:t>Income from discontinued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018341947"/>
        </w:trPr>
        <w:tc>
          <w:tcPr>
            <w:tcW w:w="0" w:type="auto"/>
            <w:gridSpan w:val="3"/>
            <w:shd w:val="clear" w:color="auto" w:fill="FFFFFF"/>
            <w:tcMar>
              <w:top w:w="30" w:type="dxa"/>
              <w:left w:w="20" w:type="dxa"/>
              <w:bottom w:w="30" w:type="dxa"/>
              <w:right w:w="20" w:type="dxa"/>
            </w:tcMar>
            <w:vAlign w:val="center"/>
            <w:hideMark/>
          </w:tcPr>
          <w:p w:rsidR="00000000" w:rsidRDefault="005048A7">
            <w:pPr>
              <w:spacing w:after="100"/>
              <w:rPr>
                <w:rFonts w:eastAsia="Times New Roman"/>
              </w:rPr>
            </w:pPr>
            <w:r>
              <w:rPr>
                <w:rFonts w:eastAsia="Times New Roman"/>
                <w:b/>
                <w:bCs/>
                <w:color w:val="000000"/>
                <w:sz w:val="20"/>
                <w:szCs w:val="20"/>
              </w:rPr>
              <w:t>Net income (loss) attributable to NCR common stockholders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018341947"/>
          <w:trHeight w:val="300"/>
        </w:trPr>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18341947"/>
        </w:trPr>
        <w:tc>
          <w:tcPr>
            <w:tcW w:w="0" w:type="auto"/>
            <w:gridSpan w:val="3"/>
            <w:shd w:val="clear" w:color="auto" w:fill="FFFFFF"/>
            <w:tcMar>
              <w:top w:w="30" w:type="dxa"/>
              <w:left w:w="20" w:type="dxa"/>
              <w:bottom w:w="30" w:type="dxa"/>
              <w:right w:w="20" w:type="dxa"/>
            </w:tcMar>
            <w:vAlign w:val="center"/>
            <w:hideMark/>
          </w:tcPr>
          <w:p w:rsidR="00000000" w:rsidRDefault="005048A7">
            <w:pPr>
              <w:spacing w:after="100"/>
              <w:rPr>
                <w:rFonts w:eastAsia="Times New Roman"/>
              </w:rPr>
            </w:pPr>
            <w:r>
              <w:rPr>
                <w:rFonts w:eastAsia="Times New Roman"/>
                <w:b/>
                <w:bCs/>
                <w:color w:val="000000"/>
                <w:sz w:val="20"/>
                <w:szCs w:val="20"/>
              </w:rPr>
              <w:t>Denominator:</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18341947"/>
        </w:trPr>
        <w:tc>
          <w:tcPr>
            <w:tcW w:w="0" w:type="auto"/>
            <w:gridSpan w:val="3"/>
            <w:shd w:val="clear" w:color="auto" w:fill="CCEEFF"/>
            <w:tcMar>
              <w:top w:w="30" w:type="dxa"/>
              <w:left w:w="245" w:type="dxa"/>
              <w:bottom w:w="30" w:type="dxa"/>
              <w:right w:w="20" w:type="dxa"/>
            </w:tcMar>
            <w:vAlign w:val="center"/>
            <w:hideMark/>
          </w:tcPr>
          <w:p w:rsidR="00000000" w:rsidRDefault="005048A7">
            <w:pPr>
              <w:spacing w:after="100"/>
              <w:rPr>
                <w:rFonts w:eastAsia="Times New Roman"/>
              </w:rPr>
            </w:pPr>
            <w:r>
              <w:rPr>
                <w:rFonts w:eastAsia="Times New Roman"/>
                <w:color w:val="000000"/>
                <w:sz w:val="20"/>
                <w:szCs w:val="20"/>
              </w:rPr>
              <w:t>Basic weighted average number of shares outstanding</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131.0 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130.5 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018341947"/>
          <w:trHeight w:val="300"/>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18341947"/>
        </w:trPr>
        <w:tc>
          <w:tcPr>
            <w:tcW w:w="0" w:type="auto"/>
            <w:gridSpan w:val="3"/>
            <w:shd w:val="clear" w:color="auto" w:fill="CCEEFF"/>
            <w:tcMar>
              <w:top w:w="30" w:type="dxa"/>
              <w:left w:w="20" w:type="dxa"/>
              <w:bottom w:w="30" w:type="dxa"/>
              <w:right w:w="20" w:type="dxa"/>
            </w:tcMar>
            <w:vAlign w:val="center"/>
            <w:hideMark/>
          </w:tcPr>
          <w:p w:rsidR="00000000" w:rsidRDefault="005048A7">
            <w:pPr>
              <w:spacing w:after="100"/>
              <w:rPr>
                <w:rFonts w:eastAsia="Times New Roman"/>
              </w:rPr>
            </w:pPr>
            <w:r>
              <w:rPr>
                <w:rFonts w:eastAsia="Times New Roman"/>
                <w:b/>
                <w:bCs/>
                <w:color w:val="000000"/>
                <w:sz w:val="20"/>
                <w:szCs w:val="20"/>
              </w:rPr>
              <w:t>Basic earnings per share:</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018341947"/>
        </w:trPr>
        <w:tc>
          <w:tcPr>
            <w:tcW w:w="0" w:type="auto"/>
            <w:gridSpan w:val="3"/>
            <w:shd w:val="clear" w:color="auto" w:fill="FFFFFF"/>
            <w:tcMar>
              <w:top w:w="30" w:type="dxa"/>
              <w:left w:w="380" w:type="dxa"/>
              <w:bottom w:w="30" w:type="dxa"/>
              <w:right w:w="20" w:type="dxa"/>
            </w:tcMar>
            <w:vAlign w:val="center"/>
            <w:hideMark/>
          </w:tcPr>
          <w:p w:rsidR="00000000" w:rsidRDefault="005048A7">
            <w:pPr>
              <w:spacing w:after="100"/>
              <w:rPr>
                <w:rFonts w:eastAsia="Times New Roman"/>
              </w:rPr>
            </w:pPr>
            <w:r>
              <w:rPr>
                <w:rFonts w:eastAsia="Times New Roman"/>
                <w:color w:val="000000"/>
                <w:sz w:val="20"/>
                <w:szCs w:val="20"/>
              </w:rPr>
              <w:t>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0.23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(0.10)</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(0.04)</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0.10 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018341947"/>
        </w:trPr>
        <w:tc>
          <w:tcPr>
            <w:tcW w:w="0" w:type="auto"/>
            <w:gridSpan w:val="3"/>
            <w:shd w:val="clear" w:color="auto" w:fill="CCEEFF"/>
            <w:tcMar>
              <w:top w:w="30" w:type="dxa"/>
              <w:left w:w="380" w:type="dxa"/>
              <w:bottom w:w="30" w:type="dxa"/>
              <w:right w:w="20" w:type="dxa"/>
            </w:tcMar>
            <w:vAlign w:val="center"/>
            <w:hideMark/>
          </w:tcPr>
          <w:p w:rsidR="00000000" w:rsidRDefault="005048A7">
            <w:pPr>
              <w:spacing w:after="100"/>
              <w:rPr>
                <w:rFonts w:eastAsia="Times New Roman"/>
              </w:rPr>
            </w:pPr>
            <w:r>
              <w:rPr>
                <w:rFonts w:eastAsia="Times New Roman"/>
                <w:color w:val="000000"/>
                <w:sz w:val="20"/>
                <w:szCs w:val="20"/>
              </w:rPr>
              <w:t>From discontinued operations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0.04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0.03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018341947"/>
        </w:trPr>
        <w:tc>
          <w:tcPr>
            <w:tcW w:w="0" w:type="auto"/>
            <w:gridSpan w:val="3"/>
            <w:shd w:val="clear" w:color="auto" w:fill="FFFFFF"/>
            <w:tcMar>
              <w:top w:w="30" w:type="dxa"/>
              <w:left w:w="380" w:type="dxa"/>
              <w:bottom w:w="30" w:type="dxa"/>
              <w:right w:w="20" w:type="dxa"/>
            </w:tcMar>
            <w:vAlign w:val="center"/>
            <w:hideMark/>
          </w:tcPr>
          <w:p w:rsidR="00000000" w:rsidRDefault="005048A7">
            <w:pPr>
              <w:spacing w:after="100"/>
              <w:rPr>
                <w:rFonts w:eastAsia="Times New Roman"/>
              </w:rPr>
            </w:pPr>
            <w:r>
              <w:rPr>
                <w:rFonts w:eastAsia="Times New Roman"/>
                <w:color w:val="000000"/>
                <w:sz w:val="20"/>
                <w:szCs w:val="20"/>
              </w:rPr>
              <w:t>Total basic earnings per share</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0.27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(0.10)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(0.01)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0.10 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 components of diluted earnings per share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3546"/>
        <w:gridCol w:w="41"/>
        <w:gridCol w:w="120"/>
        <w:gridCol w:w="947"/>
        <w:gridCol w:w="36"/>
        <w:gridCol w:w="36"/>
        <w:gridCol w:w="36"/>
        <w:gridCol w:w="36"/>
        <w:gridCol w:w="120"/>
        <w:gridCol w:w="947"/>
        <w:gridCol w:w="36"/>
        <w:gridCol w:w="36"/>
        <w:gridCol w:w="36"/>
        <w:gridCol w:w="36"/>
        <w:gridCol w:w="120"/>
        <w:gridCol w:w="947"/>
        <w:gridCol w:w="36"/>
        <w:gridCol w:w="36"/>
        <w:gridCol w:w="36"/>
        <w:gridCol w:w="36"/>
        <w:gridCol w:w="120"/>
        <w:gridCol w:w="888"/>
        <w:gridCol w:w="36"/>
      </w:tblGrid>
      <w:tr w:rsidR="00000000">
        <w:trPr>
          <w:divId w:val="775904619"/>
          <w:jc w:val="center"/>
        </w:trPr>
        <w:tc>
          <w:tcPr>
            <w:tcW w:w="50" w:type="pct"/>
            <w:vAlign w:val="center"/>
            <w:hideMark/>
          </w:tcPr>
          <w:p w:rsidR="00000000" w:rsidRDefault="005048A7">
            <w:pPr>
              <w:jc w:val="both"/>
              <w:rPr>
                <w:rFonts w:eastAsia="Times New Roman"/>
              </w:rPr>
            </w:pPr>
          </w:p>
        </w:tc>
        <w:tc>
          <w:tcPr>
            <w:tcW w:w="218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1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1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1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1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775904619"/>
          <w:trHeight w:val="420"/>
          <w:jc w:val="center"/>
        </w:trPr>
        <w:tc>
          <w:tcPr>
            <w:tcW w:w="0" w:type="auto"/>
            <w:gridSpan w:val="3"/>
            <w:vMerge w:val="restart"/>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 except per share amounts</w:t>
            </w: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r>
      <w:tr w:rsidR="00000000">
        <w:trPr>
          <w:divId w:val="775904619"/>
          <w:trHeight w:val="220"/>
          <w:jc w:val="center"/>
        </w:trPr>
        <w:tc>
          <w:tcPr>
            <w:tcW w:w="0" w:type="auto"/>
            <w:gridSpan w:val="3"/>
            <w:vMerge/>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r>
      <w:tr w:rsidR="00000000">
        <w:trPr>
          <w:divId w:val="775904619"/>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Numerator: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775904619"/>
          <w:jc w:val="center"/>
        </w:trPr>
        <w:tc>
          <w:tcPr>
            <w:tcW w:w="0" w:type="auto"/>
            <w:gridSpan w:val="3"/>
            <w:shd w:val="clear" w:color="auto" w:fill="FFFF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Income (loss) from continuing operations</w:t>
            </w: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775904619"/>
          <w:jc w:val="center"/>
        </w:trPr>
        <w:tc>
          <w:tcPr>
            <w:tcW w:w="0" w:type="auto"/>
            <w:gridSpan w:val="3"/>
            <w:shd w:val="clear" w:color="auto" w:fill="CCEE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Dividends on Series A Convertible Preferred Stock</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775904619"/>
          <w:jc w:val="center"/>
        </w:trPr>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775904619"/>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Income (loss) from continuing operations attributable to NCR common stockholders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775904619"/>
          <w:jc w:val="center"/>
        </w:trPr>
        <w:tc>
          <w:tcPr>
            <w:tcW w:w="0" w:type="auto"/>
            <w:gridSpan w:val="3"/>
            <w:shd w:val="clear" w:color="auto" w:fill="CCEE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Income from discontinued operations, net of tax</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775904619"/>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Net income (loss) attributable to NCR common stockholders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775904619"/>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775904619"/>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ind w:hanging="270"/>
              <w:divId w:val="861864676"/>
              <w:rPr>
                <w:rFonts w:eastAsia="Times New Roman"/>
              </w:rPr>
            </w:pPr>
            <w:r>
              <w:rPr>
                <w:rFonts w:eastAsia="Times New Roman"/>
                <w:b/>
                <w:bCs/>
                <w:color w:val="000000"/>
                <w:sz w:val="20"/>
                <w:szCs w:val="20"/>
              </w:rPr>
              <w:t>Denominator:</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ind w:hanging="27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775904619"/>
          <w:jc w:val="center"/>
        </w:trPr>
        <w:tc>
          <w:tcPr>
            <w:tcW w:w="0" w:type="auto"/>
            <w:gridSpan w:val="3"/>
            <w:shd w:val="clear" w:color="auto" w:fill="CCEE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Basic weighted average number of shares outstanding</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131.0 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130.5 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775904619"/>
          <w:jc w:val="center"/>
        </w:trPr>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775904619"/>
          <w:jc w:val="center"/>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775904619"/>
          <w:jc w:val="center"/>
        </w:trPr>
        <w:tc>
          <w:tcPr>
            <w:tcW w:w="0" w:type="auto"/>
            <w:gridSpan w:val="3"/>
            <w:shd w:val="clear" w:color="auto" w:fill="FFFFFF"/>
            <w:tcMar>
              <w:top w:w="30" w:type="dxa"/>
              <w:left w:w="245" w:type="dxa"/>
              <w:bottom w:w="30" w:type="dxa"/>
              <w:right w:w="20" w:type="dxa"/>
            </w:tcMar>
            <w:hideMark/>
          </w:tcPr>
          <w:p w:rsidR="00000000" w:rsidRDefault="005048A7">
            <w:pPr>
              <w:spacing w:after="100"/>
              <w:rPr>
                <w:rFonts w:eastAsia="Times New Roman"/>
              </w:rPr>
            </w:pPr>
            <w:r>
              <w:rPr>
                <w:rFonts w:eastAsia="Times New Roman"/>
                <w:color w:val="000000"/>
                <w:sz w:val="20"/>
                <w:szCs w:val="20"/>
              </w:rPr>
              <w:t>Dilutive effect of restricted stock units and stock options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775904619"/>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Weighted average diluted shares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140.8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136.2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775904619"/>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775904619"/>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Diluted earnings per share:</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775904619"/>
          <w:jc w:val="center"/>
        </w:trPr>
        <w:tc>
          <w:tcPr>
            <w:tcW w:w="0" w:type="auto"/>
            <w:gridSpan w:val="3"/>
            <w:shd w:val="clear" w:color="auto" w:fill="FFFF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From continuing operations</w:t>
            </w: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0.22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(0.10)</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(0.04)</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0.10 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775904619"/>
          <w:jc w:val="center"/>
        </w:trPr>
        <w:tc>
          <w:tcPr>
            <w:tcW w:w="0" w:type="auto"/>
            <w:gridSpan w:val="3"/>
            <w:shd w:val="clear" w:color="auto" w:fill="CCEE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From discontinued operations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0.04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0.03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775904619"/>
          <w:jc w:val="center"/>
        </w:trPr>
        <w:tc>
          <w:tcPr>
            <w:tcW w:w="0" w:type="auto"/>
            <w:gridSpan w:val="3"/>
            <w:shd w:val="clear" w:color="auto" w:fill="FFFF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Total diluted earnings per share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0.26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(0.10)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(0.01)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0.10 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both"/>
        <w:rPr>
          <w:rFonts w:eastAsia="Times New Roman"/>
        </w:rPr>
      </w:pPr>
    </w:p>
    <w:p w:rsidR="00000000" w:rsidRDefault="005048A7">
      <w:pPr>
        <w:jc w:val="center"/>
        <w:divId w:val="1779908327"/>
        <w:rPr>
          <w:rFonts w:eastAsia="Times New Roman"/>
        </w:rPr>
      </w:pPr>
      <w:r>
        <w:rPr>
          <w:rFonts w:eastAsia="Times New Roman"/>
          <w:color w:val="000000"/>
          <w:sz w:val="20"/>
          <w:szCs w:val="20"/>
        </w:rPr>
        <w:t>30</w:t>
      </w:r>
    </w:p>
    <w:p w:rsidR="00000000" w:rsidRDefault="005048A7">
      <w:pPr>
        <w:rPr>
          <w:rFonts w:eastAsia="Times New Roman"/>
        </w:rPr>
      </w:pPr>
      <w:r>
        <w:rPr>
          <w:rFonts w:eastAsia="Times New Roman"/>
        </w:rPr>
        <w:pict>
          <v:rect id="_x0000_i1055" style="width:0;height:1.5pt" o:hralign="center" o:hrstd="t" o:hr="t" fillcolor="#a0a0a0" stroked="f"/>
        </w:pict>
      </w:r>
    </w:p>
    <w:p w:rsidR="00000000" w:rsidRDefault="005048A7">
      <w:pPr>
        <w:ind w:firstLine="720"/>
        <w:divId w:val="843322210"/>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730471302"/>
        <w:rPr>
          <w:rFonts w:eastAsia="Times New Roman"/>
        </w:rPr>
      </w:pPr>
      <w:r>
        <w:rPr>
          <w:rFonts w:eastAsia="Times New Roman"/>
          <w:b/>
          <w:bCs/>
          <w:color w:val="000000"/>
          <w:sz w:val="20"/>
          <w:szCs w:val="20"/>
        </w:rPr>
        <w:t>NCR Corporation</w:t>
      </w:r>
    </w:p>
    <w:p w:rsidR="00000000" w:rsidRDefault="005048A7">
      <w:pPr>
        <w:jc w:val="center"/>
        <w:divId w:val="730471302"/>
        <w:rPr>
          <w:rFonts w:eastAsia="Times New Roman"/>
        </w:rPr>
      </w:pPr>
      <w:r>
        <w:rPr>
          <w:rFonts w:eastAsia="Times New Roman"/>
          <w:b/>
          <w:bCs/>
          <w:color w:val="000000"/>
          <w:sz w:val="20"/>
          <w:szCs w:val="20"/>
        </w:rPr>
        <w:t>Notes to Condensed Consolidated Fin</w:t>
      </w:r>
      <w:r>
        <w:rPr>
          <w:rFonts w:eastAsia="Times New Roman"/>
          <w:b/>
          <w:bCs/>
          <w:color w:val="000000"/>
          <w:sz w:val="20"/>
          <w:szCs w:val="20"/>
        </w:rPr>
        <w:t>ancial Statements (Unaudited)—(Continued)</w:t>
      </w:r>
    </w:p>
    <w:p w:rsidR="00000000" w:rsidRDefault="005048A7">
      <w:pPr>
        <w:jc w:val="both"/>
        <w:rPr>
          <w:rFonts w:eastAsia="Times New Roman"/>
        </w:rPr>
      </w:pPr>
      <w:r>
        <w:rPr>
          <w:rFonts w:eastAsia="Times New Roman"/>
          <w:color w:val="000000"/>
          <w:sz w:val="20"/>
          <w:szCs w:val="20"/>
        </w:rPr>
        <w:t>For the three months ended June 30, 2022, shares related to the as-if converted Series A Convertible Preferred Stock of 9.2 million were excluded from the diluted share count because their effect would have been an</w:t>
      </w:r>
      <w:r>
        <w:rPr>
          <w:rFonts w:eastAsia="Times New Roman"/>
          <w:color w:val="000000"/>
          <w:sz w:val="20"/>
          <w:szCs w:val="20"/>
        </w:rPr>
        <w:t>ti-dilutive. Additionally, weighted average restricted stock units and stock options of 7.4 million were excluded from the diluted share count because their effect would have been anti-dilutive.</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For the three months ended June 30, 2021, shares related to the as-if converted Series A Convertible Preferred Stock of 9.2 million were excluded from the diluted share count because their effect would have been anti-dilutive. For the three months ended Ju</w:t>
      </w:r>
      <w:r>
        <w:rPr>
          <w:rFonts w:eastAsia="Times New Roman"/>
          <w:color w:val="000000"/>
          <w:sz w:val="20"/>
          <w:szCs w:val="20"/>
        </w:rPr>
        <w:t>ne 30, 2021, weighted average restricted stock units and stock options of 6.0 million were excluded from the diluted share count because their effect would have been anti-dilutive.</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For the six months ended June 30, 2022, due to the net loss from continui</w:t>
      </w:r>
      <w:r>
        <w:rPr>
          <w:rFonts w:eastAsia="Times New Roman"/>
          <w:color w:val="000000"/>
          <w:sz w:val="20"/>
          <w:szCs w:val="20"/>
        </w:rPr>
        <w:t xml:space="preserve">ng operations attributable to NCR common stockholders, potential common shares that would cause dilution, such as Series A Convertible Preferred Stock, restricted stock units and stock options, have been excluded from the diluted share count because their </w:t>
      </w:r>
      <w:r>
        <w:rPr>
          <w:rFonts w:eastAsia="Times New Roman"/>
          <w:color w:val="000000"/>
          <w:sz w:val="20"/>
          <w:szCs w:val="20"/>
        </w:rPr>
        <w:t>effect would have been anti-dilutive. The weighted average outstanding shares of common stock were not adjusted by 9.2 million for the as-if converted Series A Convertible Preferred Stock because their effect would have been anti-dilutive. For the six mont</w:t>
      </w:r>
      <w:r>
        <w:rPr>
          <w:rFonts w:eastAsia="Times New Roman"/>
          <w:color w:val="000000"/>
          <w:sz w:val="20"/>
          <w:szCs w:val="20"/>
        </w:rPr>
        <w:t>hs ended June 30, 2022, weighted average restricted stock units and options of 11.4 million were excluded from the diluted share count because their effect would have been anti-dilutive.</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For the six months ended June 30, 2021, shares related to the as-if</w:t>
      </w:r>
      <w:r>
        <w:rPr>
          <w:rFonts w:eastAsia="Times New Roman"/>
          <w:color w:val="000000"/>
          <w:sz w:val="20"/>
          <w:szCs w:val="20"/>
        </w:rPr>
        <w:t xml:space="preserve"> converted Series A Convertible Preferred Stock of 9.2 million were excluded from the diluted share count because their effect would have been anti-dilutive. For the six months ended June 30, 2021, weighted average restricted stock units and stock options </w:t>
      </w:r>
      <w:r>
        <w:rPr>
          <w:rFonts w:eastAsia="Times New Roman"/>
          <w:color w:val="000000"/>
          <w:sz w:val="20"/>
          <w:szCs w:val="20"/>
        </w:rPr>
        <w:t>of 4.7 million were excluded from the diluted share count because their effect would have been anti-dilutive.</w:t>
      </w:r>
    </w:p>
    <w:p w:rsidR="00000000" w:rsidRDefault="005048A7">
      <w:pPr>
        <w:divId w:val="1956056439"/>
        <w:rPr>
          <w:rFonts w:eastAsia="Times New Roman"/>
        </w:rPr>
      </w:pPr>
    </w:p>
    <w:p w:rsidR="00000000" w:rsidRDefault="005048A7">
      <w:pPr>
        <w:jc w:val="both"/>
        <w:rPr>
          <w:rFonts w:eastAsia="Times New Roman"/>
        </w:rPr>
      </w:pPr>
    </w:p>
    <w:p w:rsidR="00000000" w:rsidRDefault="005048A7">
      <w:pPr>
        <w:divId w:val="208030175"/>
        <w:rPr>
          <w:rFonts w:eastAsia="Times New Roman"/>
        </w:rPr>
      </w:pPr>
      <w:r>
        <w:rPr>
          <w:rFonts w:eastAsia="Times New Roman"/>
          <w:b/>
          <w:bCs/>
          <w:color w:val="54B948"/>
          <w:sz w:val="20"/>
          <w:szCs w:val="20"/>
        </w:rPr>
        <w:t>13. DERIVATIVES AND HEDGING INSTRUMENTS</w:t>
      </w:r>
      <w:r>
        <w:rPr>
          <w:rFonts w:eastAsia="Times New Roman"/>
          <w:b/>
          <w:bCs/>
          <w:color w:val="000000"/>
          <w:sz w:val="20"/>
          <w:szCs w:val="20"/>
        </w:rPr>
        <w:t xml:space="preserve">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 xml:space="preserve">NCR is exposed to certain risks arising from both our business operations and economic conditions. </w:t>
      </w:r>
      <w:r>
        <w:rPr>
          <w:rFonts w:eastAsia="Times New Roman"/>
          <w:color w:val="000000"/>
          <w:sz w:val="20"/>
          <w:szCs w:val="20"/>
        </w:rPr>
        <w:t>We principally manage exposures to a wide variety of business and operational risk through management of core business activities. We manage interest rate risk associated with our vault cash rental obligations and floating rate-debt by managing the amount,</w:t>
      </w:r>
      <w:r>
        <w:rPr>
          <w:rFonts w:eastAsia="Times New Roman"/>
          <w:color w:val="000000"/>
          <w:sz w:val="20"/>
          <w:szCs w:val="20"/>
        </w:rPr>
        <w:t xml:space="preserve"> sources, and duration of debt funding and the use of derivative financial instruments. The Company uses interest rate cap agreements or interest rate swap contracts (“Interest Rate Derivatives”) to manage differences in the amount, timing and duration of </w:t>
      </w:r>
      <w:r>
        <w:rPr>
          <w:rFonts w:eastAsia="Times New Roman"/>
          <w:color w:val="000000"/>
          <w:sz w:val="20"/>
          <w:szCs w:val="20"/>
        </w:rPr>
        <w:t xml:space="preserve">known or expected cash payments related to our existing TLA Facility and vault cash agreements.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Further, a substantial portion of our operations and revenue occur outside the United States and, as such, NCR has exposure to approximately 50 functional cu</w:t>
      </w:r>
      <w:r>
        <w:rPr>
          <w:rFonts w:eastAsia="Times New Roman"/>
          <w:color w:val="000000"/>
          <w:sz w:val="20"/>
          <w:szCs w:val="20"/>
        </w:rPr>
        <w:t>rrencies. Our results can be significantly impacted, both positively and negatively, by changes in foreign currency exchange rates. The Company seeks to mitigate such impact by hedging its foreign currency transaction exposure using foreign currency forwar</w:t>
      </w:r>
      <w:r>
        <w:rPr>
          <w:rFonts w:eastAsia="Times New Roman"/>
          <w:color w:val="000000"/>
          <w:sz w:val="20"/>
          <w:szCs w:val="20"/>
        </w:rPr>
        <w:t>d and option contracts. We do not enter into hedges for speculative purposes.</w:t>
      </w:r>
    </w:p>
    <w:p w:rsidR="00000000" w:rsidRDefault="005048A7">
      <w:pPr>
        <w:jc w:val="both"/>
        <w:rPr>
          <w:rFonts w:eastAsia="Times New Roman"/>
        </w:rPr>
      </w:pPr>
    </w:p>
    <w:p w:rsidR="00000000" w:rsidRDefault="005048A7">
      <w:pPr>
        <w:jc w:val="both"/>
        <w:rPr>
          <w:rFonts w:eastAsia="Times New Roman"/>
        </w:rPr>
      </w:pPr>
      <w:r>
        <w:rPr>
          <w:rFonts w:eastAsia="Times New Roman"/>
          <w:b/>
          <w:bCs/>
          <w:i/>
          <w:iCs/>
          <w:color w:val="000000"/>
          <w:sz w:val="20"/>
          <w:szCs w:val="20"/>
        </w:rPr>
        <w:t>Foreign Currency Exchange Risk</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 xml:space="preserve">The accounting guidance for derivatives and hedging requires companies to recognize all derivative instruments as either assets or liabilities </w:t>
      </w:r>
      <w:r>
        <w:rPr>
          <w:rFonts w:eastAsia="Times New Roman"/>
          <w:color w:val="000000"/>
          <w:sz w:val="20"/>
          <w:szCs w:val="20"/>
        </w:rPr>
        <w:t>at fair value in the Condensed Consolidated Balance Sheets. The Company designates foreign exchange contracts as cash flow hedges of forecasted transactions when they are determined to be highly effective at inception.</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Our risk management strategy includ</w:t>
      </w:r>
      <w:r>
        <w:rPr>
          <w:rFonts w:eastAsia="Times New Roman"/>
          <w:color w:val="000000"/>
          <w:sz w:val="20"/>
          <w:szCs w:val="20"/>
        </w:rPr>
        <w:t>es hedging, on behalf of certain subsidiaries, a portion of our forecasted, non-functional currency denominated cash flows for a period of up to 15 months. As a result, some of the impact of currency fluctuations on non-functional currency denominated tran</w:t>
      </w:r>
      <w:r>
        <w:rPr>
          <w:rFonts w:eastAsia="Times New Roman"/>
          <w:color w:val="000000"/>
          <w:sz w:val="20"/>
          <w:szCs w:val="20"/>
        </w:rPr>
        <w:t>sactions (and hence on subsidiary operating income, as stated in the functional currency), is mitigated in the near term. In the longer term (greater than 15 months), the subsidiaries are still subject to the effect of translating the functional currency r</w:t>
      </w:r>
      <w:r>
        <w:rPr>
          <w:rFonts w:eastAsia="Times New Roman"/>
          <w:color w:val="000000"/>
          <w:sz w:val="20"/>
          <w:szCs w:val="20"/>
        </w:rPr>
        <w:t>esults to United States Dollars. To manage our exposures and mitigate the impact of currency fluctuations on the operations of our foreign subsidiaries, we hedge our main transactional exposures through the use of foreign exchange forward and option contra</w:t>
      </w:r>
      <w:r>
        <w:rPr>
          <w:rFonts w:eastAsia="Times New Roman"/>
          <w:color w:val="000000"/>
          <w:sz w:val="20"/>
          <w:szCs w:val="20"/>
        </w:rPr>
        <w:t>cts. This is primarily done through the hedging of foreign currency denominated inter-company inventory purchases by NCR’s marketing units and the foreign currency denominated inputs to our manufacturing units. If the hedge is designated as a highly effect</w:t>
      </w:r>
      <w:r>
        <w:rPr>
          <w:rFonts w:eastAsia="Times New Roman"/>
          <w:color w:val="000000"/>
          <w:sz w:val="20"/>
          <w:szCs w:val="20"/>
        </w:rPr>
        <w:t>ive cash flow hedge, the gains or losses are deferred into accumulated other comprehensive income (“AOCI”). The gains or losses from derivative contracts that are designated as highly effective cash flow hedges related to inventory purchases are recorded i</w:t>
      </w:r>
      <w:r>
        <w:rPr>
          <w:rFonts w:eastAsia="Times New Roman"/>
          <w:color w:val="000000"/>
          <w:sz w:val="20"/>
          <w:szCs w:val="20"/>
        </w:rPr>
        <w:t>n cost of products when the inventory is sold to an unrelated third party. Otherwise, they are recorded in earnings when the exchange rates change. As of June 30, 2022 and December 31, 2021, the balance in AOCI related to foreign exchange derivative transa</w:t>
      </w:r>
      <w:r>
        <w:rPr>
          <w:rFonts w:eastAsia="Times New Roman"/>
          <w:color w:val="000000"/>
          <w:sz w:val="20"/>
          <w:szCs w:val="20"/>
        </w:rPr>
        <w:t xml:space="preserve">ctions was zero. </w:t>
      </w:r>
    </w:p>
    <w:p w:rsidR="00000000" w:rsidRDefault="005048A7">
      <w:pPr>
        <w:jc w:val="both"/>
        <w:rPr>
          <w:rFonts w:eastAsia="Times New Roman"/>
        </w:rPr>
      </w:pPr>
    </w:p>
    <w:p w:rsidR="00000000" w:rsidRDefault="005048A7">
      <w:pPr>
        <w:jc w:val="center"/>
        <w:divId w:val="2128962558"/>
        <w:rPr>
          <w:rFonts w:eastAsia="Times New Roman"/>
        </w:rPr>
      </w:pPr>
      <w:r>
        <w:rPr>
          <w:rFonts w:eastAsia="Times New Roman"/>
          <w:color w:val="000000"/>
          <w:sz w:val="20"/>
          <w:szCs w:val="20"/>
        </w:rPr>
        <w:t>31</w:t>
      </w:r>
    </w:p>
    <w:p w:rsidR="00000000" w:rsidRDefault="005048A7">
      <w:pPr>
        <w:rPr>
          <w:rFonts w:eastAsia="Times New Roman"/>
        </w:rPr>
      </w:pPr>
      <w:r>
        <w:rPr>
          <w:rFonts w:eastAsia="Times New Roman"/>
        </w:rPr>
        <w:pict>
          <v:rect id="_x0000_i1056" style="width:0;height:1.5pt" o:hralign="center" o:hrstd="t" o:hr="t" fillcolor="#a0a0a0" stroked="f"/>
        </w:pict>
      </w:r>
    </w:p>
    <w:p w:rsidR="00000000" w:rsidRDefault="005048A7">
      <w:pPr>
        <w:ind w:firstLine="720"/>
        <w:divId w:val="1853035377"/>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1507746646"/>
        <w:rPr>
          <w:rFonts w:eastAsia="Times New Roman"/>
        </w:rPr>
      </w:pPr>
      <w:r>
        <w:rPr>
          <w:rFonts w:eastAsia="Times New Roman"/>
          <w:b/>
          <w:bCs/>
          <w:color w:val="000000"/>
          <w:sz w:val="20"/>
          <w:szCs w:val="20"/>
        </w:rPr>
        <w:t>NCR Corporation</w:t>
      </w:r>
    </w:p>
    <w:p w:rsidR="00000000" w:rsidRDefault="005048A7">
      <w:pPr>
        <w:jc w:val="center"/>
        <w:divId w:val="1507746646"/>
        <w:rPr>
          <w:rFonts w:eastAsia="Times New Roman"/>
        </w:rPr>
      </w:pPr>
      <w:r>
        <w:rPr>
          <w:rFonts w:eastAsia="Times New Roman"/>
          <w:b/>
          <w:bCs/>
          <w:color w:val="000000"/>
          <w:sz w:val="20"/>
          <w:szCs w:val="20"/>
        </w:rPr>
        <w:t>Notes to Condensed Consolidated Financial Statements (Unaudited)—(Continued)</w:t>
      </w:r>
    </w:p>
    <w:p w:rsidR="00000000" w:rsidRDefault="005048A7">
      <w:pPr>
        <w:jc w:val="both"/>
        <w:rPr>
          <w:rFonts w:eastAsia="Times New Roman"/>
        </w:rPr>
      </w:pPr>
      <w:r>
        <w:rPr>
          <w:rFonts w:eastAsia="Times New Roman"/>
          <w:color w:val="000000"/>
          <w:sz w:val="20"/>
          <w:szCs w:val="20"/>
        </w:rPr>
        <w:t>We also utilize foreign exchange contracts to hedge our exposure of assets and liabilities denominated in non-functional currencies. We recognize the gains and losses on these typ</w:t>
      </w:r>
      <w:r>
        <w:rPr>
          <w:rFonts w:eastAsia="Times New Roman"/>
          <w:color w:val="000000"/>
          <w:sz w:val="20"/>
          <w:szCs w:val="20"/>
        </w:rPr>
        <w:t>es of hedges in earnings as exchange rates change.</w:t>
      </w:r>
    </w:p>
    <w:p w:rsidR="00000000" w:rsidRDefault="005048A7">
      <w:pPr>
        <w:jc w:val="both"/>
        <w:rPr>
          <w:rFonts w:eastAsia="Times New Roman"/>
        </w:rPr>
      </w:pPr>
    </w:p>
    <w:p w:rsidR="00000000" w:rsidRDefault="005048A7">
      <w:pPr>
        <w:jc w:val="both"/>
        <w:rPr>
          <w:rFonts w:eastAsia="Times New Roman"/>
        </w:rPr>
      </w:pPr>
      <w:r>
        <w:rPr>
          <w:rFonts w:eastAsia="Times New Roman"/>
          <w:b/>
          <w:bCs/>
          <w:color w:val="000000"/>
          <w:sz w:val="20"/>
          <w:szCs w:val="20"/>
        </w:rPr>
        <w:t xml:space="preserve">Interest Rate Risk </w:t>
      </w:r>
      <w:r>
        <w:rPr>
          <w:rFonts w:eastAsia="Times New Roman"/>
          <w:color w:val="000000"/>
          <w:sz w:val="20"/>
          <w:szCs w:val="20"/>
        </w:rPr>
        <w:t>The Company designates Interest Rate Derivative contracts as cash flow hedges of forecasted transactions when they are determined to be highly effective at inception.</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We utilize interest rate swap contracts or interest rate cap agreements to add stability to interest cost and to manage exposure to interest rate movements as part of our interest rate risk management strategy. Payments and receipts related to Interest Rat</w:t>
      </w:r>
      <w:r>
        <w:rPr>
          <w:rFonts w:eastAsia="Times New Roman"/>
          <w:color w:val="000000"/>
          <w:sz w:val="20"/>
          <w:szCs w:val="20"/>
        </w:rPr>
        <w:t xml:space="preserve">e Derivatives are included in cash flows from operating activities in the Condensed Consolidated Statements of Cash Flows.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In January 2022, the Company executed a $250 million notional amount interest rate swap contract originally terminating on January</w:t>
      </w:r>
      <w:r>
        <w:rPr>
          <w:rFonts w:eastAsia="Times New Roman"/>
          <w:color w:val="000000"/>
          <w:sz w:val="20"/>
          <w:szCs w:val="20"/>
        </w:rPr>
        <w:t xml:space="preserve"> 1, 2025. The interest rate swap contract had a fixed rate of 1.43% and was designated as a cash flow hedge of floating interest rate cost associated with the Company's U.S. Dollar vault cash agreements.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In March 2022, the Company terminated the outstand</w:t>
      </w:r>
      <w:r>
        <w:rPr>
          <w:rFonts w:eastAsia="Times New Roman"/>
          <w:color w:val="000000"/>
          <w:sz w:val="20"/>
          <w:szCs w:val="20"/>
        </w:rPr>
        <w:t>ing $2 billion notional amount interest rate cap agreements maturing in 2024 for proceeds of $64 million. The gains will be recognized ratably through July 1, 2024, corresponding to the term of the original interest rate cap agreements.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In March 2022, th</w:t>
      </w:r>
      <w:r>
        <w:rPr>
          <w:rFonts w:eastAsia="Times New Roman"/>
          <w:color w:val="000000"/>
          <w:sz w:val="20"/>
          <w:szCs w:val="20"/>
        </w:rPr>
        <w:t>e Company executed $2.2 billion aggregate notional amount interest rate swap contracts that began April 1, 2022 and had an original termination date of April 1, 2025. These interest rate swap contracts had fixed rates ranging from 2.078% to 2.443%, and wer</w:t>
      </w:r>
      <w:r>
        <w:rPr>
          <w:rFonts w:eastAsia="Times New Roman"/>
          <w:color w:val="000000"/>
          <w:sz w:val="20"/>
          <w:szCs w:val="20"/>
        </w:rPr>
        <w:t xml:space="preserve">e designated as cash flow hedges of the floating rate interest associated with the Company’s U.S. Dollar and U.K. Pound Sterling vault cash agreements and TLA Facility.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In June 2022, the Company terminated the outstanding $2.4 billion aggregate notional</w:t>
      </w:r>
      <w:r>
        <w:rPr>
          <w:rFonts w:eastAsia="Times New Roman"/>
          <w:color w:val="000000"/>
          <w:sz w:val="20"/>
          <w:szCs w:val="20"/>
        </w:rPr>
        <w:t xml:space="preserve"> interest rate swap contracts maturing in 2025 for proceeds of $55 million. The gains will be recognized ratably primarily through April 1, 2025, corresponding to the term of the original interest rate swap agreements.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 xml:space="preserve">In June 2022, the Company executed </w:t>
      </w:r>
      <w:r>
        <w:rPr>
          <w:rFonts w:eastAsia="Times New Roman"/>
          <w:color w:val="000000"/>
          <w:sz w:val="20"/>
          <w:szCs w:val="20"/>
        </w:rPr>
        <w:t xml:space="preserve">$2.4 billion aggregate notional amount interest rate swap contracts effective June 1, 2022 and terminating on April 1, 2025. These interest rate swap contracts have fixed rates ranging from 2.790% to 3.251%, and have been designated as cash flow hedges of </w:t>
      </w:r>
      <w:r>
        <w:rPr>
          <w:rFonts w:eastAsia="Times New Roman"/>
          <w:color w:val="000000"/>
          <w:sz w:val="20"/>
          <w:szCs w:val="20"/>
        </w:rPr>
        <w:t>the floating rate interest associated with the Company's U.S. Dollar and U.K. Pound Sterling vault cash agreements.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 xml:space="preserve">At June 30, 2022, each of our outstanding Interest Rate Derivative agreements were determined to be highly effective. Amounts reported in </w:t>
      </w:r>
      <w:r>
        <w:rPr>
          <w:rFonts w:eastAsia="Times New Roman"/>
          <w:color w:val="000000"/>
          <w:sz w:val="20"/>
          <w:szCs w:val="20"/>
        </w:rPr>
        <w:t xml:space="preserve">Accumulated other comprehensive income related to these derivatives will be reclassified to Cost of services as payments are made on the Company’s vault cash rental obligations. Unrealized gains on terminated interest rate swap and cap agreements reported </w:t>
      </w:r>
      <w:r>
        <w:rPr>
          <w:rFonts w:eastAsia="Times New Roman"/>
          <w:color w:val="000000"/>
          <w:sz w:val="20"/>
          <w:szCs w:val="20"/>
        </w:rPr>
        <w:t xml:space="preserve">in Accumulated other comprehensive income will be reclassified to Interest expense and Cost of services ratably over terms corresponding to the original agreements, as described above. As of June 30, 2022 and December 31, 2021, the balance in AOCI related </w:t>
      </w:r>
      <w:r>
        <w:rPr>
          <w:rFonts w:eastAsia="Times New Roman"/>
          <w:color w:val="000000"/>
          <w:sz w:val="20"/>
          <w:szCs w:val="20"/>
        </w:rPr>
        <w:t xml:space="preserve">to Interest Rate Derivatives was $73 million and $8 million, respectively. </w:t>
      </w: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center"/>
        <w:divId w:val="2118868618"/>
        <w:rPr>
          <w:rFonts w:eastAsia="Times New Roman"/>
        </w:rPr>
      </w:pPr>
      <w:r>
        <w:rPr>
          <w:rFonts w:eastAsia="Times New Roman"/>
          <w:color w:val="000000"/>
          <w:sz w:val="20"/>
          <w:szCs w:val="20"/>
        </w:rPr>
        <w:t>32</w:t>
      </w:r>
    </w:p>
    <w:p w:rsidR="00000000" w:rsidRDefault="005048A7">
      <w:pPr>
        <w:rPr>
          <w:rFonts w:eastAsia="Times New Roman"/>
        </w:rPr>
      </w:pPr>
      <w:r>
        <w:rPr>
          <w:rFonts w:eastAsia="Times New Roman"/>
        </w:rPr>
        <w:pict>
          <v:rect id="_x0000_i1057" style="width:0;height:1.5pt" o:hralign="center" o:hrstd="t" o:hr="t" fillcolor="#a0a0a0" stroked="f"/>
        </w:pict>
      </w:r>
    </w:p>
    <w:p w:rsidR="00000000" w:rsidRDefault="005048A7">
      <w:pPr>
        <w:ind w:firstLine="720"/>
        <w:divId w:val="2058508111"/>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102266528"/>
        <w:rPr>
          <w:rFonts w:eastAsia="Times New Roman"/>
        </w:rPr>
      </w:pPr>
      <w:r>
        <w:rPr>
          <w:rFonts w:eastAsia="Times New Roman"/>
          <w:b/>
          <w:bCs/>
          <w:color w:val="000000"/>
          <w:sz w:val="20"/>
          <w:szCs w:val="20"/>
        </w:rPr>
        <w:t>NCR Corporation</w:t>
      </w:r>
    </w:p>
    <w:p w:rsidR="00000000" w:rsidRDefault="005048A7">
      <w:pPr>
        <w:jc w:val="center"/>
        <w:divId w:val="102266528"/>
        <w:rPr>
          <w:rFonts w:eastAsia="Times New Roman"/>
        </w:rPr>
      </w:pPr>
      <w:r>
        <w:rPr>
          <w:rFonts w:eastAsia="Times New Roman"/>
          <w:b/>
          <w:bCs/>
          <w:color w:val="000000"/>
          <w:sz w:val="20"/>
          <w:szCs w:val="20"/>
        </w:rPr>
        <w:t>Notes to Condensed Consolidated Financial Statements (Unaudited)—(Continued)</w:t>
      </w:r>
    </w:p>
    <w:p w:rsidR="00000000" w:rsidRDefault="005048A7">
      <w:pPr>
        <w:jc w:val="both"/>
        <w:rPr>
          <w:rFonts w:eastAsia="Times New Roman"/>
        </w:rPr>
      </w:pPr>
      <w:r>
        <w:rPr>
          <w:rFonts w:eastAsia="Times New Roman"/>
          <w:color w:val="000000"/>
          <w:sz w:val="20"/>
          <w:szCs w:val="20"/>
        </w:rPr>
        <w:t>The following tables provide information on the loca</w:t>
      </w:r>
      <w:r>
        <w:rPr>
          <w:rFonts w:eastAsia="Times New Roman"/>
          <w:color w:val="000000"/>
          <w:sz w:val="20"/>
          <w:szCs w:val="20"/>
        </w:rPr>
        <w:t>tion and amounts of derivative fair values in the Condensed Consolidated Balance Sheets:</w:t>
      </w:r>
    </w:p>
    <w:tbl>
      <w:tblPr>
        <w:tblW w:w="4985" w:type="pct"/>
        <w:tblCellMar>
          <w:top w:w="15" w:type="dxa"/>
          <w:left w:w="15" w:type="dxa"/>
          <w:bottom w:w="15" w:type="dxa"/>
          <w:right w:w="15" w:type="dxa"/>
        </w:tblCellMar>
        <w:tblLook w:val="04A0" w:firstRow="1" w:lastRow="0" w:firstColumn="1" w:lastColumn="0" w:noHBand="0" w:noVBand="1"/>
      </w:tblPr>
      <w:tblGrid>
        <w:gridCol w:w="38"/>
        <w:gridCol w:w="2938"/>
        <w:gridCol w:w="36"/>
        <w:gridCol w:w="62"/>
        <w:gridCol w:w="1168"/>
        <w:gridCol w:w="36"/>
        <w:gridCol w:w="36"/>
        <w:gridCol w:w="36"/>
        <w:gridCol w:w="36"/>
        <w:gridCol w:w="120"/>
        <w:gridCol w:w="500"/>
        <w:gridCol w:w="36"/>
        <w:gridCol w:w="36"/>
        <w:gridCol w:w="36"/>
        <w:gridCol w:w="36"/>
        <w:gridCol w:w="121"/>
        <w:gridCol w:w="357"/>
        <w:gridCol w:w="36"/>
        <w:gridCol w:w="36"/>
        <w:gridCol w:w="36"/>
        <w:gridCol w:w="36"/>
        <w:gridCol w:w="62"/>
        <w:gridCol w:w="1025"/>
        <w:gridCol w:w="36"/>
        <w:gridCol w:w="36"/>
        <w:gridCol w:w="36"/>
        <w:gridCol w:w="36"/>
        <w:gridCol w:w="120"/>
        <w:gridCol w:w="500"/>
        <w:gridCol w:w="36"/>
        <w:gridCol w:w="36"/>
        <w:gridCol w:w="36"/>
        <w:gridCol w:w="36"/>
        <w:gridCol w:w="121"/>
        <w:gridCol w:w="357"/>
        <w:gridCol w:w="36"/>
      </w:tblGrid>
      <w:tr w:rsidR="00000000">
        <w:trPr>
          <w:divId w:val="604272832"/>
        </w:trPr>
        <w:tc>
          <w:tcPr>
            <w:tcW w:w="50" w:type="pct"/>
            <w:vAlign w:val="center"/>
            <w:hideMark/>
          </w:tcPr>
          <w:p w:rsidR="00000000" w:rsidRDefault="005048A7">
            <w:pPr>
              <w:jc w:val="both"/>
              <w:rPr>
                <w:rFonts w:eastAsia="Times New Roman"/>
              </w:rPr>
            </w:pPr>
          </w:p>
        </w:tc>
        <w:tc>
          <w:tcPr>
            <w:tcW w:w="18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5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30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23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5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30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23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604272832"/>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Fair Values of Derivative Instruments</w:t>
            </w:r>
          </w:p>
        </w:tc>
      </w:tr>
      <w:tr w:rsidR="00000000">
        <w:trPr>
          <w:divId w:val="604272832"/>
        </w:trPr>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June 30, 2022</w:t>
            </w:r>
          </w:p>
        </w:tc>
      </w:tr>
      <w:tr w:rsidR="00000000">
        <w:trPr>
          <w:divId w:val="604272832"/>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divId w:val="280694888"/>
              <w:rPr>
                <w:rFonts w:eastAsia="Times New Roman"/>
              </w:rPr>
            </w:pPr>
            <w:r>
              <w:rPr>
                <w:rFonts w:eastAsia="Times New Roman"/>
                <w:b/>
                <w:bCs/>
                <w:color w:val="000000"/>
                <w:sz w:val="16"/>
                <w:szCs w:val="16"/>
              </w:rPr>
              <w:t>Balance Sheet</w:t>
            </w:r>
          </w:p>
          <w:p w:rsidR="00000000" w:rsidRDefault="005048A7">
            <w:pPr>
              <w:spacing w:after="100"/>
              <w:jc w:val="center"/>
              <w:divId w:val="58291236"/>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divId w:val="779420713"/>
              <w:rPr>
                <w:rFonts w:eastAsia="Times New Roman"/>
              </w:rPr>
            </w:pPr>
            <w:r>
              <w:rPr>
                <w:rFonts w:eastAsia="Times New Roman"/>
                <w:b/>
                <w:bCs/>
                <w:color w:val="000000"/>
                <w:sz w:val="16"/>
                <w:szCs w:val="16"/>
              </w:rPr>
              <w:t>Balance Sheet</w:t>
            </w:r>
          </w:p>
          <w:p w:rsidR="00000000" w:rsidRDefault="005048A7">
            <w:pPr>
              <w:spacing w:after="100"/>
              <w:jc w:val="center"/>
              <w:divId w:val="736323220"/>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rPr>
          <w:divId w:val="604272832"/>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Derivatives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604272832"/>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Interest rate swap contracts</w:t>
            </w: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Other current assets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604272832"/>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 xml:space="preserve">Interest rate swap contracts </w:t>
            </w: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Other assets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Other liabilities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604272832"/>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derivatives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2,427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604272832"/>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604272832"/>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Foreign exchange contracts</w:t>
            </w: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Other current assets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604272832"/>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derivatives not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604272832"/>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derivatives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604272832"/>
          <w:trHeight w:val="280"/>
        </w:trPr>
        <w:tc>
          <w:tcPr>
            <w:tcW w:w="0" w:type="auto"/>
            <w:gridSpan w:val="3"/>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604272832"/>
          <w:trHeight w:val="240"/>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604272832"/>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 </w:t>
            </w: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Fair Values of Derivative Instruments</w:t>
            </w:r>
          </w:p>
        </w:tc>
      </w:tr>
      <w:tr w:rsidR="00000000">
        <w:trPr>
          <w:divId w:val="604272832"/>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 </w:t>
            </w: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December 31, 2021</w:t>
            </w:r>
          </w:p>
        </w:tc>
      </w:tr>
      <w:tr w:rsidR="00000000">
        <w:trPr>
          <w:divId w:val="604272832"/>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divId w:val="1883663198"/>
              <w:rPr>
                <w:rFonts w:eastAsia="Times New Roman"/>
              </w:rPr>
            </w:pPr>
            <w:r>
              <w:rPr>
                <w:rFonts w:eastAsia="Times New Roman"/>
                <w:b/>
                <w:bCs/>
                <w:color w:val="000000"/>
                <w:sz w:val="16"/>
                <w:szCs w:val="16"/>
              </w:rPr>
              <w:t>Balance Sheet</w:t>
            </w:r>
          </w:p>
          <w:p w:rsidR="00000000" w:rsidRDefault="005048A7">
            <w:pPr>
              <w:spacing w:after="100"/>
              <w:jc w:val="center"/>
              <w:divId w:val="662242031"/>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divId w:val="263266516"/>
              <w:rPr>
                <w:rFonts w:eastAsia="Times New Roman"/>
              </w:rPr>
            </w:pPr>
            <w:r>
              <w:rPr>
                <w:rFonts w:eastAsia="Times New Roman"/>
                <w:b/>
                <w:bCs/>
                <w:color w:val="000000"/>
                <w:sz w:val="16"/>
                <w:szCs w:val="16"/>
              </w:rPr>
              <w:t>Balance Sheet</w:t>
            </w:r>
          </w:p>
          <w:p w:rsidR="00000000" w:rsidRDefault="005048A7">
            <w:pPr>
              <w:spacing w:after="100"/>
              <w:jc w:val="center"/>
              <w:divId w:val="1893689397"/>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rPr>
          <w:divId w:val="604272832"/>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Derivatives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604272832"/>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Interest rate cap contracts</w:t>
            </w: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Other Assets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604272832"/>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derivatives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604272832"/>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604272832"/>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Foreign exchange contracts</w:t>
            </w: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Other current assets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278 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396 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604272832"/>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604272832"/>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derivatives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divId w:val="604272832"/>
        <w:rPr>
          <w:rFonts w:eastAsia="Times New Roman"/>
        </w:rPr>
      </w:pPr>
      <w:r>
        <w:rPr>
          <w:rFonts w:eastAsia="Times New Roman"/>
          <w:color w:val="000000"/>
          <w:sz w:val="20"/>
          <w:szCs w:val="20"/>
        </w:rPr>
        <w:t>    </w:t>
      </w:r>
    </w:p>
    <w:p w:rsidR="00000000" w:rsidRDefault="005048A7">
      <w:pPr>
        <w:divId w:val="3289511"/>
        <w:rPr>
          <w:rFonts w:eastAsia="Times New Roman"/>
        </w:rPr>
      </w:pPr>
    </w:p>
    <w:p w:rsidR="00000000" w:rsidRDefault="005048A7">
      <w:pPr>
        <w:divId w:val="1506481274"/>
        <w:rPr>
          <w:rFonts w:eastAsia="Times New Roman"/>
        </w:rPr>
      </w:pPr>
    </w:p>
    <w:p w:rsidR="00000000" w:rsidRDefault="005048A7">
      <w:pPr>
        <w:divId w:val="435904846"/>
        <w:rPr>
          <w:rFonts w:eastAsia="Times New Roman"/>
        </w:rPr>
      </w:pPr>
    </w:p>
    <w:p w:rsidR="00000000" w:rsidRDefault="005048A7">
      <w:pPr>
        <w:divId w:val="492571251"/>
        <w:rPr>
          <w:rFonts w:eastAsia="Times New Roman"/>
        </w:rPr>
      </w:pPr>
    </w:p>
    <w:p w:rsidR="00000000" w:rsidRDefault="005048A7">
      <w:pPr>
        <w:divId w:val="1586497941"/>
        <w:rPr>
          <w:rFonts w:eastAsia="Times New Roman"/>
        </w:rPr>
      </w:pPr>
    </w:p>
    <w:p w:rsidR="00000000" w:rsidRDefault="005048A7">
      <w:pPr>
        <w:divId w:val="541408858"/>
        <w:rPr>
          <w:rFonts w:eastAsia="Times New Roman"/>
        </w:rPr>
      </w:pPr>
    </w:p>
    <w:p w:rsidR="00000000" w:rsidRDefault="005048A7">
      <w:pPr>
        <w:divId w:val="753748848"/>
        <w:rPr>
          <w:rFonts w:eastAsia="Times New Roman"/>
        </w:rPr>
      </w:pPr>
    </w:p>
    <w:p w:rsidR="00000000" w:rsidRDefault="005048A7">
      <w:pPr>
        <w:divId w:val="806431426"/>
        <w:rPr>
          <w:rFonts w:eastAsia="Times New Roman"/>
        </w:rPr>
      </w:pPr>
    </w:p>
    <w:p w:rsidR="00000000" w:rsidRDefault="005048A7">
      <w:pPr>
        <w:divId w:val="1557742726"/>
        <w:rPr>
          <w:rFonts w:eastAsia="Times New Roman"/>
        </w:rPr>
      </w:pPr>
    </w:p>
    <w:p w:rsidR="00000000" w:rsidRDefault="005048A7">
      <w:pPr>
        <w:divId w:val="1930001957"/>
        <w:rPr>
          <w:rFonts w:eastAsia="Times New Roman"/>
        </w:rPr>
      </w:pPr>
    </w:p>
    <w:p w:rsidR="00000000" w:rsidRDefault="005048A7">
      <w:pPr>
        <w:divId w:val="14890570"/>
        <w:rPr>
          <w:rFonts w:eastAsia="Times New Roman"/>
        </w:rPr>
      </w:pPr>
    </w:p>
    <w:p w:rsidR="00000000" w:rsidRDefault="005048A7">
      <w:pPr>
        <w:divId w:val="1448504598"/>
        <w:rPr>
          <w:rFonts w:eastAsia="Times New Roman"/>
        </w:rPr>
      </w:pPr>
    </w:p>
    <w:p w:rsidR="00000000" w:rsidRDefault="005048A7">
      <w:pPr>
        <w:divId w:val="438961311"/>
        <w:rPr>
          <w:rFonts w:eastAsia="Times New Roman"/>
        </w:rPr>
      </w:pPr>
    </w:p>
    <w:p w:rsidR="00000000" w:rsidRDefault="005048A7">
      <w:pPr>
        <w:divId w:val="1103574726"/>
        <w:rPr>
          <w:rFonts w:eastAsia="Times New Roman"/>
        </w:rPr>
      </w:pPr>
    </w:p>
    <w:p w:rsidR="00000000" w:rsidRDefault="005048A7">
      <w:pPr>
        <w:divId w:val="1521237493"/>
        <w:rPr>
          <w:rFonts w:eastAsia="Times New Roman"/>
        </w:rPr>
      </w:pPr>
    </w:p>
    <w:p w:rsidR="00000000" w:rsidRDefault="005048A7">
      <w:pPr>
        <w:divId w:val="1891334154"/>
        <w:rPr>
          <w:rFonts w:eastAsia="Times New Roman"/>
        </w:rPr>
      </w:pPr>
    </w:p>
    <w:p w:rsidR="00000000" w:rsidRDefault="005048A7">
      <w:pPr>
        <w:jc w:val="center"/>
        <w:divId w:val="1195462957"/>
        <w:rPr>
          <w:rFonts w:eastAsia="Times New Roman"/>
        </w:rPr>
      </w:pPr>
      <w:r>
        <w:rPr>
          <w:rFonts w:eastAsia="Times New Roman"/>
          <w:color w:val="000000"/>
          <w:sz w:val="20"/>
          <w:szCs w:val="20"/>
        </w:rPr>
        <w:t>33</w:t>
      </w:r>
    </w:p>
    <w:p w:rsidR="00000000" w:rsidRDefault="005048A7">
      <w:pPr>
        <w:rPr>
          <w:rFonts w:eastAsia="Times New Roman"/>
        </w:rPr>
      </w:pPr>
      <w:r>
        <w:rPr>
          <w:rFonts w:eastAsia="Times New Roman"/>
        </w:rPr>
        <w:pict>
          <v:rect id="_x0000_i1058" style="width:0;height:1.5pt" o:hralign="center" o:hrstd="t" o:hr="t" fillcolor="#a0a0a0" stroked="f"/>
        </w:pict>
      </w:r>
    </w:p>
    <w:p w:rsidR="00000000" w:rsidRDefault="005048A7">
      <w:pPr>
        <w:ind w:firstLine="720"/>
        <w:divId w:val="1390150742"/>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1515997613"/>
        <w:rPr>
          <w:rFonts w:eastAsia="Times New Roman"/>
        </w:rPr>
      </w:pPr>
      <w:r>
        <w:rPr>
          <w:rFonts w:eastAsia="Times New Roman"/>
          <w:b/>
          <w:bCs/>
          <w:color w:val="000000"/>
          <w:sz w:val="20"/>
          <w:szCs w:val="20"/>
        </w:rPr>
        <w:t>NCR Corporation</w:t>
      </w:r>
    </w:p>
    <w:p w:rsidR="00000000" w:rsidRDefault="005048A7">
      <w:pPr>
        <w:jc w:val="center"/>
        <w:divId w:val="1515997613"/>
        <w:rPr>
          <w:rFonts w:eastAsia="Times New Roman"/>
        </w:rPr>
      </w:pPr>
      <w:r>
        <w:rPr>
          <w:rFonts w:eastAsia="Times New Roman"/>
          <w:b/>
          <w:bCs/>
          <w:color w:val="000000"/>
          <w:sz w:val="20"/>
          <w:szCs w:val="20"/>
        </w:rPr>
        <w:t>Notes to Condensed Consolidated Financial Statements (Unaudited)—(Continued)</w:t>
      </w:r>
    </w:p>
    <w:p w:rsidR="00000000" w:rsidRDefault="005048A7">
      <w:pPr>
        <w:divId w:val="2111269362"/>
        <w:rPr>
          <w:rFonts w:eastAsia="Times New Roman"/>
        </w:rPr>
      </w:pPr>
      <w:r>
        <w:rPr>
          <w:rFonts w:eastAsia="Times New Roman"/>
          <w:color w:val="000000"/>
          <w:sz w:val="20"/>
          <w:szCs w:val="20"/>
        </w:rPr>
        <w:t>The effects of derivative instruments on the Condens</w:t>
      </w:r>
      <w:r>
        <w:rPr>
          <w:rFonts w:eastAsia="Times New Roman"/>
          <w:color w:val="000000"/>
          <w:sz w:val="20"/>
          <w:szCs w:val="20"/>
        </w:rPr>
        <w:t>ed Consolidated Statements of Operations and Condensed Consolidated Statements of Comprehensive Income for the three and six months ended June 30, 2022 and 2021 were as follows:</w:t>
      </w:r>
    </w:p>
    <w:tbl>
      <w:tblPr>
        <w:tblW w:w="4992" w:type="pct"/>
        <w:tblCellMar>
          <w:top w:w="15" w:type="dxa"/>
          <w:left w:w="15" w:type="dxa"/>
          <w:bottom w:w="15" w:type="dxa"/>
          <w:right w:w="15" w:type="dxa"/>
        </w:tblCellMar>
        <w:tblLook w:val="04A0" w:firstRow="1" w:lastRow="0" w:firstColumn="1" w:lastColumn="0" w:noHBand="0" w:noVBand="1"/>
      </w:tblPr>
      <w:tblGrid>
        <w:gridCol w:w="74"/>
        <w:gridCol w:w="1818"/>
        <w:gridCol w:w="36"/>
        <w:gridCol w:w="121"/>
        <w:gridCol w:w="883"/>
        <w:gridCol w:w="37"/>
        <w:gridCol w:w="37"/>
        <w:gridCol w:w="37"/>
        <w:gridCol w:w="36"/>
        <w:gridCol w:w="120"/>
        <w:gridCol w:w="844"/>
        <w:gridCol w:w="36"/>
        <w:gridCol w:w="36"/>
        <w:gridCol w:w="36"/>
        <w:gridCol w:w="36"/>
        <w:gridCol w:w="37"/>
        <w:gridCol w:w="2076"/>
        <w:gridCol w:w="36"/>
        <w:gridCol w:w="36"/>
        <w:gridCol w:w="36"/>
        <w:gridCol w:w="36"/>
        <w:gridCol w:w="121"/>
        <w:gridCol w:w="713"/>
        <w:gridCol w:w="37"/>
        <w:gridCol w:w="37"/>
        <w:gridCol w:w="36"/>
        <w:gridCol w:w="36"/>
        <w:gridCol w:w="120"/>
        <w:gridCol w:w="713"/>
        <w:gridCol w:w="36"/>
      </w:tblGrid>
      <w:tr w:rsidR="00000000">
        <w:trPr>
          <w:divId w:val="1595238530"/>
        </w:trPr>
        <w:tc>
          <w:tcPr>
            <w:tcW w:w="50" w:type="pct"/>
            <w:vAlign w:val="center"/>
            <w:hideMark/>
          </w:tcPr>
          <w:p w:rsidR="00000000" w:rsidRDefault="005048A7">
            <w:pPr>
              <w:rPr>
                <w:rFonts w:eastAsia="Times New Roman"/>
              </w:rPr>
            </w:pPr>
          </w:p>
        </w:tc>
        <w:tc>
          <w:tcPr>
            <w:tcW w:w="114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5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5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129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7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7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1595238530"/>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Amount of Gain (Loss) Recognized in Other Comprehensive Income (OCI) on Derivative Contracts</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Amount of (Gain) Loss Reclassified from AOCI into the Condensed Consolidated Statement of Operations</w:t>
            </w:r>
          </w:p>
        </w:tc>
      </w:tr>
      <w:tr w:rsidR="00000000">
        <w:trPr>
          <w:divId w:val="1595238530"/>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Derivatives in Cash </w:t>
            </w:r>
            <w:r>
              <w:rPr>
                <w:rFonts w:eastAsia="Times New Roman"/>
                <w:b/>
                <w:bCs/>
                <w:color w:val="000000"/>
                <w:sz w:val="16"/>
                <w:szCs w:val="16"/>
              </w:rPr>
              <w:t>Flow Hedging Relationships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For the three months ended June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For the three months ended June 30, 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Location of (Gain) Loss Reclassified from AOCI into the Condensed Consolidated Statement of Operations</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 xml:space="preserve">For the three months ended </w:t>
            </w:r>
            <w:r>
              <w:rPr>
                <w:rFonts w:eastAsia="Times New Roman"/>
                <w:b/>
                <w:bCs/>
                <w:color w:val="000000"/>
                <w:sz w:val="16"/>
                <w:szCs w:val="16"/>
              </w:rPr>
              <w:t>June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For the three months ended June 30, 2021</w:t>
            </w:r>
          </w:p>
        </w:tc>
      </w:tr>
      <w:tr w:rsidR="00000000">
        <w:trPr>
          <w:divId w:val="1595238530"/>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Interest rate contracts</w:t>
            </w: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Cost of services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595238530"/>
        </w:trPr>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595238530"/>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595238530"/>
          <w:trHeight w:val="300"/>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595238530"/>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9"/>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Amount of Gain (Loss) Recognized in Other Comprehensive Income (OCI) on Derivative</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Amount of (Gain) Loss Reclassified from AOCI into the Condensed Consolidated Statement of Operations</w:t>
            </w:r>
          </w:p>
        </w:tc>
      </w:tr>
      <w:tr w:rsidR="00000000">
        <w:trPr>
          <w:divId w:val="1595238530"/>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Derivatives in Cash Flow Hedging Relationships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For the six months ended June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For the six months ended June 30, 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Location of (Gain) Loss Reclassified from AOCI into the Condensed Consolidated Statement of Operations</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For the six months ended June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For the six months ended June 30, 2021</w:t>
            </w:r>
          </w:p>
        </w:tc>
      </w:tr>
      <w:tr w:rsidR="00000000">
        <w:trPr>
          <w:divId w:val="1595238530"/>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Interest rate contracts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Cost of services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595238530"/>
        </w:trPr>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595238530"/>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bl>
    <w:p w:rsidR="00000000" w:rsidRDefault="005048A7">
      <w:pPr>
        <w:divId w:val="1519807681"/>
        <w:rPr>
          <w:rFonts w:eastAsia="Times New Roman"/>
        </w:rPr>
      </w:pPr>
    </w:p>
    <w:p w:rsidR="00000000" w:rsidRDefault="005048A7">
      <w:pPr>
        <w:jc w:val="both"/>
        <w:divId w:val="1129519072"/>
        <w:rPr>
          <w:rFonts w:eastAsia="Times New Roman"/>
        </w:rPr>
      </w:pPr>
      <w:r>
        <w:rPr>
          <w:rFonts w:eastAsia="Times New Roman"/>
          <w:color w:val="000000"/>
          <w:sz w:val="20"/>
          <w:szCs w:val="20"/>
        </w:rPr>
        <w:t xml:space="preserve">As of June 30, 2022, the Company expects to reclassify $45 million of net derivative-related gains contained in Accumulated other comprehensive loss into earnings during the next twelve months. </w:t>
      </w:r>
    </w:p>
    <w:tbl>
      <w:tblPr>
        <w:tblW w:w="4919" w:type="pct"/>
        <w:jc w:val="center"/>
        <w:tblCellMar>
          <w:top w:w="15" w:type="dxa"/>
          <w:left w:w="15" w:type="dxa"/>
          <w:bottom w:w="15" w:type="dxa"/>
          <w:right w:w="15" w:type="dxa"/>
        </w:tblCellMar>
        <w:tblLook w:val="04A0" w:firstRow="1" w:lastRow="0" w:firstColumn="1" w:lastColumn="0" w:noHBand="0" w:noVBand="1"/>
      </w:tblPr>
      <w:tblGrid>
        <w:gridCol w:w="38"/>
        <w:gridCol w:w="2134"/>
        <w:gridCol w:w="36"/>
        <w:gridCol w:w="37"/>
        <w:gridCol w:w="2172"/>
        <w:gridCol w:w="36"/>
        <w:gridCol w:w="36"/>
        <w:gridCol w:w="36"/>
        <w:gridCol w:w="36"/>
        <w:gridCol w:w="120"/>
        <w:gridCol w:w="665"/>
        <w:gridCol w:w="36"/>
        <w:gridCol w:w="36"/>
        <w:gridCol w:w="36"/>
        <w:gridCol w:w="36"/>
        <w:gridCol w:w="121"/>
        <w:gridCol w:w="665"/>
        <w:gridCol w:w="37"/>
        <w:gridCol w:w="36"/>
        <w:gridCol w:w="36"/>
        <w:gridCol w:w="36"/>
        <w:gridCol w:w="120"/>
        <w:gridCol w:w="665"/>
        <w:gridCol w:w="36"/>
        <w:gridCol w:w="36"/>
        <w:gridCol w:w="36"/>
        <w:gridCol w:w="36"/>
        <w:gridCol w:w="120"/>
        <w:gridCol w:w="665"/>
        <w:gridCol w:w="36"/>
      </w:tblGrid>
      <w:tr w:rsidR="00000000">
        <w:trPr>
          <w:jc w:val="center"/>
        </w:trPr>
        <w:tc>
          <w:tcPr>
            <w:tcW w:w="50" w:type="pct"/>
            <w:vAlign w:val="center"/>
            <w:hideMark/>
          </w:tcPr>
          <w:p w:rsidR="00000000" w:rsidRDefault="005048A7">
            <w:pPr>
              <w:jc w:val="both"/>
              <w:rPr>
                <w:rFonts w:eastAsia="Times New Roman"/>
              </w:rPr>
            </w:pPr>
          </w:p>
        </w:tc>
        <w:tc>
          <w:tcPr>
            <w:tcW w:w="133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135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4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4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4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4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4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4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4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4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Amount of Gain (Loss) Recognized in the Condensed Consolidated Statement of Operations</w:t>
            </w:r>
          </w:p>
        </w:tc>
      </w:tr>
      <w:tr w:rsidR="00000000">
        <w:trPr>
          <w:jc w:val="center"/>
        </w:trPr>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r>
      <w:tr w:rsidR="00000000">
        <w:trPr>
          <w:jc w:val="center"/>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Derivatives not Designated as Hedging Instruments</w:t>
            </w: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Location of Gain (Loss) Recognized in the Condensed Consolidated Statement of Operations</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Foreign exchange contracts</w:t>
            </w: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bl>
    <w:p w:rsidR="00000000" w:rsidRDefault="005048A7">
      <w:pPr>
        <w:divId w:val="717171742"/>
        <w:rPr>
          <w:rFonts w:eastAsia="Times New Roman"/>
        </w:rPr>
      </w:pPr>
    </w:p>
    <w:p w:rsidR="00000000" w:rsidRDefault="005048A7">
      <w:pPr>
        <w:jc w:val="both"/>
        <w:rPr>
          <w:rFonts w:eastAsia="Times New Roman"/>
        </w:rPr>
      </w:pPr>
      <w:r>
        <w:rPr>
          <w:rFonts w:eastAsia="Times New Roman"/>
          <w:color w:val="000000"/>
          <w:sz w:val="20"/>
          <w:szCs w:val="20"/>
        </w:rPr>
        <w:t>Refer to Note 14, “</w:t>
      </w:r>
      <w:r>
        <w:rPr>
          <w:rFonts w:eastAsia="Times New Roman"/>
          <w:color w:val="000000"/>
          <w:sz w:val="20"/>
          <w:szCs w:val="20"/>
        </w:rPr>
        <w:t>Fair Value of Assets and Liabilities”, for further information on derivative assets and liabilities recorded at fair value on a recurring basis.</w:t>
      </w:r>
    </w:p>
    <w:p w:rsidR="00000000" w:rsidRDefault="005048A7">
      <w:pPr>
        <w:jc w:val="both"/>
        <w:divId w:val="363098445"/>
        <w:rPr>
          <w:rFonts w:eastAsia="Times New Roman"/>
        </w:rPr>
      </w:pPr>
      <w:r>
        <w:rPr>
          <w:rFonts w:eastAsia="Times New Roman"/>
          <w:b/>
          <w:bCs/>
          <w:i/>
          <w:iCs/>
          <w:color w:val="000000"/>
          <w:sz w:val="20"/>
          <w:szCs w:val="20"/>
        </w:rPr>
        <w:t>Concentration of Credit Risk</w:t>
      </w:r>
    </w:p>
    <w:p w:rsidR="00000000" w:rsidRDefault="005048A7">
      <w:pPr>
        <w:jc w:val="both"/>
        <w:divId w:val="1371111142"/>
        <w:rPr>
          <w:rFonts w:eastAsia="Times New Roman"/>
        </w:rPr>
      </w:pPr>
      <w:r>
        <w:rPr>
          <w:rFonts w:eastAsia="Times New Roman"/>
          <w:color w:val="000000"/>
          <w:sz w:val="20"/>
          <w:szCs w:val="20"/>
        </w:rPr>
        <w:t>NCR is potentially subject to concentrations of credit risk on accounts receivable</w:t>
      </w:r>
      <w:r>
        <w:rPr>
          <w:rFonts w:eastAsia="Times New Roman"/>
          <w:color w:val="000000"/>
          <w:sz w:val="20"/>
          <w:szCs w:val="20"/>
        </w:rPr>
        <w:t xml:space="preserve"> and financial instruments such as hedging instruments and cash and cash equivalents. Credit risk includes the risk of nonperformance by counterparties. The maximum potential loss may exceed the amount recognized on the Condensed Consolidated Balance Sheet</w:t>
      </w:r>
      <w:r>
        <w:rPr>
          <w:rFonts w:eastAsia="Times New Roman"/>
          <w:color w:val="000000"/>
          <w:sz w:val="20"/>
          <w:szCs w:val="20"/>
        </w:rPr>
        <w:t>s. Exposure to credit risk is managed through credit approvals, credit limits, selecting major international financial institutions as counterparties to hedging transactions and monitoring procedures. NCR’s business often involves large transactions with c</w:t>
      </w:r>
      <w:r>
        <w:rPr>
          <w:rFonts w:eastAsia="Times New Roman"/>
          <w:color w:val="000000"/>
          <w:sz w:val="20"/>
          <w:szCs w:val="20"/>
        </w:rPr>
        <w:t>ustomers, and if one or more of those customers were to default on its obligations under applicable contractual arrangements, the Company could be exposed to potentially significant losses. However, management believes that the reserves for potential losse</w:t>
      </w:r>
      <w:r>
        <w:rPr>
          <w:rFonts w:eastAsia="Times New Roman"/>
          <w:color w:val="000000"/>
          <w:sz w:val="20"/>
          <w:szCs w:val="20"/>
        </w:rPr>
        <w:t>s are adequate. As of June 30, 2022 and December 31, 2021, we did not have any major concentration of credit risk related to financial instruments.</w:t>
      </w:r>
    </w:p>
    <w:p w:rsidR="00000000" w:rsidRDefault="005048A7">
      <w:pPr>
        <w:jc w:val="both"/>
        <w:divId w:val="1816723950"/>
        <w:rPr>
          <w:rFonts w:eastAsia="Times New Roman"/>
        </w:rPr>
      </w:pPr>
    </w:p>
    <w:p w:rsidR="00000000" w:rsidRDefault="005048A7">
      <w:pPr>
        <w:jc w:val="both"/>
        <w:divId w:val="2114085611"/>
        <w:rPr>
          <w:rFonts w:eastAsia="Times New Roman"/>
        </w:rPr>
      </w:pPr>
    </w:p>
    <w:p w:rsidR="00000000" w:rsidRDefault="005048A7">
      <w:pPr>
        <w:jc w:val="both"/>
        <w:divId w:val="88701458"/>
        <w:rPr>
          <w:rFonts w:eastAsia="Times New Roman"/>
        </w:rPr>
      </w:pPr>
    </w:p>
    <w:p w:rsidR="00000000" w:rsidRDefault="005048A7">
      <w:pPr>
        <w:jc w:val="both"/>
        <w:divId w:val="900287820"/>
        <w:rPr>
          <w:rFonts w:eastAsia="Times New Roman"/>
        </w:rPr>
      </w:pPr>
    </w:p>
    <w:p w:rsidR="00000000" w:rsidRDefault="005048A7">
      <w:pPr>
        <w:jc w:val="both"/>
        <w:divId w:val="115294808"/>
        <w:rPr>
          <w:rFonts w:eastAsia="Times New Roman"/>
        </w:rPr>
      </w:pPr>
    </w:p>
    <w:p w:rsidR="00000000" w:rsidRDefault="005048A7">
      <w:pPr>
        <w:jc w:val="both"/>
        <w:divId w:val="1202674002"/>
        <w:rPr>
          <w:rFonts w:eastAsia="Times New Roman"/>
        </w:rPr>
      </w:pPr>
    </w:p>
    <w:p w:rsidR="00000000" w:rsidRDefault="005048A7">
      <w:pPr>
        <w:jc w:val="both"/>
        <w:divId w:val="818038424"/>
        <w:rPr>
          <w:rFonts w:eastAsia="Times New Roman"/>
        </w:rPr>
      </w:pPr>
    </w:p>
    <w:p w:rsidR="00000000" w:rsidRDefault="005048A7">
      <w:pPr>
        <w:jc w:val="both"/>
        <w:divId w:val="1558590601"/>
        <w:rPr>
          <w:rFonts w:eastAsia="Times New Roman"/>
        </w:rPr>
      </w:pPr>
    </w:p>
    <w:p w:rsidR="00000000" w:rsidRDefault="005048A7">
      <w:pPr>
        <w:jc w:val="center"/>
        <w:divId w:val="1887789229"/>
        <w:rPr>
          <w:rFonts w:eastAsia="Times New Roman"/>
        </w:rPr>
      </w:pPr>
      <w:r>
        <w:rPr>
          <w:rFonts w:eastAsia="Times New Roman"/>
          <w:color w:val="000000"/>
          <w:sz w:val="20"/>
          <w:szCs w:val="20"/>
        </w:rPr>
        <w:t>34</w:t>
      </w:r>
    </w:p>
    <w:p w:rsidR="00000000" w:rsidRDefault="005048A7">
      <w:pPr>
        <w:rPr>
          <w:rFonts w:eastAsia="Times New Roman"/>
        </w:rPr>
      </w:pPr>
      <w:r>
        <w:rPr>
          <w:rFonts w:eastAsia="Times New Roman"/>
        </w:rPr>
        <w:pict>
          <v:rect id="_x0000_i1059" style="width:0;height:1.5pt" o:hralign="center" o:hrstd="t" o:hr="t" fillcolor="#a0a0a0" stroked="f"/>
        </w:pict>
      </w:r>
    </w:p>
    <w:p w:rsidR="00000000" w:rsidRDefault="005048A7">
      <w:pPr>
        <w:ind w:firstLine="720"/>
        <w:divId w:val="563416413"/>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610742172"/>
        <w:rPr>
          <w:rFonts w:eastAsia="Times New Roman"/>
        </w:rPr>
      </w:pPr>
      <w:r>
        <w:rPr>
          <w:rFonts w:eastAsia="Times New Roman"/>
          <w:b/>
          <w:bCs/>
          <w:color w:val="000000"/>
          <w:sz w:val="20"/>
          <w:szCs w:val="20"/>
        </w:rPr>
        <w:t>NCR Corporation</w:t>
      </w:r>
    </w:p>
    <w:p w:rsidR="00000000" w:rsidRDefault="005048A7">
      <w:pPr>
        <w:jc w:val="center"/>
        <w:divId w:val="610742172"/>
        <w:rPr>
          <w:rFonts w:eastAsia="Times New Roman"/>
        </w:rPr>
      </w:pPr>
      <w:r>
        <w:rPr>
          <w:rFonts w:eastAsia="Times New Roman"/>
          <w:b/>
          <w:bCs/>
          <w:color w:val="000000"/>
          <w:sz w:val="20"/>
          <w:szCs w:val="20"/>
        </w:rPr>
        <w:t>Notes to Condensed Consolidated Financial Statements (Unaudited)—(Continued)</w:t>
      </w:r>
    </w:p>
    <w:p w:rsidR="00000000" w:rsidRDefault="005048A7">
      <w:pPr>
        <w:divId w:val="440688967"/>
        <w:rPr>
          <w:rFonts w:eastAsia="Times New Roman"/>
        </w:rPr>
      </w:pPr>
      <w:r>
        <w:rPr>
          <w:rFonts w:eastAsia="Times New Roman"/>
          <w:b/>
          <w:bCs/>
          <w:color w:val="54B948"/>
          <w:sz w:val="20"/>
          <w:szCs w:val="20"/>
        </w:rPr>
        <w:t>14. FAIR VALUE OF ASSETS AND LIABILITIES</w:t>
      </w:r>
      <w:r>
        <w:rPr>
          <w:rFonts w:eastAsia="Times New Roman"/>
          <w:b/>
          <w:bCs/>
          <w:color w:val="000000"/>
          <w:sz w:val="20"/>
          <w:szCs w:val="20"/>
        </w:rPr>
        <w:t xml:space="preserve"> </w:t>
      </w:r>
    </w:p>
    <w:p w:rsidR="00000000" w:rsidRDefault="005048A7">
      <w:pPr>
        <w:jc w:val="both"/>
        <w:divId w:val="1964143526"/>
        <w:rPr>
          <w:rFonts w:eastAsia="Times New Roman"/>
        </w:rPr>
      </w:pPr>
      <w:r>
        <w:rPr>
          <w:rFonts w:eastAsia="Times New Roman"/>
          <w:b/>
          <w:bCs/>
          <w:i/>
          <w:iCs/>
          <w:color w:val="000000"/>
          <w:sz w:val="20"/>
          <w:szCs w:val="20"/>
        </w:rPr>
        <w:t>Assets and Liabilities Measured at Fair Value on a Recurring Basis</w:t>
      </w:r>
    </w:p>
    <w:p w:rsidR="00000000" w:rsidRDefault="005048A7">
      <w:pPr>
        <w:jc w:val="both"/>
        <w:divId w:val="1561399940"/>
        <w:rPr>
          <w:rFonts w:eastAsia="Times New Roman"/>
        </w:rPr>
      </w:pPr>
      <w:r>
        <w:rPr>
          <w:rFonts w:eastAsia="Times New Roman"/>
          <w:color w:val="000000"/>
          <w:sz w:val="20"/>
          <w:szCs w:val="20"/>
        </w:rPr>
        <w:t>Assets and liabilities recorded at fair value on a recurring basis as of June 30, 2022 and December 31, 2021 are set forth as follows:</w:t>
      </w: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2854"/>
        <w:gridCol w:w="40"/>
        <w:gridCol w:w="120"/>
        <w:gridCol w:w="574"/>
        <w:gridCol w:w="36"/>
        <w:gridCol w:w="36"/>
        <w:gridCol w:w="36"/>
        <w:gridCol w:w="36"/>
        <w:gridCol w:w="121"/>
        <w:gridCol w:w="1244"/>
        <w:gridCol w:w="36"/>
        <w:gridCol w:w="36"/>
        <w:gridCol w:w="36"/>
        <w:gridCol w:w="36"/>
        <w:gridCol w:w="121"/>
        <w:gridCol w:w="1223"/>
        <w:gridCol w:w="36"/>
        <w:gridCol w:w="36"/>
        <w:gridCol w:w="36"/>
        <w:gridCol w:w="36"/>
        <w:gridCol w:w="121"/>
        <w:gridCol w:w="1365"/>
        <w:gridCol w:w="36"/>
      </w:tblGrid>
      <w:tr w:rsidR="00000000">
        <w:trPr>
          <w:divId w:val="1051198380"/>
          <w:jc w:val="center"/>
        </w:trPr>
        <w:tc>
          <w:tcPr>
            <w:tcW w:w="50" w:type="pct"/>
            <w:vAlign w:val="center"/>
            <w:hideMark/>
          </w:tcPr>
          <w:p w:rsidR="00000000" w:rsidRDefault="005048A7">
            <w:pPr>
              <w:jc w:val="both"/>
              <w:rPr>
                <w:rFonts w:eastAsia="Times New Roman"/>
              </w:rPr>
            </w:pPr>
          </w:p>
        </w:tc>
        <w:tc>
          <w:tcPr>
            <w:tcW w:w="188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7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2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9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2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1051198380"/>
          <w:jc w:val="center"/>
        </w:trPr>
        <w:tc>
          <w:tcPr>
            <w:tcW w:w="0" w:type="auto"/>
            <w:gridSpan w:val="3"/>
            <w:tcMar>
              <w:top w:w="30" w:type="dxa"/>
              <w:left w:w="20" w:type="dxa"/>
              <w:bottom w:w="30" w:type="dxa"/>
              <w:right w:w="20" w:type="dxa"/>
            </w:tcMar>
            <w:vAlign w:val="bottom"/>
            <w:hideMark/>
          </w:tcPr>
          <w:p w:rsidR="00000000" w:rsidRDefault="005048A7">
            <w:pPr>
              <w:spacing w:after="100"/>
              <w:divId w:val="1323239780"/>
              <w:rPr>
                <w:rFonts w:eastAsia="Times New Roman"/>
              </w:rPr>
            </w:pPr>
            <w:r>
              <w:rPr>
                <w:rFonts w:eastAsia="Times New Roman"/>
                <w:color w:val="000000"/>
                <w:sz w:val="20"/>
                <w:szCs w:val="20"/>
              </w:rPr>
              <w:t> </w:t>
            </w: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June 30, 2022</w:t>
            </w:r>
          </w:p>
        </w:tc>
      </w:tr>
      <w:tr w:rsidR="00000000">
        <w:trPr>
          <w:divId w:val="1051198380"/>
          <w:jc w:val="center"/>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Quoted Prices in</w:t>
            </w:r>
            <w:r>
              <w:rPr>
                <w:rFonts w:eastAsia="Times New Roman"/>
                <w:b/>
                <w:bCs/>
                <w:color w:val="000000"/>
                <w:sz w:val="16"/>
                <w:szCs w:val="16"/>
              </w:rPr>
              <w:br/>
              <w:t>Active </w:t>
            </w:r>
            <w:r>
              <w:rPr>
                <w:rFonts w:eastAsia="Times New Roman"/>
                <w:b/>
                <w:bCs/>
                <w:color w:val="000000"/>
                <w:sz w:val="16"/>
                <w:szCs w:val="16"/>
              </w:rPr>
              <w:t>Markets for</w:t>
            </w:r>
            <w:r>
              <w:rPr>
                <w:rFonts w:eastAsia="Times New Roman"/>
                <w:b/>
                <w:bCs/>
                <w:color w:val="000000"/>
                <w:sz w:val="16"/>
                <w:szCs w:val="16"/>
              </w:rPr>
              <w:br/>
              <w:t>Identical Assets</w:t>
            </w:r>
            <w:r>
              <w:rPr>
                <w:rFonts w:eastAsia="Times New Roman"/>
                <w:b/>
                <w:bCs/>
                <w:color w:val="000000"/>
                <w:sz w:val="16"/>
                <w:szCs w:val="16"/>
              </w:rPr>
              <w:b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Significant Other</w:t>
            </w:r>
            <w:r>
              <w:rPr>
                <w:rFonts w:eastAsia="Times New Roman"/>
                <w:b/>
                <w:bCs/>
                <w:color w:val="000000"/>
                <w:sz w:val="16"/>
                <w:szCs w:val="16"/>
              </w:rPr>
              <w:br/>
              <w:t>Observable Inputs</w:t>
            </w:r>
            <w:r>
              <w:rPr>
                <w:rFonts w:eastAsia="Times New Roman"/>
                <w:b/>
                <w:bCs/>
                <w:color w:val="000000"/>
                <w:sz w:val="16"/>
                <w:szCs w:val="16"/>
              </w:rPr>
              <w:b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 Inputs</w:t>
            </w:r>
            <w:r>
              <w:rPr>
                <w:rFonts w:eastAsia="Times New Roman"/>
                <w:b/>
                <w:bCs/>
                <w:color w:val="000000"/>
                <w:sz w:val="16"/>
                <w:szCs w:val="16"/>
              </w:rPr>
              <w:br/>
              <w:t>(Level 3)</w:t>
            </w:r>
          </w:p>
        </w:tc>
      </w:tr>
      <w:tr w:rsidR="00000000">
        <w:trPr>
          <w:divId w:val="1051198380"/>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051198380"/>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divId w:val="1245065393"/>
              <w:rPr>
                <w:rFonts w:eastAsia="Times New Roman"/>
              </w:rPr>
            </w:pPr>
            <w:r>
              <w:rPr>
                <w:rFonts w:eastAsia="Times New Roman"/>
                <w:color w:val="000000"/>
                <w:sz w:val="20"/>
                <w:szCs w:val="20"/>
              </w:rPr>
              <w:t>Deposits held in money market mutual funds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051198380"/>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divId w:val="504318495"/>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051198380"/>
          <w:jc w:val="center"/>
        </w:trPr>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051198380"/>
          <w:jc w:val="center"/>
        </w:trPr>
        <w:tc>
          <w:tcPr>
            <w:tcW w:w="0" w:type="auto"/>
            <w:gridSpan w:val="3"/>
            <w:shd w:val="clear" w:color="auto" w:fill="FFFFFF"/>
            <w:tcMar>
              <w:top w:w="30" w:type="dxa"/>
              <w:left w:w="38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051198380"/>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051198380"/>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divId w:val="345443707"/>
              <w:rPr>
                <w:rFonts w:eastAsia="Times New Roman"/>
              </w:rPr>
            </w:pPr>
            <w:r>
              <w:rPr>
                <w:rFonts w:eastAsia="Times New Roman"/>
                <w:color w:val="000000"/>
                <w:sz w:val="20"/>
                <w:szCs w:val="20"/>
              </w:rPr>
              <w:t>Interest rate swap agreements</w:t>
            </w:r>
            <w:r>
              <w:rPr>
                <w:rFonts w:eastAsia="Times New Roman"/>
                <w:color w:val="000000"/>
                <w:sz w:val="20"/>
                <w:szCs w:val="20"/>
              </w:rPr>
              <w:t xml:space="preserve"> </w:t>
            </w:r>
            <w:r>
              <w:rPr>
                <w:rFonts w:eastAsia="Times New Roman"/>
                <w:color w:val="000000"/>
                <w:sz w:val="13"/>
                <w:szCs w:val="13"/>
              </w:rPr>
              <w:t>(4</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051198380"/>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divId w:val="668292962"/>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rPr>
              <w:t>(5</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051198380"/>
          <w:jc w:val="center"/>
        </w:trPr>
        <w:tc>
          <w:tcPr>
            <w:tcW w:w="0" w:type="auto"/>
            <w:gridSpan w:val="3"/>
            <w:shd w:val="clear" w:color="auto" w:fill="FFFFFF"/>
            <w:tcMar>
              <w:top w:w="30" w:type="dxa"/>
              <w:left w:w="38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divId w:val="166851206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2857"/>
        <w:gridCol w:w="39"/>
        <w:gridCol w:w="120"/>
        <w:gridCol w:w="574"/>
        <w:gridCol w:w="36"/>
        <w:gridCol w:w="36"/>
        <w:gridCol w:w="36"/>
        <w:gridCol w:w="36"/>
        <w:gridCol w:w="121"/>
        <w:gridCol w:w="1244"/>
        <w:gridCol w:w="36"/>
        <w:gridCol w:w="36"/>
        <w:gridCol w:w="36"/>
        <w:gridCol w:w="36"/>
        <w:gridCol w:w="121"/>
        <w:gridCol w:w="1223"/>
        <w:gridCol w:w="36"/>
        <w:gridCol w:w="36"/>
        <w:gridCol w:w="36"/>
        <w:gridCol w:w="36"/>
        <w:gridCol w:w="121"/>
        <w:gridCol w:w="1365"/>
        <w:gridCol w:w="36"/>
      </w:tblGrid>
      <w:tr w:rsidR="00000000">
        <w:trPr>
          <w:jc w:val="center"/>
        </w:trPr>
        <w:tc>
          <w:tcPr>
            <w:tcW w:w="50" w:type="pct"/>
            <w:vAlign w:val="center"/>
            <w:hideMark/>
          </w:tcPr>
          <w:p w:rsidR="00000000" w:rsidRDefault="005048A7">
            <w:pPr>
              <w:rPr>
                <w:rFonts w:eastAsia="Times New Roman"/>
              </w:rPr>
            </w:pPr>
          </w:p>
        </w:tc>
        <w:tc>
          <w:tcPr>
            <w:tcW w:w="188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7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2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9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2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December 31, 2021</w:t>
            </w:r>
          </w:p>
        </w:tc>
      </w:tr>
      <w:tr w:rsidR="00000000">
        <w:trPr>
          <w:jc w:val="center"/>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Quoted Prices in</w:t>
            </w:r>
            <w:r>
              <w:rPr>
                <w:rFonts w:eastAsia="Times New Roman"/>
                <w:b/>
                <w:bCs/>
                <w:color w:val="000000"/>
                <w:sz w:val="16"/>
                <w:szCs w:val="16"/>
              </w:rPr>
              <w:br/>
              <w:t>Active Markets for</w:t>
            </w:r>
            <w:r>
              <w:rPr>
                <w:rFonts w:eastAsia="Times New Roman"/>
                <w:b/>
                <w:bCs/>
                <w:color w:val="000000"/>
                <w:sz w:val="16"/>
                <w:szCs w:val="16"/>
              </w:rPr>
              <w:br/>
              <w:t>Identical Assets</w:t>
            </w:r>
            <w:r>
              <w:rPr>
                <w:rFonts w:eastAsia="Times New Roman"/>
                <w:b/>
                <w:bCs/>
                <w:color w:val="000000"/>
                <w:sz w:val="16"/>
                <w:szCs w:val="16"/>
              </w:rPr>
              <w:b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Significant Other</w:t>
            </w:r>
            <w:r>
              <w:rPr>
                <w:rFonts w:eastAsia="Times New Roman"/>
                <w:b/>
                <w:bCs/>
                <w:color w:val="000000"/>
                <w:sz w:val="16"/>
                <w:szCs w:val="16"/>
              </w:rPr>
              <w:br/>
              <w:t>Observable Inputs</w:t>
            </w:r>
            <w:r>
              <w:rPr>
                <w:rFonts w:eastAsia="Times New Roman"/>
                <w:b/>
                <w:bCs/>
                <w:color w:val="000000"/>
                <w:sz w:val="16"/>
                <w:szCs w:val="16"/>
              </w:rPr>
              <w:b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 Inputs</w:t>
            </w:r>
            <w:r>
              <w:rPr>
                <w:rFonts w:eastAsia="Times New Roman"/>
                <w:b/>
                <w:bCs/>
                <w:color w:val="000000"/>
                <w:sz w:val="16"/>
                <w:szCs w:val="16"/>
              </w:rPr>
              <w:br/>
              <w:t>(Level 3)</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divId w:val="1331248524"/>
              <w:rPr>
                <w:rFonts w:eastAsia="Times New Roman"/>
              </w:rPr>
            </w:pPr>
            <w:r>
              <w:rPr>
                <w:rFonts w:eastAsia="Times New Roman"/>
                <w:color w:val="000000"/>
                <w:sz w:val="20"/>
                <w:szCs w:val="20"/>
              </w:rPr>
              <w:t>Deposits held in money market mutual funds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divId w:val="969361410"/>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divId w:val="587227995"/>
              <w:rPr>
                <w:rFonts w:eastAsia="Times New Roman"/>
              </w:rPr>
            </w:pPr>
            <w:r>
              <w:rPr>
                <w:rFonts w:eastAsia="Times New Roman"/>
                <w:color w:val="000000"/>
                <w:sz w:val="20"/>
                <w:szCs w:val="20"/>
              </w:rPr>
              <w:t>Interest rate cap agreements</w:t>
            </w:r>
            <w:r>
              <w:rPr>
                <w:rFonts w:eastAsia="Times New Roman"/>
                <w:color w:val="000000"/>
                <w:sz w:val="20"/>
                <w:szCs w:val="20"/>
              </w:rPr>
              <w:t xml:space="preserve"> </w:t>
            </w:r>
            <w:r>
              <w:rPr>
                <w:rFonts w:eastAsia="Times New Roman"/>
                <w:color w:val="000000"/>
                <w:sz w:val="13"/>
                <w:szCs w:val="13"/>
              </w:rPr>
              <w:t>(3</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jc w:val="center"/>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divId w:val="1268345794"/>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rPr>
              <w:t>(5</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divId w:val="496043838"/>
        <w:rPr>
          <w:rFonts w:eastAsia="Times New Roman"/>
        </w:rPr>
      </w:pPr>
    </w:p>
    <w:p w:rsidR="00000000" w:rsidRDefault="005048A7">
      <w:pPr>
        <w:divId w:val="1807775413"/>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Included in Cash and cash equivalents in the Condensed Consolidated Balance Sheets.</w:t>
      </w:r>
    </w:p>
    <w:p w:rsidR="00000000" w:rsidRDefault="005048A7">
      <w:pPr>
        <w:divId w:val="735856308"/>
        <w:rPr>
          <w:rFonts w:eastAsia="Times New Roman"/>
        </w:rPr>
      </w:pPr>
      <w:r>
        <w:rPr>
          <w:rFonts w:eastAsia="Times New Roman"/>
          <w:color w:val="000000"/>
          <w:sz w:val="12"/>
          <w:szCs w:val="12"/>
        </w:rPr>
        <w:t>(2</w:t>
      </w:r>
      <w:r>
        <w:rPr>
          <w:rFonts w:eastAsia="Times New Roman"/>
          <w:color w:val="000000"/>
          <w:sz w:val="12"/>
          <w:szCs w:val="12"/>
        </w:rPr>
        <w:t>)</w:t>
      </w:r>
      <w:r>
        <w:rPr>
          <w:rFonts w:eastAsia="Times New Roman"/>
          <w:color w:val="000000"/>
          <w:sz w:val="18"/>
          <w:szCs w:val="18"/>
        </w:rPr>
        <w:t>    Included in Other current assets in the Condensed Consolidated Balance Sheets.</w:t>
      </w:r>
    </w:p>
    <w:p w:rsidR="00000000" w:rsidRDefault="005048A7">
      <w:pPr>
        <w:divId w:val="2043819061"/>
        <w:rPr>
          <w:rFonts w:eastAsia="Times New Roman"/>
        </w:rPr>
      </w:pPr>
      <w:r>
        <w:rPr>
          <w:rFonts w:eastAsia="Times New Roman"/>
          <w:color w:val="000000"/>
          <w:sz w:val="12"/>
          <w:szCs w:val="12"/>
        </w:rPr>
        <w:t>(3</w:t>
      </w:r>
      <w:r>
        <w:rPr>
          <w:rFonts w:eastAsia="Times New Roman"/>
          <w:color w:val="000000"/>
          <w:sz w:val="12"/>
          <w:szCs w:val="12"/>
        </w:rPr>
        <w:t>)</w:t>
      </w:r>
      <w:r>
        <w:rPr>
          <w:rFonts w:eastAsia="Times New Roman"/>
          <w:color w:val="000000"/>
          <w:sz w:val="18"/>
          <w:szCs w:val="18"/>
        </w:rPr>
        <w:t>    Included in Other assets in the Condensed Consolidated Bal</w:t>
      </w:r>
      <w:r>
        <w:rPr>
          <w:rFonts w:eastAsia="Times New Roman"/>
          <w:color w:val="000000"/>
          <w:sz w:val="18"/>
          <w:szCs w:val="18"/>
        </w:rPr>
        <w:t xml:space="preserve">ance Sheets. </w:t>
      </w:r>
    </w:p>
    <w:p w:rsidR="00000000" w:rsidRDefault="005048A7">
      <w:pPr>
        <w:divId w:val="1585454846"/>
        <w:rPr>
          <w:rFonts w:eastAsia="Times New Roman"/>
        </w:rPr>
      </w:pPr>
      <w:r>
        <w:rPr>
          <w:rFonts w:eastAsia="Times New Roman"/>
          <w:color w:val="000000"/>
          <w:sz w:val="12"/>
          <w:szCs w:val="12"/>
        </w:rPr>
        <w:t>(4</w:t>
      </w:r>
      <w:r>
        <w:rPr>
          <w:rFonts w:eastAsia="Times New Roman"/>
          <w:color w:val="000000"/>
          <w:sz w:val="12"/>
          <w:szCs w:val="12"/>
        </w:rPr>
        <w:t>)</w:t>
      </w:r>
      <w:r>
        <w:rPr>
          <w:rFonts w:eastAsia="Times New Roman"/>
          <w:color w:val="000000"/>
          <w:sz w:val="18"/>
          <w:szCs w:val="18"/>
        </w:rPr>
        <w:t>    Included in Other current liabilities and Other liabilities in the Condensed Consolidated Balance Sheets.</w:t>
      </w:r>
    </w:p>
    <w:p w:rsidR="00000000" w:rsidRDefault="005048A7">
      <w:pPr>
        <w:divId w:val="171649860"/>
        <w:rPr>
          <w:rFonts w:eastAsia="Times New Roman"/>
        </w:rPr>
      </w:pPr>
      <w:r>
        <w:rPr>
          <w:rFonts w:eastAsia="Times New Roman"/>
          <w:color w:val="000000"/>
          <w:sz w:val="12"/>
          <w:szCs w:val="12"/>
        </w:rPr>
        <w:t>(5</w:t>
      </w:r>
      <w:r>
        <w:rPr>
          <w:rFonts w:eastAsia="Times New Roman"/>
          <w:color w:val="000000"/>
          <w:sz w:val="12"/>
          <w:szCs w:val="12"/>
        </w:rPr>
        <w:t>)</w:t>
      </w:r>
      <w:r>
        <w:rPr>
          <w:rFonts w:eastAsia="Times New Roman"/>
          <w:color w:val="000000"/>
          <w:sz w:val="18"/>
          <w:szCs w:val="18"/>
        </w:rPr>
        <w:t>    Included in Other current liabilities in the Condensed Consolidated Balance Sheets.</w:t>
      </w:r>
    </w:p>
    <w:p w:rsidR="00000000" w:rsidRDefault="005048A7">
      <w:pPr>
        <w:divId w:val="1788040208"/>
        <w:rPr>
          <w:rFonts w:eastAsia="Times New Roman"/>
        </w:rPr>
      </w:pPr>
    </w:p>
    <w:p w:rsidR="00000000" w:rsidRDefault="005048A7">
      <w:pPr>
        <w:jc w:val="both"/>
        <w:rPr>
          <w:rFonts w:eastAsia="Times New Roman"/>
        </w:rPr>
      </w:pPr>
      <w:r>
        <w:rPr>
          <w:rFonts w:eastAsia="Times New Roman"/>
          <w:i/>
          <w:iCs/>
          <w:color w:val="000000"/>
          <w:sz w:val="20"/>
          <w:szCs w:val="20"/>
        </w:rPr>
        <w:t>Deposits Held in Money Market Mutual</w:t>
      </w:r>
      <w:r>
        <w:rPr>
          <w:rFonts w:eastAsia="Times New Roman"/>
          <w:i/>
          <w:iCs/>
          <w:color w:val="000000"/>
          <w:sz w:val="20"/>
          <w:szCs w:val="20"/>
        </w:rPr>
        <w:t xml:space="preserve"> Funds </w:t>
      </w:r>
      <w:r>
        <w:rPr>
          <w:rFonts w:eastAsia="Times New Roman"/>
          <w:color w:val="000000"/>
          <w:sz w:val="20"/>
          <w:szCs w:val="20"/>
        </w:rPr>
        <w:t>A portion of the Company’s excess cash is held in money market mutual funds that generate interest income based on prevailing market rates. Money market mutual fund holdings are measured at fair value using quoted market prices and are classified wi</w:t>
      </w:r>
      <w:r>
        <w:rPr>
          <w:rFonts w:eastAsia="Times New Roman"/>
          <w:color w:val="000000"/>
          <w:sz w:val="20"/>
          <w:szCs w:val="20"/>
        </w:rPr>
        <w:t>thin Level 1 of the valuation hierarchy.</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 xml:space="preserve">Foreign Exchange Contracts </w:t>
      </w:r>
      <w:r>
        <w:rPr>
          <w:rFonts w:eastAsia="Times New Roman"/>
          <w:color w:val="000000"/>
          <w:sz w:val="20"/>
          <w:szCs w:val="20"/>
        </w:rPr>
        <w:t>As a result of our global operating activities, we are exposed to risks from changes in foreign currency exchange rates, which may adversely affect our financial condition. To manage our</w:t>
      </w:r>
      <w:r>
        <w:rPr>
          <w:rFonts w:eastAsia="Times New Roman"/>
          <w:color w:val="000000"/>
          <w:sz w:val="20"/>
          <w:szCs w:val="20"/>
        </w:rPr>
        <w:t xml:space="preserve"> exposures and mitigate the impact of currency fluctuations on our financial results, we hedge our primary transactional exposures through the use of foreign exchange forward and option contracts. The foreign exchange contracts are valued using the market </w:t>
      </w:r>
      <w:r>
        <w:rPr>
          <w:rFonts w:eastAsia="Times New Roman"/>
          <w:color w:val="000000"/>
          <w:sz w:val="20"/>
          <w:szCs w:val="20"/>
        </w:rPr>
        <w:t>approach based on observable market transactions of forward rates and are classified within Level 2 of the valuation hierarchy.</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Interest Rate Swap and Cap Agreements</w:t>
      </w:r>
      <w:r>
        <w:rPr>
          <w:rFonts w:eastAsia="Times New Roman"/>
          <w:color w:val="000000"/>
          <w:sz w:val="20"/>
          <w:szCs w:val="20"/>
        </w:rPr>
        <w:t xml:space="preserve"> In order to add stability to interest expense and operating costs and to manage exposure</w:t>
      </w:r>
      <w:r>
        <w:rPr>
          <w:rFonts w:eastAsia="Times New Roman"/>
          <w:color w:val="000000"/>
          <w:sz w:val="20"/>
          <w:szCs w:val="20"/>
        </w:rPr>
        <w:t xml:space="preserve"> to interest rate movements the Company utilizes interest rate swap contracts and interest rate cap agreements as part of its interest rate risk management strategy. The interest rate cap agreements are valued using the market standard methodology of disco</w:t>
      </w:r>
      <w:r>
        <w:rPr>
          <w:rFonts w:eastAsia="Times New Roman"/>
          <w:color w:val="000000"/>
          <w:sz w:val="20"/>
          <w:szCs w:val="20"/>
        </w:rPr>
        <w:t>unting the future expected cash receipts that would occur if variable interest rates rise above the strike rate of the caps. The variable interest rates used in the calculation of projected receipts on the cap are based on an expectation of future interest</w:t>
      </w:r>
      <w:r>
        <w:rPr>
          <w:rFonts w:eastAsia="Times New Roman"/>
          <w:color w:val="000000"/>
          <w:sz w:val="20"/>
          <w:szCs w:val="20"/>
        </w:rPr>
        <w:t xml:space="preserve"> rates derived from observable market interest rate curves and volatilities. The interest rate swap contracts are valued using an income model based on disparity between variable and fixed interest rates, the scheduled balance of underlying principal </w:t>
      </w:r>
    </w:p>
    <w:p w:rsidR="00000000" w:rsidRDefault="005048A7">
      <w:pPr>
        <w:jc w:val="center"/>
        <w:divId w:val="478421481"/>
        <w:rPr>
          <w:rFonts w:eastAsia="Times New Roman"/>
        </w:rPr>
      </w:pPr>
      <w:r>
        <w:rPr>
          <w:rFonts w:eastAsia="Times New Roman"/>
          <w:color w:val="000000"/>
          <w:sz w:val="20"/>
          <w:szCs w:val="20"/>
        </w:rPr>
        <w:t>35</w:t>
      </w:r>
    </w:p>
    <w:p w:rsidR="00000000" w:rsidRDefault="005048A7">
      <w:pPr>
        <w:rPr>
          <w:rFonts w:eastAsia="Times New Roman"/>
        </w:rPr>
      </w:pPr>
      <w:r>
        <w:rPr>
          <w:rFonts w:eastAsia="Times New Roman"/>
        </w:rPr>
        <w:pict>
          <v:rect id="_x0000_i1060" style="width:0;height:1.5pt" o:hralign="center" o:hrstd="t" o:hr="t" fillcolor="#a0a0a0" stroked="f"/>
        </w:pict>
      </w:r>
    </w:p>
    <w:p w:rsidR="00000000" w:rsidRDefault="005048A7">
      <w:pPr>
        <w:ind w:firstLine="720"/>
        <w:divId w:val="1579055824"/>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833185065"/>
        <w:rPr>
          <w:rFonts w:eastAsia="Times New Roman"/>
        </w:rPr>
      </w:pPr>
      <w:r>
        <w:rPr>
          <w:rFonts w:eastAsia="Times New Roman"/>
          <w:b/>
          <w:bCs/>
          <w:color w:val="000000"/>
          <w:sz w:val="20"/>
          <w:szCs w:val="20"/>
        </w:rPr>
        <w:t>NCR Corporation</w:t>
      </w:r>
    </w:p>
    <w:p w:rsidR="00000000" w:rsidRDefault="005048A7">
      <w:pPr>
        <w:jc w:val="center"/>
        <w:divId w:val="833185065"/>
        <w:rPr>
          <w:rFonts w:eastAsia="Times New Roman"/>
        </w:rPr>
      </w:pPr>
      <w:r>
        <w:rPr>
          <w:rFonts w:eastAsia="Times New Roman"/>
          <w:b/>
          <w:bCs/>
          <w:color w:val="000000"/>
          <w:sz w:val="20"/>
          <w:szCs w:val="20"/>
        </w:rPr>
        <w:t>Notes to Condensed Consolidated Financial Statements (Unaudited)—(Continued)</w:t>
      </w:r>
    </w:p>
    <w:p w:rsidR="00000000" w:rsidRDefault="005048A7">
      <w:pPr>
        <w:jc w:val="both"/>
        <w:rPr>
          <w:rFonts w:eastAsia="Times New Roman"/>
        </w:rPr>
      </w:pPr>
      <w:r>
        <w:rPr>
          <w:rFonts w:eastAsia="Times New Roman"/>
          <w:color w:val="000000"/>
          <w:sz w:val="20"/>
          <w:szCs w:val="20"/>
        </w:rPr>
        <w:t xml:space="preserve">outstanding, yield curves, and other information readily available in the market. As such, the interest rate swap contracts and interest rate cap agreements are classified in Level 2 of the fair value hierarchy. </w:t>
      </w:r>
    </w:p>
    <w:p w:rsidR="00000000" w:rsidRDefault="005048A7">
      <w:pPr>
        <w:divId w:val="7679377"/>
        <w:rPr>
          <w:rFonts w:eastAsia="Times New Roman"/>
        </w:rPr>
      </w:pPr>
    </w:p>
    <w:p w:rsidR="00000000" w:rsidRDefault="005048A7">
      <w:pPr>
        <w:jc w:val="both"/>
        <w:rPr>
          <w:rFonts w:eastAsia="Times New Roman"/>
        </w:rPr>
      </w:pPr>
      <w:r>
        <w:rPr>
          <w:rFonts w:eastAsia="Times New Roman"/>
          <w:color w:val="000000"/>
          <w:sz w:val="20"/>
          <w:szCs w:val="20"/>
        </w:rPr>
        <w:t>We incorporate credit valuation adjustmen</w:t>
      </w:r>
      <w:r>
        <w:rPr>
          <w:rFonts w:eastAsia="Times New Roman"/>
          <w:color w:val="000000"/>
          <w:sz w:val="20"/>
          <w:szCs w:val="20"/>
        </w:rPr>
        <w:t>ts to appropriately reflect both our own nonperformance risk and the respective counterparty’s nonperformance risk in the fair value measurements. In adjusting the fair value of our derivative contracts for the effect of nonperformance risk, we consider th</w:t>
      </w:r>
      <w:r>
        <w:rPr>
          <w:rFonts w:eastAsia="Times New Roman"/>
          <w:color w:val="000000"/>
          <w:sz w:val="20"/>
          <w:szCs w:val="20"/>
        </w:rPr>
        <w:t xml:space="preserve">e impact of netting and any applicable credit enhancements. We measure the credit risk of our derivative financial instruments that are subject to master netting agreements on a net basis by counterparty portfolio.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shd w:val="clear" w:color="auto" w:fill="FFFFFF"/>
        </w:rPr>
        <w:t>Although we have determined that the m</w:t>
      </w:r>
      <w:r>
        <w:rPr>
          <w:rFonts w:eastAsia="Times New Roman"/>
          <w:color w:val="000000"/>
          <w:sz w:val="20"/>
          <w:szCs w:val="20"/>
          <w:shd w:val="clear" w:color="auto" w:fill="FFFFFF"/>
        </w:rPr>
        <w:t>ajority of the inputs used to value our derivatives fall within Level 2 of the fair value hierarchy, the credit valuation adjustments utilize Level 3 inputs to evaluate the likelihood of both our own default and counterparty default. As of June 30, 2022, w</w:t>
      </w:r>
      <w:r>
        <w:rPr>
          <w:rFonts w:eastAsia="Times New Roman"/>
          <w:color w:val="000000"/>
          <w:sz w:val="20"/>
          <w:szCs w:val="20"/>
          <w:shd w:val="clear" w:color="auto" w:fill="FFFFFF"/>
        </w:rPr>
        <w:t>e determined that the credit valuation adjustments are not significant to the overall valuation of our derivatives and therefore, the valuations are classified in Level 2 of the fair value hierarchy.</w:t>
      </w:r>
    </w:p>
    <w:p w:rsidR="00000000" w:rsidRDefault="005048A7">
      <w:pPr>
        <w:jc w:val="both"/>
        <w:rPr>
          <w:rFonts w:eastAsia="Times New Roman"/>
        </w:rPr>
      </w:pPr>
    </w:p>
    <w:p w:rsidR="00000000" w:rsidRDefault="005048A7">
      <w:pPr>
        <w:divId w:val="854729652"/>
        <w:rPr>
          <w:rFonts w:eastAsia="Times New Roman"/>
        </w:rPr>
      </w:pPr>
      <w:r>
        <w:rPr>
          <w:rFonts w:eastAsia="Times New Roman"/>
          <w:b/>
          <w:bCs/>
          <w:i/>
          <w:iCs/>
          <w:color w:val="000000"/>
          <w:sz w:val="20"/>
          <w:szCs w:val="20"/>
        </w:rPr>
        <w:t>Assets Measured at Fair Value on a Non-recurring Basis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From time to time, certain assets are measured at fair value on a nonrecurring basis using significant unobservable inputs (Level 3). NCR reviews the carrying values of investments when events and circumstances warrant and considers all available eviden</w:t>
      </w:r>
      <w:r>
        <w:rPr>
          <w:rFonts w:eastAsia="Times New Roman"/>
          <w:color w:val="000000"/>
          <w:sz w:val="20"/>
          <w:szCs w:val="20"/>
        </w:rPr>
        <w:t>ce in evaluating when declines in fair value are other-than-temporary declines. There were no material impairment charges or non-recurring fair value adjustments recorded during the three and six months ended June 30, 2022 and 2021.</w:t>
      </w:r>
    </w:p>
    <w:p w:rsidR="00000000" w:rsidRDefault="005048A7">
      <w:pPr>
        <w:jc w:val="center"/>
        <w:divId w:val="1268777811"/>
        <w:rPr>
          <w:rFonts w:eastAsia="Times New Roman"/>
        </w:rPr>
      </w:pPr>
      <w:r>
        <w:rPr>
          <w:rFonts w:eastAsia="Times New Roman"/>
          <w:color w:val="000000"/>
          <w:sz w:val="20"/>
          <w:szCs w:val="20"/>
        </w:rPr>
        <w:t>36</w:t>
      </w:r>
    </w:p>
    <w:p w:rsidR="00000000" w:rsidRDefault="005048A7">
      <w:pPr>
        <w:rPr>
          <w:rFonts w:eastAsia="Times New Roman"/>
        </w:rPr>
      </w:pPr>
      <w:r>
        <w:rPr>
          <w:rFonts w:eastAsia="Times New Roman"/>
        </w:rPr>
        <w:pict>
          <v:rect id="_x0000_i1061" style="width:0;height:1.5pt" o:hralign="center" o:hrstd="t" o:hr="t" fillcolor="#a0a0a0" stroked="f"/>
        </w:pict>
      </w:r>
    </w:p>
    <w:p w:rsidR="00000000" w:rsidRDefault="005048A7">
      <w:pPr>
        <w:ind w:firstLine="720"/>
        <w:divId w:val="1075662572"/>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1217820451"/>
        <w:rPr>
          <w:rFonts w:eastAsia="Times New Roman"/>
        </w:rPr>
      </w:pPr>
      <w:r>
        <w:rPr>
          <w:rFonts w:eastAsia="Times New Roman"/>
          <w:b/>
          <w:bCs/>
          <w:color w:val="000000"/>
          <w:sz w:val="20"/>
          <w:szCs w:val="20"/>
        </w:rPr>
        <w:t>NCR Corporation</w:t>
      </w:r>
    </w:p>
    <w:p w:rsidR="00000000" w:rsidRDefault="005048A7">
      <w:pPr>
        <w:jc w:val="center"/>
        <w:divId w:val="1217820451"/>
        <w:rPr>
          <w:rFonts w:eastAsia="Times New Roman"/>
        </w:rPr>
      </w:pPr>
      <w:r>
        <w:rPr>
          <w:rFonts w:eastAsia="Times New Roman"/>
          <w:b/>
          <w:bCs/>
          <w:color w:val="000000"/>
          <w:sz w:val="20"/>
          <w:szCs w:val="20"/>
        </w:rPr>
        <w:t>Notes to Condensed Consolidated Financial Statements (Unaudited)—(Continued)</w:t>
      </w:r>
    </w:p>
    <w:p w:rsidR="00000000" w:rsidRDefault="005048A7">
      <w:pPr>
        <w:divId w:val="622689938"/>
        <w:rPr>
          <w:rFonts w:eastAsia="Times New Roman"/>
        </w:rPr>
      </w:pPr>
      <w:r>
        <w:rPr>
          <w:rFonts w:eastAsia="Times New Roman"/>
          <w:b/>
          <w:bCs/>
          <w:color w:val="54B948"/>
          <w:sz w:val="20"/>
          <w:szCs w:val="20"/>
        </w:rPr>
        <w:t>15. ACCUMULATED OTHER COMPREHENSIVE INCOME (LOSS)</w:t>
      </w:r>
    </w:p>
    <w:p w:rsidR="00000000" w:rsidRDefault="005048A7">
      <w:pPr>
        <w:divId w:val="1207647694"/>
        <w:rPr>
          <w:rFonts w:eastAsia="Times New Roman"/>
        </w:rPr>
      </w:pPr>
    </w:p>
    <w:p w:rsidR="00000000" w:rsidRDefault="005048A7">
      <w:pPr>
        <w:divId w:val="779909616"/>
        <w:rPr>
          <w:rFonts w:eastAsia="Times New Roman"/>
        </w:rPr>
      </w:pPr>
    </w:p>
    <w:p w:rsidR="00000000" w:rsidRDefault="005048A7">
      <w:pPr>
        <w:divId w:val="678192892"/>
        <w:rPr>
          <w:rFonts w:eastAsia="Times New Roman"/>
        </w:rPr>
      </w:pPr>
      <w:r>
        <w:rPr>
          <w:rFonts w:eastAsia="Times New Roman"/>
          <w:b/>
          <w:bCs/>
          <w:color w:val="000000"/>
          <w:sz w:val="20"/>
          <w:szCs w:val="20"/>
        </w:rPr>
        <w:t>Changes in Accumul</w:t>
      </w:r>
      <w:r>
        <w:rPr>
          <w:rFonts w:eastAsia="Times New Roman"/>
          <w:b/>
          <w:bCs/>
          <w:color w:val="000000"/>
          <w:sz w:val="20"/>
          <w:szCs w:val="20"/>
        </w:rPr>
        <w:t>ated Other Comprehensive Income (“AOCI”) by Component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627"/>
        <w:gridCol w:w="37"/>
        <w:gridCol w:w="121"/>
        <w:gridCol w:w="1158"/>
        <w:gridCol w:w="36"/>
        <w:gridCol w:w="121"/>
        <w:gridCol w:w="829"/>
        <w:gridCol w:w="36"/>
        <w:gridCol w:w="121"/>
        <w:gridCol w:w="1158"/>
        <w:gridCol w:w="36"/>
        <w:gridCol w:w="120"/>
        <w:gridCol w:w="831"/>
        <w:gridCol w:w="36"/>
      </w:tblGrid>
      <w:tr w:rsidR="00000000">
        <w:trPr>
          <w:divId w:val="1290480052"/>
          <w:jc w:val="center"/>
        </w:trPr>
        <w:tc>
          <w:tcPr>
            <w:tcW w:w="50" w:type="pct"/>
            <w:vAlign w:val="center"/>
            <w:hideMark/>
          </w:tcPr>
          <w:p w:rsidR="00000000" w:rsidRDefault="005048A7">
            <w:pPr>
              <w:rPr>
                <w:rFonts w:eastAsia="Times New Roman"/>
              </w:rPr>
            </w:pPr>
          </w:p>
        </w:tc>
        <w:tc>
          <w:tcPr>
            <w:tcW w:w="221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1290480052"/>
          <w:jc w:val="center"/>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Currency Translation Adjustments</w:t>
            </w: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Changes in Employee Benefit Plans</w:t>
            </w: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Changes in Fair Value of Effective Cash Flow Hedges</w:t>
            </w: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Total</w:t>
            </w:r>
          </w:p>
        </w:tc>
      </w:tr>
      <w:tr w:rsidR="00000000">
        <w:trPr>
          <w:divId w:val="1290480052"/>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 xml:space="preserve">Balance as of December 31, 2021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290480052"/>
          <w:jc w:val="center"/>
        </w:trPr>
        <w:tc>
          <w:tcPr>
            <w:tcW w:w="0" w:type="auto"/>
            <w:gridSpan w:val="3"/>
            <w:shd w:val="clear" w:color="auto" w:fill="FFFFFF"/>
            <w:tcMar>
              <w:top w:w="30" w:type="dxa"/>
              <w:left w:w="38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Other comprehensive income (loss) before reclassifications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(78)</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290480052"/>
          <w:jc w:val="center"/>
        </w:trPr>
        <w:tc>
          <w:tcPr>
            <w:tcW w:w="0" w:type="auto"/>
            <w:gridSpan w:val="3"/>
            <w:shd w:val="clear" w:color="auto" w:fill="CCEEFF"/>
            <w:tcMar>
              <w:top w:w="30" w:type="dxa"/>
              <w:left w:w="38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Amounts reclassified from AOCI</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290480052"/>
          <w:jc w:val="center"/>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 xml:space="preserve">Net current period other comprehensive (loss) income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290480052"/>
          <w:jc w:val="center"/>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 xml:space="preserve">Balance as of June 30, 2022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(353)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(305)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center"/>
        <w:rPr>
          <w:rFonts w:eastAsia="Times New Roman"/>
        </w:rPr>
      </w:pPr>
    </w:p>
    <w:p w:rsidR="00000000" w:rsidRDefault="005048A7">
      <w:pPr>
        <w:divId w:val="1880781267"/>
        <w:rPr>
          <w:rFonts w:eastAsia="Times New Roman"/>
        </w:rPr>
      </w:pPr>
      <w:r>
        <w:rPr>
          <w:rFonts w:eastAsia="Times New Roman"/>
          <w:b/>
          <w:bCs/>
          <w:color w:val="000000"/>
          <w:sz w:val="20"/>
          <w:szCs w:val="20"/>
        </w:rPr>
        <w:t>Reclassifications Out of AOCI</w:t>
      </w:r>
    </w:p>
    <w:tbl>
      <w:tblPr>
        <w:tblW w:w="4970" w:type="pct"/>
        <w:jc w:val="center"/>
        <w:tblCellMar>
          <w:top w:w="15" w:type="dxa"/>
          <w:left w:w="15" w:type="dxa"/>
          <w:bottom w:w="15" w:type="dxa"/>
          <w:right w:w="15" w:type="dxa"/>
        </w:tblCellMar>
        <w:tblLook w:val="04A0" w:firstRow="1" w:lastRow="0" w:firstColumn="1" w:lastColumn="0" w:noHBand="0" w:noVBand="1"/>
      </w:tblPr>
      <w:tblGrid>
        <w:gridCol w:w="38"/>
        <w:gridCol w:w="81"/>
        <w:gridCol w:w="36"/>
        <w:gridCol w:w="38"/>
        <w:gridCol w:w="4100"/>
        <w:gridCol w:w="38"/>
        <w:gridCol w:w="121"/>
        <w:gridCol w:w="865"/>
        <w:gridCol w:w="36"/>
        <w:gridCol w:w="121"/>
        <w:gridCol w:w="865"/>
        <w:gridCol w:w="36"/>
        <w:gridCol w:w="121"/>
        <w:gridCol w:w="648"/>
        <w:gridCol w:w="37"/>
        <w:gridCol w:w="36"/>
        <w:gridCol w:w="36"/>
        <w:gridCol w:w="36"/>
        <w:gridCol w:w="120"/>
        <w:gridCol w:w="811"/>
        <w:gridCol w:w="36"/>
      </w:tblGrid>
      <w:tr w:rsidR="00000000">
        <w:trPr>
          <w:divId w:val="383211643"/>
          <w:jc w:val="center"/>
        </w:trPr>
        <w:tc>
          <w:tcPr>
            <w:tcW w:w="5" w:type="pct"/>
            <w:vAlign w:val="center"/>
            <w:hideMark/>
          </w:tcPr>
          <w:p w:rsidR="00000000" w:rsidRDefault="005048A7">
            <w:pPr>
              <w:rPr>
                <w:rFonts w:eastAsia="Times New Roman"/>
              </w:rPr>
            </w:pPr>
          </w:p>
        </w:tc>
        <w:tc>
          <w:tcPr>
            <w:tcW w:w="8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252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9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383211643"/>
          <w:jc w:val="center"/>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For the three months ended June 30, 2022</w:t>
            </w:r>
          </w:p>
        </w:tc>
      </w:tr>
      <w:tr w:rsidR="00000000">
        <w:trPr>
          <w:divId w:val="383211643"/>
          <w:jc w:val="center"/>
        </w:trPr>
        <w:tc>
          <w:tcPr>
            <w:tcW w:w="0" w:type="auto"/>
            <w:gridSpan w:val="6"/>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Employee Benefit Plans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383211643"/>
          <w:jc w:val="center"/>
        </w:trPr>
        <w:tc>
          <w:tcPr>
            <w:tcW w:w="0" w:type="auto"/>
            <w:gridSpan w:val="6"/>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Amortization of Actuarial Loss (Gain)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Amortization of Prior Service Benefit</w:t>
            </w: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Effective Cash Flow Hedge Loss (Gain)</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Total</w:t>
            </w:r>
          </w:p>
        </w:tc>
      </w:tr>
      <w:tr w:rsidR="00000000">
        <w:trPr>
          <w:divId w:val="383211643"/>
          <w:jc w:val="center"/>
        </w:trPr>
        <w:tc>
          <w:tcPr>
            <w:tcW w:w="0" w:type="auto"/>
            <w:gridSpan w:val="6"/>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Affected line in Condensed Consolidated Statement of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383211643"/>
          <w:jc w:val="center"/>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Cost of products</w:t>
            </w: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383211643"/>
          <w:jc w:val="center"/>
        </w:trPr>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383211643"/>
          <w:jc w:val="center"/>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383211643"/>
          <w:jc w:val="center"/>
        </w:trPr>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383211643"/>
          <w:jc w:val="center"/>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Total before tax</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383211643"/>
          <w:jc w:val="center"/>
        </w:trPr>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Tax expense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383211643"/>
          <w:jc w:val="center"/>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Total reclassifications, net of tax</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center"/>
        <w:divId w:val="464012625"/>
        <w:rPr>
          <w:rFonts w:eastAsia="Times New Roman"/>
        </w:rPr>
      </w:pPr>
    </w:p>
    <w:p w:rsidR="00000000" w:rsidRDefault="005048A7">
      <w:pPr>
        <w:jc w:val="center"/>
        <w:divId w:val="1624732776"/>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73"/>
        <w:gridCol w:w="36"/>
        <w:gridCol w:w="37"/>
        <w:gridCol w:w="4080"/>
        <w:gridCol w:w="37"/>
        <w:gridCol w:w="121"/>
        <w:gridCol w:w="865"/>
        <w:gridCol w:w="36"/>
        <w:gridCol w:w="121"/>
        <w:gridCol w:w="865"/>
        <w:gridCol w:w="36"/>
        <w:gridCol w:w="121"/>
        <w:gridCol w:w="799"/>
        <w:gridCol w:w="37"/>
        <w:gridCol w:w="36"/>
        <w:gridCol w:w="36"/>
        <w:gridCol w:w="36"/>
        <w:gridCol w:w="120"/>
        <w:gridCol w:w="740"/>
        <w:gridCol w:w="36"/>
      </w:tblGrid>
      <w:tr w:rsidR="00000000">
        <w:trPr>
          <w:jc w:val="center"/>
        </w:trPr>
        <w:tc>
          <w:tcPr>
            <w:tcW w:w="5" w:type="pct"/>
            <w:vAlign w:val="center"/>
            <w:hideMark/>
          </w:tcPr>
          <w:p w:rsidR="00000000" w:rsidRDefault="005048A7">
            <w:pPr>
              <w:jc w:val="center"/>
              <w:rPr>
                <w:rFonts w:eastAsia="Times New Roman"/>
              </w:rPr>
            </w:pPr>
          </w:p>
        </w:tc>
        <w:tc>
          <w:tcPr>
            <w:tcW w:w="8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250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For the three months ended June 30, 2021</w:t>
            </w:r>
          </w:p>
        </w:tc>
      </w:tr>
      <w:tr w:rsidR="00000000">
        <w:trPr>
          <w:jc w:val="center"/>
        </w:trPr>
        <w:tc>
          <w:tcPr>
            <w:tcW w:w="0" w:type="auto"/>
            <w:gridSpan w:val="6"/>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Employee Benefit Plans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jc w:val="center"/>
        </w:trPr>
        <w:tc>
          <w:tcPr>
            <w:tcW w:w="0" w:type="auto"/>
            <w:gridSpan w:val="6"/>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Amortization of Actuarial Loss (Gain)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Amortization of Prior Service Benefit</w:t>
            </w: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Effective Cash Flow Hedge Loss (Gain)</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Total</w:t>
            </w:r>
          </w:p>
        </w:tc>
      </w:tr>
      <w:tr w:rsidR="00000000">
        <w:trPr>
          <w:jc w:val="center"/>
        </w:trPr>
        <w:tc>
          <w:tcPr>
            <w:tcW w:w="0" w:type="auto"/>
            <w:gridSpan w:val="6"/>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Affected line in Condensed Consolidated Statement of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Cost of products</w:t>
            </w: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jc w:val="center"/>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jc w:val="center"/>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Total before tax</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Tax expense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Total reclassifications, net of tax</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center"/>
        <w:rPr>
          <w:rFonts w:eastAsia="Times New Roman"/>
        </w:rPr>
      </w:pPr>
    </w:p>
    <w:p w:rsidR="00000000" w:rsidRDefault="005048A7">
      <w:pPr>
        <w:jc w:val="center"/>
        <w:rPr>
          <w:rFonts w:eastAsia="Times New Roman"/>
        </w:rPr>
      </w:pPr>
    </w:p>
    <w:p w:rsidR="00000000" w:rsidRDefault="005048A7">
      <w:pPr>
        <w:jc w:val="center"/>
        <w:rPr>
          <w:rFonts w:eastAsia="Times New Roman"/>
        </w:rPr>
      </w:pPr>
    </w:p>
    <w:p w:rsidR="00000000" w:rsidRDefault="005048A7">
      <w:pPr>
        <w:jc w:val="center"/>
        <w:rPr>
          <w:rFonts w:eastAsia="Times New Roman"/>
        </w:rPr>
      </w:pPr>
    </w:p>
    <w:p w:rsidR="00000000" w:rsidRDefault="005048A7">
      <w:pPr>
        <w:jc w:val="center"/>
        <w:rPr>
          <w:rFonts w:eastAsia="Times New Roman"/>
        </w:rPr>
      </w:pPr>
    </w:p>
    <w:p w:rsidR="00000000" w:rsidRDefault="005048A7">
      <w:pPr>
        <w:jc w:val="center"/>
        <w:divId w:val="524485306"/>
        <w:rPr>
          <w:rFonts w:eastAsia="Times New Roman"/>
        </w:rPr>
      </w:pPr>
      <w:r>
        <w:rPr>
          <w:rFonts w:eastAsia="Times New Roman"/>
          <w:color w:val="000000"/>
          <w:sz w:val="20"/>
          <w:szCs w:val="20"/>
        </w:rPr>
        <w:t>37</w:t>
      </w:r>
    </w:p>
    <w:p w:rsidR="00000000" w:rsidRDefault="005048A7">
      <w:pPr>
        <w:rPr>
          <w:rFonts w:eastAsia="Times New Roman"/>
        </w:rPr>
      </w:pPr>
      <w:r>
        <w:rPr>
          <w:rFonts w:eastAsia="Times New Roman"/>
        </w:rPr>
        <w:pict>
          <v:rect id="_x0000_i1062" style="width:0;height:1.5pt" o:hralign="center" o:hrstd="t" o:hr="t" fillcolor="#a0a0a0" stroked="f"/>
        </w:pict>
      </w:r>
    </w:p>
    <w:p w:rsidR="00000000" w:rsidRDefault="005048A7">
      <w:pPr>
        <w:ind w:firstLine="720"/>
        <w:divId w:val="1579555387"/>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1677725626"/>
        <w:rPr>
          <w:rFonts w:eastAsia="Times New Roman"/>
        </w:rPr>
      </w:pPr>
      <w:r>
        <w:rPr>
          <w:rFonts w:eastAsia="Times New Roman"/>
          <w:b/>
          <w:bCs/>
          <w:color w:val="000000"/>
          <w:sz w:val="20"/>
          <w:szCs w:val="20"/>
        </w:rPr>
        <w:t>NCR Corporation</w:t>
      </w:r>
    </w:p>
    <w:p w:rsidR="00000000" w:rsidRDefault="005048A7">
      <w:pPr>
        <w:jc w:val="center"/>
        <w:divId w:val="1677725626"/>
        <w:rPr>
          <w:rFonts w:eastAsia="Times New Roman"/>
        </w:rPr>
      </w:pPr>
      <w:r>
        <w:rPr>
          <w:rFonts w:eastAsia="Times New Roman"/>
          <w:b/>
          <w:bCs/>
          <w:color w:val="000000"/>
          <w:sz w:val="20"/>
          <w:szCs w:val="20"/>
        </w:rPr>
        <w:t>Notes to Condensed Consolidated Financial Statements (Unaudited)—(Continued)</w:t>
      </w:r>
    </w:p>
    <w:tbl>
      <w:tblPr>
        <w:tblW w:w="4970" w:type="pct"/>
        <w:jc w:val="center"/>
        <w:tblCellMar>
          <w:top w:w="15" w:type="dxa"/>
          <w:left w:w="15" w:type="dxa"/>
          <w:bottom w:w="15" w:type="dxa"/>
          <w:right w:w="15" w:type="dxa"/>
        </w:tblCellMar>
        <w:tblLook w:val="04A0" w:firstRow="1" w:lastRow="0" w:firstColumn="1" w:lastColumn="0" w:noHBand="0" w:noVBand="1"/>
      </w:tblPr>
      <w:tblGrid>
        <w:gridCol w:w="38"/>
        <w:gridCol w:w="81"/>
        <w:gridCol w:w="36"/>
        <w:gridCol w:w="38"/>
        <w:gridCol w:w="4100"/>
        <w:gridCol w:w="38"/>
        <w:gridCol w:w="121"/>
        <w:gridCol w:w="865"/>
        <w:gridCol w:w="36"/>
        <w:gridCol w:w="121"/>
        <w:gridCol w:w="865"/>
        <w:gridCol w:w="36"/>
        <w:gridCol w:w="121"/>
        <w:gridCol w:w="648"/>
        <w:gridCol w:w="37"/>
        <w:gridCol w:w="36"/>
        <w:gridCol w:w="36"/>
        <w:gridCol w:w="36"/>
        <w:gridCol w:w="120"/>
        <w:gridCol w:w="811"/>
        <w:gridCol w:w="36"/>
      </w:tblGrid>
      <w:tr w:rsidR="00000000">
        <w:trPr>
          <w:jc w:val="center"/>
        </w:trPr>
        <w:tc>
          <w:tcPr>
            <w:tcW w:w="5" w:type="pct"/>
            <w:vAlign w:val="center"/>
            <w:hideMark/>
          </w:tcPr>
          <w:p w:rsidR="00000000" w:rsidRDefault="005048A7">
            <w:pPr>
              <w:jc w:val="center"/>
              <w:rPr>
                <w:rFonts w:eastAsia="Times New Roman"/>
              </w:rPr>
            </w:pPr>
          </w:p>
        </w:tc>
        <w:tc>
          <w:tcPr>
            <w:tcW w:w="8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252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9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For the six months ended June 30, 2022</w:t>
            </w:r>
          </w:p>
        </w:tc>
      </w:tr>
      <w:tr w:rsidR="00000000">
        <w:trPr>
          <w:jc w:val="center"/>
        </w:trPr>
        <w:tc>
          <w:tcPr>
            <w:tcW w:w="0" w:type="auto"/>
            <w:gridSpan w:val="6"/>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Employee Benefit Plans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jc w:val="center"/>
        </w:trPr>
        <w:tc>
          <w:tcPr>
            <w:tcW w:w="0" w:type="auto"/>
            <w:gridSpan w:val="6"/>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Amortization of Actuarial Loss (Gain)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Amortization of Prior Service Benefit</w:t>
            </w: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Effective Cash Flow Hedge Loss (Gain)</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Total</w:t>
            </w:r>
          </w:p>
        </w:tc>
      </w:tr>
      <w:tr w:rsidR="00000000">
        <w:trPr>
          <w:jc w:val="center"/>
        </w:trPr>
        <w:tc>
          <w:tcPr>
            <w:tcW w:w="0" w:type="auto"/>
            <w:gridSpan w:val="6"/>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Affected line in Condensed Consolidated Statement of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Cost of products</w:t>
            </w: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Total before tax</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Tax expense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Total reclassifications, net of tax</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center"/>
        <w:divId w:val="399669193"/>
        <w:rPr>
          <w:rFonts w:eastAsia="Times New Roman"/>
        </w:rPr>
      </w:pPr>
    </w:p>
    <w:p w:rsidR="00000000" w:rsidRDefault="005048A7">
      <w:pPr>
        <w:jc w:val="center"/>
        <w:divId w:val="36949838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73"/>
        <w:gridCol w:w="36"/>
        <w:gridCol w:w="38"/>
        <w:gridCol w:w="4079"/>
        <w:gridCol w:w="38"/>
        <w:gridCol w:w="121"/>
        <w:gridCol w:w="865"/>
        <w:gridCol w:w="36"/>
        <w:gridCol w:w="121"/>
        <w:gridCol w:w="865"/>
        <w:gridCol w:w="36"/>
        <w:gridCol w:w="121"/>
        <w:gridCol w:w="798"/>
        <w:gridCol w:w="37"/>
        <w:gridCol w:w="36"/>
        <w:gridCol w:w="36"/>
        <w:gridCol w:w="36"/>
        <w:gridCol w:w="120"/>
        <w:gridCol w:w="740"/>
        <w:gridCol w:w="36"/>
      </w:tblGrid>
      <w:tr w:rsidR="00000000">
        <w:trPr>
          <w:divId w:val="238902668"/>
        </w:trPr>
        <w:tc>
          <w:tcPr>
            <w:tcW w:w="5" w:type="pct"/>
            <w:vAlign w:val="center"/>
            <w:hideMark/>
          </w:tcPr>
          <w:p w:rsidR="00000000" w:rsidRDefault="005048A7">
            <w:pPr>
              <w:jc w:val="center"/>
              <w:rPr>
                <w:rFonts w:eastAsia="Times New Roman"/>
              </w:rPr>
            </w:pPr>
          </w:p>
        </w:tc>
        <w:tc>
          <w:tcPr>
            <w:tcW w:w="8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250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238902668"/>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For the six months ended June 30, 2021</w:t>
            </w:r>
          </w:p>
        </w:tc>
      </w:tr>
      <w:tr w:rsidR="00000000">
        <w:trPr>
          <w:divId w:val="238902668"/>
        </w:trPr>
        <w:tc>
          <w:tcPr>
            <w:tcW w:w="0" w:type="auto"/>
            <w:gridSpan w:val="6"/>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Employee Benefit Plans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38902668"/>
        </w:trPr>
        <w:tc>
          <w:tcPr>
            <w:tcW w:w="0" w:type="auto"/>
            <w:gridSpan w:val="6"/>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Amortization of Actuarial Loss (Gain)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Amortization of Prior Service Benefit</w:t>
            </w: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Effective Cash Flow Hedge Loss (Gain)</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Total</w:t>
            </w:r>
          </w:p>
        </w:tc>
      </w:tr>
      <w:tr w:rsidR="00000000">
        <w:trPr>
          <w:divId w:val="238902668"/>
        </w:trPr>
        <w:tc>
          <w:tcPr>
            <w:tcW w:w="0" w:type="auto"/>
            <w:gridSpan w:val="6"/>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Affected line in Condensed Consolidated Statement of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38902668"/>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Cost of products</w:t>
            </w: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38902668"/>
        </w:trPr>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38902668"/>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38902668"/>
        </w:trPr>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38902668"/>
        </w:trPr>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238902668"/>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Total before tax</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38902668"/>
        </w:trPr>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Tax expense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38902668"/>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Total reclassifications, net of tax</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center"/>
        <w:divId w:val="1580795122"/>
        <w:rPr>
          <w:rFonts w:eastAsia="Times New Roman"/>
        </w:rPr>
      </w:pPr>
      <w:r>
        <w:rPr>
          <w:rFonts w:eastAsia="Times New Roman"/>
          <w:color w:val="000000"/>
          <w:sz w:val="20"/>
          <w:szCs w:val="20"/>
        </w:rPr>
        <w:t>38</w:t>
      </w:r>
    </w:p>
    <w:p w:rsidR="00000000" w:rsidRDefault="005048A7">
      <w:pPr>
        <w:rPr>
          <w:rFonts w:eastAsia="Times New Roman"/>
        </w:rPr>
      </w:pPr>
      <w:r>
        <w:rPr>
          <w:rFonts w:eastAsia="Times New Roman"/>
        </w:rPr>
        <w:pict>
          <v:rect id="_x0000_i1063" style="width:0;height:1.5pt" o:hralign="center" o:hrstd="t" o:hr="t" fillcolor="#a0a0a0" stroked="f"/>
        </w:pict>
      </w:r>
    </w:p>
    <w:p w:rsidR="00000000" w:rsidRDefault="005048A7">
      <w:pPr>
        <w:ind w:firstLine="720"/>
        <w:divId w:val="1166822561"/>
        <w:rPr>
          <w:rFonts w:eastAsia="Times New Roman"/>
        </w:rPr>
      </w:pPr>
      <w:hyperlink w:anchor="i1e5a5c829d0c4e47b43817acb739c3cf_7" w:history="1">
        <w:r>
          <w:rPr>
            <w:rStyle w:val="a3"/>
            <w:rFonts w:eastAsia="Times New Roman"/>
            <w:sz w:val="16"/>
            <w:szCs w:val="16"/>
          </w:rPr>
          <w:t>Table of Content</w:t>
        </w:r>
      </w:hyperlink>
    </w:p>
    <w:p w:rsidR="00000000" w:rsidRDefault="005048A7">
      <w:pPr>
        <w:jc w:val="center"/>
        <w:divId w:val="1499424965"/>
        <w:rPr>
          <w:rFonts w:eastAsia="Times New Roman"/>
        </w:rPr>
      </w:pPr>
      <w:r>
        <w:rPr>
          <w:rFonts w:eastAsia="Times New Roman"/>
          <w:b/>
          <w:bCs/>
          <w:color w:val="000000"/>
          <w:sz w:val="20"/>
          <w:szCs w:val="20"/>
        </w:rPr>
        <w:t>NCR Corporation</w:t>
      </w:r>
    </w:p>
    <w:p w:rsidR="00000000" w:rsidRDefault="005048A7">
      <w:pPr>
        <w:jc w:val="center"/>
        <w:divId w:val="1499424965"/>
        <w:rPr>
          <w:rFonts w:eastAsia="Times New Roman"/>
        </w:rPr>
      </w:pPr>
      <w:r>
        <w:rPr>
          <w:rFonts w:eastAsia="Times New Roman"/>
          <w:b/>
          <w:bCs/>
          <w:color w:val="000000"/>
          <w:sz w:val="20"/>
          <w:szCs w:val="20"/>
        </w:rPr>
        <w:t>Notes to Condensed Consolidated Financial Statements (Unaudited)—(Continued)</w:t>
      </w:r>
    </w:p>
    <w:p w:rsidR="00000000" w:rsidRDefault="005048A7">
      <w:pPr>
        <w:divId w:val="1940020413"/>
        <w:rPr>
          <w:rFonts w:eastAsia="Times New Roman"/>
        </w:rPr>
      </w:pPr>
      <w:r>
        <w:rPr>
          <w:rFonts w:eastAsia="Times New Roman"/>
          <w:b/>
          <w:bCs/>
          <w:color w:val="54B948"/>
          <w:sz w:val="20"/>
          <w:szCs w:val="20"/>
        </w:rPr>
        <w:t>16. SUPPLEMENTAL FINANCIAL INFORMATION</w:t>
      </w:r>
      <w:r>
        <w:rPr>
          <w:rFonts w:eastAsia="Times New Roman"/>
          <w:b/>
          <w:bCs/>
          <w:color w:val="000000"/>
          <w:sz w:val="20"/>
          <w:szCs w:val="20"/>
        </w:rPr>
        <w:t xml:space="preserve"> </w:t>
      </w:r>
    </w:p>
    <w:p w:rsidR="00000000" w:rsidRDefault="005048A7">
      <w:pPr>
        <w:jc w:val="both"/>
        <w:divId w:val="1890456291"/>
        <w:rPr>
          <w:rFonts w:eastAsia="Times New Roman"/>
        </w:rPr>
      </w:pPr>
      <w:r>
        <w:rPr>
          <w:rFonts w:eastAsia="Times New Roman"/>
          <w:color w:val="000000"/>
          <w:sz w:val="20"/>
          <w:szCs w:val="20"/>
        </w:rPr>
        <w:t>The components of accounts receivable are summarized as follows: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610"/>
        <w:gridCol w:w="36"/>
        <w:gridCol w:w="120"/>
        <w:gridCol w:w="1092"/>
        <w:gridCol w:w="36"/>
        <w:gridCol w:w="36"/>
        <w:gridCol w:w="36"/>
        <w:gridCol w:w="36"/>
        <w:gridCol w:w="121"/>
        <w:gridCol w:w="1082"/>
        <w:gridCol w:w="36"/>
      </w:tblGrid>
      <w:tr w:rsidR="00000000">
        <w:trPr>
          <w:divId w:val="24524575"/>
          <w:jc w:val="center"/>
        </w:trPr>
        <w:tc>
          <w:tcPr>
            <w:tcW w:w="50" w:type="pct"/>
            <w:vAlign w:val="center"/>
            <w:hideMark/>
          </w:tcPr>
          <w:p w:rsidR="00000000" w:rsidRDefault="005048A7">
            <w:pPr>
              <w:jc w:val="both"/>
              <w:rPr>
                <w:rFonts w:eastAsia="Times New Roman"/>
              </w:rPr>
            </w:pPr>
          </w:p>
        </w:tc>
        <w:tc>
          <w:tcPr>
            <w:tcW w:w="341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8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0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24524575"/>
          <w:jc w:val="center"/>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December 31, 2021</w:t>
            </w:r>
          </w:p>
        </w:tc>
      </w:tr>
      <w:tr w:rsidR="00000000">
        <w:trPr>
          <w:divId w:val="24524575"/>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Accounts receivable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4524575"/>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Trade</w:t>
            </w: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939 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4524575"/>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4524575"/>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Accounts receivable, gross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1,111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4524575"/>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Less: allowance for credit losses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24524575"/>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accounts receivable,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1,085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both"/>
        <w:divId w:val="630088572"/>
        <w:rPr>
          <w:rFonts w:eastAsia="Times New Roman"/>
        </w:rPr>
      </w:pPr>
      <w:r>
        <w:rPr>
          <w:rFonts w:eastAsia="Times New Roman"/>
          <w:color w:val="000000"/>
          <w:sz w:val="20"/>
          <w:szCs w:val="20"/>
        </w:rPr>
        <w:t xml:space="preserve">Our allowance for credit losses as of June 30, 2022 and December 31, 2021 was $26 million and $24 million, respectively. </w:t>
      </w:r>
      <w:r>
        <w:rPr>
          <w:rFonts w:eastAsia="Times New Roman"/>
          <w:color w:val="000000"/>
          <w:sz w:val="20"/>
          <w:szCs w:val="20"/>
          <w:shd w:val="clear" w:color="auto" w:fill="FFFFFF"/>
        </w:rPr>
        <w:t>The impact to our allowance for credit lo</w:t>
      </w:r>
      <w:r>
        <w:rPr>
          <w:rFonts w:eastAsia="Times New Roman"/>
          <w:color w:val="000000"/>
          <w:sz w:val="20"/>
          <w:szCs w:val="20"/>
        </w:rPr>
        <w:t>sses for the three and six months ended June 30, 2022 was an expense of $4 million and $8 mill</w:t>
      </w:r>
      <w:r>
        <w:rPr>
          <w:rFonts w:eastAsia="Times New Roman"/>
          <w:color w:val="000000"/>
          <w:sz w:val="20"/>
          <w:szCs w:val="20"/>
        </w:rPr>
        <w:t xml:space="preserve">ion, respectively. We continue to evaluate our reserves in light of the age and quality of our outstanding accounts receivable, risks to specific industries or countries, as well as the COVID-19 pandemic, and adjust the reserves accordingly. Our allowance </w:t>
      </w:r>
      <w:r>
        <w:rPr>
          <w:rFonts w:eastAsia="Times New Roman"/>
          <w:color w:val="000000"/>
          <w:sz w:val="20"/>
          <w:szCs w:val="20"/>
        </w:rPr>
        <w:t>for credit losses charged to expense for the three and six months ended June 30, 2021 was $3 million. The Company recorded write-offs against the reserve for the three months ended June 30, 2022 and 2021 of $4 million and $2 million, respectively. The Comp</w:t>
      </w:r>
      <w:r>
        <w:rPr>
          <w:rFonts w:eastAsia="Times New Roman"/>
          <w:color w:val="000000"/>
          <w:sz w:val="20"/>
          <w:szCs w:val="20"/>
        </w:rPr>
        <w:t>any recorded write-offs against the reserve for the six months ended June 30, 2022 and 2021 of $6 million and $14 million,</w:t>
      </w:r>
      <w:r>
        <w:rPr>
          <w:rFonts w:eastAsia="Times New Roman"/>
          <w:color w:val="000000"/>
          <w:sz w:val="20"/>
          <w:szCs w:val="20"/>
          <w:shd w:val="clear" w:color="auto" w:fill="FFFFFF"/>
        </w:rPr>
        <w:t xml:space="preserve"> respectively.</w:t>
      </w:r>
    </w:p>
    <w:p w:rsidR="00000000" w:rsidRDefault="005048A7">
      <w:pPr>
        <w:divId w:val="1518495399"/>
        <w:rPr>
          <w:rFonts w:eastAsia="Times New Roman"/>
        </w:rPr>
      </w:pPr>
      <w:r>
        <w:rPr>
          <w:rFonts w:eastAsia="Times New Roman"/>
          <w:color w:val="000000"/>
          <w:sz w:val="20"/>
          <w:szCs w:val="20"/>
        </w:rPr>
        <w:t>The components of inventory are summarized as follows:</w:t>
      </w:r>
    </w:p>
    <w:tbl>
      <w:tblPr>
        <w:tblW w:w="4985" w:type="pct"/>
        <w:tblCellMar>
          <w:top w:w="15" w:type="dxa"/>
          <w:left w:w="15" w:type="dxa"/>
          <w:bottom w:w="15" w:type="dxa"/>
          <w:right w:w="15" w:type="dxa"/>
        </w:tblCellMar>
        <w:tblLook w:val="04A0" w:firstRow="1" w:lastRow="0" w:firstColumn="1" w:lastColumn="0" w:noHBand="0" w:noVBand="1"/>
      </w:tblPr>
      <w:tblGrid>
        <w:gridCol w:w="40"/>
        <w:gridCol w:w="5610"/>
        <w:gridCol w:w="36"/>
        <w:gridCol w:w="120"/>
        <w:gridCol w:w="1092"/>
        <w:gridCol w:w="36"/>
        <w:gridCol w:w="36"/>
        <w:gridCol w:w="36"/>
        <w:gridCol w:w="36"/>
        <w:gridCol w:w="121"/>
        <w:gridCol w:w="1082"/>
        <w:gridCol w:w="36"/>
      </w:tblGrid>
      <w:tr w:rsidR="00000000">
        <w:trPr>
          <w:divId w:val="1518495399"/>
        </w:trPr>
        <w:tc>
          <w:tcPr>
            <w:tcW w:w="50" w:type="pct"/>
            <w:vAlign w:val="center"/>
            <w:hideMark/>
          </w:tcPr>
          <w:p w:rsidR="00000000" w:rsidRDefault="005048A7">
            <w:pPr>
              <w:rPr>
                <w:rFonts w:eastAsia="Times New Roman"/>
              </w:rPr>
            </w:pPr>
          </w:p>
        </w:tc>
        <w:tc>
          <w:tcPr>
            <w:tcW w:w="341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8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0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1518495399"/>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December 31, 2021</w:t>
            </w:r>
          </w:p>
        </w:tc>
      </w:tr>
      <w:tr w:rsidR="00000000">
        <w:trPr>
          <w:divId w:val="1518495399"/>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Inventories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518495399"/>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Work in process and raw materials</w:t>
            </w: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184 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518495399"/>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Finished goods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185 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518495399"/>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Service parts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385 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518495399"/>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inventories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858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5048A7">
            <w:pPr>
              <w:spacing w:after="100"/>
              <w:jc w:val="right"/>
              <w:rPr>
                <w:rFonts w:eastAsia="Times New Roman"/>
              </w:rPr>
            </w:pPr>
            <w:r>
              <w:rPr>
                <w:rFonts w:eastAsia="Times New Roman"/>
                <w:color w:val="000000"/>
                <w:sz w:val="20"/>
                <w:szCs w:val="20"/>
              </w:rPr>
              <w:t>754 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5048A7">
            <w:pPr>
              <w:spacing w:after="100"/>
              <w:jc w:val="right"/>
              <w:rPr>
                <w:rFonts w:eastAsia="Times New Roman"/>
              </w:rPr>
            </w:pPr>
          </w:p>
        </w:tc>
      </w:tr>
    </w:tbl>
    <w:p w:rsidR="00000000" w:rsidRDefault="005048A7">
      <w:pPr>
        <w:jc w:val="center"/>
        <w:divId w:val="698895262"/>
        <w:rPr>
          <w:rFonts w:eastAsia="Times New Roman"/>
        </w:rPr>
      </w:pPr>
      <w:r>
        <w:rPr>
          <w:rFonts w:eastAsia="Times New Roman"/>
          <w:color w:val="000000"/>
          <w:sz w:val="20"/>
          <w:szCs w:val="20"/>
        </w:rPr>
        <w:t>39</w:t>
      </w:r>
    </w:p>
    <w:p w:rsidR="00000000" w:rsidRDefault="005048A7">
      <w:pPr>
        <w:rPr>
          <w:rFonts w:eastAsia="Times New Roman"/>
        </w:rPr>
      </w:pPr>
      <w:r>
        <w:rPr>
          <w:rFonts w:eastAsia="Times New Roman"/>
        </w:rPr>
        <w:pict>
          <v:rect id="_x0000_i1064" style="width:0;height:1.5pt" o:hralign="center" o:hrstd="t" o:hr="t" fillcolor="#a0a0a0" stroked="f"/>
        </w:pict>
      </w:r>
    </w:p>
    <w:p w:rsidR="00000000" w:rsidRDefault="005048A7">
      <w:pPr>
        <w:divId w:val="1460026812"/>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ind w:hanging="1170"/>
        <w:divId w:val="1265500401"/>
        <w:rPr>
          <w:rFonts w:eastAsia="Times New Roman"/>
        </w:rPr>
      </w:pPr>
      <w:r>
        <w:rPr>
          <w:rFonts w:eastAsia="Times New Roman"/>
          <w:b/>
          <w:bCs/>
          <w:color w:val="000000"/>
          <w:sz w:val="20"/>
          <w:szCs w:val="20"/>
        </w:rPr>
        <w:t>Item 2.    </w:t>
      </w:r>
      <w:r>
        <w:rPr>
          <w:rFonts w:eastAsia="Times New Roman"/>
          <w:b/>
          <w:bCs/>
          <w:color w:val="000000"/>
          <w:sz w:val="20"/>
          <w:szCs w:val="20"/>
        </w:rPr>
        <w:t>MANAGEMENT'S DISCUSSION AND ANALYSIS OF FINANCIAL CONDITION AND RESULTS OF OPERATIONS (</w:t>
      </w:r>
      <w:r>
        <w:rPr>
          <w:rFonts w:eastAsia="Times New Roman"/>
          <w:color w:val="000000"/>
          <w:sz w:val="20"/>
          <w:szCs w:val="20"/>
        </w:rPr>
        <w:t>“</w:t>
      </w:r>
      <w:r>
        <w:rPr>
          <w:rFonts w:eastAsia="Times New Roman"/>
          <w:b/>
          <w:bCs/>
          <w:color w:val="000000"/>
          <w:sz w:val="20"/>
          <w:szCs w:val="20"/>
        </w:rPr>
        <w:t>MD&amp;A</w:t>
      </w:r>
      <w:r>
        <w:rPr>
          <w:rFonts w:eastAsia="Times New Roman"/>
          <w:color w:val="000000"/>
          <w:sz w:val="20"/>
          <w:szCs w:val="20"/>
        </w:rPr>
        <w:t>”</w:t>
      </w:r>
      <w:r>
        <w:rPr>
          <w:rFonts w:eastAsia="Times New Roman"/>
          <w:b/>
          <w:bCs/>
          <w:color w:val="000000"/>
          <w:sz w:val="20"/>
          <w:szCs w:val="20"/>
        </w:rPr>
        <w:t>)</w:t>
      </w:r>
    </w:p>
    <w:p w:rsidR="00000000" w:rsidRDefault="005048A7">
      <w:pPr>
        <w:jc w:val="both"/>
        <w:divId w:val="822967959"/>
        <w:rPr>
          <w:rFonts w:eastAsia="Times New Roman"/>
        </w:rPr>
      </w:pPr>
      <w:r>
        <w:rPr>
          <w:rFonts w:eastAsia="Times New Roman"/>
          <w:color w:val="000000"/>
          <w:sz w:val="20"/>
          <w:szCs w:val="20"/>
        </w:rPr>
        <w:t>The following discussion should be read in conjunction with the Condensed Consolidated Financial Statements and notes thereto included under Item 1. Financial St</w:t>
      </w:r>
      <w:r>
        <w:rPr>
          <w:rFonts w:eastAsia="Times New Roman"/>
          <w:color w:val="000000"/>
          <w:sz w:val="20"/>
          <w:szCs w:val="20"/>
        </w:rPr>
        <w:t xml:space="preserve">atements of this Form 10-Q and our Consolidated Financial Statements and notes thereto and related Management’s Discussion and Analysis of Financial Condition and Results of Operations included in our Annual Report on Form 10-K for the year ended December </w:t>
      </w:r>
      <w:r>
        <w:rPr>
          <w:rFonts w:eastAsia="Times New Roman"/>
          <w:color w:val="000000"/>
          <w:sz w:val="20"/>
          <w:szCs w:val="20"/>
        </w:rPr>
        <w:t>31, 2021 (the “2021 Form 10-K”).</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 xml:space="preserve">Our discussion within MD&amp;A is organized as follows: </w:t>
      </w:r>
    </w:p>
    <w:p w:rsidR="00000000" w:rsidRDefault="005048A7">
      <w:pPr>
        <w:jc w:val="both"/>
        <w:rPr>
          <w:rFonts w:eastAsia="Times New Roman"/>
        </w:rPr>
      </w:pPr>
    </w:p>
    <w:p w:rsidR="00000000" w:rsidRDefault="005048A7">
      <w:pPr>
        <w:ind w:hanging="360"/>
        <w:jc w:val="both"/>
        <w:rPr>
          <w:rFonts w:eastAsia="Times New Roman"/>
        </w:rPr>
      </w:pPr>
      <w:r>
        <w:rPr>
          <w:rFonts w:eastAsia="Times New Roman"/>
          <w:color w:val="000000"/>
          <w:sz w:val="20"/>
          <w:szCs w:val="20"/>
        </w:rPr>
        <w:t>•</w:t>
      </w:r>
      <w:r>
        <w:rPr>
          <w:rFonts w:eastAsia="Times New Roman"/>
          <w:i/>
          <w:iCs/>
          <w:color w:val="000000"/>
          <w:sz w:val="20"/>
          <w:szCs w:val="20"/>
        </w:rPr>
        <w:t xml:space="preserve">Overview. </w:t>
      </w:r>
      <w:r>
        <w:rPr>
          <w:rFonts w:eastAsia="Times New Roman"/>
          <w:color w:val="000000"/>
          <w:sz w:val="20"/>
          <w:szCs w:val="20"/>
        </w:rPr>
        <w:t>This section contains background information on our company, summary of significant themes and events during the quarter as well as strategic initiatives a</w:t>
      </w:r>
      <w:r>
        <w:rPr>
          <w:rFonts w:eastAsia="Times New Roman"/>
          <w:color w:val="000000"/>
          <w:sz w:val="20"/>
          <w:szCs w:val="20"/>
        </w:rPr>
        <w:t>nd trends in order to provide context for management’s discussion and analysis of our financial condition and results of operations.</w:t>
      </w:r>
    </w:p>
    <w:p w:rsidR="00000000" w:rsidRDefault="005048A7">
      <w:pPr>
        <w:jc w:val="both"/>
        <w:rPr>
          <w:rFonts w:eastAsia="Times New Roman"/>
        </w:rPr>
      </w:pPr>
    </w:p>
    <w:p w:rsidR="00000000" w:rsidRDefault="005048A7">
      <w:pPr>
        <w:ind w:hanging="360"/>
        <w:jc w:val="both"/>
        <w:rPr>
          <w:rFonts w:eastAsia="Times New Roman"/>
        </w:rPr>
      </w:pPr>
      <w:r>
        <w:rPr>
          <w:rFonts w:eastAsia="Times New Roman"/>
          <w:color w:val="000000"/>
          <w:sz w:val="20"/>
          <w:szCs w:val="20"/>
        </w:rPr>
        <w:t>•</w:t>
      </w:r>
      <w:r>
        <w:rPr>
          <w:rFonts w:eastAsia="Times New Roman"/>
          <w:i/>
          <w:iCs/>
          <w:color w:val="000000"/>
          <w:sz w:val="20"/>
          <w:szCs w:val="20"/>
        </w:rPr>
        <w:t>Results of operations.</w:t>
      </w:r>
      <w:r>
        <w:rPr>
          <w:rFonts w:eastAsia="Times New Roman"/>
          <w:color w:val="000000"/>
          <w:sz w:val="20"/>
          <w:szCs w:val="20"/>
        </w:rPr>
        <w:t xml:space="preserve"> This section contains an analysis of our results of operations presented in the accompanying cond</w:t>
      </w:r>
      <w:r>
        <w:rPr>
          <w:rFonts w:eastAsia="Times New Roman"/>
          <w:color w:val="000000"/>
          <w:sz w:val="20"/>
          <w:szCs w:val="20"/>
        </w:rPr>
        <w:t>ensed consolidated statements of income by comparing the results for the three and six months ended June 30, 2022 to the results for the three and six months ended June 30, 2021.</w:t>
      </w:r>
    </w:p>
    <w:p w:rsidR="00000000" w:rsidRDefault="005048A7">
      <w:pPr>
        <w:jc w:val="both"/>
        <w:rPr>
          <w:rFonts w:eastAsia="Times New Roman"/>
        </w:rPr>
      </w:pPr>
    </w:p>
    <w:p w:rsidR="00000000" w:rsidRDefault="005048A7">
      <w:pPr>
        <w:ind w:hanging="360"/>
        <w:jc w:val="both"/>
        <w:rPr>
          <w:rFonts w:eastAsia="Times New Roman"/>
        </w:rPr>
      </w:pPr>
      <w:r>
        <w:rPr>
          <w:rFonts w:eastAsia="Times New Roman"/>
          <w:color w:val="000000"/>
          <w:sz w:val="20"/>
          <w:szCs w:val="20"/>
        </w:rPr>
        <w:t>•</w:t>
      </w:r>
      <w:r>
        <w:rPr>
          <w:rFonts w:eastAsia="Times New Roman"/>
          <w:i/>
          <w:iCs/>
          <w:color w:val="000000"/>
          <w:sz w:val="20"/>
          <w:szCs w:val="20"/>
        </w:rPr>
        <w:t>Liquidity and capital resources.</w:t>
      </w:r>
      <w:r>
        <w:rPr>
          <w:rFonts w:eastAsia="Times New Roman"/>
          <w:color w:val="000000"/>
          <w:sz w:val="20"/>
          <w:szCs w:val="20"/>
        </w:rPr>
        <w:t xml:space="preserve"> This section provides an analysis of our </w:t>
      </w:r>
      <w:r>
        <w:rPr>
          <w:rFonts w:eastAsia="Times New Roman"/>
          <w:color w:val="000000"/>
          <w:sz w:val="20"/>
          <w:szCs w:val="20"/>
        </w:rPr>
        <w:t>cash flows and a discussion of our contractual obligations at June 30, 2022.</w:t>
      </w:r>
    </w:p>
    <w:p w:rsidR="00000000" w:rsidRDefault="005048A7">
      <w:pPr>
        <w:jc w:val="both"/>
        <w:rPr>
          <w:rFonts w:eastAsia="Times New Roman"/>
        </w:rPr>
      </w:pPr>
    </w:p>
    <w:p w:rsidR="00000000" w:rsidRDefault="005048A7">
      <w:pPr>
        <w:jc w:val="both"/>
        <w:rPr>
          <w:rFonts w:eastAsia="Times New Roman"/>
        </w:rPr>
      </w:pPr>
    </w:p>
    <w:p w:rsidR="00000000" w:rsidRDefault="005048A7">
      <w:pPr>
        <w:ind w:hanging="720"/>
        <w:divId w:val="659624617"/>
        <w:rPr>
          <w:rFonts w:eastAsia="Times New Roman"/>
        </w:rPr>
      </w:pPr>
    </w:p>
    <w:p w:rsidR="00000000" w:rsidRDefault="005048A7">
      <w:pPr>
        <w:ind w:hanging="720"/>
        <w:jc w:val="both"/>
        <w:rPr>
          <w:rFonts w:eastAsia="Times New Roman"/>
        </w:rPr>
      </w:pPr>
      <w:r>
        <w:rPr>
          <w:rFonts w:eastAsia="Times New Roman"/>
          <w:b/>
          <w:bCs/>
          <w:color w:val="000000"/>
          <w:sz w:val="20"/>
          <w:szCs w:val="20"/>
        </w:rPr>
        <w:t>OVERVIEW</w:t>
      </w:r>
    </w:p>
    <w:p w:rsidR="00000000" w:rsidRDefault="005048A7">
      <w:pPr>
        <w:ind w:hanging="720"/>
        <w:jc w:val="both"/>
        <w:rPr>
          <w:rFonts w:eastAsia="Times New Roman"/>
        </w:rPr>
      </w:pPr>
    </w:p>
    <w:p w:rsidR="00000000" w:rsidRDefault="005048A7">
      <w:pPr>
        <w:jc w:val="both"/>
        <w:rPr>
          <w:rFonts w:eastAsia="Times New Roman"/>
        </w:rPr>
      </w:pPr>
      <w:r>
        <w:rPr>
          <w:rFonts w:eastAsia="Times New Roman"/>
          <w:b/>
          <w:bCs/>
          <w:i/>
          <w:iCs/>
          <w:color w:val="000000"/>
          <w:sz w:val="20"/>
          <w:szCs w:val="20"/>
        </w:rPr>
        <w:t>BUSINESS OVERVIEW</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NCR Corporation (“NCR”, the “Company”, “we” or “us”) was originally incorporated in 1884 and is a software- and services-led enterprise techno</w:t>
      </w:r>
      <w:r>
        <w:rPr>
          <w:rFonts w:eastAsia="Times New Roman"/>
          <w:color w:val="000000"/>
          <w:sz w:val="20"/>
          <w:szCs w:val="20"/>
        </w:rPr>
        <w:t xml:space="preserve">logy provider that runs stores, restaurants and self-directed banking for our customers, which includes businesses of all sizes. NCR is a global company that is headquartered in Atlanta, Georgia. Our software platform, which runs in the cloud and includes </w:t>
      </w:r>
      <w:r>
        <w:rPr>
          <w:rFonts w:eastAsia="Times New Roman"/>
          <w:color w:val="000000"/>
          <w:sz w:val="20"/>
          <w:szCs w:val="20"/>
        </w:rPr>
        <w:t>microservices and APIs that integrate with our customers' systems, and our NCR-as-a-Service solutions bring together all of the capabilities and competencies of NCR to power the technology to run our customers’ operations. Our portfolio includes digital fi</w:t>
      </w:r>
      <w:r>
        <w:rPr>
          <w:rFonts w:eastAsia="Times New Roman"/>
          <w:color w:val="000000"/>
          <w:sz w:val="20"/>
          <w:szCs w:val="20"/>
        </w:rPr>
        <w:t xml:space="preserve">rst software and services offerings for banking, retailers and restaurants, as well as payments processing and networks, multi-vendor connected device services, automated teller machines (“ATMs”), self-checkout (“SCO”), point of sale (“POS”) terminals and </w:t>
      </w:r>
      <w:r>
        <w:rPr>
          <w:rFonts w:eastAsia="Times New Roman"/>
          <w:color w:val="000000"/>
          <w:sz w:val="20"/>
          <w:szCs w:val="20"/>
        </w:rPr>
        <w:t xml:space="preserve">other self-service technologies. We also resell third-party networking products and provide related service offerings in the telecommunications and technology sector. Our solutions are designed to support our transition to becoming a software platform and </w:t>
      </w:r>
      <w:r>
        <w:rPr>
          <w:rFonts w:eastAsia="Times New Roman"/>
          <w:color w:val="000000"/>
          <w:sz w:val="20"/>
          <w:szCs w:val="20"/>
        </w:rPr>
        <w:t>payments company.</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Effective January 1, 2022, the Company realigned its reportable segments to correspond with changes to its operating model, management structure and organizational responsibilities. The reportable segments effective January 1, 2022 incl</w:t>
      </w:r>
      <w:r>
        <w:rPr>
          <w:rFonts w:eastAsia="Times New Roman"/>
          <w:color w:val="000000"/>
          <w:sz w:val="20"/>
          <w:szCs w:val="20"/>
        </w:rPr>
        <w:t>ude: Payments &amp; Network, Digital Banking, Self-Service Banking, Retail, and Hospitality.</w:t>
      </w:r>
    </w:p>
    <w:p w:rsidR="00000000" w:rsidRDefault="005048A7">
      <w:pPr>
        <w:jc w:val="both"/>
        <w:rPr>
          <w:rFonts w:eastAsia="Times New Roman"/>
        </w:rPr>
      </w:pPr>
    </w:p>
    <w:p w:rsidR="00000000" w:rsidRDefault="005048A7">
      <w:pPr>
        <w:ind w:hanging="360"/>
        <w:jc w:val="both"/>
        <w:rPr>
          <w:rFonts w:eastAsia="Times New Roman"/>
        </w:rPr>
      </w:pPr>
      <w:r>
        <w:rPr>
          <w:rFonts w:eastAsia="Times New Roman"/>
          <w:i/>
          <w:iCs/>
          <w:color w:val="000000"/>
          <w:sz w:val="20"/>
          <w:szCs w:val="20"/>
        </w:rPr>
        <w:t>•Payments &amp; Network</w:t>
      </w:r>
      <w:r>
        <w:rPr>
          <w:rFonts w:eastAsia="Times New Roman"/>
          <w:color w:val="000000"/>
          <w:sz w:val="20"/>
          <w:szCs w:val="20"/>
        </w:rPr>
        <w:t xml:space="preserve"> - </w:t>
      </w:r>
      <w:r>
        <w:rPr>
          <w:rFonts w:eastAsia="Times New Roman"/>
          <w:color w:val="0E101A"/>
          <w:sz w:val="20"/>
          <w:szCs w:val="20"/>
        </w:rPr>
        <w:t>We provide a cost-effective way for financial institutions, fintechs, and neobanks to reach and serve their customers through our network of au</w:t>
      </w:r>
      <w:r>
        <w:rPr>
          <w:rFonts w:eastAsia="Times New Roman"/>
          <w:color w:val="0E101A"/>
          <w:sz w:val="20"/>
          <w:szCs w:val="20"/>
        </w:rPr>
        <w:t xml:space="preserve">tomated teller machines ("ATMs") and multi-functioning financial services kiosks. </w:t>
      </w:r>
      <w:r>
        <w:rPr>
          <w:rFonts w:eastAsia="Times New Roman"/>
          <w:color w:val="000000"/>
          <w:sz w:val="20"/>
          <w:szCs w:val="20"/>
        </w:rPr>
        <w:t>We offer credit unions, banks, digital banks, fintechs, stored-value debit card issuers, and other consumer financial services providers access to our Allpoint retail-based A</w:t>
      </w:r>
      <w:r>
        <w:rPr>
          <w:rFonts w:eastAsia="Times New Roman"/>
          <w:color w:val="000000"/>
          <w:sz w:val="20"/>
          <w:szCs w:val="20"/>
        </w:rPr>
        <w:t>TM network, providing convenient and fee-free cash withdrawal and deposit access to their customers and cardholders as well as</w:t>
      </w:r>
      <w:r>
        <w:rPr>
          <w:rFonts w:eastAsia="Times New Roman"/>
          <w:color w:val="0E101A"/>
          <w:sz w:val="20"/>
          <w:szCs w:val="20"/>
        </w:rPr>
        <w:t xml:space="preserve"> the ability to convert a digital value to cash, or vice versa, via NCRPay360. We also provide ATM branding, management and servic</w:t>
      </w:r>
      <w:r>
        <w:rPr>
          <w:rFonts w:eastAsia="Times New Roman"/>
          <w:color w:val="0E101A"/>
          <w:sz w:val="20"/>
          <w:szCs w:val="20"/>
        </w:rPr>
        <w:t xml:space="preserve">es to financial institutions and businesses. </w:t>
      </w:r>
    </w:p>
    <w:p w:rsidR="00000000" w:rsidRDefault="005048A7">
      <w:pPr>
        <w:jc w:val="both"/>
        <w:rPr>
          <w:rFonts w:eastAsia="Times New Roman"/>
        </w:rPr>
      </w:pPr>
    </w:p>
    <w:p w:rsidR="00000000" w:rsidRDefault="005048A7">
      <w:pPr>
        <w:ind w:hanging="360"/>
        <w:jc w:val="both"/>
        <w:rPr>
          <w:rFonts w:eastAsia="Times New Roman"/>
        </w:rPr>
      </w:pPr>
      <w:r>
        <w:rPr>
          <w:rFonts w:eastAsia="Times New Roman"/>
          <w:color w:val="0E101A"/>
          <w:sz w:val="20"/>
          <w:szCs w:val="20"/>
        </w:rPr>
        <w:t>•</w:t>
      </w:r>
      <w:r>
        <w:rPr>
          <w:rFonts w:eastAsia="Times New Roman"/>
          <w:i/>
          <w:iCs/>
          <w:color w:val="000000"/>
          <w:sz w:val="20"/>
          <w:szCs w:val="20"/>
        </w:rPr>
        <w:t>Digital Banking</w:t>
      </w:r>
      <w:r>
        <w:rPr>
          <w:rFonts w:eastAsia="Times New Roman"/>
          <w:color w:val="000000"/>
          <w:sz w:val="20"/>
          <w:szCs w:val="20"/>
        </w:rPr>
        <w:t xml:space="preserve"> - NCR Digital Banking helps financial institutions implement their digital-first platform strategy by providing solutions for account opening, account management, transaction processing, imag</w:t>
      </w:r>
      <w:r>
        <w:rPr>
          <w:rFonts w:eastAsia="Times New Roman"/>
          <w:color w:val="000000"/>
          <w:sz w:val="20"/>
          <w:szCs w:val="20"/>
        </w:rPr>
        <w:t xml:space="preserve">ing, and branch services to enable financial institutions to offer a compelling customer experience. </w:t>
      </w:r>
    </w:p>
    <w:p w:rsidR="00000000" w:rsidRDefault="005048A7">
      <w:pPr>
        <w:jc w:val="both"/>
        <w:rPr>
          <w:rFonts w:eastAsia="Times New Roman"/>
        </w:rPr>
      </w:pPr>
    </w:p>
    <w:p w:rsidR="00000000" w:rsidRDefault="005048A7">
      <w:pPr>
        <w:ind w:hanging="360"/>
        <w:jc w:val="both"/>
        <w:rPr>
          <w:rFonts w:eastAsia="Times New Roman"/>
        </w:rPr>
      </w:pPr>
      <w:r>
        <w:rPr>
          <w:rFonts w:eastAsia="Times New Roman"/>
          <w:color w:val="000000"/>
          <w:sz w:val="20"/>
          <w:szCs w:val="20"/>
        </w:rPr>
        <w:t>•</w:t>
      </w:r>
      <w:r>
        <w:rPr>
          <w:rFonts w:eastAsia="Times New Roman"/>
          <w:i/>
          <w:iCs/>
          <w:color w:val="000000"/>
          <w:sz w:val="20"/>
          <w:szCs w:val="20"/>
        </w:rPr>
        <w:t>Self-Service Banking</w:t>
      </w:r>
      <w:r>
        <w:rPr>
          <w:rFonts w:eastAsia="Times New Roman"/>
          <w:color w:val="000000"/>
          <w:sz w:val="20"/>
          <w:szCs w:val="20"/>
        </w:rPr>
        <w:t xml:space="preserve"> </w:t>
      </w:r>
      <w:r>
        <w:rPr>
          <w:rFonts w:eastAsia="Times New Roman"/>
          <w:color w:val="000000"/>
          <w:sz w:val="20"/>
          <w:szCs w:val="20"/>
        </w:rPr>
        <w:t>- We offer solutions to enable customers in the financial services industry to reduce costs, generate new revenue streams and enhance customer loyalty. These solutions include a comprehensive line of ATM hardware and software, and related installation, mai</w:t>
      </w:r>
      <w:r>
        <w:rPr>
          <w:rFonts w:eastAsia="Times New Roman"/>
          <w:color w:val="000000"/>
          <w:sz w:val="20"/>
          <w:szCs w:val="20"/>
        </w:rPr>
        <w:t xml:space="preserve">ntenance, and managed and professional services. </w:t>
      </w:r>
    </w:p>
    <w:p w:rsidR="00000000" w:rsidRDefault="005048A7">
      <w:pPr>
        <w:jc w:val="center"/>
        <w:divId w:val="1757166464"/>
        <w:rPr>
          <w:rFonts w:eastAsia="Times New Roman"/>
        </w:rPr>
      </w:pPr>
      <w:r>
        <w:rPr>
          <w:rFonts w:eastAsia="Times New Roman"/>
          <w:color w:val="000000"/>
          <w:sz w:val="20"/>
          <w:szCs w:val="20"/>
        </w:rPr>
        <w:t>40</w:t>
      </w:r>
    </w:p>
    <w:p w:rsidR="00000000" w:rsidRDefault="005048A7">
      <w:pPr>
        <w:rPr>
          <w:rFonts w:eastAsia="Times New Roman"/>
        </w:rPr>
      </w:pPr>
      <w:r>
        <w:rPr>
          <w:rFonts w:eastAsia="Times New Roman"/>
        </w:rPr>
        <w:pict>
          <v:rect id="_x0000_i1065" style="width:0;height:1.5pt" o:hralign="center" o:hrstd="t" o:hr="t" fillcolor="#a0a0a0" stroked="f"/>
        </w:pict>
      </w:r>
    </w:p>
    <w:p w:rsidR="00000000" w:rsidRDefault="005048A7">
      <w:pPr>
        <w:divId w:val="1967392702"/>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jc w:val="both"/>
        <w:rPr>
          <w:rFonts w:eastAsia="Times New Roman"/>
        </w:rPr>
      </w:pPr>
    </w:p>
    <w:p w:rsidR="00000000" w:rsidRDefault="005048A7">
      <w:pPr>
        <w:ind w:hanging="360"/>
        <w:jc w:val="both"/>
        <w:rPr>
          <w:rFonts w:eastAsia="Times New Roman"/>
        </w:rPr>
      </w:pPr>
      <w:r>
        <w:rPr>
          <w:rFonts w:eastAsia="Times New Roman"/>
          <w:color w:val="000000"/>
          <w:sz w:val="20"/>
          <w:szCs w:val="20"/>
        </w:rPr>
        <w:t>•</w:t>
      </w:r>
      <w:r>
        <w:rPr>
          <w:rFonts w:eastAsia="Times New Roman"/>
          <w:i/>
          <w:iCs/>
          <w:color w:val="000000"/>
          <w:sz w:val="20"/>
          <w:szCs w:val="20"/>
        </w:rPr>
        <w:t>Retail</w:t>
      </w:r>
      <w:r>
        <w:rPr>
          <w:rFonts w:eastAsia="Times New Roman"/>
          <w:color w:val="000000"/>
          <w:sz w:val="20"/>
          <w:szCs w:val="20"/>
        </w:rPr>
        <w:t xml:space="preserve"> </w:t>
      </w:r>
      <w:r>
        <w:rPr>
          <w:rFonts w:eastAsia="Times New Roman"/>
          <w:color w:val="000000"/>
          <w:sz w:val="20"/>
          <w:szCs w:val="20"/>
        </w:rPr>
        <w:t>- We offer software-led solutions to customers in the retail industry, leading with digital to connect retail operations end to end to integrate all aspects of a customer’s operations in indoor and outdoor settings from POS, to payments, inventory manageme</w:t>
      </w:r>
      <w:r>
        <w:rPr>
          <w:rFonts w:eastAsia="Times New Roman"/>
          <w:color w:val="000000"/>
          <w:sz w:val="20"/>
          <w:szCs w:val="20"/>
        </w:rPr>
        <w:t>nt, fraud and loss prevention applications, loyalty and consumer engagement. These solutions include retail-oriented technologies such as comprehensive API-point of sale retail software platforms and applications, hardware terminals, self-service kiosks in</w:t>
      </w:r>
      <w:r>
        <w:rPr>
          <w:rFonts w:eastAsia="Times New Roman"/>
          <w:color w:val="000000"/>
          <w:sz w:val="20"/>
          <w:szCs w:val="20"/>
        </w:rPr>
        <w:t>cluding self-checkout ("SCO"), payment processing solutions, and bar-code scanners.</w:t>
      </w:r>
    </w:p>
    <w:p w:rsidR="00000000" w:rsidRDefault="005048A7">
      <w:pPr>
        <w:jc w:val="both"/>
        <w:rPr>
          <w:rFonts w:eastAsia="Times New Roman"/>
        </w:rPr>
      </w:pPr>
    </w:p>
    <w:p w:rsidR="00000000" w:rsidRDefault="005048A7">
      <w:pPr>
        <w:ind w:hanging="360"/>
        <w:jc w:val="both"/>
        <w:rPr>
          <w:rFonts w:eastAsia="Times New Roman"/>
        </w:rPr>
      </w:pPr>
      <w:r>
        <w:rPr>
          <w:rFonts w:eastAsia="Times New Roman"/>
          <w:color w:val="000000"/>
          <w:sz w:val="20"/>
          <w:szCs w:val="20"/>
        </w:rPr>
        <w:t>•</w:t>
      </w:r>
      <w:r>
        <w:rPr>
          <w:rFonts w:eastAsia="Times New Roman"/>
          <w:i/>
          <w:iCs/>
          <w:color w:val="000000"/>
          <w:sz w:val="20"/>
          <w:szCs w:val="20"/>
        </w:rPr>
        <w:t>Hospitality</w:t>
      </w:r>
      <w:r>
        <w:rPr>
          <w:rFonts w:eastAsia="Times New Roman"/>
          <w:color w:val="000000"/>
          <w:sz w:val="20"/>
          <w:szCs w:val="20"/>
        </w:rPr>
        <w:t xml:space="preserve"> - We offer technology solutions to customers in the hospitality industry, including table-service, quick-service and fast casual restaurants of all sizes, th</w:t>
      </w:r>
      <w:r>
        <w:rPr>
          <w:rFonts w:eastAsia="Times New Roman"/>
          <w:color w:val="000000"/>
          <w:sz w:val="20"/>
          <w:szCs w:val="20"/>
        </w:rPr>
        <w:t>at are designed to improve operational efficiency, increase customer satisfaction, streamline order and transaction processing and reduce operating costs. Our solutions include POS hardware and software solutions, installation, maintenance, managed and pro</w:t>
      </w:r>
      <w:r>
        <w:rPr>
          <w:rFonts w:eastAsia="Times New Roman"/>
          <w:color w:val="000000"/>
          <w:sz w:val="20"/>
          <w:szCs w:val="20"/>
        </w:rPr>
        <w:t>fessional services as well as payment processing solutions.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Corporate and Other includes income and expenses related to corporate functions that are not specifically attributable to an individual reportable segment along with any immaterial operating seg</w:t>
      </w:r>
      <w:r>
        <w:rPr>
          <w:rFonts w:eastAsia="Times New Roman"/>
          <w:color w:val="000000"/>
          <w:sz w:val="20"/>
          <w:szCs w:val="20"/>
        </w:rPr>
        <w:t>ment(s).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 xml:space="preserve">Eliminations include revenues from contracts with customers and the related costs that are reported in the Payments &amp; Network segment as well as in the Retail or Hospitality segments, including merchant acquiring services that are monetized via </w:t>
      </w:r>
      <w:r>
        <w:rPr>
          <w:rFonts w:eastAsia="Times New Roman"/>
          <w:color w:val="000000"/>
          <w:sz w:val="20"/>
          <w:szCs w:val="20"/>
        </w:rPr>
        <w:t>payments.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 xml:space="preserve">NCR’s reputation is founded upon over 137 years of providing quality products, services and solutions to our customers. At the heart of our customer and other business relationships is a commitment to acting responsibly, ethically and with the </w:t>
      </w:r>
      <w:r>
        <w:rPr>
          <w:rFonts w:eastAsia="Times New Roman"/>
          <w:color w:val="000000"/>
          <w:sz w:val="20"/>
          <w:szCs w:val="20"/>
        </w:rPr>
        <w:t>highest level of integrity. This commitment is reflected in NCR’s Code of Conduct, which is available on the Corporate Governance page of our website.</w:t>
      </w:r>
    </w:p>
    <w:p w:rsidR="00000000" w:rsidRDefault="005048A7">
      <w:pPr>
        <w:jc w:val="both"/>
        <w:rPr>
          <w:rFonts w:eastAsia="Times New Roman"/>
        </w:rPr>
      </w:pPr>
      <w:r>
        <w:rPr>
          <w:rFonts w:eastAsia="Times New Roman"/>
          <w:b/>
          <w:bCs/>
          <w:i/>
          <w:iCs/>
          <w:color w:val="000000"/>
          <w:sz w:val="20"/>
          <w:szCs w:val="20"/>
        </w:rPr>
        <w:t>SIGNIFICANT THEMES AND EVENTS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As more fully discussed in later sections of this MD&amp;A, the following wer</w:t>
      </w:r>
      <w:r>
        <w:rPr>
          <w:rFonts w:eastAsia="Times New Roman"/>
          <w:color w:val="000000"/>
          <w:sz w:val="20"/>
          <w:szCs w:val="20"/>
        </w:rPr>
        <w:t>e significant themes and events for the second quarter of 2022.</w:t>
      </w:r>
    </w:p>
    <w:p w:rsidR="00000000" w:rsidRDefault="005048A7">
      <w:pPr>
        <w:jc w:val="both"/>
        <w:rPr>
          <w:rFonts w:eastAsia="Times New Roman"/>
        </w:rPr>
      </w:pPr>
    </w:p>
    <w:p w:rsidR="00000000" w:rsidRDefault="005048A7">
      <w:pPr>
        <w:ind w:hanging="360"/>
        <w:jc w:val="both"/>
        <w:rPr>
          <w:rFonts w:eastAsia="Times New Roman"/>
        </w:rPr>
      </w:pPr>
      <w:r>
        <w:rPr>
          <w:rFonts w:eastAsia="Times New Roman"/>
          <w:color w:val="000000"/>
          <w:sz w:val="20"/>
          <w:szCs w:val="20"/>
        </w:rPr>
        <w:t>•Revenue of $1,997 million, up 19% compared to the prior year period, and up 23% excluding unfavorable foreign currency impacts</w:t>
      </w:r>
    </w:p>
    <w:p w:rsidR="00000000" w:rsidRDefault="005048A7">
      <w:pPr>
        <w:ind w:hanging="360"/>
        <w:jc w:val="both"/>
        <w:rPr>
          <w:rFonts w:eastAsia="Times New Roman"/>
        </w:rPr>
      </w:pPr>
      <w:r>
        <w:rPr>
          <w:rFonts w:eastAsia="Times New Roman"/>
          <w:color w:val="000000"/>
          <w:sz w:val="20"/>
          <w:szCs w:val="20"/>
        </w:rPr>
        <w:t>•Numerous external macro factors, such as rising interest rate</w:t>
      </w:r>
      <w:r>
        <w:rPr>
          <w:rFonts w:eastAsia="Times New Roman"/>
          <w:color w:val="000000"/>
          <w:sz w:val="20"/>
          <w:szCs w:val="20"/>
        </w:rPr>
        <w:t>s, the effects of the strong U.S. dollar, supply-chain challenges, high component costs, and high energy prices continue to impact quarterly results</w:t>
      </w:r>
    </w:p>
    <w:p w:rsidR="00000000" w:rsidRDefault="005048A7">
      <w:pPr>
        <w:jc w:val="both"/>
        <w:divId w:val="80689717"/>
        <w:rPr>
          <w:rFonts w:eastAsia="Times New Roman"/>
        </w:rPr>
      </w:pPr>
    </w:p>
    <w:p w:rsidR="00000000" w:rsidRDefault="005048A7">
      <w:pPr>
        <w:jc w:val="both"/>
        <w:rPr>
          <w:rFonts w:eastAsia="Times New Roman"/>
        </w:rPr>
      </w:pPr>
      <w:r>
        <w:rPr>
          <w:rFonts w:eastAsia="Times New Roman"/>
          <w:b/>
          <w:bCs/>
          <w:i/>
          <w:iCs/>
          <w:color w:val="000000"/>
          <w:sz w:val="20"/>
          <w:szCs w:val="20"/>
        </w:rPr>
        <w:t>STRATEGIC INITIATIVES AND TRENDS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In order to provide long-term value to all our stakeholders, we set co</w:t>
      </w:r>
      <w:r>
        <w:rPr>
          <w:rFonts w:eastAsia="Times New Roman"/>
          <w:color w:val="000000"/>
          <w:sz w:val="20"/>
          <w:szCs w:val="20"/>
        </w:rPr>
        <w:t>mplementary business goals and financial strategies. NCR is continuing its transition to become a software platform and payments company with a shift to a higher level of recurring revenue. Our business goal is to be a leading enterprise technology provide</w:t>
      </w:r>
      <w:r>
        <w:rPr>
          <w:rFonts w:eastAsia="Times New Roman"/>
          <w:color w:val="000000"/>
          <w:sz w:val="20"/>
          <w:szCs w:val="20"/>
        </w:rPr>
        <w:t>r that runs stores, restaurants and self-directed banking through our software platform and our NCR-as-a-Service solutions. In late 2021, we established aspirational five-year financial goals for 2026, which include annual recurring revenue of 80 percent b</w:t>
      </w:r>
      <w:r>
        <w:rPr>
          <w:rFonts w:eastAsia="Times New Roman"/>
          <w:color w:val="000000"/>
          <w:sz w:val="20"/>
          <w:szCs w:val="20"/>
        </w:rPr>
        <w:t>y 2026, annual earnings per share (non-GAAP EPS</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growth of 15 percent, and annual non-GAAP free cash flo</w:t>
      </w:r>
      <w:r>
        <w:rPr>
          <w:rFonts w:eastAsia="Times New Roman"/>
          <w:color w:val="000000"/>
          <w:sz w:val="20"/>
          <w:szCs w:val="20"/>
        </w:rPr>
        <w:t>w</w:t>
      </w: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of $1 billion in 2026. Execution of our goals and strategy is driven by the following key pillars: (i) focus on our customers; (ii) take care of</w:t>
      </w:r>
      <w:r>
        <w:rPr>
          <w:rFonts w:eastAsia="Times New Roman"/>
          <w:color w:val="000000"/>
          <w:sz w:val="20"/>
          <w:szCs w:val="20"/>
        </w:rPr>
        <w:t xml:space="preserve"> our employees; (iii) bring high-quality, innovative products to market; and (iv) leverage our brand.</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As we strive to achieve these aspirational five-year goals, we plan to capitalize on opportunities presented by the acquisitions of Cardtronics and Libe</w:t>
      </w:r>
      <w:r>
        <w:rPr>
          <w:rFonts w:eastAsia="Times New Roman"/>
          <w:color w:val="000000"/>
          <w:sz w:val="20"/>
          <w:szCs w:val="20"/>
        </w:rPr>
        <w:t>rtyX to accelerate our Payments &amp; Network business as we go to market with a more robust offering in this segment. We also plan to continue to improve our execution to drive solid returns and to transform our business to enhance value for all shareholders.</w:t>
      </w: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16"/>
          <w:szCs w:val="16"/>
        </w:rPr>
        <w:t>(1) With respect to our goals of free cash flow and non-GAAP EPS growth, we are not providing a reconciliation to the respective GAAP measure because we are unable to predict with reasonable certainty the reconciling items that may affect GAAP EPS and Cash</w:t>
      </w:r>
      <w:r>
        <w:rPr>
          <w:rFonts w:eastAsia="Times New Roman"/>
          <w:color w:val="000000"/>
          <w:sz w:val="16"/>
          <w:szCs w:val="16"/>
        </w:rPr>
        <w:t xml:space="preserve"> flow from operations without unreasonable effort. For our definition of free cash flow, see the Financial Condition, Liquidity and Capital Resources section within MD&amp;A. For our definition of non-GAAP EPS and our use of the term annual recurring revenue, </w:t>
      </w:r>
      <w:r>
        <w:rPr>
          <w:rFonts w:eastAsia="Times New Roman"/>
          <w:color w:val="000000"/>
          <w:sz w:val="16"/>
          <w:szCs w:val="16"/>
        </w:rPr>
        <w:t>see the Key Strategic Financial Metrics section within MD&amp;A.</w:t>
      </w:r>
    </w:p>
    <w:p w:rsidR="00000000" w:rsidRDefault="005048A7">
      <w:pPr>
        <w:jc w:val="center"/>
        <w:divId w:val="734471350"/>
        <w:rPr>
          <w:rFonts w:eastAsia="Times New Roman"/>
        </w:rPr>
      </w:pPr>
      <w:r>
        <w:rPr>
          <w:rFonts w:eastAsia="Times New Roman"/>
          <w:color w:val="000000"/>
          <w:sz w:val="20"/>
          <w:szCs w:val="20"/>
        </w:rPr>
        <w:t>41</w:t>
      </w:r>
    </w:p>
    <w:p w:rsidR="00000000" w:rsidRDefault="005048A7">
      <w:pPr>
        <w:rPr>
          <w:rFonts w:eastAsia="Times New Roman"/>
        </w:rPr>
      </w:pPr>
      <w:r>
        <w:rPr>
          <w:rFonts w:eastAsia="Times New Roman"/>
        </w:rPr>
        <w:pict>
          <v:rect id="_x0000_i1066" style="width:0;height:1.5pt" o:hralign="center" o:hrstd="t" o:hr="t" fillcolor="#a0a0a0" stroked="f"/>
        </w:pict>
      </w:r>
    </w:p>
    <w:p w:rsidR="00000000" w:rsidRDefault="005048A7">
      <w:pPr>
        <w:divId w:val="1751348405"/>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On February 8, 2022, NCR announced that its Board of Directors unanimously app</w:t>
      </w:r>
      <w:r>
        <w:rPr>
          <w:rFonts w:eastAsia="Times New Roman"/>
          <w:color w:val="000000"/>
          <w:sz w:val="20"/>
          <w:szCs w:val="20"/>
        </w:rPr>
        <w:t>roved commencing a comprehensive strategic review, with the assistance of outside advisors, which will evaluate a full range of strategic alternatives available to NCR to enhance value for all shareholders. The Board has not set a timetable for the conclus</w:t>
      </w:r>
      <w:r>
        <w:rPr>
          <w:rFonts w:eastAsia="Times New Roman"/>
          <w:color w:val="000000"/>
          <w:sz w:val="20"/>
          <w:szCs w:val="20"/>
        </w:rPr>
        <w:t xml:space="preserve">ion of its review of strategic alternatives. NCR does not intend to comment further on the strategic review process unless and until NCR has determined that further disclosure is beneficial or required by law. Shareholders are advised that there can be no </w:t>
      </w:r>
      <w:r>
        <w:rPr>
          <w:rFonts w:eastAsia="Times New Roman"/>
          <w:color w:val="000000"/>
          <w:sz w:val="20"/>
          <w:szCs w:val="20"/>
        </w:rPr>
        <w:t>certainty that the strategic review will result in a transaction, or if a transaction is pursued that such a transaction will be completed.</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Cybersecurity Risk Management</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 xml:space="preserve">Similar to most companies, NCR and its customers are subject to more frequent and </w:t>
      </w:r>
      <w:r>
        <w:rPr>
          <w:rFonts w:eastAsia="Times New Roman"/>
          <w:color w:val="000000"/>
          <w:sz w:val="20"/>
          <w:szCs w:val="20"/>
        </w:rPr>
        <w:t>increasingly sophisticated cybersecurity attacks. The Company maintains cybersecurity risk management policies and procedures including disclosure controls, which it regularly evaluates for updates, for handling and responding to cybersecurity events. Thes</w:t>
      </w:r>
      <w:r>
        <w:rPr>
          <w:rFonts w:eastAsia="Times New Roman"/>
          <w:color w:val="000000"/>
          <w:sz w:val="20"/>
          <w:szCs w:val="20"/>
        </w:rPr>
        <w:t>e policies and procedures include internal notifications and engagements and, as necessary, cooperation with law enforcement. Personnel involved in handling and responding to cybersecurity events periodically undertake tabletop exercises to simulate an eve</w:t>
      </w:r>
      <w:r>
        <w:rPr>
          <w:rFonts w:eastAsia="Times New Roman"/>
          <w:color w:val="000000"/>
          <w:sz w:val="20"/>
          <w:szCs w:val="20"/>
        </w:rPr>
        <w:t>nt. Our internal notification procedures include notifying the applicable Company attorneys, which, depending on the level of severity assigned to the event, may include direct notice to, among others, the Company’s General Counsel, Ethics &amp; Compliance Off</w:t>
      </w:r>
      <w:r>
        <w:rPr>
          <w:rFonts w:eastAsia="Times New Roman"/>
          <w:color w:val="000000"/>
          <w:sz w:val="20"/>
          <w:szCs w:val="20"/>
        </w:rPr>
        <w:t>icer, and Chief Privacy Officer. Company attorneys support efforts to evaluate the materiality of any incidents, determine whether notice to third parties such as customers or vendors is required, determine whether any prohibition on insider trading is app</w:t>
      </w:r>
      <w:r>
        <w:rPr>
          <w:rFonts w:eastAsia="Times New Roman"/>
          <w:color w:val="000000"/>
          <w:sz w:val="20"/>
          <w:szCs w:val="20"/>
        </w:rPr>
        <w:t xml:space="preserve">ropriate, and assess whether disclosure to stockholders or governmental filings, including with the SEC, are required. Our internal notification procedures also include notifying various NCR Information Technology Services managers, subject matter experts </w:t>
      </w:r>
      <w:r>
        <w:rPr>
          <w:rFonts w:eastAsia="Times New Roman"/>
          <w:color w:val="000000"/>
          <w:sz w:val="20"/>
          <w:szCs w:val="20"/>
        </w:rPr>
        <w:t>in the Company’s software department and Company leadership, depending on the level of severity assigned to the event.</w:t>
      </w:r>
    </w:p>
    <w:p w:rsidR="00000000" w:rsidRDefault="005048A7">
      <w:pPr>
        <w:jc w:val="both"/>
        <w:rPr>
          <w:rFonts w:eastAsia="Times New Roman"/>
        </w:rPr>
      </w:pPr>
    </w:p>
    <w:p w:rsidR="00000000" w:rsidRDefault="005048A7">
      <w:pPr>
        <w:divId w:val="154495769"/>
        <w:rPr>
          <w:rFonts w:eastAsia="Times New Roman"/>
        </w:rPr>
      </w:pPr>
      <w:r>
        <w:rPr>
          <w:rFonts w:eastAsia="Times New Roman"/>
          <w:b/>
          <w:bCs/>
          <w:i/>
          <w:iCs/>
          <w:color w:val="000000"/>
          <w:sz w:val="20"/>
          <w:szCs w:val="20"/>
        </w:rPr>
        <w:t>Impacts from Geopolitical, Macroeconomic, and COVID-19 Challenges    </w:t>
      </w:r>
    </w:p>
    <w:p w:rsidR="00000000" w:rsidRDefault="005048A7">
      <w:pPr>
        <w:divId w:val="887570607"/>
        <w:rPr>
          <w:rFonts w:eastAsia="Times New Roman"/>
        </w:rPr>
      </w:pPr>
    </w:p>
    <w:p w:rsidR="00000000" w:rsidRDefault="005048A7">
      <w:pPr>
        <w:jc w:val="both"/>
        <w:rPr>
          <w:rFonts w:eastAsia="Times New Roman"/>
        </w:rPr>
      </w:pPr>
      <w:r>
        <w:rPr>
          <w:rFonts w:eastAsia="Times New Roman"/>
          <w:color w:val="000000"/>
          <w:sz w:val="20"/>
          <w:szCs w:val="20"/>
        </w:rPr>
        <w:t>We continue to be exposed to macroeconomic pressures as a resul</w:t>
      </w:r>
      <w:r>
        <w:rPr>
          <w:rFonts w:eastAsia="Times New Roman"/>
          <w:color w:val="000000"/>
          <w:sz w:val="20"/>
          <w:szCs w:val="20"/>
        </w:rPr>
        <w:t>t of the lingering impacts of the COVID-19 pandemic, supply chain challenges, foreign currency fluctuations, and spikes in commodity and energy prices as a result of geopolitical challenges, including the war in Eastern Europe. We continue to navigate thro</w:t>
      </w:r>
      <w:r>
        <w:rPr>
          <w:rFonts w:eastAsia="Times New Roman"/>
          <w:color w:val="000000"/>
          <w:sz w:val="20"/>
          <w:szCs w:val="20"/>
        </w:rPr>
        <w:t>ugh these challenges with a sharp focus on and goal of safeguarding our employees, helping our customers and managing impacts on our supply chain. Despite the unprecedented environment, our teams are executing at a high level and we are advancing our strat</w:t>
      </w:r>
      <w:r>
        <w:rPr>
          <w:rFonts w:eastAsia="Times New Roman"/>
          <w:color w:val="000000"/>
          <w:sz w:val="20"/>
          <w:szCs w:val="20"/>
        </w:rPr>
        <w:t>egy.</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 COVID-19 pandemic is complex and continues to evolve. While it is difficult to project the long-term impact of the pandemic, we expect it will negatively impact our business at least in the short-term. The ultimate impact on our overall financia</w:t>
      </w:r>
      <w:r>
        <w:rPr>
          <w:rFonts w:eastAsia="Times New Roman"/>
          <w:color w:val="000000"/>
          <w:sz w:val="20"/>
          <w:szCs w:val="20"/>
        </w:rPr>
        <w:t>l condition and operating results will depend on the currently unknowable duration and severity of the pandemic, supply chain challenges and cost escalations including materials, labor and freight, and any additional governmental and public actions taken i</w:t>
      </w:r>
      <w:r>
        <w:rPr>
          <w:rFonts w:eastAsia="Times New Roman"/>
          <w:color w:val="000000"/>
          <w:sz w:val="20"/>
          <w:szCs w:val="20"/>
        </w:rPr>
        <w:t>n response.</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 war in Eastern Europe and related sanctions imposed on Russia and related actors have resulted in interest rate acceleration and inflation, including, but not limited to, a significant increase in the price of energy around the world, particularly in r</w:t>
      </w:r>
      <w:r>
        <w:rPr>
          <w:rFonts w:eastAsia="Times New Roman"/>
          <w:color w:val="000000"/>
          <w:sz w:val="20"/>
          <w:szCs w:val="20"/>
        </w:rPr>
        <w:t>egions such as Europe that are significantly dependent on Russia for their energy needs, and continued commodity price increases due to disruption in the mining industry in Ukraine and other factors. The war in Eastern Europe has also contributed to furthe</w:t>
      </w:r>
      <w:r>
        <w:rPr>
          <w:rFonts w:eastAsia="Times New Roman"/>
          <w:color w:val="000000"/>
          <w:sz w:val="20"/>
          <w:szCs w:val="20"/>
        </w:rPr>
        <w:t xml:space="preserve">r disruption in logistics due to the shipping difficulties in and around the Black Sea and its ports, which have resulted in the rerouting of traffic to other ports and further logistics challenges.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We expect that these factors will continue to negative</w:t>
      </w:r>
      <w:r>
        <w:rPr>
          <w:rFonts w:eastAsia="Times New Roman"/>
          <w:color w:val="000000"/>
          <w:sz w:val="20"/>
          <w:szCs w:val="20"/>
        </w:rPr>
        <w:t xml:space="preserve">ly impact our business at least in the short-term. The ultimate impact on our overall financial condition and operating results will depend on the currently unknowable duration and severity of these activities. We continue to evaluate the long-term impact </w:t>
      </w:r>
      <w:r>
        <w:rPr>
          <w:rFonts w:eastAsia="Times New Roman"/>
          <w:color w:val="000000"/>
          <w:sz w:val="20"/>
          <w:szCs w:val="20"/>
        </w:rPr>
        <w:t xml:space="preserve">that these may have on our business model, however there can be no assurance that the measures we have taken or will take will completely offset the negative impact.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For further information on the risks posed to our business from the COVID-19 pandemic a</w:t>
      </w:r>
      <w:r>
        <w:rPr>
          <w:rFonts w:eastAsia="Times New Roman"/>
          <w:color w:val="000000"/>
          <w:sz w:val="20"/>
          <w:szCs w:val="20"/>
        </w:rPr>
        <w:t>nd other factors, refer to Part I, Item 1A, “Risk Factors”, of the Company's 2021 Form 10-K. For further information on exposures to foreign exchange risk, refer to Item 3, "Quantitative and Qualitative Disclosures about Market Risk", in this Form 10-Q.</w:t>
      </w:r>
    </w:p>
    <w:p w:rsidR="00000000" w:rsidRDefault="005048A7">
      <w:pPr>
        <w:jc w:val="both"/>
        <w:rPr>
          <w:rFonts w:eastAsia="Times New Roman"/>
        </w:rPr>
      </w:pPr>
    </w:p>
    <w:p w:rsidR="00000000" w:rsidRDefault="005048A7">
      <w:pPr>
        <w:jc w:val="center"/>
        <w:divId w:val="512843233"/>
        <w:rPr>
          <w:rFonts w:eastAsia="Times New Roman"/>
        </w:rPr>
      </w:pPr>
      <w:r>
        <w:rPr>
          <w:rFonts w:eastAsia="Times New Roman"/>
          <w:color w:val="000000"/>
          <w:sz w:val="20"/>
          <w:szCs w:val="20"/>
        </w:rPr>
        <w:t>42</w:t>
      </w:r>
    </w:p>
    <w:p w:rsidR="00000000" w:rsidRDefault="005048A7">
      <w:pPr>
        <w:rPr>
          <w:rFonts w:eastAsia="Times New Roman"/>
        </w:rPr>
      </w:pPr>
      <w:r>
        <w:rPr>
          <w:rFonts w:eastAsia="Times New Roman"/>
        </w:rPr>
        <w:pict>
          <v:rect id="_x0000_i1067" style="width:0;height:1.5pt" o:hralign="center" o:hrstd="t" o:hr="t" fillcolor="#a0a0a0" stroked="f"/>
        </w:pict>
      </w:r>
    </w:p>
    <w:p w:rsidR="00000000" w:rsidRDefault="005048A7">
      <w:pPr>
        <w:divId w:val="668217570"/>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divId w:val="197936738"/>
        <w:rPr>
          <w:rFonts w:eastAsia="Times New Roman"/>
        </w:rPr>
      </w:pPr>
      <w:r>
        <w:rPr>
          <w:rFonts w:eastAsia="Times New Roman"/>
          <w:b/>
          <w:bCs/>
          <w:i/>
          <w:iCs/>
          <w:color w:val="000000"/>
          <w:sz w:val="20"/>
          <w:szCs w:val="20"/>
        </w:rPr>
        <w:t>Results from Operations</w:t>
      </w:r>
    </w:p>
    <w:p w:rsidR="00000000" w:rsidRDefault="005048A7">
      <w:pPr>
        <w:ind w:firstLine="225"/>
        <w:divId w:val="936788331"/>
        <w:rPr>
          <w:rFonts w:eastAsia="Times New Roman"/>
        </w:rPr>
      </w:pPr>
    </w:p>
    <w:p w:rsidR="00000000" w:rsidRDefault="005048A7">
      <w:pPr>
        <w:divId w:val="1052533430"/>
        <w:rPr>
          <w:rFonts w:eastAsia="Times New Roman"/>
        </w:rPr>
      </w:pPr>
      <w:r>
        <w:rPr>
          <w:rFonts w:eastAsia="Times New Roman"/>
          <w:b/>
          <w:bCs/>
          <w:i/>
          <w:iCs/>
          <w:color w:val="000000"/>
          <w:sz w:val="20"/>
          <w:szCs w:val="20"/>
        </w:rPr>
        <w:t xml:space="preserve">For the three and six months ended June 30, 2022 compared to the three and six months ended June 30, 2021 </w:t>
      </w:r>
    </w:p>
    <w:p w:rsidR="00000000" w:rsidRDefault="005048A7">
      <w:pPr>
        <w:divId w:val="375206133"/>
        <w:rPr>
          <w:rFonts w:eastAsia="Times New Roman"/>
        </w:rPr>
      </w:pPr>
    </w:p>
    <w:p w:rsidR="00000000" w:rsidRDefault="005048A7">
      <w:pPr>
        <w:divId w:val="901217312"/>
        <w:rPr>
          <w:rFonts w:eastAsia="Times New Roman"/>
        </w:rPr>
      </w:pPr>
      <w:r>
        <w:rPr>
          <w:rFonts w:eastAsia="Times New Roman"/>
          <w:b/>
          <w:bCs/>
          <w:color w:val="000000"/>
          <w:sz w:val="20"/>
          <w:szCs w:val="20"/>
        </w:rPr>
        <w:t>Consolida</w:t>
      </w:r>
      <w:r>
        <w:rPr>
          <w:rFonts w:eastAsia="Times New Roman"/>
          <w:b/>
          <w:bCs/>
          <w:color w:val="000000"/>
          <w:sz w:val="20"/>
          <w:szCs w:val="20"/>
        </w:rPr>
        <w:t>ted Results</w:t>
      </w:r>
    </w:p>
    <w:p w:rsidR="00000000" w:rsidRDefault="005048A7">
      <w:pPr>
        <w:divId w:val="233862168"/>
        <w:rPr>
          <w:rFonts w:eastAsia="Times New Roman"/>
        </w:rPr>
      </w:pPr>
    </w:p>
    <w:p w:rsidR="00000000" w:rsidRDefault="005048A7">
      <w:pPr>
        <w:divId w:val="1989702090"/>
        <w:rPr>
          <w:rFonts w:eastAsia="Times New Roman"/>
        </w:rPr>
      </w:pPr>
      <w:r>
        <w:rPr>
          <w:rFonts w:eastAsia="Times New Roman"/>
          <w:color w:val="000000"/>
          <w:sz w:val="20"/>
          <w:szCs w:val="20"/>
        </w:rPr>
        <w:t xml:space="preserve">The following tables show our results for the three and six months ended June 30, the relative percentage that those amounts represent to revenue, and the change in those amounts year-over-year. </w:t>
      </w:r>
    </w:p>
    <w:p w:rsidR="00000000" w:rsidRDefault="005048A7">
      <w:pPr>
        <w:divId w:val="211323745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913"/>
        <w:gridCol w:w="38"/>
        <w:gridCol w:w="36"/>
        <w:gridCol w:w="36"/>
        <w:gridCol w:w="36"/>
        <w:gridCol w:w="121"/>
        <w:gridCol w:w="786"/>
        <w:gridCol w:w="36"/>
        <w:gridCol w:w="36"/>
        <w:gridCol w:w="36"/>
        <w:gridCol w:w="36"/>
        <w:gridCol w:w="121"/>
        <w:gridCol w:w="750"/>
        <w:gridCol w:w="36"/>
        <w:gridCol w:w="36"/>
        <w:gridCol w:w="36"/>
        <w:gridCol w:w="36"/>
        <w:gridCol w:w="45"/>
        <w:gridCol w:w="731"/>
        <w:gridCol w:w="221"/>
        <w:gridCol w:w="37"/>
        <w:gridCol w:w="36"/>
        <w:gridCol w:w="36"/>
        <w:gridCol w:w="45"/>
        <w:gridCol w:w="731"/>
        <w:gridCol w:w="187"/>
        <w:gridCol w:w="36"/>
        <w:gridCol w:w="36"/>
        <w:gridCol w:w="36"/>
        <w:gridCol w:w="65"/>
        <w:gridCol w:w="713"/>
        <w:gridCol w:w="187"/>
      </w:tblGrid>
      <w:tr w:rsidR="00000000">
        <w:trPr>
          <w:divId w:val="1446971622"/>
        </w:trPr>
        <w:tc>
          <w:tcPr>
            <w:tcW w:w="50" w:type="pct"/>
            <w:vAlign w:val="center"/>
            <w:hideMark/>
          </w:tcPr>
          <w:p w:rsidR="00000000" w:rsidRDefault="005048A7">
            <w:pPr>
              <w:rPr>
                <w:rFonts w:eastAsia="Times New Roman"/>
              </w:rPr>
            </w:pPr>
          </w:p>
        </w:tc>
        <w:tc>
          <w:tcPr>
            <w:tcW w:w="183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5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1446971622"/>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Percentage of Revenue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Increase (Decrease)</w:t>
            </w:r>
          </w:p>
        </w:tc>
      </w:tr>
      <w:tr w:rsidR="00000000">
        <w:trPr>
          <w:divId w:val="1446971622"/>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 v 2021</w:t>
            </w:r>
          </w:p>
        </w:tc>
      </w:tr>
      <w:tr w:rsidR="00000000">
        <w:trPr>
          <w:divId w:val="1446971622"/>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Product revenue</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614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30.7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rPr>
          <w:divId w:val="1446971622"/>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Service revenue</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1,126 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67.1 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rPr>
          <w:divId w:val="1446971622"/>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1,997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1,677 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rPr>
          <w:divId w:val="1446971622"/>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Product gross margin</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11.4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rPr>
          <w:divId w:val="1446971622"/>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Service gross margin</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358 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31.8 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rPr>
          <w:divId w:val="1446971622"/>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gross margin</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471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23.6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rPr>
          <w:divId w:val="1446971622"/>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303 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18.1 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rPr>
          <w:divId w:val="1446971622"/>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Research and development expenses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rPr>
          <w:divId w:val="1446971622"/>
        </w:trPr>
        <w:tc>
          <w:tcPr>
            <w:tcW w:w="0" w:type="auto"/>
            <w:gridSpan w:val="3"/>
            <w:vAlign w:val="center"/>
            <w:hideMark/>
          </w:tcPr>
          <w:p w:rsidR="00000000" w:rsidRDefault="005048A7">
            <w:pPr>
              <w:spacing w:after="100"/>
              <w:jc w:val="right"/>
              <w:rPr>
                <w:rFonts w:eastAsia="Times New Roman"/>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446971622"/>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Income from operations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bl>
    <w:p w:rsidR="00000000" w:rsidRDefault="005048A7">
      <w:pPr>
        <w:divId w:val="200064836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913"/>
        <w:gridCol w:w="38"/>
        <w:gridCol w:w="36"/>
        <w:gridCol w:w="36"/>
        <w:gridCol w:w="36"/>
        <w:gridCol w:w="120"/>
        <w:gridCol w:w="786"/>
        <w:gridCol w:w="36"/>
        <w:gridCol w:w="36"/>
        <w:gridCol w:w="36"/>
        <w:gridCol w:w="36"/>
        <w:gridCol w:w="120"/>
        <w:gridCol w:w="750"/>
        <w:gridCol w:w="36"/>
        <w:gridCol w:w="36"/>
        <w:gridCol w:w="36"/>
        <w:gridCol w:w="36"/>
        <w:gridCol w:w="45"/>
        <w:gridCol w:w="731"/>
        <w:gridCol w:w="221"/>
        <w:gridCol w:w="37"/>
        <w:gridCol w:w="36"/>
        <w:gridCol w:w="36"/>
        <w:gridCol w:w="45"/>
        <w:gridCol w:w="732"/>
        <w:gridCol w:w="187"/>
        <w:gridCol w:w="36"/>
        <w:gridCol w:w="36"/>
        <w:gridCol w:w="36"/>
        <w:gridCol w:w="65"/>
        <w:gridCol w:w="714"/>
        <w:gridCol w:w="187"/>
      </w:tblGrid>
      <w:tr w:rsidR="00000000">
        <w:trPr>
          <w:divId w:val="1651253964"/>
        </w:trPr>
        <w:tc>
          <w:tcPr>
            <w:tcW w:w="50" w:type="pct"/>
            <w:vAlign w:val="center"/>
            <w:hideMark/>
          </w:tcPr>
          <w:p w:rsidR="00000000" w:rsidRDefault="005048A7">
            <w:pPr>
              <w:rPr>
                <w:rFonts w:eastAsia="Times New Roman"/>
              </w:rPr>
            </w:pPr>
          </w:p>
        </w:tc>
        <w:tc>
          <w:tcPr>
            <w:tcW w:w="183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5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1651253964"/>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Percentage of Revenue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Increase (Decrease)</w:t>
            </w:r>
          </w:p>
        </w:tc>
      </w:tr>
      <w:tr w:rsidR="00000000">
        <w:trPr>
          <w:divId w:val="1651253964"/>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 v 2021</w:t>
            </w:r>
          </w:p>
        </w:tc>
      </w:tr>
      <w:tr w:rsidR="00000000">
        <w:trPr>
          <w:divId w:val="1651253964"/>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Product revenue</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1,130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29.3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rPr>
          <w:divId w:val="1651253964"/>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Service revenue</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2,733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2,188 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67.9 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rPr>
          <w:divId w:val="1651253964"/>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3,863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rPr>
          <w:divId w:val="1651253964"/>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Product gross margin</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rPr>
          <w:divId w:val="1651253964"/>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Service gross margin</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698 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31.9 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rPr>
          <w:divId w:val="1651253964"/>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gross margin</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882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22.8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rPr>
          <w:divId w:val="1651253964"/>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541 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16.8 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rPr>
          <w:divId w:val="1651253964"/>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Research and development expenses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rPr>
          <w:divId w:val="1651253964"/>
        </w:trPr>
        <w:tc>
          <w:tcPr>
            <w:tcW w:w="0" w:type="auto"/>
            <w:gridSpan w:val="3"/>
            <w:vAlign w:val="center"/>
            <w:hideMark/>
          </w:tcPr>
          <w:p w:rsidR="00000000" w:rsidRDefault="005048A7">
            <w:pPr>
              <w:spacing w:after="100"/>
              <w:jc w:val="right"/>
              <w:rPr>
                <w:rFonts w:eastAsia="Times New Roman"/>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651253964"/>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Income from operations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bl>
    <w:p w:rsidR="00000000" w:rsidRDefault="005048A7">
      <w:pPr>
        <w:divId w:val="174999277"/>
        <w:rPr>
          <w:rFonts w:eastAsia="Times New Roman"/>
        </w:rPr>
      </w:pPr>
    </w:p>
    <w:p w:rsidR="00000000" w:rsidRDefault="005048A7">
      <w:pPr>
        <w:divId w:val="190844438"/>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The percentage of revenue is calculated for each line item divided by total revenue, except for product gross margin and service gross margin, which</w:t>
      </w:r>
      <w:r>
        <w:rPr>
          <w:rFonts w:eastAsia="Times New Roman"/>
          <w:color w:val="000000"/>
          <w:sz w:val="18"/>
          <w:szCs w:val="18"/>
        </w:rPr>
        <w:t xml:space="preserve"> are divided by the related component of revenue.</w:t>
      </w:r>
    </w:p>
    <w:p w:rsidR="00000000" w:rsidRDefault="005048A7">
      <w:pPr>
        <w:divId w:val="1980526787"/>
        <w:rPr>
          <w:rFonts w:eastAsia="Times New Roman"/>
        </w:rPr>
      </w:pPr>
    </w:p>
    <w:p w:rsidR="00000000" w:rsidRDefault="005048A7">
      <w:pPr>
        <w:divId w:val="94254053"/>
        <w:rPr>
          <w:rFonts w:eastAsia="Times New Roman"/>
        </w:rPr>
      </w:pPr>
    </w:p>
    <w:p w:rsidR="00000000" w:rsidRDefault="005048A7">
      <w:pPr>
        <w:divId w:val="2115782751"/>
        <w:rPr>
          <w:rFonts w:eastAsia="Times New Roman"/>
        </w:rPr>
      </w:pPr>
    </w:p>
    <w:p w:rsidR="00000000" w:rsidRDefault="005048A7">
      <w:pPr>
        <w:divId w:val="235677292"/>
        <w:rPr>
          <w:rFonts w:eastAsia="Times New Roman"/>
        </w:rPr>
      </w:pPr>
    </w:p>
    <w:p w:rsidR="00000000" w:rsidRDefault="005048A7">
      <w:pPr>
        <w:jc w:val="center"/>
        <w:divId w:val="585697126"/>
        <w:rPr>
          <w:rFonts w:eastAsia="Times New Roman"/>
        </w:rPr>
      </w:pPr>
      <w:r>
        <w:rPr>
          <w:rFonts w:eastAsia="Times New Roman"/>
          <w:color w:val="000000"/>
          <w:sz w:val="20"/>
          <w:szCs w:val="20"/>
        </w:rPr>
        <w:t>43</w:t>
      </w:r>
    </w:p>
    <w:p w:rsidR="00000000" w:rsidRDefault="005048A7">
      <w:pPr>
        <w:rPr>
          <w:rFonts w:eastAsia="Times New Roman"/>
        </w:rPr>
      </w:pPr>
      <w:r>
        <w:rPr>
          <w:rFonts w:eastAsia="Times New Roman"/>
        </w:rPr>
        <w:pict>
          <v:rect id="_x0000_i1068" style="width:0;height:1.5pt" o:hralign="center" o:hrstd="t" o:hr="t" fillcolor="#a0a0a0" stroked="f"/>
        </w:pict>
      </w:r>
    </w:p>
    <w:p w:rsidR="00000000" w:rsidRDefault="005048A7">
      <w:pPr>
        <w:divId w:val="1001202651"/>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divId w:val="407191090"/>
        <w:rPr>
          <w:rFonts w:eastAsia="Times New Roman"/>
        </w:rPr>
      </w:pPr>
      <w:r>
        <w:rPr>
          <w:rFonts w:eastAsia="Times New Roman"/>
          <w:b/>
          <w:bCs/>
          <w:color w:val="000000"/>
          <w:sz w:val="20"/>
          <w:szCs w:val="20"/>
        </w:rPr>
        <w:t>Key Strategic Financial Metrics</w:t>
      </w:r>
    </w:p>
    <w:p w:rsidR="00000000" w:rsidRDefault="005048A7">
      <w:pPr>
        <w:divId w:val="793213217"/>
        <w:rPr>
          <w:rFonts w:eastAsia="Times New Roman"/>
        </w:rPr>
      </w:pPr>
    </w:p>
    <w:p w:rsidR="00000000" w:rsidRDefault="005048A7">
      <w:pPr>
        <w:jc w:val="both"/>
        <w:rPr>
          <w:rFonts w:eastAsia="Times New Roman"/>
        </w:rPr>
      </w:pPr>
      <w:r>
        <w:rPr>
          <w:rFonts w:eastAsia="Times New Roman"/>
          <w:color w:val="000000"/>
          <w:sz w:val="20"/>
          <w:szCs w:val="20"/>
        </w:rPr>
        <w:t xml:space="preserve">The following tables show our key strategic financial metrics for the three and six months ended June 30, the relative percentage that those amounts represent to total revenue, and the change in those amounts year-over-year. </w:t>
      </w:r>
    </w:p>
    <w:p w:rsidR="00000000" w:rsidRDefault="005048A7">
      <w:pPr>
        <w:divId w:val="631137947"/>
        <w:rPr>
          <w:rFonts w:eastAsia="Times New Roman"/>
        </w:rPr>
      </w:pPr>
    </w:p>
    <w:p w:rsidR="00000000" w:rsidRDefault="005048A7">
      <w:pPr>
        <w:ind w:hanging="360"/>
        <w:jc w:val="both"/>
        <w:rPr>
          <w:rFonts w:eastAsia="Times New Roman"/>
        </w:rPr>
      </w:pPr>
      <w:r>
        <w:rPr>
          <w:rFonts w:eastAsia="Times New Roman"/>
          <w:b/>
          <w:bCs/>
          <w:i/>
          <w:iCs/>
          <w:color w:val="000000"/>
          <w:sz w:val="20"/>
          <w:szCs w:val="20"/>
        </w:rPr>
        <w:t>Recurring revenue as a perce</w:t>
      </w:r>
      <w:r>
        <w:rPr>
          <w:rFonts w:eastAsia="Times New Roman"/>
          <w:b/>
          <w:bCs/>
          <w:i/>
          <w:iCs/>
          <w:color w:val="000000"/>
          <w:sz w:val="20"/>
          <w:szCs w:val="20"/>
        </w:rPr>
        <w:t>ntage of total revenue</w:t>
      </w:r>
    </w:p>
    <w:p w:rsidR="00000000" w:rsidRDefault="005048A7">
      <w:pPr>
        <w:divId w:val="188667684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962"/>
        <w:gridCol w:w="36"/>
        <w:gridCol w:w="36"/>
        <w:gridCol w:w="36"/>
        <w:gridCol w:w="36"/>
        <w:gridCol w:w="120"/>
        <w:gridCol w:w="773"/>
        <w:gridCol w:w="36"/>
        <w:gridCol w:w="36"/>
        <w:gridCol w:w="36"/>
        <w:gridCol w:w="36"/>
        <w:gridCol w:w="120"/>
        <w:gridCol w:w="773"/>
        <w:gridCol w:w="36"/>
        <w:gridCol w:w="36"/>
        <w:gridCol w:w="36"/>
        <w:gridCol w:w="36"/>
        <w:gridCol w:w="38"/>
        <w:gridCol w:w="712"/>
        <w:gridCol w:w="221"/>
        <w:gridCol w:w="37"/>
        <w:gridCol w:w="37"/>
        <w:gridCol w:w="36"/>
        <w:gridCol w:w="37"/>
        <w:gridCol w:w="701"/>
        <w:gridCol w:w="187"/>
        <w:gridCol w:w="36"/>
        <w:gridCol w:w="36"/>
        <w:gridCol w:w="36"/>
        <w:gridCol w:w="65"/>
        <w:gridCol w:w="689"/>
        <w:gridCol w:w="220"/>
      </w:tblGrid>
      <w:tr w:rsidR="00000000">
        <w:trPr>
          <w:divId w:val="830566373"/>
        </w:trPr>
        <w:tc>
          <w:tcPr>
            <w:tcW w:w="50" w:type="pct"/>
            <w:vAlign w:val="center"/>
            <w:hideMark/>
          </w:tcPr>
          <w:p w:rsidR="00000000" w:rsidRDefault="005048A7">
            <w:pPr>
              <w:rPr>
                <w:rFonts w:eastAsia="Times New Roman"/>
              </w:rPr>
            </w:pPr>
          </w:p>
        </w:tc>
        <w:tc>
          <w:tcPr>
            <w:tcW w:w="188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830566373"/>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12"/>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Percentage of Total Revenue</w:t>
            </w: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Increase (Decrease)</w:t>
            </w:r>
          </w:p>
        </w:tc>
      </w:tr>
      <w:tr w:rsidR="00000000">
        <w:trPr>
          <w:divId w:val="830566373"/>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 v 2021</w:t>
            </w:r>
          </w:p>
        </w:tc>
      </w:tr>
      <w:tr w:rsidR="00000000">
        <w:trPr>
          <w:divId w:val="830566373"/>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divId w:val="1806967764"/>
              <w:rPr>
                <w:rFonts w:eastAsia="Times New Roman"/>
              </w:rPr>
            </w:pPr>
            <w:r>
              <w:rPr>
                <w:rFonts w:eastAsia="Times New Roman"/>
                <w:color w:val="000000"/>
                <w:sz w:val="20"/>
                <w:szCs w:val="20"/>
              </w:rPr>
              <w:t>     </w:t>
            </w:r>
            <w:r>
              <w:rPr>
                <w:rFonts w:eastAsia="Times New Roman"/>
                <w:color w:val="000000"/>
                <w:sz w:val="20"/>
                <w:szCs w:val="20"/>
              </w:rPr>
              <w:t>Recurring revenue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1,217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60.9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r>
      <w:tr w:rsidR="00000000">
        <w:trPr>
          <w:divId w:val="830566373"/>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     All other products and services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748 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44.6 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r>
      <w:tr w:rsidR="00000000">
        <w:trPr>
          <w:divId w:val="830566373"/>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1,997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1,677 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r>
    </w:tbl>
    <w:p w:rsidR="00000000" w:rsidRDefault="005048A7">
      <w:pPr>
        <w:divId w:val="98929157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962"/>
        <w:gridCol w:w="36"/>
        <w:gridCol w:w="36"/>
        <w:gridCol w:w="36"/>
        <w:gridCol w:w="36"/>
        <w:gridCol w:w="120"/>
        <w:gridCol w:w="773"/>
        <w:gridCol w:w="36"/>
        <w:gridCol w:w="36"/>
        <w:gridCol w:w="36"/>
        <w:gridCol w:w="36"/>
        <w:gridCol w:w="120"/>
        <w:gridCol w:w="773"/>
        <w:gridCol w:w="36"/>
        <w:gridCol w:w="36"/>
        <w:gridCol w:w="36"/>
        <w:gridCol w:w="36"/>
        <w:gridCol w:w="45"/>
        <w:gridCol w:w="705"/>
        <w:gridCol w:w="221"/>
        <w:gridCol w:w="37"/>
        <w:gridCol w:w="37"/>
        <w:gridCol w:w="36"/>
        <w:gridCol w:w="46"/>
        <w:gridCol w:w="692"/>
        <w:gridCol w:w="187"/>
        <w:gridCol w:w="36"/>
        <w:gridCol w:w="36"/>
        <w:gridCol w:w="36"/>
        <w:gridCol w:w="65"/>
        <w:gridCol w:w="689"/>
        <w:gridCol w:w="220"/>
      </w:tblGrid>
      <w:tr w:rsidR="00000000">
        <w:trPr>
          <w:divId w:val="2001538081"/>
        </w:trPr>
        <w:tc>
          <w:tcPr>
            <w:tcW w:w="50" w:type="pct"/>
            <w:vAlign w:val="center"/>
            <w:hideMark/>
          </w:tcPr>
          <w:p w:rsidR="00000000" w:rsidRDefault="005048A7">
            <w:pPr>
              <w:rPr>
                <w:rFonts w:eastAsia="Times New Roman"/>
              </w:rPr>
            </w:pPr>
          </w:p>
        </w:tc>
        <w:tc>
          <w:tcPr>
            <w:tcW w:w="188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2001538081"/>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12"/>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Percentage of Total Revenue</w:t>
            </w: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Increase (Decrease)</w:t>
            </w:r>
          </w:p>
        </w:tc>
      </w:tr>
      <w:tr w:rsidR="00000000">
        <w:trPr>
          <w:divId w:val="2001538081"/>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 v 2021</w:t>
            </w:r>
          </w:p>
        </w:tc>
      </w:tr>
      <w:tr w:rsidR="00000000">
        <w:trPr>
          <w:divId w:val="2001538081"/>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divId w:val="2083330738"/>
              <w:rPr>
                <w:rFonts w:eastAsia="Times New Roman"/>
              </w:rPr>
            </w:pPr>
            <w:r>
              <w:rPr>
                <w:rFonts w:eastAsia="Times New Roman"/>
                <w:color w:val="000000"/>
                <w:sz w:val="20"/>
                <w:szCs w:val="20"/>
              </w:rPr>
              <w:t>     Recurring revenue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2,396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1,803 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r>
      <w:tr w:rsidR="00000000">
        <w:trPr>
          <w:divId w:val="2001538081"/>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     All other products and services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1,467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1,418 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44.0 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r>
      <w:tr w:rsidR="00000000">
        <w:trPr>
          <w:divId w:val="2001538081"/>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3,863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3,221 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r>
    </w:tbl>
    <w:p w:rsidR="00000000" w:rsidRDefault="005048A7">
      <w:pPr>
        <w:divId w:val="1400520429"/>
        <w:rPr>
          <w:rFonts w:eastAsia="Times New Roman"/>
        </w:rPr>
      </w:pPr>
    </w:p>
    <w:p w:rsidR="00000000" w:rsidRDefault="005048A7">
      <w:pPr>
        <w:ind w:hanging="270"/>
        <w:jc w:val="both"/>
        <w:rPr>
          <w:rFonts w:eastAsia="Times New Roman"/>
        </w:rPr>
      </w:pPr>
      <w:r>
        <w:rPr>
          <w:rFonts w:eastAsia="Times New Roman"/>
          <w:color w:val="000000"/>
          <w:sz w:val="12"/>
          <w:szCs w:val="12"/>
        </w:rPr>
        <w:t>(1)</w:t>
      </w:r>
      <w:r>
        <w:rPr>
          <w:rFonts w:eastAsia="Times New Roman"/>
          <w:color w:val="000000"/>
          <w:sz w:val="12"/>
          <w:szCs w:val="12"/>
        </w:rPr>
        <w:t xml:space="preserve"> </w:t>
      </w:r>
      <w:r>
        <w:rPr>
          <w:rFonts w:eastAsia="Times New Roman"/>
          <w:color w:val="000000"/>
          <w:sz w:val="18"/>
          <w:szCs w:val="18"/>
        </w:rPr>
        <w:t>Recurring rev</w:t>
      </w:r>
      <w:r>
        <w:rPr>
          <w:rFonts w:eastAsia="Times New Roman"/>
          <w:color w:val="000000"/>
          <w:sz w:val="18"/>
          <w:szCs w:val="18"/>
        </w:rPr>
        <w:t>enue includes all revenue streams from contracts where there is a predictable revenue pattern that will occur at regular intervals with a relatively high degree of certainty. This includes hardware and software maintenance revenue, cloud revenue, payment p</w:t>
      </w:r>
      <w:r>
        <w:rPr>
          <w:rFonts w:eastAsia="Times New Roman"/>
          <w:color w:val="000000"/>
          <w:sz w:val="18"/>
          <w:szCs w:val="18"/>
        </w:rPr>
        <w:t>rocessing revenue, interchange and network revenue, and certain professional services arrangements as well as term-based software license arrangements that include customer termination rights.</w:t>
      </w:r>
    </w:p>
    <w:p w:rsidR="00000000" w:rsidRDefault="005048A7">
      <w:pPr>
        <w:ind w:hanging="270"/>
        <w:jc w:val="both"/>
        <w:rPr>
          <w:rFonts w:eastAsia="Times New Roman"/>
        </w:rPr>
      </w:pPr>
    </w:p>
    <w:p w:rsidR="00000000" w:rsidRDefault="005048A7">
      <w:pPr>
        <w:ind w:hanging="360"/>
        <w:jc w:val="both"/>
        <w:rPr>
          <w:rFonts w:eastAsia="Times New Roman"/>
        </w:rPr>
      </w:pPr>
      <w:r>
        <w:rPr>
          <w:rFonts w:eastAsia="Times New Roman"/>
          <w:b/>
          <w:bCs/>
          <w:i/>
          <w:iCs/>
          <w:color w:val="000000"/>
          <w:sz w:val="20"/>
          <w:szCs w:val="20"/>
        </w:rPr>
        <w:t>Net income (loss) from continuing operations and Adjusted EBI</w:t>
      </w:r>
      <w:r>
        <w:rPr>
          <w:rFonts w:eastAsia="Times New Roman"/>
          <w:b/>
          <w:bCs/>
          <w:i/>
          <w:iCs/>
          <w:color w:val="000000"/>
          <w:sz w:val="20"/>
          <w:szCs w:val="20"/>
        </w:rPr>
        <w:t>TD</w:t>
      </w:r>
      <w:r>
        <w:rPr>
          <w:rFonts w:eastAsia="Times New Roman"/>
          <w:b/>
          <w:bCs/>
          <w:i/>
          <w:iCs/>
          <w:color w:val="000000"/>
          <w:sz w:val="20"/>
          <w:szCs w:val="20"/>
        </w:rPr>
        <w:t>A</w:t>
      </w:r>
      <w:r>
        <w:rPr>
          <w:rFonts w:eastAsia="Times New Roman"/>
          <w:b/>
          <w:bCs/>
          <w:i/>
          <w:iCs/>
          <w:color w:val="000000"/>
          <w:sz w:val="13"/>
          <w:szCs w:val="13"/>
        </w:rPr>
        <w:t xml:space="preserve"> </w:t>
      </w:r>
      <w:r>
        <w:rPr>
          <w:rFonts w:eastAsia="Times New Roman"/>
          <w:b/>
          <w:bCs/>
          <w:i/>
          <w:iCs/>
          <w:color w:val="000000"/>
          <w:sz w:val="20"/>
          <w:szCs w:val="20"/>
        </w:rPr>
        <w:t>as a percentage of total revenue</w:t>
      </w:r>
    </w:p>
    <w:p w:rsidR="00000000" w:rsidRDefault="005048A7">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930"/>
        <w:gridCol w:w="36"/>
        <w:gridCol w:w="36"/>
        <w:gridCol w:w="36"/>
        <w:gridCol w:w="36"/>
        <w:gridCol w:w="120"/>
        <w:gridCol w:w="789"/>
        <w:gridCol w:w="36"/>
        <w:gridCol w:w="36"/>
        <w:gridCol w:w="36"/>
        <w:gridCol w:w="36"/>
        <w:gridCol w:w="120"/>
        <w:gridCol w:w="790"/>
        <w:gridCol w:w="36"/>
        <w:gridCol w:w="36"/>
        <w:gridCol w:w="36"/>
        <w:gridCol w:w="36"/>
        <w:gridCol w:w="38"/>
        <w:gridCol w:w="720"/>
        <w:gridCol w:w="221"/>
        <w:gridCol w:w="37"/>
        <w:gridCol w:w="36"/>
        <w:gridCol w:w="36"/>
        <w:gridCol w:w="38"/>
        <w:gridCol w:w="720"/>
        <w:gridCol w:w="187"/>
        <w:gridCol w:w="36"/>
        <w:gridCol w:w="36"/>
        <w:gridCol w:w="36"/>
        <w:gridCol w:w="65"/>
        <w:gridCol w:w="694"/>
        <w:gridCol w:w="187"/>
      </w:tblGrid>
      <w:tr w:rsidR="00000000">
        <w:tc>
          <w:tcPr>
            <w:tcW w:w="50" w:type="pct"/>
            <w:vAlign w:val="center"/>
            <w:hideMark/>
          </w:tcPr>
          <w:p w:rsidR="00000000" w:rsidRDefault="005048A7">
            <w:pPr>
              <w:jc w:val="both"/>
              <w:rPr>
                <w:rFonts w:eastAsia="Times New Roman"/>
              </w:rPr>
            </w:pPr>
          </w:p>
        </w:tc>
        <w:tc>
          <w:tcPr>
            <w:tcW w:w="186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12"/>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Percentage of Total Revenue</w:t>
            </w: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 v 2021</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Net income (loss) from continuing operations attributable to NCR</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Adjusted EBITDA</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281 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16.8 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bl>
    <w:p w:rsidR="00000000" w:rsidRDefault="005048A7">
      <w:pPr>
        <w:ind w:hanging="270"/>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923"/>
        <w:gridCol w:w="36"/>
        <w:gridCol w:w="36"/>
        <w:gridCol w:w="36"/>
        <w:gridCol w:w="36"/>
        <w:gridCol w:w="120"/>
        <w:gridCol w:w="786"/>
        <w:gridCol w:w="36"/>
        <w:gridCol w:w="36"/>
        <w:gridCol w:w="36"/>
        <w:gridCol w:w="36"/>
        <w:gridCol w:w="120"/>
        <w:gridCol w:w="786"/>
        <w:gridCol w:w="36"/>
        <w:gridCol w:w="36"/>
        <w:gridCol w:w="36"/>
        <w:gridCol w:w="36"/>
        <w:gridCol w:w="38"/>
        <w:gridCol w:w="712"/>
        <w:gridCol w:w="221"/>
        <w:gridCol w:w="36"/>
        <w:gridCol w:w="36"/>
        <w:gridCol w:w="36"/>
        <w:gridCol w:w="38"/>
        <w:gridCol w:w="714"/>
        <w:gridCol w:w="221"/>
        <w:gridCol w:w="36"/>
        <w:gridCol w:w="36"/>
        <w:gridCol w:w="36"/>
        <w:gridCol w:w="65"/>
        <w:gridCol w:w="689"/>
        <w:gridCol w:w="187"/>
      </w:tblGrid>
      <w:tr w:rsidR="00000000">
        <w:tc>
          <w:tcPr>
            <w:tcW w:w="50" w:type="pct"/>
            <w:vAlign w:val="center"/>
            <w:hideMark/>
          </w:tcPr>
          <w:p w:rsidR="00000000" w:rsidRDefault="005048A7">
            <w:pPr>
              <w:ind w:hanging="270"/>
              <w:jc w:val="both"/>
              <w:rPr>
                <w:rFonts w:eastAsia="Times New Roman"/>
              </w:rPr>
            </w:pPr>
          </w:p>
        </w:tc>
        <w:tc>
          <w:tcPr>
            <w:tcW w:w="186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12"/>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Percentage of Total Revenue</w:t>
            </w:r>
          </w:p>
        </w:tc>
        <w:tc>
          <w:tcPr>
            <w:tcW w:w="0" w:type="auto"/>
            <w:gridSpan w:val="3"/>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 v 2021</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Net income (loss) from continuing operations attributable to NCR</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0.1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0.7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Adjusted EBITDA</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539 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bl>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r>
        <w:rPr>
          <w:rFonts w:eastAsia="Times New Roman"/>
          <w:b/>
          <w:bCs/>
          <w:color w:val="000000"/>
          <w:sz w:val="20"/>
          <w:szCs w:val="20"/>
          <w:u w:val="single"/>
        </w:rPr>
        <w:t>Non-GAAP Financial Measures and Use of Certain Terms:</w:t>
      </w:r>
    </w:p>
    <w:p w:rsidR="00000000" w:rsidRDefault="005048A7">
      <w:pPr>
        <w:jc w:val="both"/>
        <w:rPr>
          <w:rFonts w:eastAsia="Times New Roman"/>
        </w:rPr>
      </w:pPr>
    </w:p>
    <w:p w:rsidR="00000000" w:rsidRDefault="005048A7">
      <w:pPr>
        <w:jc w:val="both"/>
        <w:divId w:val="1403092930"/>
        <w:rPr>
          <w:rFonts w:eastAsia="Times New Roman"/>
        </w:rPr>
      </w:pPr>
      <w:r>
        <w:rPr>
          <w:rFonts w:eastAsia="Times New Roman"/>
          <w:color w:val="000000"/>
          <w:sz w:val="20"/>
          <w:szCs w:val="20"/>
        </w:rPr>
        <w:t xml:space="preserve">The term “annual recurring revenue” </w:t>
      </w:r>
      <w:r>
        <w:rPr>
          <w:rFonts w:eastAsia="Times New Roman"/>
          <w:color w:val="000000"/>
          <w:sz w:val="20"/>
          <w:szCs w:val="20"/>
        </w:rPr>
        <w:t>is recurring revenue, excluding software license sold as a subscription, for the last three months times four, plus the rolling four quarters for term-based software license arrangements that include customer termination rights.</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Non-GAAP Earnings per Sha</w:t>
      </w:r>
      <w:r>
        <w:rPr>
          <w:rFonts w:eastAsia="Times New Roman"/>
          <w:i/>
          <w:iCs/>
          <w:color w:val="000000"/>
          <w:sz w:val="20"/>
          <w:szCs w:val="20"/>
        </w:rPr>
        <w:t>re (“Non-GAAP EPS”)</w:t>
      </w:r>
      <w:r>
        <w:rPr>
          <w:rFonts w:eastAsia="Times New Roman"/>
          <w:color w:val="000000"/>
          <w:sz w:val="20"/>
          <w:szCs w:val="20"/>
        </w:rPr>
        <w:t xml:space="preserve"> NCR’s non-GAAP EPS is determined by excluding, as applicable, pension mark-to-market adjustments, pension settlements, pension curtailments and pension special termination benefits, as well as other special items, including amortization</w:t>
      </w:r>
      <w:r>
        <w:rPr>
          <w:rFonts w:eastAsia="Times New Roman"/>
          <w:color w:val="000000"/>
          <w:sz w:val="20"/>
          <w:szCs w:val="20"/>
        </w:rPr>
        <w:t xml:space="preserve"> of acquisition related intangibles and transformation and restructuring activities, from NCR’s GAAP earnings per share. Due to the non-operational nature of these pension and other special items, NCR's management uses this non-GAAP measure to evaluate yea</w:t>
      </w:r>
      <w:r>
        <w:rPr>
          <w:rFonts w:eastAsia="Times New Roman"/>
          <w:color w:val="000000"/>
          <w:sz w:val="20"/>
          <w:szCs w:val="20"/>
        </w:rPr>
        <w:t xml:space="preserve">r-over-year operating performance. NCR believes this </w:t>
      </w:r>
    </w:p>
    <w:p w:rsidR="00000000" w:rsidRDefault="005048A7">
      <w:pPr>
        <w:jc w:val="center"/>
        <w:divId w:val="1510557569"/>
        <w:rPr>
          <w:rFonts w:eastAsia="Times New Roman"/>
        </w:rPr>
      </w:pPr>
      <w:r>
        <w:rPr>
          <w:rFonts w:eastAsia="Times New Roman"/>
          <w:color w:val="000000"/>
          <w:sz w:val="20"/>
          <w:szCs w:val="20"/>
        </w:rPr>
        <w:t>44</w:t>
      </w:r>
    </w:p>
    <w:p w:rsidR="00000000" w:rsidRDefault="005048A7">
      <w:pPr>
        <w:rPr>
          <w:rFonts w:eastAsia="Times New Roman"/>
        </w:rPr>
      </w:pPr>
      <w:r>
        <w:rPr>
          <w:rFonts w:eastAsia="Times New Roman"/>
        </w:rPr>
        <w:pict>
          <v:rect id="_x0000_i1069" style="width:0;height:1.5pt" o:hralign="center" o:hrstd="t" o:hr="t" fillcolor="#a0a0a0" stroked="f"/>
        </w:pict>
      </w:r>
    </w:p>
    <w:p w:rsidR="00000000" w:rsidRDefault="005048A7">
      <w:pPr>
        <w:divId w:val="109322805"/>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jc w:val="both"/>
        <w:rPr>
          <w:rFonts w:eastAsia="Times New Roman"/>
        </w:rPr>
      </w:pPr>
      <w:r>
        <w:rPr>
          <w:rFonts w:eastAsia="Times New Roman"/>
          <w:color w:val="000000"/>
          <w:sz w:val="20"/>
          <w:szCs w:val="20"/>
        </w:rPr>
        <w:t>measure is useful for investors because it provides a more complete understanding of N</w:t>
      </w:r>
      <w:r>
        <w:rPr>
          <w:rFonts w:eastAsia="Times New Roman"/>
          <w:color w:val="000000"/>
          <w:sz w:val="20"/>
          <w:szCs w:val="20"/>
        </w:rPr>
        <w:t>CR's underlying operational performance, as well as consistency and comparability with NCR's past reports of financial results.</w:t>
      </w:r>
    </w:p>
    <w:p w:rsidR="00000000" w:rsidRDefault="005048A7">
      <w:pPr>
        <w:jc w:val="both"/>
        <w:divId w:val="531573737"/>
        <w:rPr>
          <w:rFonts w:eastAsia="Times New Roman"/>
        </w:rPr>
      </w:pPr>
    </w:p>
    <w:p w:rsidR="00000000" w:rsidRDefault="005048A7">
      <w:pPr>
        <w:jc w:val="both"/>
        <w:divId w:val="382825799"/>
        <w:rPr>
          <w:rFonts w:eastAsia="Times New Roman"/>
        </w:rPr>
      </w:pPr>
      <w:r>
        <w:rPr>
          <w:rFonts w:eastAsia="Times New Roman"/>
          <w:i/>
          <w:iCs/>
          <w:color w:val="000000"/>
          <w:sz w:val="20"/>
          <w:szCs w:val="20"/>
        </w:rPr>
        <w:t>Constant Currency</w:t>
      </w:r>
      <w:r>
        <w:rPr>
          <w:rFonts w:eastAsia="Times New Roman"/>
          <w:color w:val="000000"/>
          <w:sz w:val="20"/>
          <w:szCs w:val="20"/>
        </w:rPr>
        <w:t xml:space="preserve"> NCR presents certain financial measures, such as period-over-period revenue growth, on a constant currency b</w:t>
      </w:r>
      <w:r>
        <w:rPr>
          <w:rFonts w:eastAsia="Times New Roman"/>
          <w:color w:val="000000"/>
          <w:sz w:val="20"/>
          <w:szCs w:val="20"/>
        </w:rPr>
        <w:t>asis, which excludes the effects of foreign currency translation by translating prior period results at current period monthly average exchange rates. Due to the overall variability of foreign exchange rates from period to period, NCR’s management uses con</w:t>
      </w:r>
      <w:r>
        <w:rPr>
          <w:rFonts w:eastAsia="Times New Roman"/>
          <w:color w:val="000000"/>
          <w:sz w:val="20"/>
          <w:szCs w:val="20"/>
        </w:rPr>
        <w:t>stant currency measures to evaluate period-over-period operating performance on a more consistent and comparable basis. NCR’s management believes that presentation of financial measures without this result may contribute to an understanding of the Company'</w:t>
      </w:r>
      <w:r>
        <w:rPr>
          <w:rFonts w:eastAsia="Times New Roman"/>
          <w:color w:val="000000"/>
          <w:sz w:val="20"/>
          <w:szCs w:val="20"/>
        </w:rPr>
        <w:t xml:space="preserve">s period-over-period operating performance and provides additional insight into historical and/or future performance, which may be helpful for investors. </w:t>
      </w:r>
    </w:p>
    <w:p w:rsidR="00000000" w:rsidRDefault="005048A7">
      <w:pPr>
        <w:jc w:val="both"/>
        <w:divId w:val="1624967214"/>
        <w:rPr>
          <w:rFonts w:eastAsia="Times New Roman"/>
        </w:rPr>
      </w:pPr>
    </w:p>
    <w:p w:rsidR="00000000" w:rsidRDefault="005048A7">
      <w:pPr>
        <w:jc w:val="both"/>
        <w:divId w:val="1449011063"/>
        <w:rPr>
          <w:rFonts w:eastAsia="Times New Roman"/>
        </w:rPr>
      </w:pPr>
      <w:r>
        <w:rPr>
          <w:rFonts w:eastAsia="Times New Roman"/>
          <w:i/>
          <w:iCs/>
          <w:color w:val="000000"/>
          <w:sz w:val="20"/>
          <w:szCs w:val="20"/>
        </w:rPr>
        <w:t xml:space="preserve">Adjusted Earnings Before Interest, Taxes, Depreciation and Amortization (“Adjusted EBITDA”) </w:t>
      </w:r>
      <w:r>
        <w:rPr>
          <w:rFonts w:eastAsia="Times New Roman"/>
          <w:color w:val="000000"/>
          <w:sz w:val="20"/>
          <w:szCs w:val="20"/>
        </w:rPr>
        <w:t>NCR's m</w:t>
      </w:r>
      <w:r>
        <w:rPr>
          <w:rFonts w:eastAsia="Times New Roman"/>
          <w:color w:val="000000"/>
          <w:sz w:val="20"/>
          <w:szCs w:val="20"/>
        </w:rPr>
        <w:t>anagement uses the non-GAAP measure Adjusted EBITDA because it provides useful information to investors as an indicator of strength and performance of the Company's ongoing business operations, including funding discretionary spending such as capital expen</w:t>
      </w:r>
      <w:r>
        <w:rPr>
          <w:rFonts w:eastAsia="Times New Roman"/>
          <w:color w:val="000000"/>
          <w:sz w:val="20"/>
          <w:szCs w:val="20"/>
        </w:rPr>
        <w:t>ditures, strategic acquisitions, and other investments. NCR determines Adjusted EBITDA based on GAAP net income (loss) from continuing operations attributable to NCR plus interest expense, net; plus income tax expense (benefit); plus depreciation and amort</w:t>
      </w:r>
      <w:r>
        <w:rPr>
          <w:rFonts w:eastAsia="Times New Roman"/>
          <w:color w:val="000000"/>
          <w:sz w:val="20"/>
          <w:szCs w:val="20"/>
        </w:rPr>
        <w:t>ization; plus stock-based compensation expense; plus other income (expense); plus pension mark-to-market adjustments, pension settlements, pension curtailments and pension special termination benefits and other special items, including amortization of acqu</w:t>
      </w:r>
      <w:r>
        <w:rPr>
          <w:rFonts w:eastAsia="Times New Roman"/>
          <w:color w:val="000000"/>
          <w:sz w:val="20"/>
          <w:szCs w:val="20"/>
        </w:rPr>
        <w:t>isition-related intangibles and restructuring charges, among others. Refer to the table below for the reconciliations of net income (loss) from continuing operations attributable to NCR (GAAP) to Adjusted EBITDA (non-GAAP).</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Special Item Related to Russia</w:t>
      </w:r>
      <w:r>
        <w:rPr>
          <w:rFonts w:eastAsia="Times New Roman"/>
          <w:color w:val="000000"/>
          <w:sz w:val="20"/>
          <w:szCs w:val="20"/>
        </w:rPr>
        <w:t xml:space="preserve"> The war in Eastern Europe and related sanctions imposed on Russia and related actors by the United States and other jurisdictions required us to commence the orderly wind down of our operations in Russia beginning in the first quarter of 2022. As of June </w:t>
      </w:r>
      <w:r>
        <w:rPr>
          <w:rFonts w:eastAsia="Times New Roman"/>
          <w:color w:val="000000"/>
          <w:sz w:val="20"/>
          <w:szCs w:val="20"/>
        </w:rPr>
        <w:t>30, 2022, we have substantially ceased operations in Russia and are in the process of dissolving our only subsidiary in Russia. As a result, for the three and six months ended June 30, 2022, our non-GAAP presentation of the measures described above exclude</w:t>
      </w:r>
      <w:r>
        <w:rPr>
          <w:rFonts w:eastAsia="Times New Roman"/>
          <w:color w:val="000000"/>
          <w:sz w:val="20"/>
          <w:szCs w:val="20"/>
        </w:rPr>
        <w:t xml:space="preserve"> the immaterial impact of our operating results in Russia, as well as the impact of impairments taken to write down the carrying value of assets and liabilities, severance charges, and the assessment of collectability on revenue recognition. We consider th</w:t>
      </w:r>
      <w:r>
        <w:rPr>
          <w:rFonts w:eastAsia="Times New Roman"/>
          <w:color w:val="000000"/>
          <w:sz w:val="20"/>
          <w:szCs w:val="20"/>
        </w:rPr>
        <w:t>is to be a non-recurring special item and management has reviewed the results of its business segments excluding these impacts. We have not adjusted the presentation of the prior year periods due to the immaterial impact of Russia to revenue and income fro</w:t>
      </w:r>
      <w:r>
        <w:rPr>
          <w:rFonts w:eastAsia="Times New Roman"/>
          <w:color w:val="000000"/>
          <w:sz w:val="20"/>
          <w:szCs w:val="20"/>
        </w:rPr>
        <w:t>m continuing operations for the three and six months ended June 30, 2021.</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NCR's definitions and calculations of these non-GAAP measures may differ from similarly-titled measures reported by other companies and cannot, therefore, be compared with similarl</w:t>
      </w:r>
      <w:r>
        <w:rPr>
          <w:rFonts w:eastAsia="Times New Roman"/>
          <w:color w:val="000000"/>
          <w:sz w:val="20"/>
          <w:szCs w:val="20"/>
        </w:rPr>
        <w:t>y-titled measures of other companies. These non-GAAP measures should not be considered as substitutes for, or superior to, results determined in accordance with GAAP.</w:t>
      </w:r>
    </w:p>
    <w:p w:rsidR="00000000" w:rsidRDefault="005048A7">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4085"/>
        <w:gridCol w:w="37"/>
        <w:gridCol w:w="120"/>
        <w:gridCol w:w="813"/>
        <w:gridCol w:w="36"/>
        <w:gridCol w:w="36"/>
        <w:gridCol w:w="36"/>
        <w:gridCol w:w="36"/>
        <w:gridCol w:w="120"/>
        <w:gridCol w:w="755"/>
        <w:gridCol w:w="36"/>
        <w:gridCol w:w="36"/>
        <w:gridCol w:w="36"/>
        <w:gridCol w:w="36"/>
        <w:gridCol w:w="120"/>
        <w:gridCol w:w="814"/>
        <w:gridCol w:w="36"/>
        <w:gridCol w:w="36"/>
        <w:gridCol w:w="36"/>
        <w:gridCol w:w="36"/>
        <w:gridCol w:w="120"/>
        <w:gridCol w:w="815"/>
        <w:gridCol w:w="36"/>
      </w:tblGrid>
      <w:tr w:rsidR="00000000">
        <w:tc>
          <w:tcPr>
            <w:tcW w:w="50" w:type="pct"/>
            <w:vAlign w:val="center"/>
            <w:hideMark/>
          </w:tcPr>
          <w:p w:rsidR="00000000" w:rsidRDefault="005048A7">
            <w:pPr>
              <w:jc w:val="both"/>
              <w:rPr>
                <w:rFonts w:eastAsia="Times New Roman"/>
              </w:rPr>
            </w:pPr>
          </w:p>
        </w:tc>
        <w:tc>
          <w:tcPr>
            <w:tcW w:w="251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r>
      <w:tr w:rsidR="00000000">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r>
      <w:tr w:rsidR="00000000">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Net income (loss) from continuing operations attributable to NCR (GAAP)</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Transformation and restructuring costs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Acquisition-related amortization of intangibles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Acquisition-related costs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106 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Interest income</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Depreciation and amortization (excluding acquisition-related amortization of intangibles)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Russia</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Adjusted EBITDA (non-GAAP)</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339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center"/>
        <w:divId w:val="1892767433"/>
        <w:rPr>
          <w:rFonts w:eastAsia="Times New Roman"/>
        </w:rPr>
      </w:pPr>
      <w:r>
        <w:rPr>
          <w:rFonts w:eastAsia="Times New Roman"/>
          <w:color w:val="000000"/>
          <w:sz w:val="20"/>
          <w:szCs w:val="20"/>
        </w:rPr>
        <w:t>45</w:t>
      </w:r>
    </w:p>
    <w:p w:rsidR="00000000" w:rsidRDefault="005048A7">
      <w:pPr>
        <w:rPr>
          <w:rFonts w:eastAsia="Times New Roman"/>
        </w:rPr>
      </w:pPr>
      <w:r>
        <w:rPr>
          <w:rFonts w:eastAsia="Times New Roman"/>
        </w:rPr>
        <w:pict>
          <v:rect id="_x0000_i1070" style="width:0;height:1.5pt" o:hralign="center" o:hrstd="t" o:hr="t" fillcolor="#a0a0a0" stroked="f"/>
        </w:pict>
      </w:r>
    </w:p>
    <w:p w:rsidR="00000000" w:rsidRDefault="005048A7">
      <w:pPr>
        <w:divId w:val="1149446945"/>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jc w:val="both"/>
        <w:rPr>
          <w:rFonts w:eastAsia="Times New Roman"/>
        </w:rPr>
      </w:pPr>
      <w:r>
        <w:rPr>
          <w:rFonts w:eastAsia="Times New Roman"/>
          <w:b/>
          <w:bCs/>
          <w:color w:val="000000"/>
          <w:sz w:val="20"/>
          <w:szCs w:val="20"/>
        </w:rPr>
        <w:t>Revenue</w:t>
      </w:r>
    </w:p>
    <w:p w:rsidR="00000000" w:rsidRDefault="005048A7">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925"/>
        <w:gridCol w:w="37"/>
        <w:gridCol w:w="36"/>
        <w:gridCol w:w="36"/>
        <w:gridCol w:w="36"/>
        <w:gridCol w:w="120"/>
        <w:gridCol w:w="787"/>
        <w:gridCol w:w="36"/>
        <w:gridCol w:w="36"/>
        <w:gridCol w:w="36"/>
        <w:gridCol w:w="36"/>
        <w:gridCol w:w="120"/>
        <w:gridCol w:w="751"/>
        <w:gridCol w:w="36"/>
        <w:gridCol w:w="36"/>
        <w:gridCol w:w="36"/>
        <w:gridCol w:w="36"/>
        <w:gridCol w:w="45"/>
        <w:gridCol w:w="732"/>
        <w:gridCol w:w="221"/>
        <w:gridCol w:w="37"/>
        <w:gridCol w:w="36"/>
        <w:gridCol w:w="36"/>
        <w:gridCol w:w="45"/>
        <w:gridCol w:w="732"/>
        <w:gridCol w:w="187"/>
        <w:gridCol w:w="36"/>
        <w:gridCol w:w="36"/>
        <w:gridCol w:w="36"/>
        <w:gridCol w:w="66"/>
        <w:gridCol w:w="700"/>
        <w:gridCol w:w="187"/>
      </w:tblGrid>
      <w:tr w:rsidR="00000000">
        <w:tc>
          <w:tcPr>
            <w:tcW w:w="50" w:type="pct"/>
            <w:vAlign w:val="center"/>
            <w:hideMark/>
          </w:tcPr>
          <w:p w:rsidR="00000000" w:rsidRDefault="005048A7">
            <w:pPr>
              <w:jc w:val="both"/>
              <w:rPr>
                <w:rFonts w:eastAsia="Times New Roman"/>
              </w:rPr>
            </w:pPr>
          </w:p>
        </w:tc>
        <w:tc>
          <w:tcPr>
            <w:tcW w:w="184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5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Percentage of Total Revenue</w:t>
            </w: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 vs 2021</w:t>
            </w:r>
          </w:p>
        </w:tc>
      </w:tr>
      <w:tr w:rsidR="00000000">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Product revenue</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614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30.7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Service revenue</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1,126 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67.1 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1,997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1,677 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bl>
    <w:p w:rsidR="00000000" w:rsidRDefault="005048A7">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925"/>
        <w:gridCol w:w="37"/>
        <w:gridCol w:w="36"/>
        <w:gridCol w:w="36"/>
        <w:gridCol w:w="36"/>
        <w:gridCol w:w="120"/>
        <w:gridCol w:w="787"/>
        <w:gridCol w:w="36"/>
        <w:gridCol w:w="36"/>
        <w:gridCol w:w="36"/>
        <w:gridCol w:w="36"/>
        <w:gridCol w:w="120"/>
        <w:gridCol w:w="751"/>
        <w:gridCol w:w="36"/>
        <w:gridCol w:w="36"/>
        <w:gridCol w:w="36"/>
        <w:gridCol w:w="36"/>
        <w:gridCol w:w="45"/>
        <w:gridCol w:w="732"/>
        <w:gridCol w:w="221"/>
        <w:gridCol w:w="37"/>
        <w:gridCol w:w="36"/>
        <w:gridCol w:w="36"/>
        <w:gridCol w:w="45"/>
        <w:gridCol w:w="732"/>
        <w:gridCol w:w="187"/>
        <w:gridCol w:w="36"/>
        <w:gridCol w:w="36"/>
        <w:gridCol w:w="36"/>
        <w:gridCol w:w="66"/>
        <w:gridCol w:w="700"/>
        <w:gridCol w:w="187"/>
      </w:tblGrid>
      <w:tr w:rsidR="00000000">
        <w:tc>
          <w:tcPr>
            <w:tcW w:w="50" w:type="pct"/>
            <w:vAlign w:val="center"/>
            <w:hideMark/>
          </w:tcPr>
          <w:p w:rsidR="00000000" w:rsidRDefault="005048A7">
            <w:pPr>
              <w:jc w:val="both"/>
              <w:rPr>
                <w:rFonts w:eastAsia="Times New Roman"/>
              </w:rPr>
            </w:pPr>
          </w:p>
        </w:tc>
        <w:tc>
          <w:tcPr>
            <w:tcW w:w="184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5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Percentage of Total Revenue</w:t>
            </w: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 vs 2021</w:t>
            </w:r>
          </w:p>
        </w:tc>
      </w:tr>
      <w:tr w:rsidR="00000000">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Product revenue</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1,130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29.3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Service revenue</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2,733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2,188 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67.9 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3,863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3,221 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bl>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Product revenue incl</w:t>
      </w:r>
      <w:r>
        <w:rPr>
          <w:rFonts w:eastAsia="Times New Roman"/>
          <w:color w:val="000000"/>
          <w:sz w:val="20"/>
          <w:szCs w:val="20"/>
        </w:rPr>
        <w:t xml:space="preserve">udes our hardware and software license revenue streams as well as cryptocurrency-related revenues. Service revenue includes hardware and software maintenance revenue, implementation services revenue, cloud revenue, payments processing revenue, interchange </w:t>
      </w:r>
      <w:r>
        <w:rPr>
          <w:rFonts w:eastAsia="Times New Roman"/>
          <w:color w:val="000000"/>
          <w:sz w:val="20"/>
          <w:szCs w:val="20"/>
        </w:rPr>
        <w:t>and network revenue, as well as professional services revenue.</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For</w:t>
      </w:r>
      <w:r>
        <w:rPr>
          <w:rFonts w:eastAsia="Times New Roman"/>
          <w:color w:val="000000"/>
          <w:sz w:val="20"/>
          <w:szCs w:val="20"/>
        </w:rPr>
        <w:t xml:space="preserve"> </w:t>
      </w:r>
      <w:r>
        <w:rPr>
          <w:rFonts w:eastAsia="Times New Roman"/>
          <w:i/>
          <w:iCs/>
          <w:color w:val="000000"/>
          <w:sz w:val="20"/>
          <w:szCs w:val="20"/>
        </w:rPr>
        <w:t>the three and six months ended June 30, 2022 compared to the three and six months ended June 30, 2021</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 second quarter 2021 results include the operations of Cardtronics from the date of acquisition, June 21, 2021, to June 30, 2021. As a result, revenu</w:t>
      </w:r>
      <w:r>
        <w:rPr>
          <w:rFonts w:eastAsia="Times New Roman"/>
          <w:color w:val="000000"/>
          <w:sz w:val="20"/>
          <w:szCs w:val="20"/>
        </w:rPr>
        <w:t>e for the three and six months ended June 30, 2021 includes $32 million from Cardtronics.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Total revenue increased 19% for the three months ended June 30, 2022 compared to the three months ended June 30, 2021. Foreign currency fluctuations had an unfavora</w:t>
      </w:r>
      <w:r>
        <w:rPr>
          <w:rFonts w:eastAsia="Times New Roman"/>
          <w:color w:val="000000"/>
          <w:sz w:val="20"/>
          <w:szCs w:val="20"/>
        </w:rPr>
        <w:t>ble impact of 4% on the revenue comparison. Product revenue for the three months ended June 30, 2022 increased 11% compared to the three months ended June 30, 2021 due to growth in POS and ATM revenue as well as the addition of cryptocurrency revenue follo</w:t>
      </w:r>
      <w:r>
        <w:rPr>
          <w:rFonts w:eastAsia="Times New Roman"/>
          <w:color w:val="000000"/>
          <w:sz w:val="20"/>
          <w:szCs w:val="20"/>
        </w:rPr>
        <w:t>wing the acquisition of LibertyX in January 2022, partially offset by a decline in SCO hardware revenue. Service revenue for the three months ended June 30, 2022 increased 23% compared to the prior year period due to growth in software related services, wh</w:t>
      </w:r>
      <w:r>
        <w:rPr>
          <w:rFonts w:eastAsia="Times New Roman"/>
          <w:color w:val="000000"/>
          <w:sz w:val="20"/>
          <w:szCs w:val="20"/>
        </w:rPr>
        <w:t xml:space="preserve">ich includes the results of Cardtronics.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 xml:space="preserve">Total revenue increased 20% for the six months ended June 30, 2022 compared to the six months ended June 30, 2021. Foreign currency fluctuations had an unfavorable impact of 3% on the revenue comparison. Product </w:t>
      </w:r>
      <w:r>
        <w:rPr>
          <w:rFonts w:eastAsia="Times New Roman"/>
          <w:color w:val="000000"/>
          <w:sz w:val="20"/>
          <w:szCs w:val="20"/>
        </w:rPr>
        <w:t>revenue for the six months ended June 30, 2022 increased 9% compared to the six months ended June 30, 2021 due to growth in POS revenue as well as the addition of cryptocurrency revenue following the acquisition of LibertyX in January 2022, partially offse</w:t>
      </w:r>
      <w:r>
        <w:rPr>
          <w:rFonts w:eastAsia="Times New Roman"/>
          <w:color w:val="000000"/>
          <w:sz w:val="20"/>
          <w:szCs w:val="20"/>
        </w:rPr>
        <w:t>t by a decline in ATM and SCO hardware revenue. Service revenue for the six months ended June 30, 2022 increased 25% compared to the six months ended June 30, 2021 due to growth in software related services, which includes the results of Cardtronics.</w:t>
      </w: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r>
        <w:rPr>
          <w:rFonts w:eastAsia="Times New Roman"/>
          <w:b/>
          <w:bCs/>
          <w:color w:val="000000"/>
          <w:sz w:val="20"/>
          <w:szCs w:val="20"/>
        </w:rPr>
        <w:t>Gross Margin</w:t>
      </w:r>
    </w:p>
    <w:tbl>
      <w:tblPr>
        <w:tblW w:w="4970" w:type="pct"/>
        <w:tblCellMar>
          <w:top w:w="15" w:type="dxa"/>
          <w:left w:w="15" w:type="dxa"/>
          <w:bottom w:w="15" w:type="dxa"/>
          <w:right w:w="15" w:type="dxa"/>
        </w:tblCellMar>
        <w:tblLook w:val="04A0" w:firstRow="1" w:lastRow="0" w:firstColumn="1" w:lastColumn="0" w:noHBand="0" w:noVBand="1"/>
      </w:tblPr>
      <w:tblGrid>
        <w:gridCol w:w="38"/>
        <w:gridCol w:w="2865"/>
        <w:gridCol w:w="37"/>
        <w:gridCol w:w="36"/>
        <w:gridCol w:w="36"/>
        <w:gridCol w:w="36"/>
        <w:gridCol w:w="120"/>
        <w:gridCol w:w="836"/>
        <w:gridCol w:w="36"/>
        <w:gridCol w:w="36"/>
        <w:gridCol w:w="36"/>
        <w:gridCol w:w="36"/>
        <w:gridCol w:w="120"/>
        <w:gridCol w:w="701"/>
        <w:gridCol w:w="36"/>
        <w:gridCol w:w="36"/>
        <w:gridCol w:w="36"/>
        <w:gridCol w:w="36"/>
        <w:gridCol w:w="38"/>
        <w:gridCol w:w="739"/>
        <w:gridCol w:w="221"/>
        <w:gridCol w:w="37"/>
        <w:gridCol w:w="36"/>
        <w:gridCol w:w="36"/>
        <w:gridCol w:w="37"/>
        <w:gridCol w:w="727"/>
        <w:gridCol w:w="187"/>
        <w:gridCol w:w="36"/>
        <w:gridCol w:w="36"/>
        <w:gridCol w:w="36"/>
        <w:gridCol w:w="64"/>
        <w:gridCol w:w="726"/>
        <w:gridCol w:w="187"/>
      </w:tblGrid>
      <w:tr w:rsidR="00000000">
        <w:tc>
          <w:tcPr>
            <w:tcW w:w="50" w:type="pct"/>
            <w:vAlign w:val="center"/>
            <w:hideMark/>
          </w:tcPr>
          <w:p w:rsidR="00000000" w:rsidRDefault="005048A7">
            <w:pPr>
              <w:jc w:val="both"/>
              <w:rPr>
                <w:rFonts w:eastAsia="Times New Roman"/>
              </w:rPr>
            </w:pPr>
          </w:p>
        </w:tc>
        <w:tc>
          <w:tcPr>
            <w:tcW w:w="182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6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4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Percentage of Revenue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 v 2021</w:t>
            </w:r>
          </w:p>
        </w:tc>
      </w:tr>
      <w:tr w:rsidR="00000000">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Product gross margin</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11.4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Service gross margin</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358 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31.8 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gross margin</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23.6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bl>
    <w:p w:rsidR="00000000" w:rsidRDefault="005048A7">
      <w:pPr>
        <w:jc w:val="both"/>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The percentage of </w:t>
      </w:r>
      <w:r>
        <w:rPr>
          <w:rFonts w:eastAsia="Times New Roman"/>
          <w:color w:val="000000"/>
          <w:sz w:val="18"/>
          <w:szCs w:val="18"/>
        </w:rPr>
        <w:t>revenue is calculated for each line item divided by the related component of revenue.</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For the three months ended June 30, 2022 compared to the three months ended June 30, 2021</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G</w:t>
      </w:r>
      <w:r>
        <w:rPr>
          <w:rFonts w:eastAsia="Times New Roman"/>
          <w:color w:val="000000"/>
          <w:sz w:val="20"/>
          <w:szCs w:val="20"/>
          <w:shd w:val="clear" w:color="auto" w:fill="FFFFFF"/>
        </w:rPr>
        <w:t xml:space="preserve">ross margin as a percentage of revenue in </w:t>
      </w:r>
      <w:r>
        <w:rPr>
          <w:rFonts w:eastAsia="Times New Roman"/>
          <w:color w:val="000000"/>
          <w:sz w:val="20"/>
          <w:szCs w:val="20"/>
        </w:rPr>
        <w:t>the three months ended</w:t>
      </w:r>
      <w:r>
        <w:rPr>
          <w:rFonts w:eastAsia="Times New Roman"/>
          <w:color w:val="000000"/>
          <w:sz w:val="20"/>
          <w:szCs w:val="20"/>
          <w:shd w:val="clear" w:color="auto" w:fill="FFFFFF"/>
        </w:rPr>
        <w:t xml:space="preserve"> </w:t>
      </w:r>
      <w:r>
        <w:rPr>
          <w:rFonts w:eastAsia="Times New Roman"/>
          <w:color w:val="000000"/>
          <w:sz w:val="20"/>
          <w:szCs w:val="20"/>
        </w:rPr>
        <w:t>June 30, 2022</w:t>
      </w:r>
      <w:r>
        <w:rPr>
          <w:rFonts w:eastAsia="Times New Roman"/>
          <w:color w:val="000000"/>
          <w:sz w:val="20"/>
          <w:szCs w:val="20"/>
          <w:shd w:val="clear" w:color="auto" w:fill="FFFFFF"/>
        </w:rPr>
        <w:t xml:space="preserve"> was 23.6% compared to 27.2% in </w:t>
      </w:r>
      <w:r>
        <w:rPr>
          <w:rFonts w:eastAsia="Times New Roman"/>
          <w:color w:val="000000"/>
          <w:sz w:val="20"/>
          <w:szCs w:val="20"/>
        </w:rPr>
        <w:t>the three months ended</w:t>
      </w:r>
      <w:r>
        <w:rPr>
          <w:rFonts w:eastAsia="Times New Roman"/>
          <w:color w:val="000000"/>
          <w:sz w:val="20"/>
          <w:szCs w:val="20"/>
          <w:shd w:val="clear" w:color="auto" w:fill="FFFFFF"/>
        </w:rPr>
        <w:t xml:space="preserve"> </w:t>
      </w:r>
      <w:r>
        <w:rPr>
          <w:rFonts w:eastAsia="Times New Roman"/>
          <w:color w:val="000000"/>
          <w:sz w:val="20"/>
          <w:szCs w:val="20"/>
        </w:rPr>
        <w:t>June 30, 2021</w:t>
      </w:r>
      <w:r>
        <w:rPr>
          <w:rFonts w:eastAsia="Times New Roman"/>
          <w:color w:val="000000"/>
          <w:sz w:val="20"/>
          <w:szCs w:val="20"/>
          <w:shd w:val="clear" w:color="auto" w:fill="FFFFFF"/>
        </w:rPr>
        <w:t xml:space="preserve">. </w:t>
      </w:r>
      <w:r>
        <w:rPr>
          <w:rFonts w:eastAsia="Times New Roman"/>
          <w:color w:val="000000"/>
          <w:sz w:val="20"/>
          <w:szCs w:val="20"/>
        </w:rPr>
        <w:t xml:space="preserve">Gross margin </w:t>
      </w:r>
      <w:r>
        <w:rPr>
          <w:rFonts w:eastAsia="Times New Roman"/>
          <w:color w:val="000000"/>
          <w:sz w:val="20"/>
          <w:szCs w:val="20"/>
          <w:shd w:val="clear" w:color="auto" w:fill="FFFFFF"/>
        </w:rPr>
        <w:t xml:space="preserve">in </w:t>
      </w:r>
      <w:r>
        <w:rPr>
          <w:rFonts w:eastAsia="Times New Roman"/>
          <w:color w:val="000000"/>
          <w:sz w:val="20"/>
          <w:szCs w:val="20"/>
        </w:rPr>
        <w:t>the three months ended June 30, 2022 included $16 million of transformation costs, $27 million of amortization of acquisition-related intangible assets, $1 m</w:t>
      </w:r>
      <w:r>
        <w:rPr>
          <w:rFonts w:eastAsia="Times New Roman"/>
          <w:color w:val="000000"/>
          <w:sz w:val="20"/>
          <w:szCs w:val="20"/>
        </w:rPr>
        <w:t xml:space="preserve">illion of acquisition-related costs, partially offset </w:t>
      </w:r>
    </w:p>
    <w:p w:rsidR="00000000" w:rsidRDefault="005048A7">
      <w:pPr>
        <w:jc w:val="center"/>
        <w:divId w:val="797647172"/>
        <w:rPr>
          <w:rFonts w:eastAsia="Times New Roman"/>
        </w:rPr>
      </w:pPr>
      <w:r>
        <w:rPr>
          <w:rFonts w:eastAsia="Times New Roman"/>
          <w:color w:val="000000"/>
          <w:sz w:val="20"/>
          <w:szCs w:val="20"/>
        </w:rPr>
        <w:t>46</w:t>
      </w:r>
    </w:p>
    <w:p w:rsidR="00000000" w:rsidRDefault="005048A7">
      <w:pPr>
        <w:rPr>
          <w:rFonts w:eastAsia="Times New Roman"/>
        </w:rPr>
      </w:pPr>
      <w:r>
        <w:rPr>
          <w:rFonts w:eastAsia="Times New Roman"/>
        </w:rPr>
        <w:pict>
          <v:rect id="_x0000_i1071" style="width:0;height:1.5pt" o:hralign="center" o:hrstd="t" o:hr="t" fillcolor="#a0a0a0" stroked="f"/>
        </w:pict>
      </w:r>
    </w:p>
    <w:p w:rsidR="00000000" w:rsidRDefault="005048A7">
      <w:pPr>
        <w:divId w:val="579751983"/>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jc w:val="both"/>
        <w:rPr>
          <w:rFonts w:eastAsia="Times New Roman"/>
        </w:rPr>
      </w:pPr>
      <w:r>
        <w:rPr>
          <w:rFonts w:eastAsia="Times New Roman"/>
          <w:color w:val="000000"/>
          <w:sz w:val="20"/>
          <w:szCs w:val="20"/>
        </w:rPr>
        <w:t>by profit of $4 million related to collections and inventory liquidation in Russia. Gr</w:t>
      </w:r>
      <w:r>
        <w:rPr>
          <w:rFonts w:eastAsia="Times New Roman"/>
          <w:color w:val="000000"/>
          <w:sz w:val="20"/>
          <w:szCs w:val="20"/>
        </w:rPr>
        <w:t>oss margin for the three months ended June 30, 2021 included $7 million of transformation and restructuring costs and $9 million of amortization of acquisition-related intangible assets. Excluding these items, gross margin as a percentage of revenue decrea</w:t>
      </w:r>
      <w:r>
        <w:rPr>
          <w:rFonts w:eastAsia="Times New Roman"/>
          <w:color w:val="000000"/>
          <w:sz w:val="20"/>
          <w:szCs w:val="20"/>
        </w:rPr>
        <w:t>sed from 28.1% to 25.7% due to increases in fuel costs, component parts, and interest rates on vault cash agreements as well as other supply chain challenges that continued to negatively impact our costs. The impact of these cost increases were partially o</w:t>
      </w:r>
      <w:r>
        <w:rPr>
          <w:rFonts w:eastAsia="Times New Roman"/>
          <w:color w:val="000000"/>
          <w:sz w:val="20"/>
          <w:szCs w:val="20"/>
        </w:rPr>
        <w:t>ffset by cost mitigation actions implemented and an increase in the favorable higher margin software and services revenue.</w:t>
      </w:r>
    </w:p>
    <w:p w:rsidR="00000000" w:rsidRDefault="005048A7">
      <w:pPr>
        <w:divId w:val="300042917"/>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38"/>
        <w:gridCol w:w="2865"/>
        <w:gridCol w:w="37"/>
        <w:gridCol w:w="36"/>
        <w:gridCol w:w="36"/>
        <w:gridCol w:w="36"/>
        <w:gridCol w:w="120"/>
        <w:gridCol w:w="836"/>
        <w:gridCol w:w="36"/>
        <w:gridCol w:w="36"/>
        <w:gridCol w:w="36"/>
        <w:gridCol w:w="36"/>
        <w:gridCol w:w="120"/>
        <w:gridCol w:w="701"/>
        <w:gridCol w:w="36"/>
        <w:gridCol w:w="36"/>
        <w:gridCol w:w="36"/>
        <w:gridCol w:w="36"/>
        <w:gridCol w:w="38"/>
        <w:gridCol w:w="739"/>
        <w:gridCol w:w="221"/>
        <w:gridCol w:w="37"/>
        <w:gridCol w:w="36"/>
        <w:gridCol w:w="36"/>
        <w:gridCol w:w="37"/>
        <w:gridCol w:w="727"/>
        <w:gridCol w:w="187"/>
        <w:gridCol w:w="36"/>
        <w:gridCol w:w="36"/>
        <w:gridCol w:w="36"/>
        <w:gridCol w:w="64"/>
        <w:gridCol w:w="726"/>
        <w:gridCol w:w="187"/>
      </w:tblGrid>
      <w:tr w:rsidR="00000000">
        <w:trPr>
          <w:divId w:val="1063524408"/>
        </w:trPr>
        <w:tc>
          <w:tcPr>
            <w:tcW w:w="50" w:type="pct"/>
            <w:vAlign w:val="center"/>
            <w:hideMark/>
          </w:tcPr>
          <w:p w:rsidR="00000000" w:rsidRDefault="005048A7">
            <w:pPr>
              <w:rPr>
                <w:rFonts w:eastAsia="Times New Roman"/>
              </w:rPr>
            </w:pPr>
          </w:p>
        </w:tc>
        <w:tc>
          <w:tcPr>
            <w:tcW w:w="182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6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4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1063524408"/>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Percentage of Revenue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Increase (Decrease)</w:t>
            </w:r>
          </w:p>
        </w:tc>
      </w:tr>
      <w:tr w:rsidR="00000000">
        <w:trPr>
          <w:divId w:val="1063524408"/>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 v 2021</w:t>
            </w:r>
          </w:p>
        </w:tc>
      </w:tr>
      <w:tr w:rsidR="00000000">
        <w:trPr>
          <w:divId w:val="1063524408"/>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Product gross margin</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rPr>
          <w:divId w:val="1063524408"/>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Service gross margin</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698 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31.9 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rPr>
          <w:divId w:val="1063524408"/>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Total gross margin</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882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22.8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bl>
    <w:p w:rsidR="00000000" w:rsidRDefault="005048A7">
      <w:pPr>
        <w:divId w:val="843934311"/>
        <w:rPr>
          <w:rFonts w:eastAsia="Times New Roman"/>
        </w:rPr>
      </w:pPr>
    </w:p>
    <w:p w:rsidR="00000000" w:rsidRDefault="005048A7">
      <w:pPr>
        <w:jc w:val="both"/>
        <w:rPr>
          <w:rFonts w:eastAsia="Times New Roman"/>
        </w:rPr>
      </w:pPr>
      <w:r>
        <w:rPr>
          <w:rFonts w:eastAsia="Times New Roman"/>
          <w:i/>
          <w:iCs/>
          <w:color w:val="000000"/>
          <w:sz w:val="20"/>
          <w:szCs w:val="20"/>
        </w:rPr>
        <w:t>For the six months e</w:t>
      </w:r>
      <w:r>
        <w:rPr>
          <w:rFonts w:eastAsia="Times New Roman"/>
          <w:i/>
          <w:iCs/>
          <w:color w:val="000000"/>
          <w:sz w:val="20"/>
          <w:szCs w:val="20"/>
        </w:rPr>
        <w:t>nded June 30, 2022 compared to the six months ended June 30, 2021</w:t>
      </w:r>
    </w:p>
    <w:p w:rsidR="00000000" w:rsidRDefault="005048A7">
      <w:pPr>
        <w:divId w:val="501316496"/>
        <w:rPr>
          <w:rFonts w:eastAsia="Times New Roman"/>
        </w:rPr>
      </w:pPr>
    </w:p>
    <w:p w:rsidR="00000000" w:rsidRDefault="005048A7">
      <w:pPr>
        <w:jc w:val="both"/>
        <w:rPr>
          <w:rFonts w:eastAsia="Times New Roman"/>
        </w:rPr>
      </w:pPr>
      <w:r>
        <w:rPr>
          <w:rFonts w:eastAsia="Times New Roman"/>
          <w:color w:val="000000"/>
          <w:sz w:val="20"/>
          <w:szCs w:val="20"/>
        </w:rPr>
        <w:t>G</w:t>
      </w:r>
      <w:r>
        <w:rPr>
          <w:rFonts w:eastAsia="Times New Roman"/>
          <w:color w:val="000000"/>
          <w:sz w:val="20"/>
          <w:szCs w:val="20"/>
          <w:shd w:val="clear" w:color="auto" w:fill="FFFFFF"/>
        </w:rPr>
        <w:t xml:space="preserve">ross margin as a percentage of revenue in </w:t>
      </w:r>
      <w:r>
        <w:rPr>
          <w:rFonts w:eastAsia="Times New Roman"/>
          <w:color w:val="000000"/>
          <w:sz w:val="20"/>
          <w:szCs w:val="20"/>
        </w:rPr>
        <w:t>the six months ended</w:t>
      </w:r>
      <w:r>
        <w:rPr>
          <w:rFonts w:eastAsia="Times New Roman"/>
          <w:color w:val="000000"/>
          <w:sz w:val="20"/>
          <w:szCs w:val="20"/>
          <w:shd w:val="clear" w:color="auto" w:fill="FFFFFF"/>
        </w:rPr>
        <w:t xml:space="preserve"> </w:t>
      </w:r>
      <w:r>
        <w:rPr>
          <w:rFonts w:eastAsia="Times New Roman"/>
          <w:color w:val="000000"/>
          <w:sz w:val="20"/>
          <w:szCs w:val="20"/>
        </w:rPr>
        <w:t>June 30, 2022</w:t>
      </w:r>
      <w:r>
        <w:rPr>
          <w:rFonts w:eastAsia="Times New Roman"/>
          <w:color w:val="000000"/>
          <w:sz w:val="20"/>
          <w:szCs w:val="20"/>
          <w:shd w:val="clear" w:color="auto" w:fill="FFFFFF"/>
        </w:rPr>
        <w:t xml:space="preserve"> was 22.8% compared to 27.0% in </w:t>
      </w:r>
      <w:r>
        <w:rPr>
          <w:rFonts w:eastAsia="Times New Roman"/>
          <w:color w:val="000000"/>
          <w:sz w:val="20"/>
          <w:szCs w:val="20"/>
        </w:rPr>
        <w:t>the six months ended</w:t>
      </w:r>
      <w:r>
        <w:rPr>
          <w:rFonts w:eastAsia="Times New Roman"/>
          <w:color w:val="000000"/>
          <w:sz w:val="20"/>
          <w:szCs w:val="20"/>
          <w:shd w:val="clear" w:color="auto" w:fill="FFFFFF"/>
        </w:rPr>
        <w:t xml:space="preserve"> </w:t>
      </w:r>
      <w:r>
        <w:rPr>
          <w:rFonts w:eastAsia="Times New Roman"/>
          <w:color w:val="000000"/>
          <w:sz w:val="20"/>
          <w:szCs w:val="20"/>
        </w:rPr>
        <w:t>June 30, 2021</w:t>
      </w:r>
      <w:r>
        <w:rPr>
          <w:rFonts w:eastAsia="Times New Roman"/>
          <w:color w:val="000000"/>
          <w:sz w:val="20"/>
          <w:szCs w:val="20"/>
          <w:shd w:val="clear" w:color="auto" w:fill="FFFFFF"/>
        </w:rPr>
        <w:t xml:space="preserve">. </w:t>
      </w:r>
      <w:r>
        <w:rPr>
          <w:rFonts w:eastAsia="Times New Roman"/>
          <w:color w:val="000000"/>
          <w:sz w:val="20"/>
          <w:szCs w:val="20"/>
        </w:rPr>
        <w:t xml:space="preserve">Gross margin </w:t>
      </w:r>
      <w:r>
        <w:rPr>
          <w:rFonts w:eastAsia="Times New Roman"/>
          <w:color w:val="000000"/>
          <w:sz w:val="20"/>
          <w:szCs w:val="20"/>
          <w:shd w:val="clear" w:color="auto" w:fill="FFFFFF"/>
        </w:rPr>
        <w:t xml:space="preserve">in </w:t>
      </w:r>
      <w:r>
        <w:rPr>
          <w:rFonts w:eastAsia="Times New Roman"/>
          <w:color w:val="000000"/>
          <w:sz w:val="20"/>
          <w:szCs w:val="20"/>
        </w:rPr>
        <w:t>the six months ended June 3</w:t>
      </w:r>
      <w:r>
        <w:rPr>
          <w:rFonts w:eastAsia="Times New Roman"/>
          <w:color w:val="000000"/>
          <w:sz w:val="20"/>
          <w:szCs w:val="20"/>
        </w:rPr>
        <w:t>0, 2022 included $21 million of transformation costs, $46 million of amortization of acquisition-related intangible assets, $1 million of acquisition-related costs, and $10 million related to operating losses, impairments and other actions taken with respe</w:t>
      </w:r>
      <w:r>
        <w:rPr>
          <w:rFonts w:eastAsia="Times New Roman"/>
          <w:color w:val="000000"/>
          <w:sz w:val="20"/>
          <w:szCs w:val="20"/>
        </w:rPr>
        <w:t>ct to our operations in Russia. Gross margin for the six months ended June 30, 2021 included $11 million of transformation costs and $16 million of amortization of acquisition-related intangible assets. Excluding these items, gross margin as a percentage o</w:t>
      </w:r>
      <w:r>
        <w:rPr>
          <w:rFonts w:eastAsia="Times New Roman"/>
          <w:color w:val="000000"/>
          <w:sz w:val="20"/>
          <w:szCs w:val="20"/>
        </w:rPr>
        <w:t>f revenue decreased from 27.8% to 24.9% due to increases in fuel costs, component parts, and interest rates as well as other supply chain challenges that negatively impacted our costs. The impact of these cost increases were partially offset by cost mitiga</w:t>
      </w:r>
      <w:r>
        <w:rPr>
          <w:rFonts w:eastAsia="Times New Roman"/>
          <w:color w:val="000000"/>
          <w:sz w:val="20"/>
          <w:szCs w:val="20"/>
        </w:rPr>
        <w:t>tion actions implemented, employee retention credits, and an increase in the favorable higher margin software and services revenue.</w:t>
      </w:r>
    </w:p>
    <w:p w:rsidR="00000000" w:rsidRDefault="005048A7">
      <w:pPr>
        <w:jc w:val="both"/>
        <w:rPr>
          <w:rFonts w:eastAsia="Times New Roman"/>
        </w:rPr>
      </w:pPr>
    </w:p>
    <w:p w:rsidR="00000000" w:rsidRDefault="005048A7">
      <w:pPr>
        <w:jc w:val="both"/>
        <w:rPr>
          <w:rFonts w:eastAsia="Times New Roman"/>
        </w:rPr>
      </w:pPr>
      <w:r>
        <w:rPr>
          <w:rFonts w:eastAsia="Times New Roman"/>
          <w:b/>
          <w:bCs/>
          <w:color w:val="000000"/>
          <w:sz w:val="20"/>
          <w:szCs w:val="20"/>
        </w:rPr>
        <w:t>Selling, General and Administrative Expenses</w:t>
      </w:r>
    </w:p>
    <w:p w:rsidR="00000000" w:rsidRDefault="005048A7">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8"/>
        <w:gridCol w:w="2828"/>
        <w:gridCol w:w="36"/>
        <w:gridCol w:w="36"/>
        <w:gridCol w:w="36"/>
        <w:gridCol w:w="36"/>
        <w:gridCol w:w="120"/>
        <w:gridCol w:w="921"/>
        <w:gridCol w:w="36"/>
        <w:gridCol w:w="36"/>
        <w:gridCol w:w="36"/>
        <w:gridCol w:w="36"/>
        <w:gridCol w:w="120"/>
        <w:gridCol w:w="700"/>
        <w:gridCol w:w="36"/>
        <w:gridCol w:w="36"/>
        <w:gridCol w:w="36"/>
        <w:gridCol w:w="36"/>
        <w:gridCol w:w="38"/>
        <w:gridCol w:w="727"/>
        <w:gridCol w:w="221"/>
        <w:gridCol w:w="37"/>
        <w:gridCol w:w="37"/>
        <w:gridCol w:w="36"/>
        <w:gridCol w:w="37"/>
        <w:gridCol w:w="741"/>
        <w:gridCol w:w="187"/>
        <w:gridCol w:w="36"/>
        <w:gridCol w:w="36"/>
        <w:gridCol w:w="36"/>
        <w:gridCol w:w="65"/>
        <w:gridCol w:w="713"/>
        <w:gridCol w:w="187"/>
      </w:tblGrid>
      <w:tr w:rsidR="00000000">
        <w:tc>
          <w:tcPr>
            <w:tcW w:w="50" w:type="pct"/>
            <w:vAlign w:val="center"/>
            <w:hideMark/>
          </w:tcPr>
          <w:p w:rsidR="00000000" w:rsidRDefault="005048A7">
            <w:pPr>
              <w:jc w:val="both"/>
              <w:rPr>
                <w:rFonts w:eastAsia="Times New Roman"/>
              </w:rPr>
            </w:pPr>
          </w:p>
        </w:tc>
        <w:tc>
          <w:tcPr>
            <w:tcW w:w="178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1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Percentage of Total Revenue</w:t>
            </w: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 vs 2021</w:t>
            </w:r>
          </w:p>
        </w:tc>
      </w:tr>
      <w:tr w:rsidR="00000000">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309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15.5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bl>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For the three months ended June 30, 2022 compared to the three months ended June 30, 2021</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Selling, general, and administrative expenses were $309 million compared to $303 million in the three months ended June 30, 2022 and 2021, respectively. As a percen</w:t>
      </w:r>
      <w:r>
        <w:rPr>
          <w:rFonts w:eastAsia="Times New Roman"/>
          <w:color w:val="000000"/>
          <w:sz w:val="20"/>
          <w:szCs w:val="20"/>
        </w:rPr>
        <w:t>tage of revenue, selling, general and administrative expenses were 15.5% compared to 18.1% in the three months ended June 30, 2022 and 2021, respectively. In the three months ended June 30, 2022, selling, general and administrative expenses included $25 mi</w:t>
      </w:r>
      <w:r>
        <w:rPr>
          <w:rFonts w:eastAsia="Times New Roman"/>
          <w:color w:val="000000"/>
          <w:sz w:val="20"/>
          <w:szCs w:val="20"/>
        </w:rPr>
        <w:t>llion of transformation costs, $18 million of amortization of acquisition-related intangible assets, $2 million of acquisition-related costs and $2 million of costs related to actions taken with respect to our operations in Russia. In the three months ende</w:t>
      </w:r>
      <w:r>
        <w:rPr>
          <w:rFonts w:eastAsia="Times New Roman"/>
          <w:color w:val="000000"/>
          <w:sz w:val="20"/>
          <w:szCs w:val="20"/>
        </w:rPr>
        <w:t>d June 30, 2021, selling, general and administrative expenses primarily included $14 million of amortization of acquisition-related intangible assets and $59 million of acquisition-related costs. Excluding these items, selling, general and administrative e</w:t>
      </w:r>
      <w:r>
        <w:rPr>
          <w:rFonts w:eastAsia="Times New Roman"/>
          <w:color w:val="000000"/>
          <w:sz w:val="20"/>
          <w:szCs w:val="20"/>
        </w:rPr>
        <w:t xml:space="preserve">xpenses decreased slightly as a percentage of revenue from 13.7% to 13.2% primarily due to cost mitigation actions implemented. </w:t>
      </w:r>
    </w:p>
    <w:p w:rsidR="00000000" w:rsidRDefault="005048A7">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8"/>
        <w:gridCol w:w="2828"/>
        <w:gridCol w:w="36"/>
        <w:gridCol w:w="36"/>
        <w:gridCol w:w="36"/>
        <w:gridCol w:w="36"/>
        <w:gridCol w:w="120"/>
        <w:gridCol w:w="921"/>
        <w:gridCol w:w="36"/>
        <w:gridCol w:w="36"/>
        <w:gridCol w:w="36"/>
        <w:gridCol w:w="36"/>
        <w:gridCol w:w="120"/>
        <w:gridCol w:w="700"/>
        <w:gridCol w:w="36"/>
        <w:gridCol w:w="36"/>
        <w:gridCol w:w="36"/>
        <w:gridCol w:w="36"/>
        <w:gridCol w:w="38"/>
        <w:gridCol w:w="727"/>
        <w:gridCol w:w="221"/>
        <w:gridCol w:w="37"/>
        <w:gridCol w:w="37"/>
        <w:gridCol w:w="36"/>
        <w:gridCol w:w="37"/>
        <w:gridCol w:w="741"/>
        <w:gridCol w:w="187"/>
        <w:gridCol w:w="36"/>
        <w:gridCol w:w="36"/>
        <w:gridCol w:w="36"/>
        <w:gridCol w:w="65"/>
        <w:gridCol w:w="713"/>
        <w:gridCol w:w="187"/>
      </w:tblGrid>
      <w:tr w:rsidR="00000000">
        <w:tc>
          <w:tcPr>
            <w:tcW w:w="50" w:type="pct"/>
            <w:vAlign w:val="center"/>
            <w:hideMark/>
          </w:tcPr>
          <w:p w:rsidR="00000000" w:rsidRDefault="005048A7">
            <w:pPr>
              <w:jc w:val="both"/>
              <w:rPr>
                <w:rFonts w:eastAsia="Times New Roman"/>
              </w:rPr>
            </w:pPr>
          </w:p>
        </w:tc>
        <w:tc>
          <w:tcPr>
            <w:tcW w:w="178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1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Percentage of Total Revenue</w:t>
            </w: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 vs 2021</w:t>
            </w:r>
          </w:p>
        </w:tc>
      </w:tr>
      <w:tr w:rsidR="00000000">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622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16.1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bl>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For the six months ended June 30, 2022 compared to the six months ended June 30, 2021</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Selling, general, and administrative expenses were $622 million compared to $541 million in the six months ended June 30, 2022 and 2021, respectively. As a percentage o</w:t>
      </w:r>
      <w:r>
        <w:rPr>
          <w:rFonts w:eastAsia="Times New Roman"/>
          <w:color w:val="000000"/>
          <w:sz w:val="20"/>
          <w:szCs w:val="20"/>
        </w:rPr>
        <w:t>f revenue, selling, general and administrative expenses were 16.1% compared to 16.8% in the six months ended June 30, 2022 and 2021, respectively. In the six months ended June 30, 2022, selling, general and administrative expenses included $46 million of t</w:t>
      </w:r>
      <w:r>
        <w:rPr>
          <w:rFonts w:eastAsia="Times New Roman"/>
          <w:color w:val="000000"/>
          <w:sz w:val="20"/>
          <w:szCs w:val="20"/>
        </w:rPr>
        <w:t xml:space="preserve">ransformation costs, $40 million of amortization of acquisition-related </w:t>
      </w:r>
    </w:p>
    <w:p w:rsidR="00000000" w:rsidRDefault="005048A7">
      <w:pPr>
        <w:jc w:val="center"/>
        <w:divId w:val="1183086856"/>
        <w:rPr>
          <w:rFonts w:eastAsia="Times New Roman"/>
        </w:rPr>
      </w:pPr>
      <w:r>
        <w:rPr>
          <w:rFonts w:eastAsia="Times New Roman"/>
          <w:color w:val="000000"/>
          <w:sz w:val="20"/>
          <w:szCs w:val="20"/>
        </w:rPr>
        <w:t>47</w:t>
      </w:r>
    </w:p>
    <w:p w:rsidR="00000000" w:rsidRDefault="005048A7">
      <w:pPr>
        <w:rPr>
          <w:rFonts w:eastAsia="Times New Roman"/>
        </w:rPr>
      </w:pPr>
      <w:r>
        <w:rPr>
          <w:rFonts w:eastAsia="Times New Roman"/>
        </w:rPr>
        <w:pict>
          <v:rect id="_x0000_i1072" style="width:0;height:1.5pt" o:hralign="center" o:hrstd="t" o:hr="t" fillcolor="#a0a0a0" stroked="f"/>
        </w:pict>
      </w:r>
    </w:p>
    <w:p w:rsidR="00000000" w:rsidRDefault="005048A7">
      <w:pPr>
        <w:divId w:val="1212614878"/>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jc w:val="both"/>
        <w:rPr>
          <w:rFonts w:eastAsia="Times New Roman"/>
        </w:rPr>
      </w:pPr>
      <w:r>
        <w:rPr>
          <w:rFonts w:eastAsia="Times New Roman"/>
          <w:color w:val="000000"/>
          <w:sz w:val="20"/>
          <w:szCs w:val="20"/>
        </w:rPr>
        <w:t>intangible assets, $7 million of acquisition-related costs and $6 mi</w:t>
      </w:r>
      <w:r>
        <w:rPr>
          <w:rFonts w:eastAsia="Times New Roman"/>
          <w:color w:val="000000"/>
          <w:sz w:val="20"/>
          <w:szCs w:val="20"/>
        </w:rPr>
        <w:t>llion of costs related to actions taken with respect to our operations in Russia. In the six months ended June 30, 2021, selling, general and administrative expenses included $3 million of transformation and restructuring costs, $27 million of amortization</w:t>
      </w:r>
      <w:r>
        <w:rPr>
          <w:rFonts w:eastAsia="Times New Roman"/>
          <w:color w:val="000000"/>
          <w:sz w:val="20"/>
          <w:szCs w:val="20"/>
        </w:rPr>
        <w:t xml:space="preserve"> of acquisition-related intangible assets, and $69 million of acquisition-related costs. Excluding these items, selling, general and administrative expenses decreased slightly as a percentage of revenue from 13.7% to 13.6%. </w:t>
      </w:r>
    </w:p>
    <w:p w:rsidR="00000000" w:rsidRDefault="005048A7">
      <w:pPr>
        <w:jc w:val="both"/>
        <w:rPr>
          <w:rFonts w:eastAsia="Times New Roman"/>
        </w:rPr>
      </w:pPr>
    </w:p>
    <w:p w:rsidR="00000000" w:rsidRDefault="005048A7">
      <w:pPr>
        <w:jc w:val="both"/>
        <w:rPr>
          <w:rFonts w:eastAsia="Times New Roman"/>
        </w:rPr>
      </w:pPr>
      <w:r>
        <w:rPr>
          <w:rFonts w:eastAsia="Times New Roman"/>
          <w:b/>
          <w:bCs/>
          <w:color w:val="000000"/>
          <w:sz w:val="20"/>
          <w:szCs w:val="20"/>
        </w:rPr>
        <w:t>Research and Development Expe</w:t>
      </w:r>
      <w:r>
        <w:rPr>
          <w:rFonts w:eastAsia="Times New Roman"/>
          <w:b/>
          <w:bCs/>
          <w:color w:val="000000"/>
          <w:sz w:val="20"/>
          <w:szCs w:val="20"/>
        </w:rPr>
        <w:t>nses</w:t>
      </w:r>
    </w:p>
    <w:p w:rsidR="00000000" w:rsidRDefault="005048A7">
      <w:pPr>
        <w:divId w:val="111597857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926"/>
        <w:gridCol w:w="36"/>
        <w:gridCol w:w="36"/>
        <w:gridCol w:w="36"/>
        <w:gridCol w:w="36"/>
        <w:gridCol w:w="120"/>
        <w:gridCol w:w="786"/>
        <w:gridCol w:w="36"/>
        <w:gridCol w:w="36"/>
        <w:gridCol w:w="36"/>
        <w:gridCol w:w="36"/>
        <w:gridCol w:w="120"/>
        <w:gridCol w:w="713"/>
        <w:gridCol w:w="36"/>
        <w:gridCol w:w="36"/>
        <w:gridCol w:w="36"/>
        <w:gridCol w:w="36"/>
        <w:gridCol w:w="37"/>
        <w:gridCol w:w="754"/>
        <w:gridCol w:w="221"/>
        <w:gridCol w:w="36"/>
        <w:gridCol w:w="36"/>
        <w:gridCol w:w="36"/>
        <w:gridCol w:w="36"/>
        <w:gridCol w:w="742"/>
        <w:gridCol w:w="187"/>
        <w:gridCol w:w="36"/>
        <w:gridCol w:w="36"/>
        <w:gridCol w:w="36"/>
        <w:gridCol w:w="65"/>
        <w:gridCol w:w="726"/>
        <w:gridCol w:w="187"/>
      </w:tblGrid>
      <w:tr w:rsidR="00000000">
        <w:tc>
          <w:tcPr>
            <w:tcW w:w="50" w:type="pct"/>
            <w:vAlign w:val="center"/>
            <w:hideMark/>
          </w:tcPr>
          <w:p w:rsidR="00000000" w:rsidRDefault="005048A7">
            <w:pPr>
              <w:rPr>
                <w:rFonts w:eastAsia="Times New Roman"/>
              </w:rPr>
            </w:pPr>
          </w:p>
        </w:tc>
        <w:tc>
          <w:tcPr>
            <w:tcW w:w="184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Percentage of Total Revenue</w:t>
            </w: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 v 2021</w:t>
            </w:r>
          </w:p>
        </w:tc>
      </w:tr>
      <w:tr w:rsidR="00000000">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Research and development expenses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bl>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For the three months ended June 30, 2022 compared to the three months ended June 30, 2021</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Research and development expenses were $59 million compared to $69 million in the three months ended June 30, 2022 and 2021, respectively. As a percentage of revenu</w:t>
      </w:r>
      <w:r>
        <w:rPr>
          <w:rFonts w:eastAsia="Times New Roman"/>
          <w:color w:val="000000"/>
          <w:sz w:val="20"/>
          <w:szCs w:val="20"/>
        </w:rPr>
        <w:t>e, these costs were 3.0% and 4.1% in the three months ended June 30, 2022 and 2021, respectively. In the three months ended June 30, 2022, research and development expenses included $8 million of transformation costs. In the three months ended June 30, 202</w:t>
      </w:r>
      <w:r>
        <w:rPr>
          <w:rFonts w:eastAsia="Times New Roman"/>
          <w:color w:val="000000"/>
          <w:sz w:val="20"/>
          <w:szCs w:val="20"/>
        </w:rPr>
        <w:t>1, research and development expenses included $1 million of transformation benefits. After considering this item, research and development expenses decreased as a percentage of revenue from 4.2% to 2.6% due to cost-mitigation actions implemented and an inc</w:t>
      </w:r>
      <w:r>
        <w:rPr>
          <w:rFonts w:eastAsia="Times New Roman"/>
          <w:color w:val="000000"/>
          <w:sz w:val="20"/>
          <w:szCs w:val="20"/>
        </w:rPr>
        <w:t>rease in revenue year over year.</w:t>
      </w:r>
    </w:p>
    <w:p w:rsidR="00000000" w:rsidRDefault="005048A7">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926"/>
        <w:gridCol w:w="36"/>
        <w:gridCol w:w="36"/>
        <w:gridCol w:w="36"/>
        <w:gridCol w:w="36"/>
        <w:gridCol w:w="120"/>
        <w:gridCol w:w="786"/>
        <w:gridCol w:w="36"/>
        <w:gridCol w:w="36"/>
        <w:gridCol w:w="36"/>
        <w:gridCol w:w="36"/>
        <w:gridCol w:w="120"/>
        <w:gridCol w:w="713"/>
        <w:gridCol w:w="36"/>
        <w:gridCol w:w="36"/>
        <w:gridCol w:w="36"/>
        <w:gridCol w:w="36"/>
        <w:gridCol w:w="37"/>
        <w:gridCol w:w="754"/>
        <w:gridCol w:w="221"/>
        <w:gridCol w:w="36"/>
        <w:gridCol w:w="36"/>
        <w:gridCol w:w="36"/>
        <w:gridCol w:w="36"/>
        <w:gridCol w:w="742"/>
        <w:gridCol w:w="187"/>
        <w:gridCol w:w="36"/>
        <w:gridCol w:w="36"/>
        <w:gridCol w:w="36"/>
        <w:gridCol w:w="65"/>
        <w:gridCol w:w="726"/>
        <w:gridCol w:w="187"/>
      </w:tblGrid>
      <w:tr w:rsidR="00000000">
        <w:tc>
          <w:tcPr>
            <w:tcW w:w="50" w:type="pct"/>
            <w:vAlign w:val="center"/>
            <w:hideMark/>
          </w:tcPr>
          <w:p w:rsidR="00000000" w:rsidRDefault="005048A7">
            <w:pPr>
              <w:jc w:val="both"/>
              <w:rPr>
                <w:rFonts w:eastAsia="Times New Roman"/>
              </w:rPr>
            </w:pPr>
          </w:p>
        </w:tc>
        <w:tc>
          <w:tcPr>
            <w:tcW w:w="184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2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3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Percentage of Total Revenue</w:t>
            </w: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 v 2021</w:t>
            </w:r>
          </w:p>
        </w:tc>
      </w:tr>
      <w:tr w:rsidR="00000000">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Research and development expenses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bl>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For the six months ended June 30, 2022 compared to the six months ended June 30, 2021</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 xml:space="preserve">Research and development expenses were $124 compared to $135 in the six months ended June 30, 2022 and 2021, respectively. As a percentage of revenue, these costs were </w:t>
      </w:r>
      <w:r>
        <w:rPr>
          <w:rFonts w:eastAsia="Times New Roman"/>
          <w:color w:val="000000"/>
          <w:sz w:val="20"/>
          <w:szCs w:val="20"/>
        </w:rPr>
        <w:t>3.2% and 4.2% in the six months ended June 30, 2022 and 2021, respectively. In the six months ended June 30, 2022, research and development expenses included $9 million of transformation costs. In the six months ended June 30, 2021, research and developmen</w:t>
      </w:r>
      <w:r>
        <w:rPr>
          <w:rFonts w:eastAsia="Times New Roman"/>
          <w:color w:val="000000"/>
          <w:sz w:val="20"/>
          <w:szCs w:val="20"/>
        </w:rPr>
        <w:t>t expenses included $1 million of transformation costs. After considering this item, research and development expenses decreased as a percentage of revenue from 4.2% to 3.0% due to an increase in revenue year over year and cost mitigation actions implement</w:t>
      </w:r>
      <w:r>
        <w:rPr>
          <w:rFonts w:eastAsia="Times New Roman"/>
          <w:color w:val="000000"/>
          <w:sz w:val="20"/>
          <w:szCs w:val="20"/>
        </w:rPr>
        <w:t>ed.</w:t>
      </w:r>
    </w:p>
    <w:p w:rsidR="00000000" w:rsidRDefault="005048A7">
      <w:pPr>
        <w:jc w:val="both"/>
        <w:rPr>
          <w:rFonts w:eastAsia="Times New Roman"/>
        </w:rPr>
      </w:pPr>
    </w:p>
    <w:p w:rsidR="00000000" w:rsidRDefault="005048A7">
      <w:pPr>
        <w:jc w:val="both"/>
        <w:rPr>
          <w:rFonts w:eastAsia="Times New Roman"/>
        </w:rPr>
      </w:pPr>
      <w:r>
        <w:rPr>
          <w:rFonts w:eastAsia="Times New Roman"/>
          <w:b/>
          <w:bCs/>
          <w:color w:val="000000"/>
          <w:sz w:val="20"/>
          <w:szCs w:val="20"/>
        </w:rPr>
        <w:t>Interest Expense</w:t>
      </w:r>
    </w:p>
    <w:p w:rsidR="00000000" w:rsidRDefault="005048A7">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060"/>
        <w:gridCol w:w="37"/>
        <w:gridCol w:w="36"/>
        <w:gridCol w:w="36"/>
        <w:gridCol w:w="36"/>
        <w:gridCol w:w="120"/>
        <w:gridCol w:w="1146"/>
        <w:gridCol w:w="36"/>
        <w:gridCol w:w="36"/>
        <w:gridCol w:w="36"/>
        <w:gridCol w:w="36"/>
        <w:gridCol w:w="120"/>
        <w:gridCol w:w="1080"/>
        <w:gridCol w:w="36"/>
        <w:gridCol w:w="36"/>
        <w:gridCol w:w="36"/>
        <w:gridCol w:w="36"/>
        <w:gridCol w:w="50"/>
        <w:gridCol w:w="1072"/>
        <w:gridCol w:w="187"/>
      </w:tblGrid>
      <w:tr w:rsidR="00000000">
        <w:tc>
          <w:tcPr>
            <w:tcW w:w="50" w:type="pct"/>
            <w:vAlign w:val="center"/>
            <w:hideMark/>
          </w:tcPr>
          <w:p w:rsidR="00000000" w:rsidRDefault="005048A7">
            <w:pPr>
              <w:jc w:val="both"/>
              <w:rPr>
                <w:rFonts w:eastAsia="Times New Roman"/>
              </w:rPr>
            </w:pPr>
          </w:p>
        </w:tc>
        <w:tc>
          <w:tcPr>
            <w:tcW w:w="250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3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3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1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 v 2021</w:t>
            </w:r>
          </w:p>
        </w:tc>
      </w:tr>
      <w:tr w:rsidR="00000000">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bl>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For the three months ended June 30, 2022 compared to the three months ended June 30, 2021</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Interest expense was $67 million compared to $61 million in the three months ended June 30, 2022 and 2021, re</w:t>
      </w:r>
      <w:r>
        <w:rPr>
          <w:rFonts w:eastAsia="Times New Roman"/>
          <w:color w:val="000000"/>
          <w:sz w:val="20"/>
          <w:szCs w:val="20"/>
        </w:rPr>
        <w:t>spectively. Interest expense is primarily related to the Company's senior unsecured notes and borrowings under the Company's Senior Secured Credit Facility. The main driver was related to the increase in interest rates on the Senior Secured Credit Facility</w:t>
      </w:r>
      <w:r>
        <w:rPr>
          <w:rFonts w:eastAsia="Times New Roman"/>
          <w:color w:val="000000"/>
          <w:sz w:val="20"/>
          <w:szCs w:val="20"/>
        </w:rPr>
        <w:t xml:space="preserve"> partially offset by lower average outstanding principal balances.</w:t>
      </w: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center"/>
        <w:divId w:val="1408843484"/>
        <w:rPr>
          <w:rFonts w:eastAsia="Times New Roman"/>
        </w:rPr>
      </w:pPr>
      <w:r>
        <w:rPr>
          <w:rFonts w:eastAsia="Times New Roman"/>
          <w:color w:val="000000"/>
          <w:sz w:val="20"/>
          <w:szCs w:val="20"/>
        </w:rPr>
        <w:t>48</w:t>
      </w:r>
    </w:p>
    <w:p w:rsidR="00000000" w:rsidRDefault="005048A7">
      <w:pPr>
        <w:rPr>
          <w:rFonts w:eastAsia="Times New Roman"/>
        </w:rPr>
      </w:pPr>
      <w:r>
        <w:rPr>
          <w:rFonts w:eastAsia="Times New Roman"/>
        </w:rPr>
        <w:pict>
          <v:rect id="_x0000_i1073" style="width:0;height:1.5pt" o:hralign="center" o:hrstd="t" o:hr="t" fillcolor="#a0a0a0" stroked="f"/>
        </w:pict>
      </w:r>
    </w:p>
    <w:p w:rsidR="00000000" w:rsidRDefault="005048A7">
      <w:pPr>
        <w:divId w:val="1208450072"/>
        <w:rPr>
          <w:rFonts w:eastAsia="Times New Roman"/>
        </w:rPr>
      </w:pPr>
      <w:hyperlink w:anchor="i1e5a5c829d0c4e47b43817acb739c3cf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4060"/>
        <w:gridCol w:w="37"/>
        <w:gridCol w:w="36"/>
        <w:gridCol w:w="36"/>
        <w:gridCol w:w="36"/>
        <w:gridCol w:w="120"/>
        <w:gridCol w:w="1146"/>
        <w:gridCol w:w="36"/>
        <w:gridCol w:w="36"/>
        <w:gridCol w:w="36"/>
        <w:gridCol w:w="36"/>
        <w:gridCol w:w="120"/>
        <w:gridCol w:w="1080"/>
        <w:gridCol w:w="36"/>
        <w:gridCol w:w="36"/>
        <w:gridCol w:w="36"/>
        <w:gridCol w:w="36"/>
        <w:gridCol w:w="50"/>
        <w:gridCol w:w="1072"/>
        <w:gridCol w:w="187"/>
      </w:tblGrid>
      <w:tr w:rsidR="00000000">
        <w:tc>
          <w:tcPr>
            <w:tcW w:w="50" w:type="pct"/>
            <w:vAlign w:val="center"/>
            <w:hideMark/>
          </w:tcPr>
          <w:p w:rsidR="00000000" w:rsidRDefault="005048A7">
            <w:pPr>
              <w:rPr>
                <w:rFonts w:eastAsia="Times New Roman"/>
              </w:rPr>
            </w:pPr>
          </w:p>
        </w:tc>
        <w:tc>
          <w:tcPr>
            <w:tcW w:w="250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3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34"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1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 v 2021</w:t>
            </w:r>
          </w:p>
        </w:tc>
      </w:tr>
      <w:tr w:rsidR="00000000">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bl>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For the six months ended June 30, 2022 compared to the six months ended June 30, 2021</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Interest expense was $130 million compared to $106 million in the six months ended June 30, 2022 and 2021, respec</w:t>
      </w:r>
      <w:r>
        <w:rPr>
          <w:rFonts w:eastAsia="Times New Roman"/>
          <w:color w:val="000000"/>
          <w:sz w:val="20"/>
          <w:szCs w:val="20"/>
        </w:rPr>
        <w:t>tively. Interest expense is primarily related to the Company's senior unsecured notes and borrowings under the Company's Senior Secured Credit Facility. The main driver was related to the increase in total outstanding debt as a result of the closing of the</w:t>
      </w:r>
      <w:r>
        <w:rPr>
          <w:rFonts w:eastAsia="Times New Roman"/>
          <w:color w:val="000000"/>
          <w:sz w:val="20"/>
          <w:szCs w:val="20"/>
        </w:rPr>
        <w:t xml:space="preserve"> acquisition of Cardtronics in the second quarter of 2021, combined with an increase in interest rates on the Senior Secured Credit Facility.</w:t>
      </w:r>
    </w:p>
    <w:p w:rsidR="00000000" w:rsidRDefault="005048A7">
      <w:pPr>
        <w:jc w:val="both"/>
        <w:rPr>
          <w:rFonts w:eastAsia="Times New Roman"/>
        </w:rPr>
      </w:pPr>
    </w:p>
    <w:p w:rsidR="00000000" w:rsidRDefault="005048A7">
      <w:pPr>
        <w:jc w:val="both"/>
        <w:rPr>
          <w:rFonts w:eastAsia="Times New Roman"/>
        </w:rPr>
      </w:pPr>
      <w:r>
        <w:rPr>
          <w:rFonts w:eastAsia="Times New Roman"/>
          <w:b/>
          <w:bCs/>
          <w:color w:val="000000"/>
          <w:sz w:val="20"/>
          <w:szCs w:val="20"/>
        </w:rPr>
        <w:t>Other Income (Expense), net</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 xml:space="preserve">Other income (expense), net was income of $1 million and expense of $1 million in </w:t>
      </w:r>
      <w:r>
        <w:rPr>
          <w:rFonts w:eastAsia="Times New Roman"/>
          <w:color w:val="000000"/>
          <w:sz w:val="20"/>
          <w:szCs w:val="20"/>
        </w:rPr>
        <w:t>the three months ended June 30, 2022 and 2021, respectively, and income of $10 million and expense of $18 million in the six months ended June 30, 2022 and 2021, respectively, with the components reflected in the following table:</w:t>
      </w:r>
    </w:p>
    <w:p w:rsidR="00000000" w:rsidRDefault="005048A7">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679"/>
        <w:gridCol w:w="37"/>
        <w:gridCol w:w="36"/>
        <w:gridCol w:w="36"/>
        <w:gridCol w:w="36"/>
        <w:gridCol w:w="121"/>
        <w:gridCol w:w="890"/>
        <w:gridCol w:w="37"/>
        <w:gridCol w:w="36"/>
        <w:gridCol w:w="36"/>
        <w:gridCol w:w="36"/>
        <w:gridCol w:w="120"/>
        <w:gridCol w:w="822"/>
        <w:gridCol w:w="36"/>
        <w:gridCol w:w="36"/>
        <w:gridCol w:w="36"/>
        <w:gridCol w:w="36"/>
        <w:gridCol w:w="120"/>
        <w:gridCol w:w="890"/>
        <w:gridCol w:w="36"/>
        <w:gridCol w:w="36"/>
        <w:gridCol w:w="36"/>
        <w:gridCol w:w="36"/>
        <w:gridCol w:w="120"/>
        <w:gridCol w:w="892"/>
        <w:gridCol w:w="36"/>
      </w:tblGrid>
      <w:tr w:rsidR="00000000">
        <w:trPr>
          <w:jc w:val="center"/>
        </w:trPr>
        <w:tc>
          <w:tcPr>
            <w:tcW w:w="50" w:type="pct"/>
            <w:vAlign w:val="center"/>
            <w:hideMark/>
          </w:tcPr>
          <w:p w:rsidR="00000000" w:rsidRDefault="005048A7">
            <w:pPr>
              <w:jc w:val="both"/>
              <w:rPr>
                <w:rFonts w:eastAsia="Times New Roman"/>
              </w:rPr>
            </w:pPr>
          </w:p>
        </w:tc>
        <w:tc>
          <w:tcPr>
            <w:tcW w:w="227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8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8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8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81"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r>
      <w:tr w:rsidR="00000000">
        <w:trPr>
          <w:jc w:val="center"/>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Foreign currency fluctuations and 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Bank-related fees</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Employee benefit plans</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Other, net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048A7">
            <w:pPr>
              <w:spacing w:after="100"/>
              <w:rPr>
                <w:rFonts w:eastAsia="Times New Roman"/>
              </w:rPr>
            </w:pPr>
            <w:r>
              <w:rPr>
                <w:rFonts w:eastAsia="Times New Roman"/>
                <w:b/>
                <w:bCs/>
                <w:color w:val="000000"/>
                <w:sz w:val="20"/>
                <w:szCs w:val="20"/>
              </w:rPr>
              <w:t>Other income (expense), net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Employee benefit plans within Other income (expense), net includ</w:t>
      </w:r>
      <w:r>
        <w:rPr>
          <w:rFonts w:eastAsia="Times New Roman"/>
          <w:color w:val="000000"/>
          <w:sz w:val="20"/>
          <w:szCs w:val="20"/>
        </w:rPr>
        <w:t>es the components of pension, postemployment and postretirement expense, other than service cost. The increase in Employee benefit plans in 2022 compared to the prior year period is primarily related to actuarial gains related to the pension plans that are</w:t>
      </w:r>
      <w:r>
        <w:rPr>
          <w:rFonts w:eastAsia="Times New Roman"/>
          <w:color w:val="000000"/>
          <w:sz w:val="20"/>
          <w:szCs w:val="20"/>
        </w:rPr>
        <w:t xml:space="preserve"> being amortized throughout the year. In the six months ended June 30, 2021, the Company incurred bank-related fees of $19 million related to certain structuring and commitment fees as a result of the financing transactions entered into during the first qu</w:t>
      </w:r>
      <w:r>
        <w:rPr>
          <w:rFonts w:eastAsia="Times New Roman"/>
          <w:color w:val="000000"/>
          <w:sz w:val="20"/>
          <w:szCs w:val="20"/>
        </w:rPr>
        <w:t>arter of 2021 related to the transaction with Cardtronics.</w:t>
      </w:r>
    </w:p>
    <w:p w:rsidR="00000000" w:rsidRDefault="005048A7">
      <w:pPr>
        <w:jc w:val="both"/>
        <w:rPr>
          <w:rFonts w:eastAsia="Times New Roman"/>
        </w:rPr>
      </w:pPr>
    </w:p>
    <w:p w:rsidR="00000000" w:rsidRDefault="005048A7">
      <w:pPr>
        <w:jc w:val="both"/>
        <w:rPr>
          <w:rFonts w:eastAsia="Times New Roman"/>
        </w:rPr>
      </w:pPr>
      <w:r>
        <w:rPr>
          <w:rFonts w:eastAsia="Times New Roman"/>
          <w:b/>
          <w:bCs/>
          <w:color w:val="000000"/>
          <w:sz w:val="20"/>
          <w:szCs w:val="20"/>
        </w:rPr>
        <w:t>Income Taxes</w:t>
      </w:r>
    </w:p>
    <w:tbl>
      <w:tblPr>
        <w:tblW w:w="5000" w:type="pct"/>
        <w:tblCellMar>
          <w:top w:w="15" w:type="dxa"/>
          <w:left w:w="15" w:type="dxa"/>
          <w:bottom w:w="15" w:type="dxa"/>
          <w:right w:w="15" w:type="dxa"/>
        </w:tblCellMar>
        <w:tblLook w:val="04A0" w:firstRow="1" w:lastRow="0" w:firstColumn="1" w:lastColumn="0" w:noHBand="0" w:noVBand="1"/>
      </w:tblPr>
      <w:tblGrid>
        <w:gridCol w:w="38"/>
        <w:gridCol w:w="2737"/>
        <w:gridCol w:w="37"/>
        <w:gridCol w:w="36"/>
        <w:gridCol w:w="36"/>
        <w:gridCol w:w="36"/>
        <w:gridCol w:w="120"/>
        <w:gridCol w:w="1126"/>
        <w:gridCol w:w="36"/>
        <w:gridCol w:w="36"/>
        <w:gridCol w:w="36"/>
        <w:gridCol w:w="36"/>
        <w:gridCol w:w="120"/>
        <w:gridCol w:w="1058"/>
        <w:gridCol w:w="36"/>
        <w:gridCol w:w="36"/>
        <w:gridCol w:w="36"/>
        <w:gridCol w:w="36"/>
        <w:gridCol w:w="120"/>
        <w:gridCol w:w="1127"/>
        <w:gridCol w:w="36"/>
        <w:gridCol w:w="36"/>
        <w:gridCol w:w="36"/>
        <w:gridCol w:w="36"/>
        <w:gridCol w:w="120"/>
        <w:gridCol w:w="1127"/>
        <w:gridCol w:w="36"/>
      </w:tblGrid>
      <w:tr w:rsidR="00000000">
        <w:tc>
          <w:tcPr>
            <w:tcW w:w="50" w:type="pct"/>
            <w:vAlign w:val="center"/>
            <w:hideMark/>
          </w:tcPr>
          <w:p w:rsidR="00000000" w:rsidRDefault="005048A7">
            <w:pPr>
              <w:jc w:val="both"/>
              <w:rPr>
                <w:rFonts w:eastAsia="Times New Roman"/>
              </w:rPr>
            </w:pPr>
          </w:p>
        </w:tc>
        <w:tc>
          <w:tcPr>
            <w:tcW w:w="171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2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2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2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2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r>
      <w:tr w:rsidR="00000000">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r>
      <w:tr w:rsidR="00000000">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Income tax expense (benefit)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For the three months ended June 30, 2022 compared to the three months ended June 30, 2021</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In</w:t>
      </w:r>
      <w:r>
        <w:rPr>
          <w:rFonts w:eastAsia="Times New Roman"/>
          <w:color w:val="000000"/>
          <w:sz w:val="20"/>
          <w:szCs w:val="20"/>
        </w:rPr>
        <w:t>come tax provisions for interim (quarterly) periods are based on an estimated annual effective income tax rate calculated separately from the effect of significant, infrequent or unusual items. Income tax expense was approximately zero for the three months</w:t>
      </w:r>
      <w:r>
        <w:rPr>
          <w:rFonts w:eastAsia="Times New Roman"/>
          <w:color w:val="000000"/>
          <w:sz w:val="20"/>
          <w:szCs w:val="20"/>
        </w:rPr>
        <w:t xml:space="preserve"> ended June 30, 2022 compared to $31 million income tax expense for the three months ended June 30, 2021. The change was primarily driven by discrete tax expenses and benefits.</w:t>
      </w:r>
      <w:r>
        <w:rPr>
          <w:rFonts w:eastAsia="Times New Roman"/>
          <w:color w:val="000000"/>
        </w:rPr>
        <w:t xml:space="preserve"> </w:t>
      </w:r>
      <w:r>
        <w:rPr>
          <w:rFonts w:eastAsia="Times New Roman"/>
          <w:color w:val="000000"/>
          <w:sz w:val="20"/>
          <w:szCs w:val="20"/>
        </w:rPr>
        <w:t>In the three months ended June 30, 2022 the Company recognized a $6 million ben</w:t>
      </w:r>
      <w:r>
        <w:rPr>
          <w:rFonts w:eastAsia="Times New Roman"/>
          <w:color w:val="000000"/>
          <w:sz w:val="20"/>
          <w:szCs w:val="20"/>
        </w:rPr>
        <w:t>efit from provision to return adjustments and a $7 million benefit related to uncertain tax position settlements and statute of limitation lapses. In the three months ended June 30, 2021, the Company recognized a $34 million expense from recording a valuat</w:t>
      </w:r>
      <w:r>
        <w:rPr>
          <w:rFonts w:eastAsia="Times New Roman"/>
          <w:color w:val="000000"/>
          <w:sz w:val="20"/>
          <w:szCs w:val="20"/>
        </w:rPr>
        <w:t>ion allowance against interest limitation carryforwards in the U.S. and a $14 million benefit from the deferred tax impact of a tax law change enacted in the U.K.</w:t>
      </w:r>
    </w:p>
    <w:p w:rsidR="00000000" w:rsidRDefault="005048A7">
      <w:pPr>
        <w:divId w:val="749814512"/>
        <w:rPr>
          <w:rFonts w:eastAsia="Times New Roman"/>
        </w:rPr>
      </w:pPr>
    </w:p>
    <w:p w:rsidR="00000000" w:rsidRDefault="005048A7">
      <w:pPr>
        <w:jc w:val="both"/>
        <w:rPr>
          <w:rFonts w:eastAsia="Times New Roman"/>
        </w:rPr>
      </w:pPr>
      <w:r>
        <w:rPr>
          <w:rFonts w:eastAsia="Times New Roman"/>
          <w:i/>
          <w:iCs/>
          <w:color w:val="000000"/>
          <w:sz w:val="20"/>
          <w:szCs w:val="20"/>
        </w:rPr>
        <w:t>For the six months ended June 30, 2022 compared to the six months ended June 30, 2021</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Income tax expense was $13 million for the six months ended June 30, 2022 compared to expense of $48 million for the six months ended June 30, 2021. The change was prim</w:t>
      </w:r>
      <w:r>
        <w:rPr>
          <w:rFonts w:eastAsia="Times New Roman"/>
          <w:color w:val="000000"/>
          <w:sz w:val="20"/>
          <w:szCs w:val="20"/>
        </w:rPr>
        <w:t xml:space="preserve">arily driven by lower income before taxes and discrete tax expenses and benefits. In the six months ended June 30, 2022, the Company recognized a $4 million benefit from provision to return </w:t>
      </w:r>
    </w:p>
    <w:p w:rsidR="00000000" w:rsidRDefault="005048A7">
      <w:pPr>
        <w:jc w:val="center"/>
        <w:divId w:val="32389017"/>
        <w:rPr>
          <w:rFonts w:eastAsia="Times New Roman"/>
        </w:rPr>
      </w:pPr>
      <w:r>
        <w:rPr>
          <w:rFonts w:eastAsia="Times New Roman"/>
          <w:color w:val="000000"/>
          <w:sz w:val="20"/>
          <w:szCs w:val="20"/>
        </w:rPr>
        <w:t>49</w:t>
      </w:r>
    </w:p>
    <w:p w:rsidR="00000000" w:rsidRDefault="005048A7">
      <w:pPr>
        <w:rPr>
          <w:rFonts w:eastAsia="Times New Roman"/>
        </w:rPr>
      </w:pPr>
      <w:r>
        <w:rPr>
          <w:rFonts w:eastAsia="Times New Roman"/>
        </w:rPr>
        <w:pict>
          <v:rect id="_x0000_i1074" style="width:0;height:1.5pt" o:hralign="center" o:hrstd="t" o:hr="t" fillcolor="#a0a0a0" stroked="f"/>
        </w:pict>
      </w:r>
    </w:p>
    <w:p w:rsidR="00000000" w:rsidRDefault="005048A7">
      <w:pPr>
        <w:divId w:val="869730493"/>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jc w:val="both"/>
        <w:rPr>
          <w:rFonts w:eastAsia="Times New Roman"/>
        </w:rPr>
      </w:pPr>
      <w:r>
        <w:rPr>
          <w:rFonts w:eastAsia="Times New Roman"/>
          <w:color w:val="000000"/>
          <w:sz w:val="20"/>
          <w:szCs w:val="20"/>
        </w:rPr>
        <w:t>adjustments and a $7 million benefit related to uncertain tax position settlements and statute of limitation lapses.</w:t>
      </w:r>
      <w:r>
        <w:rPr>
          <w:rFonts w:eastAsia="Times New Roman"/>
          <w:color w:val="000000"/>
        </w:rPr>
        <w:t xml:space="preserve"> </w:t>
      </w:r>
      <w:r>
        <w:rPr>
          <w:rFonts w:eastAsia="Times New Roman"/>
          <w:color w:val="000000"/>
          <w:sz w:val="20"/>
          <w:szCs w:val="20"/>
        </w:rPr>
        <w:t xml:space="preserve">In the six months ended June 30, 2021, the Company recognized a $34 million expense from </w:t>
      </w:r>
      <w:r>
        <w:rPr>
          <w:rFonts w:eastAsia="Times New Roman"/>
          <w:color w:val="000000"/>
          <w:sz w:val="20"/>
          <w:szCs w:val="20"/>
        </w:rPr>
        <w:t>recording a valuation allowance against interest limitation carryforwards in the U.S. and a $14 million benefit from the deferred tax impact of a tax law change in the U.K.</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 Company is subject to numerous federal, state and foreign tax audits. While w</w:t>
      </w:r>
      <w:r>
        <w:rPr>
          <w:rFonts w:eastAsia="Times New Roman"/>
          <w:color w:val="000000"/>
          <w:sz w:val="20"/>
          <w:szCs w:val="20"/>
        </w:rPr>
        <w:t xml:space="preserve">e believe that appropriate reserves exist for issues that might arise from these audits, should these audits be settled, the resulting tax effect could impact the tax provision and cash flows in 2022 or future periods. </w:t>
      </w:r>
    </w:p>
    <w:p w:rsidR="00000000" w:rsidRDefault="005048A7">
      <w:pPr>
        <w:divId w:val="714737434"/>
        <w:rPr>
          <w:rFonts w:eastAsia="Times New Roman"/>
        </w:rPr>
      </w:pPr>
    </w:p>
    <w:p w:rsidR="00000000" w:rsidRDefault="005048A7">
      <w:pPr>
        <w:jc w:val="both"/>
        <w:rPr>
          <w:rFonts w:eastAsia="Times New Roman"/>
        </w:rPr>
      </w:pPr>
      <w:r>
        <w:rPr>
          <w:rFonts w:eastAsia="Times New Roman"/>
          <w:b/>
          <w:bCs/>
          <w:color w:val="000000"/>
          <w:sz w:val="20"/>
          <w:szCs w:val="20"/>
        </w:rPr>
        <w:t>Income (Loss) from Discontinued Op</w:t>
      </w:r>
      <w:r>
        <w:rPr>
          <w:rFonts w:eastAsia="Times New Roman"/>
          <w:b/>
          <w:bCs/>
          <w:color w:val="000000"/>
          <w:sz w:val="20"/>
          <w:szCs w:val="20"/>
        </w:rPr>
        <w:t>erations</w:t>
      </w:r>
    </w:p>
    <w:p w:rsidR="00000000" w:rsidRDefault="005048A7">
      <w:pPr>
        <w:divId w:val="1772773197"/>
        <w:rPr>
          <w:rFonts w:eastAsia="Times New Roman"/>
        </w:rPr>
      </w:pPr>
    </w:p>
    <w:p w:rsidR="00000000" w:rsidRDefault="005048A7">
      <w:pPr>
        <w:jc w:val="both"/>
        <w:rPr>
          <w:rFonts w:eastAsia="Times New Roman"/>
        </w:rPr>
      </w:pPr>
      <w:r>
        <w:rPr>
          <w:rFonts w:eastAsia="Times New Roman"/>
          <w:color w:val="000000"/>
          <w:sz w:val="20"/>
          <w:szCs w:val="20"/>
        </w:rPr>
        <w:t>The Company recognized income from discontinued operations, net of tax, of $6 million and $5 million in the three and six months ended June 30, 2022, respectively. The income from discontinued operations, net of tax, was primarily driven by insu</w:t>
      </w:r>
      <w:r>
        <w:rPr>
          <w:rFonts w:eastAsia="Times New Roman"/>
          <w:color w:val="000000"/>
          <w:sz w:val="20"/>
          <w:szCs w:val="20"/>
        </w:rPr>
        <w:t xml:space="preserve">rance recoveries partially offset by immaterial updates to various environmental remediation matters. In the three and six months ended June 30, 2021, there was no activity related to discontinued operations. </w:t>
      </w:r>
    </w:p>
    <w:p w:rsidR="00000000" w:rsidRDefault="005048A7">
      <w:pPr>
        <w:jc w:val="both"/>
        <w:rPr>
          <w:rFonts w:eastAsia="Times New Roman"/>
        </w:rPr>
      </w:pPr>
    </w:p>
    <w:p w:rsidR="00000000" w:rsidRDefault="005048A7">
      <w:pPr>
        <w:divId w:val="1087464054"/>
        <w:rPr>
          <w:rFonts w:eastAsia="Times New Roman"/>
        </w:rPr>
      </w:pPr>
    </w:p>
    <w:p w:rsidR="00000000" w:rsidRDefault="005048A7">
      <w:pPr>
        <w:jc w:val="both"/>
        <w:rPr>
          <w:rFonts w:eastAsia="Times New Roman"/>
        </w:rPr>
      </w:pPr>
      <w:r>
        <w:rPr>
          <w:rFonts w:eastAsia="Times New Roman"/>
          <w:b/>
          <w:bCs/>
          <w:color w:val="000000"/>
          <w:sz w:val="20"/>
          <w:szCs w:val="20"/>
        </w:rPr>
        <w:t>Revenue and Adjusted EBITDA by Segment</w:t>
      </w:r>
    </w:p>
    <w:p w:rsidR="00000000" w:rsidRDefault="005048A7">
      <w:pPr>
        <w:ind w:firstLine="495"/>
        <w:jc w:val="both"/>
        <w:rPr>
          <w:rFonts w:eastAsia="Times New Roman"/>
        </w:rPr>
      </w:pPr>
    </w:p>
    <w:p w:rsidR="00000000" w:rsidRDefault="005048A7">
      <w:pPr>
        <w:jc w:val="both"/>
        <w:rPr>
          <w:rFonts w:eastAsia="Times New Roman"/>
        </w:rPr>
      </w:pPr>
      <w:r>
        <w:rPr>
          <w:rFonts w:eastAsia="Times New Roman"/>
          <w:color w:val="000000"/>
          <w:sz w:val="20"/>
          <w:szCs w:val="20"/>
        </w:rPr>
        <w:t>T</w:t>
      </w:r>
      <w:r>
        <w:rPr>
          <w:rFonts w:eastAsia="Times New Roman"/>
          <w:color w:val="000000"/>
          <w:sz w:val="20"/>
          <w:szCs w:val="20"/>
        </w:rPr>
        <w:t>he Company manages and reports its businesses in the following segments: Payments &amp; Network, Digital Banking, Self-Service Banking, Retail, and Hospitality. Segments are measured for profitability by the Company’s chief operating decision maker based on re</w:t>
      </w:r>
      <w:r>
        <w:rPr>
          <w:rFonts w:eastAsia="Times New Roman"/>
          <w:color w:val="000000"/>
          <w:sz w:val="20"/>
          <w:szCs w:val="20"/>
        </w:rPr>
        <w:t>venue and segment Adjusted EBITDA. Adjusted EBITDA is defined as GAAP net income (loss) from continuing operations attributable to NCR plus interest expense, net; plus income tax expense (benefit); plus depreciation and amortization; plus stock-based compe</w:t>
      </w:r>
      <w:r>
        <w:rPr>
          <w:rFonts w:eastAsia="Times New Roman"/>
          <w:color w:val="000000"/>
          <w:sz w:val="20"/>
          <w:szCs w:val="20"/>
        </w:rPr>
        <w:t>nsation expense; plus other income (expense); plus pension mark-to-market adjustments, pension settlements, pension curtailments and pension special termination benefits and other special items, including amortization of acquisition-related intangibles, re</w:t>
      </w:r>
      <w:r>
        <w:rPr>
          <w:rFonts w:eastAsia="Times New Roman"/>
          <w:color w:val="000000"/>
          <w:sz w:val="20"/>
          <w:szCs w:val="20"/>
        </w:rPr>
        <w:t xml:space="preserve">structuring charges, among others. The special items are considered non-operational so are excluded from the Adjusted EBITDA metric utilized by our chief operating decision maker in evaluating segment performance and are separately delineated to reconcile </w:t>
      </w:r>
      <w:r>
        <w:rPr>
          <w:rFonts w:eastAsia="Times New Roman"/>
          <w:color w:val="000000"/>
          <w:sz w:val="20"/>
          <w:szCs w:val="20"/>
        </w:rPr>
        <w:t>back to total reported income (loss) from continuing operations attributable to NCR. This format is useful to investors because it allows analysis and comparability of operating trends. It also includes the same information that is used by NCR management t</w:t>
      </w:r>
      <w:r>
        <w:rPr>
          <w:rFonts w:eastAsia="Times New Roman"/>
          <w:color w:val="000000"/>
          <w:sz w:val="20"/>
          <w:szCs w:val="20"/>
        </w:rPr>
        <w:t xml:space="preserve">o make decisions regarding the segments and to assess our financial performance.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Corporate and Other includes income and expenses related to corporate functions that are not specifically attributable to an individual reportable segment along with any im</w:t>
      </w:r>
      <w:r>
        <w:rPr>
          <w:rFonts w:eastAsia="Times New Roman"/>
          <w:color w:val="000000"/>
          <w:sz w:val="20"/>
          <w:szCs w:val="20"/>
        </w:rPr>
        <w:t>material operating segment(s).</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Special Item Related to Russia</w:t>
      </w:r>
      <w:r>
        <w:rPr>
          <w:rFonts w:eastAsia="Times New Roman"/>
          <w:color w:val="000000"/>
          <w:sz w:val="20"/>
          <w:szCs w:val="20"/>
        </w:rPr>
        <w:t xml:space="preserve"> The war in Eastern Europe and related sanctions imposed on Russia and related actors by the United States and other jurisdictions required us to commence the orderly wind down of our operation</w:t>
      </w:r>
      <w:r>
        <w:rPr>
          <w:rFonts w:eastAsia="Times New Roman"/>
          <w:color w:val="000000"/>
          <w:sz w:val="20"/>
          <w:szCs w:val="20"/>
        </w:rPr>
        <w:t>s in Russia beginning in the first quarter of 2022. As of June 30, 2022, we have substantially ceased operations in Russia and are in the process of dissolving our only subsidiary in Russia. As a result, for the three and six months ended June 30, 2022, ou</w:t>
      </w:r>
      <w:r>
        <w:rPr>
          <w:rFonts w:eastAsia="Times New Roman"/>
          <w:color w:val="000000"/>
          <w:sz w:val="20"/>
          <w:szCs w:val="20"/>
        </w:rPr>
        <w:t>r non-GAAP presentation of the measures described above exclude the immaterial impact of our operating results in Russia, as well as the impact of impairments taken to write down the carrying value of assets and liabilities, severance charges, and the asse</w:t>
      </w:r>
      <w:r>
        <w:rPr>
          <w:rFonts w:eastAsia="Times New Roman"/>
          <w:color w:val="000000"/>
          <w:sz w:val="20"/>
          <w:szCs w:val="20"/>
        </w:rPr>
        <w:t>ssment of collectability on revenue recognition. We consider this to be a non-recurring special item and management has reviewed the results of its business segments excluding these impacts. We have not adjusted the presentation of the prior year periods d</w:t>
      </w:r>
      <w:r>
        <w:rPr>
          <w:rFonts w:eastAsia="Times New Roman"/>
          <w:color w:val="000000"/>
          <w:sz w:val="20"/>
          <w:szCs w:val="20"/>
        </w:rPr>
        <w:t>ue to the immaterial impact of Russia to revenue and income from continuing operations for the three and six months ended June 30, 2021.</w:t>
      </w: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p>
    <w:p w:rsidR="00000000" w:rsidRDefault="005048A7">
      <w:pPr>
        <w:jc w:val="center"/>
        <w:divId w:val="1637252676"/>
        <w:rPr>
          <w:rFonts w:eastAsia="Times New Roman"/>
        </w:rPr>
      </w:pPr>
      <w:r>
        <w:rPr>
          <w:rFonts w:eastAsia="Times New Roman"/>
          <w:color w:val="000000"/>
          <w:sz w:val="20"/>
          <w:szCs w:val="20"/>
        </w:rPr>
        <w:t>50</w:t>
      </w:r>
    </w:p>
    <w:p w:rsidR="00000000" w:rsidRDefault="005048A7">
      <w:pPr>
        <w:rPr>
          <w:rFonts w:eastAsia="Times New Roman"/>
        </w:rPr>
      </w:pPr>
      <w:r>
        <w:rPr>
          <w:rFonts w:eastAsia="Times New Roman"/>
        </w:rPr>
        <w:pict>
          <v:rect id="_x0000_i1075" style="width:0;height:1.5pt" o:hralign="center" o:hrstd="t" o:hr="t" fillcolor="#a0a0a0" stroked="f"/>
        </w:pict>
      </w:r>
    </w:p>
    <w:p w:rsidR="00000000" w:rsidRDefault="005048A7">
      <w:pPr>
        <w:divId w:val="1504273648"/>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jc w:val="both"/>
        <w:rPr>
          <w:rFonts w:eastAsia="Times New Roman"/>
        </w:rPr>
      </w:pPr>
      <w:r>
        <w:rPr>
          <w:rFonts w:eastAsia="Times New Roman"/>
          <w:color w:val="000000"/>
          <w:sz w:val="20"/>
          <w:szCs w:val="20"/>
        </w:rPr>
        <w:t>The following tables show our segment revenue and Adjusted EBITDA for the three and six months ended June 30, the relative percentage that those</w:t>
      </w:r>
      <w:r>
        <w:rPr>
          <w:rFonts w:eastAsia="Times New Roman"/>
          <w:color w:val="000000"/>
          <w:sz w:val="20"/>
          <w:szCs w:val="20"/>
        </w:rPr>
        <w:t xml:space="preserve"> amounts represent to segment revenue, and the change in those amounts year-over-year. </w:t>
      </w:r>
    </w:p>
    <w:p w:rsidR="00000000" w:rsidRDefault="005048A7">
      <w:pPr>
        <w:divId w:val="720713474"/>
        <w:rPr>
          <w:rFonts w:eastAsia="Times New Roman"/>
        </w:rPr>
      </w:pPr>
    </w:p>
    <w:tbl>
      <w:tblPr>
        <w:tblW w:w="4788" w:type="pct"/>
        <w:tblCellMar>
          <w:top w:w="15" w:type="dxa"/>
          <w:left w:w="15" w:type="dxa"/>
          <w:bottom w:w="15" w:type="dxa"/>
          <w:right w:w="15" w:type="dxa"/>
        </w:tblCellMar>
        <w:tblLook w:val="04A0" w:firstRow="1" w:lastRow="0" w:firstColumn="1" w:lastColumn="0" w:noHBand="0" w:noVBand="1"/>
      </w:tblPr>
      <w:tblGrid>
        <w:gridCol w:w="44"/>
        <w:gridCol w:w="1887"/>
        <w:gridCol w:w="38"/>
        <w:gridCol w:w="36"/>
        <w:gridCol w:w="36"/>
        <w:gridCol w:w="36"/>
        <w:gridCol w:w="120"/>
        <w:gridCol w:w="571"/>
        <w:gridCol w:w="36"/>
        <w:gridCol w:w="36"/>
        <w:gridCol w:w="36"/>
        <w:gridCol w:w="36"/>
        <w:gridCol w:w="120"/>
        <w:gridCol w:w="549"/>
        <w:gridCol w:w="36"/>
        <w:gridCol w:w="36"/>
        <w:gridCol w:w="36"/>
        <w:gridCol w:w="36"/>
        <w:gridCol w:w="57"/>
        <w:gridCol w:w="612"/>
        <w:gridCol w:w="221"/>
        <w:gridCol w:w="36"/>
        <w:gridCol w:w="36"/>
        <w:gridCol w:w="36"/>
        <w:gridCol w:w="57"/>
        <w:gridCol w:w="612"/>
        <w:gridCol w:w="221"/>
        <w:gridCol w:w="36"/>
        <w:gridCol w:w="36"/>
        <w:gridCol w:w="36"/>
        <w:gridCol w:w="71"/>
        <w:gridCol w:w="682"/>
        <w:gridCol w:w="187"/>
        <w:gridCol w:w="36"/>
        <w:gridCol w:w="36"/>
        <w:gridCol w:w="36"/>
        <w:gridCol w:w="48"/>
        <w:gridCol w:w="950"/>
        <w:gridCol w:w="187"/>
      </w:tblGrid>
      <w:tr w:rsidR="00000000">
        <w:trPr>
          <w:divId w:val="1657494991"/>
        </w:trPr>
        <w:tc>
          <w:tcPr>
            <w:tcW w:w="50" w:type="pct"/>
            <w:vAlign w:val="center"/>
            <w:hideMark/>
          </w:tcPr>
          <w:p w:rsidR="00000000" w:rsidRDefault="005048A7">
            <w:pPr>
              <w:rPr>
                <w:rFonts w:eastAsia="Times New Roman"/>
              </w:rPr>
            </w:pPr>
          </w:p>
        </w:tc>
        <w:tc>
          <w:tcPr>
            <w:tcW w:w="128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4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5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5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8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8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8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4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1657494991"/>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Three months ended June 30</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Percentage of Revenue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Increase (Decrease)</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Increase (Decrease) Constant Currency</w:t>
            </w:r>
          </w:p>
        </w:tc>
      </w:tr>
      <w:tr w:rsidR="00000000">
        <w:trPr>
          <w:divId w:val="1657494991"/>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 v 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 v 2021</w:t>
            </w:r>
          </w:p>
        </w:tc>
      </w:tr>
      <w:tr w:rsidR="00000000">
        <w:trPr>
          <w:divId w:val="1657494991"/>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657494991"/>
        </w:trPr>
        <w:tc>
          <w:tcPr>
            <w:tcW w:w="0" w:type="auto"/>
            <w:gridSpan w:val="3"/>
            <w:shd w:val="clear" w:color="auto" w:fill="FFFF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Payments &amp; Network</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515 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526 </w:t>
            </w:r>
          </w:p>
        </w:tc>
        <w:tc>
          <w:tcPr>
            <w:tcW w:w="0" w:type="auto"/>
            <w:shd w:val="clear" w:color="auto" w:fill="FFFFFF"/>
            <w:tcMar>
              <w:top w:w="30" w:type="dxa"/>
              <w:left w:w="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w:t>
            </w:r>
          </w:p>
        </w:tc>
      </w:tr>
      <w:tr w:rsidR="00000000">
        <w:trPr>
          <w:divId w:val="1657494991"/>
        </w:trPr>
        <w:tc>
          <w:tcPr>
            <w:tcW w:w="0" w:type="auto"/>
            <w:gridSpan w:val="3"/>
            <w:shd w:val="clear" w:color="auto" w:fill="CCEE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Digital Banking</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w:t>
            </w:r>
          </w:p>
        </w:tc>
      </w:tr>
      <w:tr w:rsidR="00000000">
        <w:trPr>
          <w:divId w:val="1657494991"/>
        </w:trPr>
        <w:tc>
          <w:tcPr>
            <w:tcW w:w="0" w:type="auto"/>
            <w:gridSpan w:val="3"/>
            <w:shd w:val="clear" w:color="auto" w:fill="FFFF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Self-Service Banking</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38.5 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rPr>
          <w:divId w:val="1657494991"/>
        </w:trPr>
        <w:tc>
          <w:tcPr>
            <w:tcW w:w="0" w:type="auto"/>
            <w:gridSpan w:val="3"/>
            <w:shd w:val="clear" w:color="auto" w:fill="CCEE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Retail</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33.5 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w:t>
            </w:r>
          </w:p>
        </w:tc>
      </w:tr>
      <w:tr w:rsidR="00000000">
        <w:trPr>
          <w:divId w:val="1657494991"/>
        </w:trPr>
        <w:tc>
          <w:tcPr>
            <w:tcW w:w="0" w:type="auto"/>
            <w:gridSpan w:val="3"/>
            <w:shd w:val="clear" w:color="auto" w:fill="FFFF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Hospitality</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w:t>
            </w:r>
          </w:p>
        </w:tc>
      </w:tr>
      <w:tr w:rsidR="00000000">
        <w:trPr>
          <w:divId w:val="1657494991"/>
        </w:trPr>
        <w:tc>
          <w:tcPr>
            <w:tcW w:w="0" w:type="auto"/>
            <w:gridSpan w:val="3"/>
            <w:shd w:val="clear" w:color="auto" w:fill="CCEE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rPr>
          <w:divId w:val="1657494991"/>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divId w:val="1497726745"/>
              <w:rPr>
                <w:rFonts w:eastAsia="Times New Roman"/>
              </w:rPr>
            </w:pPr>
            <w:r>
              <w:rPr>
                <w:rFonts w:eastAsia="Times New Roman"/>
                <w:color w:val="000000"/>
                <w:sz w:val="20"/>
                <w:szCs w:val="20"/>
              </w:rPr>
              <w:t>Eliminations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(0.6)</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(0.3)</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140 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140 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rPr>
          <w:divId w:val="1657494991"/>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Total segment revenue</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1,991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1,677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rPr>
          <w:divId w:val="1657494991"/>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divId w:val="541870956"/>
              <w:rPr>
                <w:rFonts w:eastAsia="Times New Roman"/>
              </w:rPr>
            </w:pPr>
            <w:r>
              <w:rPr>
                <w:rFonts w:eastAsia="Times New Roman"/>
                <w:color w:val="000000"/>
                <w:sz w:val="20"/>
                <w:szCs w:val="20"/>
              </w:rPr>
              <w:t>Other adjustment</w:t>
            </w:r>
            <w:r>
              <w:rPr>
                <w:rFonts w:eastAsia="Times New Roman"/>
                <w:color w:val="000000"/>
                <w:sz w:val="20"/>
                <w:szCs w:val="20"/>
              </w:rPr>
              <w:t xml:space="preserve"> </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657494991"/>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1,997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1,677 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w:t>
            </w:r>
          </w:p>
        </w:tc>
      </w:tr>
      <w:tr w:rsidR="00000000">
        <w:trPr>
          <w:divId w:val="1657494991"/>
          <w:trHeight w:val="120"/>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657494991"/>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Adjusted EBITDA by Segment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657494991"/>
        </w:trPr>
        <w:tc>
          <w:tcPr>
            <w:tcW w:w="0" w:type="auto"/>
            <w:gridSpan w:val="3"/>
            <w:shd w:val="clear" w:color="auto" w:fill="FFFF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Payments &amp; Network</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411 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657494991"/>
        </w:trPr>
        <w:tc>
          <w:tcPr>
            <w:tcW w:w="0" w:type="auto"/>
            <w:gridSpan w:val="3"/>
            <w:shd w:val="clear" w:color="auto" w:fill="CCEE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Digital Banking</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657494991"/>
        </w:trPr>
        <w:tc>
          <w:tcPr>
            <w:tcW w:w="0" w:type="auto"/>
            <w:gridSpan w:val="3"/>
            <w:shd w:val="clear" w:color="auto" w:fill="FFFF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Self-Service Banking</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657494991"/>
        </w:trPr>
        <w:tc>
          <w:tcPr>
            <w:tcW w:w="0" w:type="auto"/>
            <w:gridSpan w:val="3"/>
            <w:shd w:val="clear" w:color="auto" w:fill="CCEE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Retail</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657494991"/>
        </w:trPr>
        <w:tc>
          <w:tcPr>
            <w:tcW w:w="0" w:type="auto"/>
            <w:gridSpan w:val="3"/>
            <w:shd w:val="clear" w:color="auto" w:fill="FFFF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Hospitality</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657494991"/>
        </w:trPr>
        <w:tc>
          <w:tcPr>
            <w:tcW w:w="0" w:type="auto"/>
            <w:gridSpan w:val="3"/>
            <w:shd w:val="clear" w:color="auto" w:fill="CCEE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Corporate and Other</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(98)</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(89)</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(160.7)</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(115.6)</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657494991"/>
        </w:trPr>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divId w:val="2103338423"/>
              <w:rPr>
                <w:rFonts w:eastAsia="Times New Roman"/>
              </w:rPr>
            </w:pPr>
            <w:r>
              <w:rPr>
                <w:rFonts w:eastAsia="Times New Roman"/>
                <w:color w:val="000000"/>
                <w:sz w:val="20"/>
                <w:szCs w:val="20"/>
              </w:rPr>
              <w:t>Eliminations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1657494991"/>
        </w:trPr>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Total Adjusted EBITDA</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339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17.0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bl>
    <w:p w:rsidR="00000000" w:rsidRDefault="005048A7">
      <w:pPr>
        <w:divId w:val="1925676353"/>
        <w:rPr>
          <w:rFonts w:eastAsia="Times New Roman"/>
        </w:rPr>
      </w:pPr>
    </w:p>
    <w:p w:rsidR="00000000" w:rsidRDefault="005048A7">
      <w:pPr>
        <w:ind w:hanging="180"/>
        <w:divId w:val="1394231997"/>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The percentage of revenue is calculated for each line item divided by total rev</w:t>
      </w:r>
      <w:r>
        <w:rPr>
          <w:rFonts w:eastAsia="Times New Roman"/>
          <w:color w:val="000000"/>
          <w:sz w:val="18"/>
          <w:szCs w:val="18"/>
        </w:rPr>
        <w:t>enue, except for Adjusted EBITDA, which are divided by the related component of revenue.</w:t>
      </w:r>
    </w:p>
    <w:p w:rsidR="00000000" w:rsidRDefault="005048A7">
      <w:pPr>
        <w:ind w:hanging="180"/>
        <w:jc w:val="both"/>
        <w:rPr>
          <w:rFonts w:eastAsia="Times New Roman"/>
        </w:rPr>
      </w:pPr>
      <w:r>
        <w:rPr>
          <w:rFonts w:eastAsia="Times New Roman"/>
          <w:color w:val="000000"/>
          <w:sz w:val="12"/>
          <w:szCs w:val="12"/>
        </w:rPr>
        <w:t>(2)</w:t>
      </w:r>
      <w:r>
        <w:rPr>
          <w:rFonts w:eastAsia="Times New Roman"/>
          <w:color w:val="000000"/>
          <w:sz w:val="12"/>
          <w:szCs w:val="12"/>
        </w:rPr>
        <w:t xml:space="preserve"> </w:t>
      </w:r>
      <w:r>
        <w:rPr>
          <w:rFonts w:eastAsia="Times New Roman"/>
          <w:color w:val="000000"/>
          <w:sz w:val="18"/>
          <w:szCs w:val="18"/>
        </w:rPr>
        <w:t>Eliminations include revenues from contracts with customers and the related costs that are reported in the Payments &amp; Network segment as well as in the Retail or H</w:t>
      </w:r>
      <w:r>
        <w:rPr>
          <w:rFonts w:eastAsia="Times New Roman"/>
          <w:color w:val="000000"/>
          <w:sz w:val="18"/>
          <w:szCs w:val="18"/>
        </w:rPr>
        <w:t>ospitality segments, including merchant acquiring services that are monetized via payments.</w:t>
      </w:r>
    </w:p>
    <w:p w:rsidR="00000000" w:rsidRDefault="005048A7">
      <w:pPr>
        <w:ind w:hanging="180"/>
        <w:jc w:val="both"/>
        <w:rPr>
          <w:rFonts w:eastAsia="Times New Roman"/>
        </w:rPr>
      </w:pPr>
      <w:r>
        <w:rPr>
          <w:rFonts w:eastAsia="Times New Roman"/>
          <w:color w:val="000000"/>
          <w:sz w:val="12"/>
          <w:szCs w:val="12"/>
        </w:rPr>
        <w:t>(3</w:t>
      </w:r>
      <w:r>
        <w:rPr>
          <w:rFonts w:eastAsia="Times New Roman"/>
          <w:color w:val="000000"/>
          <w:sz w:val="12"/>
          <w:szCs w:val="12"/>
        </w:rPr>
        <w:t>)</w:t>
      </w:r>
      <w:r>
        <w:rPr>
          <w:rFonts w:eastAsia="Times New Roman"/>
          <w:color w:val="000000"/>
          <w:sz w:val="18"/>
          <w:szCs w:val="18"/>
        </w:rPr>
        <w:t xml:space="preserve"> Other adjustment reflects the revenue attributable to the Company's operations in Russia for the three months ending June 30, 2022 that was excluded from manage</w:t>
      </w:r>
      <w:r>
        <w:rPr>
          <w:rFonts w:eastAsia="Times New Roman"/>
          <w:color w:val="000000"/>
          <w:sz w:val="18"/>
          <w:szCs w:val="18"/>
        </w:rPr>
        <w:t>ment's measure of revenue due to our announcement to suspend sales to Russia and anticipated orderly wind down of our operations in Russia. The revenue attributable to the Russian operations for the prior period of $11 million is included in the respective</w:t>
      </w:r>
      <w:r>
        <w:rPr>
          <w:rFonts w:eastAsia="Times New Roman"/>
          <w:color w:val="000000"/>
          <w:sz w:val="18"/>
          <w:szCs w:val="18"/>
        </w:rPr>
        <w:t xml:space="preserve"> segments.</w:t>
      </w:r>
    </w:p>
    <w:p w:rsidR="00000000" w:rsidRDefault="005048A7">
      <w:pPr>
        <w:ind w:hanging="180"/>
        <w:jc w:val="both"/>
        <w:rPr>
          <w:rFonts w:eastAsia="Times New Roman"/>
        </w:rPr>
      </w:pPr>
    </w:p>
    <w:p w:rsidR="00000000" w:rsidRDefault="005048A7">
      <w:pPr>
        <w:jc w:val="center"/>
        <w:divId w:val="1456019775"/>
        <w:rPr>
          <w:rFonts w:eastAsia="Times New Roman"/>
        </w:rPr>
      </w:pPr>
      <w:r>
        <w:rPr>
          <w:rFonts w:eastAsia="Times New Roman"/>
          <w:color w:val="000000"/>
          <w:sz w:val="20"/>
          <w:szCs w:val="20"/>
        </w:rPr>
        <w:t>51</w:t>
      </w:r>
    </w:p>
    <w:p w:rsidR="00000000" w:rsidRDefault="005048A7">
      <w:pPr>
        <w:rPr>
          <w:rFonts w:eastAsia="Times New Roman"/>
        </w:rPr>
      </w:pPr>
      <w:r>
        <w:rPr>
          <w:rFonts w:eastAsia="Times New Roman"/>
        </w:rPr>
        <w:pict>
          <v:rect id="_x0000_i1076" style="width:0;height:1.5pt" o:hralign="center" o:hrstd="t" o:hr="t" fillcolor="#a0a0a0" stroked="f"/>
        </w:pict>
      </w:r>
    </w:p>
    <w:p w:rsidR="00000000" w:rsidRDefault="005048A7">
      <w:pPr>
        <w:divId w:val="289361328"/>
        <w:rPr>
          <w:rFonts w:eastAsia="Times New Roman"/>
        </w:rPr>
      </w:pPr>
      <w:hyperlink w:anchor="i1e5a5c829d0c4e47b43817acb739c3cf_7" w:history="1">
        <w:r>
          <w:rPr>
            <w:rStyle w:val="a3"/>
            <w:rFonts w:eastAsia="Times New Roman"/>
            <w:sz w:val="16"/>
            <w:szCs w:val="16"/>
          </w:rPr>
          <w:t>Table of Contents</w:t>
        </w:r>
      </w:hyperlink>
    </w:p>
    <w:tbl>
      <w:tblPr>
        <w:tblW w:w="4788" w:type="pct"/>
        <w:tblCellMar>
          <w:top w:w="15" w:type="dxa"/>
          <w:left w:w="15" w:type="dxa"/>
          <w:bottom w:w="15" w:type="dxa"/>
          <w:right w:w="15" w:type="dxa"/>
        </w:tblCellMar>
        <w:tblLook w:val="04A0" w:firstRow="1" w:lastRow="0" w:firstColumn="1" w:lastColumn="0" w:noHBand="0" w:noVBand="1"/>
      </w:tblPr>
      <w:tblGrid>
        <w:gridCol w:w="44"/>
        <w:gridCol w:w="1891"/>
        <w:gridCol w:w="38"/>
        <w:gridCol w:w="36"/>
        <w:gridCol w:w="36"/>
        <w:gridCol w:w="36"/>
        <w:gridCol w:w="120"/>
        <w:gridCol w:w="577"/>
        <w:gridCol w:w="36"/>
        <w:gridCol w:w="36"/>
        <w:gridCol w:w="36"/>
        <w:gridCol w:w="36"/>
        <w:gridCol w:w="120"/>
        <w:gridCol w:w="554"/>
        <w:gridCol w:w="36"/>
        <w:gridCol w:w="36"/>
        <w:gridCol w:w="36"/>
        <w:gridCol w:w="36"/>
        <w:gridCol w:w="57"/>
        <w:gridCol w:w="616"/>
        <w:gridCol w:w="221"/>
        <w:gridCol w:w="37"/>
        <w:gridCol w:w="37"/>
        <w:gridCol w:w="37"/>
        <w:gridCol w:w="57"/>
        <w:gridCol w:w="616"/>
        <w:gridCol w:w="187"/>
        <w:gridCol w:w="36"/>
        <w:gridCol w:w="36"/>
        <w:gridCol w:w="36"/>
        <w:gridCol w:w="71"/>
        <w:gridCol w:w="682"/>
        <w:gridCol w:w="187"/>
        <w:gridCol w:w="36"/>
        <w:gridCol w:w="36"/>
        <w:gridCol w:w="36"/>
        <w:gridCol w:w="48"/>
        <w:gridCol w:w="958"/>
        <w:gridCol w:w="187"/>
      </w:tblGrid>
      <w:tr w:rsidR="00000000">
        <w:tc>
          <w:tcPr>
            <w:tcW w:w="50" w:type="pct"/>
            <w:vAlign w:val="center"/>
            <w:hideMark/>
          </w:tcPr>
          <w:p w:rsidR="00000000" w:rsidRDefault="005048A7">
            <w:pPr>
              <w:rPr>
                <w:rFonts w:eastAsia="Times New Roman"/>
              </w:rPr>
            </w:pPr>
          </w:p>
        </w:tc>
        <w:tc>
          <w:tcPr>
            <w:tcW w:w="128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43"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5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5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8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8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8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4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12"/>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Percentage of Revenue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Increase (Decrease)</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Increase (Decrease) Constant Currency</w:t>
            </w:r>
          </w:p>
        </w:tc>
      </w:tr>
      <w:tr w:rsidR="00000000">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 v 2021</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 v 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Payments &amp; Network</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730 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741 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Digital Banking</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252 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Self-Service Banking</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1,290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1,273 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39.5 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Retail</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1,108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1,082 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33.6 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Hospitality</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394 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12.2 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154 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divId w:val="1483735376"/>
              <w:rPr>
                <w:rFonts w:eastAsia="Times New Roman"/>
              </w:rPr>
            </w:pPr>
            <w:r>
              <w:rPr>
                <w:rFonts w:eastAsia="Times New Roman"/>
                <w:color w:val="000000"/>
                <w:sz w:val="20"/>
                <w:szCs w:val="20"/>
              </w:rPr>
              <w:t>Eliminations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(0.5)</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(0.3)</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Total segment revenue</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3,854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divId w:val="1517570702"/>
              <w:rPr>
                <w:rFonts w:eastAsia="Times New Roman"/>
              </w:rPr>
            </w:pPr>
            <w:r>
              <w:rPr>
                <w:rFonts w:eastAsia="Times New Roman"/>
                <w:color w:val="000000"/>
                <w:sz w:val="20"/>
                <w:szCs w:val="20"/>
              </w:rPr>
              <w:t>Other adjustment</w:t>
            </w:r>
            <w:r>
              <w:rPr>
                <w:rFonts w:eastAsia="Times New Roman"/>
                <w:color w:val="000000"/>
                <w:sz w:val="20"/>
                <w:szCs w:val="20"/>
              </w:rPr>
              <w:t xml:space="preserve"> </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3,863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rPr>
          <w:trHeight w:val="120"/>
        </w:trPr>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Adjusted EBITDA by Segment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Payments &amp; Network</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28.9 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786 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Digital Banking</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109 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41.9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43.3 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Self-Service Banking</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254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277 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Retail</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219 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20.2 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Hospitality</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19.0 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Corporate and Other</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(195)</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(156)</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(151.2)</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(101.3)</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048A7">
            <w:pPr>
              <w:spacing w:after="100"/>
              <w:divId w:val="1263993028"/>
              <w:rPr>
                <w:rFonts w:eastAsia="Times New Roman"/>
              </w:rPr>
            </w:pPr>
            <w:r>
              <w:rPr>
                <w:rFonts w:eastAsia="Times New Roman"/>
                <w:color w:val="000000"/>
                <w:sz w:val="20"/>
                <w:szCs w:val="20"/>
              </w:rPr>
              <w:t>Eliminations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70.0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70.0 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Total Adjusted EBITDA</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610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15.8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rPr>
                <w:rFonts w:eastAsia="Times New Roman"/>
                <w:sz w:val="20"/>
                <w:szCs w:val="20"/>
              </w:rPr>
            </w:pPr>
          </w:p>
        </w:tc>
      </w:tr>
    </w:tbl>
    <w:p w:rsidR="00000000" w:rsidRDefault="005048A7">
      <w:pPr>
        <w:ind w:hanging="180"/>
        <w:jc w:val="both"/>
        <w:rPr>
          <w:rFonts w:eastAsia="Times New Roman"/>
        </w:rPr>
      </w:pPr>
    </w:p>
    <w:p w:rsidR="00000000" w:rsidRDefault="005048A7">
      <w:pPr>
        <w:ind w:hanging="180"/>
        <w:jc w:val="both"/>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The percentage of revenue is calculated for each line item divided by total rev</w:t>
      </w:r>
      <w:r>
        <w:rPr>
          <w:rFonts w:eastAsia="Times New Roman"/>
          <w:color w:val="000000"/>
          <w:sz w:val="18"/>
          <w:szCs w:val="18"/>
        </w:rPr>
        <w:t>enue, except for Adjusted EBITDA, which are divided by the related component of revenue.</w:t>
      </w:r>
    </w:p>
    <w:p w:rsidR="00000000" w:rsidRDefault="005048A7">
      <w:pPr>
        <w:ind w:hanging="180"/>
        <w:jc w:val="both"/>
        <w:rPr>
          <w:rFonts w:eastAsia="Times New Roman"/>
        </w:rPr>
      </w:pPr>
      <w:r>
        <w:rPr>
          <w:rFonts w:eastAsia="Times New Roman"/>
          <w:color w:val="000000"/>
          <w:sz w:val="12"/>
          <w:szCs w:val="12"/>
        </w:rPr>
        <w:t>(2)</w:t>
      </w:r>
      <w:r>
        <w:rPr>
          <w:rFonts w:eastAsia="Times New Roman"/>
          <w:color w:val="000000"/>
          <w:sz w:val="12"/>
          <w:szCs w:val="12"/>
        </w:rPr>
        <w:t xml:space="preserve"> </w:t>
      </w:r>
      <w:r>
        <w:rPr>
          <w:rFonts w:eastAsia="Times New Roman"/>
          <w:color w:val="000000"/>
          <w:sz w:val="18"/>
          <w:szCs w:val="18"/>
        </w:rPr>
        <w:t>Eliminations include revenues from contracts with customers and the related costs that are reported in the Payments &amp; Network segment as well as in the Retail or H</w:t>
      </w:r>
      <w:r>
        <w:rPr>
          <w:rFonts w:eastAsia="Times New Roman"/>
          <w:color w:val="000000"/>
          <w:sz w:val="18"/>
          <w:szCs w:val="18"/>
        </w:rPr>
        <w:t>ospitality segments, including merchant acquiring services that are monetized via payments.</w:t>
      </w:r>
    </w:p>
    <w:p w:rsidR="00000000" w:rsidRDefault="005048A7">
      <w:pPr>
        <w:ind w:hanging="180"/>
        <w:jc w:val="both"/>
        <w:rPr>
          <w:rFonts w:eastAsia="Times New Roman"/>
        </w:rPr>
      </w:pPr>
      <w:r>
        <w:rPr>
          <w:rFonts w:eastAsia="Times New Roman"/>
          <w:color w:val="000000"/>
          <w:sz w:val="12"/>
          <w:szCs w:val="12"/>
        </w:rPr>
        <w:t>(3</w:t>
      </w:r>
      <w:r>
        <w:rPr>
          <w:rFonts w:eastAsia="Times New Roman"/>
          <w:color w:val="000000"/>
          <w:sz w:val="12"/>
          <w:szCs w:val="12"/>
        </w:rPr>
        <w:t>)</w:t>
      </w:r>
      <w:r>
        <w:rPr>
          <w:rFonts w:eastAsia="Times New Roman"/>
          <w:color w:val="000000"/>
          <w:sz w:val="18"/>
          <w:szCs w:val="18"/>
        </w:rPr>
        <w:t xml:space="preserve"> Other adjustment reflects the revenue attributable to the Company's operations in Russia for the six months ending June 30, 2022 that were excluded from managem</w:t>
      </w:r>
      <w:r>
        <w:rPr>
          <w:rFonts w:eastAsia="Times New Roman"/>
          <w:color w:val="000000"/>
          <w:sz w:val="18"/>
          <w:szCs w:val="18"/>
        </w:rPr>
        <w:t xml:space="preserve">ent's measure of revenue due to our announcement to suspend sales to Russia and anticipated orderly wind down of our operations in Russia. The revenue attributable to the Russian operations for the prior period of $19 million is included in the respective </w:t>
      </w:r>
      <w:r>
        <w:rPr>
          <w:rFonts w:eastAsia="Times New Roman"/>
          <w:color w:val="000000"/>
          <w:sz w:val="18"/>
          <w:szCs w:val="18"/>
        </w:rPr>
        <w:t>segments.</w:t>
      </w:r>
    </w:p>
    <w:p w:rsidR="00000000" w:rsidRDefault="005048A7">
      <w:pPr>
        <w:ind w:hanging="180"/>
        <w:jc w:val="both"/>
        <w:rPr>
          <w:rFonts w:eastAsia="Times New Roman"/>
        </w:rPr>
      </w:pPr>
    </w:p>
    <w:p w:rsidR="00000000" w:rsidRDefault="005048A7">
      <w:pPr>
        <w:jc w:val="both"/>
        <w:rPr>
          <w:rFonts w:eastAsia="Times New Roman"/>
        </w:rPr>
      </w:pPr>
      <w:r>
        <w:rPr>
          <w:rFonts w:eastAsia="Times New Roman"/>
          <w:color w:val="000000"/>
          <w:sz w:val="20"/>
          <w:szCs w:val="20"/>
        </w:rPr>
        <w:t>The following table provides a reconciliation of segment and total revenue percentage growth (GAAP) to revenue percentage growth constant currency (non-GAAP) for the three and six months ended</w:t>
      </w:r>
      <w:r>
        <w:rPr>
          <w:rFonts w:eastAsia="Times New Roman"/>
          <w:i/>
          <w:iCs/>
          <w:color w:val="000000"/>
          <w:sz w:val="20"/>
          <w:szCs w:val="20"/>
        </w:rPr>
        <w:t xml:space="preserve"> </w:t>
      </w:r>
      <w:r>
        <w:rPr>
          <w:rFonts w:eastAsia="Times New Roman"/>
          <w:color w:val="000000"/>
          <w:sz w:val="20"/>
          <w:szCs w:val="20"/>
        </w:rPr>
        <w:t>June 30, 2022.</w:t>
      </w:r>
    </w:p>
    <w:p w:rsidR="00000000" w:rsidRDefault="005048A7">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1"/>
        <w:gridCol w:w="199"/>
        <w:gridCol w:w="40"/>
        <w:gridCol w:w="51"/>
        <w:gridCol w:w="753"/>
        <w:gridCol w:w="39"/>
        <w:gridCol w:w="36"/>
        <w:gridCol w:w="36"/>
        <w:gridCol w:w="36"/>
        <w:gridCol w:w="36"/>
        <w:gridCol w:w="84"/>
        <w:gridCol w:w="773"/>
        <w:gridCol w:w="187"/>
        <w:gridCol w:w="36"/>
        <w:gridCol w:w="36"/>
        <w:gridCol w:w="36"/>
        <w:gridCol w:w="99"/>
        <w:gridCol w:w="1012"/>
        <w:gridCol w:w="187"/>
        <w:gridCol w:w="36"/>
        <w:gridCol w:w="36"/>
        <w:gridCol w:w="36"/>
        <w:gridCol w:w="55"/>
        <w:gridCol w:w="805"/>
        <w:gridCol w:w="187"/>
        <w:gridCol w:w="36"/>
        <w:gridCol w:w="36"/>
        <w:gridCol w:w="36"/>
        <w:gridCol w:w="84"/>
        <w:gridCol w:w="773"/>
        <w:gridCol w:w="187"/>
        <w:gridCol w:w="36"/>
        <w:gridCol w:w="36"/>
        <w:gridCol w:w="36"/>
        <w:gridCol w:w="99"/>
        <w:gridCol w:w="1012"/>
        <w:gridCol w:w="187"/>
        <w:gridCol w:w="36"/>
        <w:gridCol w:w="36"/>
        <w:gridCol w:w="36"/>
        <w:gridCol w:w="55"/>
        <w:gridCol w:w="805"/>
        <w:gridCol w:w="187"/>
      </w:tblGrid>
      <w:tr w:rsidR="00000000">
        <w:tc>
          <w:tcPr>
            <w:tcW w:w="50" w:type="pct"/>
            <w:vAlign w:val="center"/>
            <w:hideMark/>
          </w:tcPr>
          <w:p w:rsidR="00000000" w:rsidRDefault="005048A7">
            <w:pPr>
              <w:jc w:val="both"/>
              <w:rPr>
                <w:rFonts w:eastAsia="Times New Roman"/>
              </w:rPr>
            </w:pPr>
          </w:p>
        </w:tc>
        <w:tc>
          <w:tcPr>
            <w:tcW w:w="19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4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6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4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1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4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4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6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51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18"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74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8"/>
                <w:szCs w:val="18"/>
              </w:rPr>
              <w:t>Three months ended June 30, 2022</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8"/>
                <w:szCs w:val="18"/>
              </w:rPr>
              <w:t>Six months ended June 30, 2022</w:t>
            </w:r>
          </w:p>
        </w:tc>
      </w:tr>
      <w:tr w:rsidR="00000000">
        <w:tc>
          <w:tcPr>
            <w:tcW w:w="0" w:type="auto"/>
            <w:gridSpan w:val="6"/>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 in millions</w:t>
            </w:r>
          </w:p>
        </w:tc>
        <w:tc>
          <w:tcPr>
            <w:tcW w:w="0" w:type="auto"/>
            <w:vAlign w:val="center"/>
            <w:hideMark/>
          </w:tcPr>
          <w:p w:rsidR="00000000" w:rsidRDefault="005048A7">
            <w:pPr>
              <w:spacing w:after="100"/>
              <w:rPr>
                <w:rFonts w:eastAsia="Times New Roman"/>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8"/>
                <w:szCs w:val="18"/>
              </w:rPr>
              <w:t>Revenue Growth % (GAAP)</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8"/>
                <w:szCs w:val="18"/>
              </w:rPr>
              <w:t>Favorable (Unfavorable) FX Impact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8"/>
                <w:szCs w:val="18"/>
              </w:rPr>
              <w:t xml:space="preserve">Revenue Growth % </w:t>
            </w:r>
            <w:r>
              <w:rPr>
                <w:rFonts w:eastAsia="Times New Roman"/>
                <w:b/>
                <w:bCs/>
                <w:color w:val="000000"/>
                <w:sz w:val="18"/>
                <w:szCs w:val="18"/>
              </w:rPr>
              <w:br/>
              <w:t>Constant Currency (non-GAAP)</w:t>
            </w:r>
          </w:p>
        </w:tc>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8"/>
                <w:szCs w:val="18"/>
              </w:rPr>
              <w:t>Revenue Growth % (GAAP)</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8"/>
                <w:szCs w:val="18"/>
              </w:rPr>
              <w:t>Favorable (Unfavorable) FX Impact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8"/>
                <w:szCs w:val="18"/>
              </w:rPr>
              <w:t xml:space="preserve">Revenue Growth % </w:t>
            </w:r>
            <w:r>
              <w:rPr>
                <w:rFonts w:eastAsia="Times New Roman"/>
                <w:b/>
                <w:bCs/>
                <w:color w:val="000000"/>
                <w:sz w:val="18"/>
                <w:szCs w:val="18"/>
              </w:rPr>
              <w:br/>
              <w:t>Constant Currency (non-GAAP)</w:t>
            </w:r>
          </w:p>
        </w:tc>
      </w:tr>
      <w:tr w:rsidR="00000000">
        <w:tc>
          <w:tcPr>
            <w:tcW w:w="0" w:type="auto"/>
            <w:gridSpan w:val="6"/>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Payments &amp; Network</w:t>
            </w:r>
          </w:p>
        </w:tc>
        <w:tc>
          <w:tcPr>
            <w:tcW w:w="0" w:type="auto"/>
            <w:vAlign w:val="center"/>
            <w:hideMark/>
          </w:tcPr>
          <w:p w:rsidR="00000000" w:rsidRDefault="005048A7">
            <w:pPr>
              <w:spacing w:after="100"/>
              <w:rPr>
                <w:rFonts w:eastAsia="Times New Roman"/>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741 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6"/>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Digital Banking</w:t>
            </w:r>
          </w:p>
        </w:tc>
        <w:tc>
          <w:tcPr>
            <w:tcW w:w="0" w:type="auto"/>
            <w:vAlign w:val="center"/>
            <w:hideMark/>
          </w:tcPr>
          <w:p w:rsidR="00000000" w:rsidRDefault="005048A7">
            <w:pPr>
              <w:spacing w:after="100"/>
              <w:rPr>
                <w:rFonts w:eastAsia="Times New Roman"/>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6"/>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Self-Service Banking</w:t>
            </w:r>
          </w:p>
        </w:tc>
        <w:tc>
          <w:tcPr>
            <w:tcW w:w="0" w:type="auto"/>
            <w:vAlign w:val="center"/>
            <w:hideMark/>
          </w:tcPr>
          <w:p w:rsidR="00000000" w:rsidRDefault="005048A7">
            <w:pPr>
              <w:spacing w:after="100"/>
              <w:rPr>
                <w:rFonts w:eastAsia="Times New Roman"/>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6"/>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Retail</w:t>
            </w:r>
          </w:p>
        </w:tc>
        <w:tc>
          <w:tcPr>
            <w:tcW w:w="0" w:type="auto"/>
            <w:vAlign w:val="center"/>
            <w:hideMark/>
          </w:tcPr>
          <w:p w:rsidR="00000000" w:rsidRDefault="005048A7">
            <w:pPr>
              <w:spacing w:after="100"/>
              <w:rPr>
                <w:rFonts w:eastAsia="Times New Roman"/>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6"/>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Hospitality</w:t>
            </w:r>
          </w:p>
        </w:tc>
        <w:tc>
          <w:tcPr>
            <w:tcW w:w="0" w:type="auto"/>
            <w:vAlign w:val="center"/>
            <w:hideMark/>
          </w:tcPr>
          <w:p w:rsidR="00000000" w:rsidRDefault="005048A7">
            <w:pPr>
              <w:spacing w:after="100"/>
              <w:rPr>
                <w:rFonts w:eastAsia="Times New Roman"/>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6"/>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Other</w:t>
            </w:r>
          </w:p>
        </w:tc>
        <w:tc>
          <w:tcPr>
            <w:tcW w:w="0" w:type="auto"/>
            <w:vAlign w:val="center"/>
            <w:hideMark/>
          </w:tcPr>
          <w:p w:rsidR="00000000" w:rsidRDefault="005048A7">
            <w:pPr>
              <w:spacing w:after="100"/>
              <w:rPr>
                <w:rFonts w:eastAsia="Times New Roman"/>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6"/>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Eliminations</w:t>
            </w:r>
          </w:p>
        </w:tc>
        <w:tc>
          <w:tcPr>
            <w:tcW w:w="0" w:type="auto"/>
            <w:vAlign w:val="center"/>
            <w:hideMark/>
          </w:tcPr>
          <w:p w:rsidR="00000000" w:rsidRDefault="005048A7">
            <w:pPr>
              <w:spacing w:after="100"/>
              <w:rPr>
                <w:rFonts w:eastAsia="Times New Roman"/>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140 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140 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6"/>
            <w:shd w:val="clear" w:color="auto" w:fill="FFFF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Total segment revenue</w:t>
            </w:r>
          </w:p>
        </w:tc>
        <w:tc>
          <w:tcPr>
            <w:tcW w:w="0" w:type="auto"/>
            <w:vAlign w:val="center"/>
            <w:hideMark/>
          </w:tcPr>
          <w:p w:rsidR="00000000" w:rsidRDefault="005048A7">
            <w:pPr>
              <w:spacing w:after="100"/>
              <w:rPr>
                <w:rFonts w:eastAsia="Times New Roman"/>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3"/>
            <w:vAlign w:val="center"/>
            <w:hideMark/>
          </w:tcPr>
          <w:p w:rsidR="00000000" w:rsidRDefault="005048A7">
            <w:pPr>
              <w:spacing w:after="100"/>
              <w:jc w:val="right"/>
              <w:rPr>
                <w:rFonts w:eastAsia="Times New Roman"/>
              </w:rPr>
            </w:pPr>
          </w:p>
        </w:tc>
        <w:tc>
          <w:tcPr>
            <w:tcW w:w="0" w:type="auto"/>
            <w:gridSpan w:val="3"/>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r>
      <w:tr w:rsidR="00000000">
        <w:tc>
          <w:tcPr>
            <w:tcW w:w="0" w:type="auto"/>
            <w:gridSpan w:val="6"/>
            <w:shd w:val="clear" w:color="auto" w:fill="CCEEFF"/>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20"/>
                <w:szCs w:val="20"/>
              </w:rPr>
              <w:t>Total revenue</w:t>
            </w:r>
          </w:p>
        </w:tc>
        <w:tc>
          <w:tcPr>
            <w:tcW w:w="0" w:type="auto"/>
            <w:vAlign w:val="center"/>
            <w:hideMark/>
          </w:tcPr>
          <w:p w:rsidR="00000000" w:rsidRDefault="005048A7">
            <w:pPr>
              <w:spacing w:after="100"/>
              <w:rPr>
                <w:rFonts w:eastAsia="Times New Roman"/>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r>
              <w:rPr>
                <w:rFonts w:eastAsia="Times New Roman"/>
                <w:color w:val="000000"/>
                <w:sz w:val="20"/>
                <w:szCs w:val="20"/>
              </w:rPr>
              <w:t>%</w:t>
            </w:r>
          </w:p>
        </w:tc>
      </w:tr>
      <w:tr w:rsidR="00000000">
        <w:tc>
          <w:tcPr>
            <w:tcW w:w="0" w:type="auto"/>
            <w:gridSpan w:val="3"/>
            <w:vAlign w:val="center"/>
            <w:hideMark/>
          </w:tcPr>
          <w:p w:rsidR="00000000" w:rsidRDefault="005048A7">
            <w:pPr>
              <w:spacing w:after="100"/>
              <w:jc w:val="right"/>
              <w:rPr>
                <w:rFonts w:eastAsia="Times New Roman"/>
              </w:rPr>
            </w:pPr>
          </w:p>
        </w:tc>
        <w:tc>
          <w:tcPr>
            <w:tcW w:w="0" w:type="auto"/>
            <w:gridSpan w:val="3"/>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bl>
    <w:p w:rsidR="00000000" w:rsidRDefault="005048A7">
      <w:pPr>
        <w:divId w:val="2044018680"/>
        <w:rPr>
          <w:rFonts w:eastAsia="Times New Roman"/>
        </w:rPr>
      </w:pPr>
    </w:p>
    <w:p w:rsidR="00000000" w:rsidRDefault="005048A7">
      <w:pPr>
        <w:jc w:val="center"/>
        <w:divId w:val="354383267"/>
        <w:rPr>
          <w:rFonts w:eastAsia="Times New Roman"/>
        </w:rPr>
      </w:pPr>
      <w:r>
        <w:rPr>
          <w:rFonts w:eastAsia="Times New Roman"/>
          <w:color w:val="000000"/>
          <w:sz w:val="20"/>
          <w:szCs w:val="20"/>
        </w:rPr>
        <w:t>52</w:t>
      </w:r>
    </w:p>
    <w:p w:rsidR="00000000" w:rsidRDefault="005048A7">
      <w:pPr>
        <w:rPr>
          <w:rFonts w:eastAsia="Times New Roman"/>
        </w:rPr>
      </w:pPr>
      <w:r>
        <w:rPr>
          <w:rFonts w:eastAsia="Times New Roman"/>
        </w:rPr>
        <w:pict>
          <v:rect id="_x0000_i1077" style="width:0;height:1.5pt" o:hralign="center" o:hrstd="t" o:hr="t" fillcolor="#a0a0a0" stroked="f"/>
        </w:pict>
      </w:r>
    </w:p>
    <w:p w:rsidR="00000000" w:rsidRDefault="005048A7">
      <w:pPr>
        <w:divId w:val="1825926505"/>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jc w:val="both"/>
        <w:rPr>
          <w:rFonts w:eastAsia="Times New Roman"/>
        </w:rPr>
      </w:pPr>
      <w:r>
        <w:rPr>
          <w:rFonts w:eastAsia="Times New Roman"/>
          <w:b/>
          <w:bCs/>
          <w:color w:val="000000"/>
          <w:sz w:val="20"/>
          <w:szCs w:val="20"/>
        </w:rPr>
        <w:t>Segment Revenue</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For the three and six months ended June 30, 2022 compared to the three and six months ended June 30, 2021</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Payments &amp; Network</w:t>
      </w:r>
      <w:r>
        <w:rPr>
          <w:rFonts w:eastAsia="Times New Roman"/>
          <w:color w:val="000000"/>
          <w:sz w:val="20"/>
          <w:szCs w:val="20"/>
        </w:rPr>
        <w:t xml:space="preserve"> revenue increased significantly for the three and six months ended June 30, 2022 compared to the prior year periods, primarily due to additional payments processing revenue from the acquisition of Cardtronics, which occurred on June 21, 2021. Additionally</w:t>
      </w:r>
      <w:r>
        <w:rPr>
          <w:rFonts w:eastAsia="Times New Roman"/>
          <w:color w:val="000000"/>
          <w:sz w:val="20"/>
          <w:szCs w:val="20"/>
        </w:rPr>
        <w:t>, the three and six months ended</w:t>
      </w:r>
      <w:r>
        <w:rPr>
          <w:rFonts w:eastAsia="Times New Roman"/>
          <w:i/>
          <w:iCs/>
          <w:color w:val="000000"/>
          <w:sz w:val="20"/>
          <w:szCs w:val="20"/>
        </w:rPr>
        <w:t xml:space="preserve"> </w:t>
      </w:r>
      <w:r>
        <w:rPr>
          <w:rFonts w:eastAsia="Times New Roman"/>
          <w:color w:val="000000"/>
          <w:sz w:val="20"/>
          <w:szCs w:val="20"/>
        </w:rPr>
        <w:t xml:space="preserve">June 30, 2022 includes cryptocurrency transaction processing revenue following the acquisition of LibertyX in January 2022. </w:t>
      </w:r>
    </w:p>
    <w:p w:rsidR="00000000" w:rsidRDefault="005048A7">
      <w:pPr>
        <w:divId w:val="1119375735"/>
        <w:rPr>
          <w:rFonts w:eastAsia="Times New Roman"/>
        </w:rPr>
      </w:pPr>
    </w:p>
    <w:p w:rsidR="00000000" w:rsidRDefault="005048A7">
      <w:pPr>
        <w:jc w:val="both"/>
        <w:rPr>
          <w:rFonts w:eastAsia="Times New Roman"/>
        </w:rPr>
      </w:pPr>
      <w:r>
        <w:rPr>
          <w:rFonts w:eastAsia="Times New Roman"/>
          <w:color w:val="000000"/>
          <w:sz w:val="20"/>
          <w:szCs w:val="20"/>
        </w:rPr>
        <w:t>Digital Banking revenue increased 2% and 6% for the three and six months ended June 30, 2022, re</w:t>
      </w:r>
      <w:r>
        <w:rPr>
          <w:rFonts w:eastAsia="Times New Roman"/>
          <w:color w:val="000000"/>
          <w:sz w:val="20"/>
          <w:szCs w:val="20"/>
        </w:rPr>
        <w:t xml:space="preserve">spectively, compared to the prior year periods, due to an increase in software license and cloud services revenues.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Self-Service Banking revenue increased 5% and 1% for the three and six months ended June 30, 2022, respectively, compared to the prior ye</w:t>
      </w:r>
      <w:r>
        <w:rPr>
          <w:rFonts w:eastAsia="Times New Roman"/>
          <w:color w:val="000000"/>
          <w:sz w:val="20"/>
          <w:szCs w:val="20"/>
        </w:rPr>
        <w:t>ar periods. Foreign currency fluctuations had an unfavorable impact of 4% and 3% on the three and six month revenue comparisons, respectively. For the three months ended June 30, 2022, the increase in revenue is due to an increase in ATM hardware sales and</w:t>
      </w:r>
      <w:r>
        <w:rPr>
          <w:rFonts w:eastAsia="Times New Roman"/>
          <w:color w:val="000000"/>
          <w:sz w:val="20"/>
          <w:szCs w:val="20"/>
        </w:rPr>
        <w:t xml:space="preserve"> an increase in software and services revenues, including software licenses and hardware and software maintenance. For the six months ended June 30, 2022, the increase in revenue compared to prior year period is due to an increase in software and services </w:t>
      </w:r>
      <w:r>
        <w:rPr>
          <w:rFonts w:eastAsia="Times New Roman"/>
          <w:color w:val="000000"/>
          <w:sz w:val="20"/>
          <w:szCs w:val="20"/>
        </w:rPr>
        <w:t>revenues, including software licenses, hardware maintenance and professional services partially offset by a decline in ATM hardware sales. The decline in ATM hardware sales was due in part to supply chain challenges that resulted in temporary order fulfill</w:t>
      </w:r>
      <w:r>
        <w:rPr>
          <w:rFonts w:eastAsia="Times New Roman"/>
          <w:color w:val="000000"/>
          <w:sz w:val="20"/>
          <w:szCs w:val="20"/>
        </w:rPr>
        <w:t xml:space="preserve">ment delays during the first quarter of 2022. Software and services revenue as a percent of total Self-Service Banking segment revenue was 67% in the second quarter of 2022 and 2021.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Retail revenue was flat for the three months ended June 30, 2022 compa</w:t>
      </w:r>
      <w:r>
        <w:rPr>
          <w:rFonts w:eastAsia="Times New Roman"/>
          <w:color w:val="000000"/>
          <w:sz w:val="20"/>
          <w:szCs w:val="20"/>
        </w:rPr>
        <w:t>red to the prior year period and increased 2% for the six months ended June 30, 2022 compared to the prior year period. Foreign currency fluctuations had an unfavorable impact of 4% on the three and six month revenue comparisons, respectively. Revenue resu</w:t>
      </w:r>
      <w:r>
        <w:rPr>
          <w:rFonts w:eastAsia="Times New Roman"/>
          <w:color w:val="000000"/>
          <w:sz w:val="20"/>
          <w:szCs w:val="20"/>
        </w:rPr>
        <w:t xml:space="preserve">lts were primarily due to higher point-of-sale hardware and point-of-sale solutions revenue partially offset by a decrease in services revenue and self checkout hardware revenue.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Hospitality revenue increased 11% and 14% for the three and six months ended June 30, 2022, respectively, compared to the prior year period, driven primarily by an increase in point-of-sale hardware and point-of-sale solutions revenue, as well as an increa</w:t>
      </w:r>
      <w:r>
        <w:rPr>
          <w:rFonts w:eastAsia="Times New Roman"/>
          <w:color w:val="000000"/>
          <w:sz w:val="20"/>
          <w:szCs w:val="20"/>
        </w:rPr>
        <w:t>se in services and payments processing revenues.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For the operations grouped as Other, revenue decreased 21% and 16% for the three and six months ended June 30, 2022, respectively, compared to the prior year period, primarily due to a decrease in hardware</w:t>
      </w:r>
      <w:r>
        <w:rPr>
          <w:rFonts w:eastAsia="Times New Roman"/>
          <w:color w:val="000000"/>
          <w:sz w:val="20"/>
          <w:szCs w:val="20"/>
        </w:rPr>
        <w:t xml:space="preserve"> maintenance revenue in the telecommunications and technology business.</w:t>
      </w:r>
    </w:p>
    <w:p w:rsidR="00000000" w:rsidRDefault="005048A7">
      <w:pPr>
        <w:jc w:val="both"/>
        <w:rPr>
          <w:rFonts w:eastAsia="Times New Roman"/>
        </w:rPr>
      </w:pPr>
    </w:p>
    <w:p w:rsidR="00000000" w:rsidRDefault="005048A7">
      <w:pPr>
        <w:jc w:val="both"/>
        <w:rPr>
          <w:rFonts w:eastAsia="Times New Roman"/>
        </w:rPr>
      </w:pPr>
      <w:r>
        <w:rPr>
          <w:rFonts w:eastAsia="Times New Roman"/>
          <w:b/>
          <w:bCs/>
          <w:color w:val="000000"/>
          <w:sz w:val="20"/>
          <w:szCs w:val="20"/>
        </w:rPr>
        <w:t>Segment Adjusted EBITDA</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For the three and six months ended June 30, 2022 compared to the three and six months ended June 30, 2021</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Payments &amp; Network Adjusted EBITDA increased sig</w:t>
      </w:r>
      <w:r>
        <w:rPr>
          <w:rFonts w:eastAsia="Times New Roman"/>
          <w:color w:val="000000"/>
          <w:sz w:val="20"/>
          <w:szCs w:val="20"/>
        </w:rPr>
        <w:t>nificantly for the three and six months ended June 30, 2022 compared to the prior year period, primarily due to additional payments processing revenue from the acquisition of Cardtronics, which occurred in the second quarter of 2021. Payments &amp; Network Adj</w:t>
      </w:r>
      <w:r>
        <w:rPr>
          <w:rFonts w:eastAsia="Times New Roman"/>
          <w:color w:val="000000"/>
          <w:sz w:val="20"/>
          <w:szCs w:val="20"/>
        </w:rPr>
        <w:t>usted EBITDA for the three and six months ended June 30, 2022 has been negatively impacted by higher interest rates, which increases the cost of our vault cash rental obligations.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 xml:space="preserve">Digital Banking Adjusted EBITDA increased 2% and 3% for the three and six </w:t>
      </w:r>
      <w:r>
        <w:rPr>
          <w:rFonts w:eastAsia="Times New Roman"/>
          <w:color w:val="000000"/>
          <w:sz w:val="20"/>
          <w:szCs w:val="20"/>
        </w:rPr>
        <w:t>months ended June 30, 2022, respectively, compared to the prior year period, driven by an increase in recurring revenue.</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Self-Service Banking Adjusted EBITDA increased 1% and declined 8% for the three and six months ended June 30, 2022, respectively, com</w:t>
      </w:r>
      <w:r>
        <w:rPr>
          <w:rFonts w:eastAsia="Times New Roman"/>
          <w:color w:val="000000"/>
          <w:sz w:val="20"/>
          <w:szCs w:val="20"/>
        </w:rPr>
        <w:t>pared to the prior year period. The increase in Adjusted EBITDA for the three months ended June 30, 2022 compared to the prior year period was primarily due to favorable revenue mix on increased software and services revenue, partially offset by supply cha</w:t>
      </w:r>
      <w:r>
        <w:rPr>
          <w:rFonts w:eastAsia="Times New Roman"/>
          <w:color w:val="000000"/>
          <w:sz w:val="20"/>
          <w:szCs w:val="20"/>
        </w:rPr>
        <w:t>in challenges and increased fuel costs which drove up component and other costs, particularly in ATM hardware, hardware maintenance and transaction services. The decline in Adjusted EBITDA for the six months ended June 30, 2022 compared to the prior year p</w:t>
      </w:r>
      <w:r>
        <w:rPr>
          <w:rFonts w:eastAsia="Times New Roman"/>
          <w:color w:val="000000"/>
          <w:sz w:val="20"/>
          <w:szCs w:val="20"/>
        </w:rPr>
        <w:t>eriod was primarily due to supply chain challenges and increased fuel costs. These headwinds were partially offset by an increase in recurring revenue.</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Retail Adjusted EBITDA declined 14% and 22% for the three and six months ended June 30, 2022, respecti</w:t>
      </w:r>
      <w:r>
        <w:rPr>
          <w:rFonts w:eastAsia="Times New Roman"/>
          <w:color w:val="000000"/>
          <w:sz w:val="20"/>
          <w:szCs w:val="20"/>
        </w:rPr>
        <w:t>vely, compared to the prior year period, primarily driven by product cost and mix, increased labor costs, and other supply chain challenges in the first half of 2022.</w:t>
      </w:r>
    </w:p>
    <w:p w:rsidR="00000000" w:rsidRDefault="005048A7">
      <w:pPr>
        <w:jc w:val="center"/>
        <w:divId w:val="1915627598"/>
        <w:rPr>
          <w:rFonts w:eastAsia="Times New Roman"/>
        </w:rPr>
      </w:pPr>
      <w:r>
        <w:rPr>
          <w:rFonts w:eastAsia="Times New Roman"/>
          <w:color w:val="000000"/>
          <w:sz w:val="20"/>
          <w:szCs w:val="20"/>
        </w:rPr>
        <w:t>53</w:t>
      </w:r>
    </w:p>
    <w:p w:rsidR="00000000" w:rsidRDefault="005048A7">
      <w:pPr>
        <w:rPr>
          <w:rFonts w:eastAsia="Times New Roman"/>
        </w:rPr>
      </w:pPr>
      <w:r>
        <w:rPr>
          <w:rFonts w:eastAsia="Times New Roman"/>
        </w:rPr>
        <w:pict>
          <v:rect id="_x0000_i1078" style="width:0;height:1.5pt" o:hralign="center" o:hrstd="t" o:hr="t" fillcolor="#a0a0a0" stroked="f"/>
        </w:pict>
      </w:r>
    </w:p>
    <w:p w:rsidR="00000000" w:rsidRDefault="005048A7">
      <w:pPr>
        <w:divId w:val="557790411"/>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Hospitality Adjusted EBITDA increased 18% and 16% for the three and six months ended June 30, 2022, respectively, compared to the prior year p</w:t>
      </w:r>
      <w:r>
        <w:rPr>
          <w:rFonts w:eastAsia="Times New Roman"/>
          <w:color w:val="000000"/>
          <w:sz w:val="20"/>
          <w:szCs w:val="20"/>
        </w:rPr>
        <w:t>eriod, primarily driven by an increase in revenue driven by subscription and payments processing. These improvements were partially offset by supply chain challenges and increased fuel costs which drove up component and other costs, particularly in transac</w:t>
      </w:r>
      <w:r>
        <w:rPr>
          <w:rFonts w:eastAsia="Times New Roman"/>
          <w:color w:val="000000"/>
          <w:sz w:val="20"/>
          <w:szCs w:val="20"/>
        </w:rPr>
        <w:t xml:space="preserve">tion services and hardware in the first half of 2022.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Corporate and Other Adjusted EBITDA loss increased 10% and 25% for the three and six months ended June 30, 2022, respectively, compared to the prior year period, primarily due to infrastructure costs</w:t>
      </w:r>
      <w:r>
        <w:rPr>
          <w:rFonts w:eastAsia="Times New Roman"/>
          <w:color w:val="000000"/>
          <w:sz w:val="20"/>
          <w:szCs w:val="20"/>
        </w:rPr>
        <w:t xml:space="preserve"> of the Cardtronics business that was acquired on June 21, 2021.</w:t>
      </w:r>
    </w:p>
    <w:p w:rsidR="00000000" w:rsidRDefault="005048A7">
      <w:pPr>
        <w:jc w:val="both"/>
        <w:rPr>
          <w:rFonts w:eastAsia="Times New Roman"/>
        </w:rPr>
      </w:pP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u w:val="single"/>
        </w:rPr>
        <w:t>Financial Condition, Liquidity, and Capital Resources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Cash provided by operating activities was $118 million in the six months ended June 30, 2022 compared to cash provided by operating</w:t>
      </w:r>
      <w:r>
        <w:rPr>
          <w:rFonts w:eastAsia="Times New Roman"/>
          <w:color w:val="000000"/>
          <w:sz w:val="20"/>
          <w:szCs w:val="20"/>
        </w:rPr>
        <w:t xml:space="preserve"> activities of $310 million in the six months ended June 30, 2021. The decrease in cash provided by operating activities in the six months ended June 30, 2022 was driven by lower operating earnings as well as the unfavorable movement in net working capital</w:t>
      </w:r>
      <w:r>
        <w:rPr>
          <w:rFonts w:eastAsia="Times New Roman"/>
          <w:color w:val="000000"/>
          <w:sz w:val="20"/>
          <w:szCs w:val="20"/>
        </w:rPr>
        <w:t xml:space="preserve"> accounts, partially offset by cash received upon termination of interest rate swap contracts in the first and second quarters of 2022.</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 xml:space="preserve">NCR’s management uses a non-GAAP measure called “free cash flow” </w:t>
      </w:r>
      <w:r>
        <w:rPr>
          <w:rFonts w:eastAsia="Times New Roman"/>
          <w:color w:val="000000"/>
          <w:sz w:val="20"/>
          <w:szCs w:val="20"/>
        </w:rPr>
        <w:t>to assess the financial performance of the Company. We define free cash flow as net cash provided by (used in) operating activities less capital expenditures for property, plant and equipment, less additions to capitalized software, plus/minus restricted c</w:t>
      </w:r>
      <w:r>
        <w:rPr>
          <w:rFonts w:eastAsia="Times New Roman"/>
          <w:color w:val="000000"/>
          <w:sz w:val="20"/>
          <w:szCs w:val="20"/>
        </w:rPr>
        <w:t>ash settlement activity, plus acquisition-related items, less the impact from the initial sale of trade accounts receivables under the agreement entered into during the 3rd quarter of 2021, and plus pension contributions and settlements. We believe free ca</w:t>
      </w:r>
      <w:r>
        <w:rPr>
          <w:rFonts w:eastAsia="Times New Roman"/>
          <w:color w:val="000000"/>
          <w:sz w:val="20"/>
          <w:szCs w:val="20"/>
        </w:rPr>
        <w:t>sh flow information is useful for investors because it relates the operating cash flows from the Company’s continuing and discontinued operations to the capital that is spent to continue and improve business operations. In particular, free cash flow indica</w:t>
      </w:r>
      <w:r>
        <w:rPr>
          <w:rFonts w:eastAsia="Times New Roman"/>
          <w:color w:val="000000"/>
          <w:sz w:val="20"/>
          <w:szCs w:val="20"/>
        </w:rPr>
        <w:t>tes the amount of cash available after capital expenditures for, among other things, investments in the Company’s existing businesses, strategic acquisitions, repurchases of NCR stock and repayment of debt obligations. Free cash flow does not represent the</w:t>
      </w:r>
      <w:r>
        <w:rPr>
          <w:rFonts w:eastAsia="Times New Roman"/>
          <w:color w:val="000000"/>
          <w:sz w:val="20"/>
          <w:szCs w:val="20"/>
        </w:rPr>
        <w:t xml:space="preserve"> residual cash flow available for discretionary expenditures, since there may be other non-discretionary expenditures that are not deducted from the measure. Free cash flow does not have a uniform definition under GAAP, and therefore NCR’s definition may d</w:t>
      </w:r>
      <w:r>
        <w:rPr>
          <w:rFonts w:eastAsia="Times New Roman"/>
          <w:color w:val="000000"/>
          <w:sz w:val="20"/>
          <w:szCs w:val="20"/>
        </w:rPr>
        <w:t xml:space="preserve">iffer from other companies’ definitions of this measure. This non-GAAP measure should not be considered a substitute for, or superior to, cash flows from operating activities under GAAP.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 table below reconciles net cash provided by operating activiti</w:t>
      </w:r>
      <w:r>
        <w:rPr>
          <w:rFonts w:eastAsia="Times New Roman"/>
          <w:color w:val="000000"/>
          <w:sz w:val="20"/>
          <w:szCs w:val="20"/>
        </w:rPr>
        <w:t>es to NCR’s non-GAAP measure of free cash flow for the six months ended June 30, 2022 :</w:t>
      </w:r>
    </w:p>
    <w:tbl>
      <w:tblPr>
        <w:tblW w:w="4992" w:type="pct"/>
        <w:tblCellMar>
          <w:top w:w="15" w:type="dxa"/>
          <w:left w:w="15" w:type="dxa"/>
          <w:bottom w:w="15" w:type="dxa"/>
          <w:right w:w="15" w:type="dxa"/>
        </w:tblCellMar>
        <w:tblLook w:val="04A0" w:firstRow="1" w:lastRow="0" w:firstColumn="1" w:lastColumn="0" w:noHBand="0" w:noVBand="1"/>
      </w:tblPr>
      <w:tblGrid>
        <w:gridCol w:w="40"/>
        <w:gridCol w:w="5842"/>
        <w:gridCol w:w="37"/>
        <w:gridCol w:w="120"/>
        <w:gridCol w:w="994"/>
        <w:gridCol w:w="36"/>
        <w:gridCol w:w="36"/>
        <w:gridCol w:w="36"/>
        <w:gridCol w:w="36"/>
        <w:gridCol w:w="120"/>
        <w:gridCol w:w="960"/>
        <w:gridCol w:w="36"/>
      </w:tblGrid>
      <w:tr w:rsidR="00000000">
        <w:trPr>
          <w:divId w:val="1289242698"/>
        </w:trPr>
        <w:tc>
          <w:tcPr>
            <w:tcW w:w="50" w:type="pct"/>
            <w:vAlign w:val="center"/>
            <w:hideMark/>
          </w:tcPr>
          <w:p w:rsidR="00000000" w:rsidRDefault="005048A7">
            <w:pPr>
              <w:jc w:val="both"/>
              <w:rPr>
                <w:rFonts w:eastAsia="Times New Roman"/>
              </w:rPr>
            </w:pPr>
          </w:p>
        </w:tc>
        <w:tc>
          <w:tcPr>
            <w:tcW w:w="354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2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26"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62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1289242698"/>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Six months ended June 30</w:t>
            </w:r>
          </w:p>
        </w:tc>
      </w:tr>
      <w:tr w:rsidR="00000000">
        <w:trPr>
          <w:divId w:val="1289242698"/>
        </w:trPr>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2021</w:t>
            </w:r>
          </w:p>
        </w:tc>
      </w:tr>
      <w:tr w:rsidR="00000000">
        <w:trPr>
          <w:divId w:val="1289242698"/>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289242698"/>
        </w:trPr>
        <w:tc>
          <w:tcPr>
            <w:tcW w:w="0" w:type="auto"/>
            <w:gridSpan w:val="3"/>
            <w:shd w:val="clear" w:color="auto" w:fill="FFFF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Expenditures for 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289242698"/>
        </w:trPr>
        <w:tc>
          <w:tcPr>
            <w:tcW w:w="0" w:type="auto"/>
            <w:gridSpan w:val="3"/>
            <w:shd w:val="clear" w:color="auto" w:fill="CCEE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Additions to capitalized software</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(142)</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(110)</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289242698"/>
        </w:trPr>
        <w:tc>
          <w:tcPr>
            <w:tcW w:w="0" w:type="auto"/>
            <w:gridSpan w:val="3"/>
            <w:shd w:val="clear" w:color="auto" w:fill="FFFF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Restricted cash settlement activity</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289242698"/>
        </w:trPr>
        <w:tc>
          <w:tcPr>
            <w:tcW w:w="0" w:type="auto"/>
            <w:gridSpan w:val="3"/>
            <w:shd w:val="clear" w:color="auto" w:fill="CCEE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Transaction costs</w:t>
            </w: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289242698"/>
        </w:trPr>
        <w:tc>
          <w:tcPr>
            <w:tcW w:w="0" w:type="auto"/>
            <w:gridSpan w:val="3"/>
            <w:vAlign w:val="center"/>
            <w:hideMark/>
          </w:tcPr>
          <w:p w:rsidR="00000000" w:rsidRDefault="005048A7">
            <w:pPr>
              <w:spacing w:after="100"/>
              <w:jc w:val="right"/>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1289242698"/>
        </w:trPr>
        <w:tc>
          <w:tcPr>
            <w:tcW w:w="0" w:type="auto"/>
            <w:gridSpan w:val="3"/>
            <w:shd w:val="clear" w:color="auto" w:fill="FFFFFF"/>
            <w:tcMar>
              <w:top w:w="30" w:type="dxa"/>
              <w:left w:w="380" w:type="dxa"/>
              <w:bottom w:w="30" w:type="dxa"/>
              <w:right w:w="20" w:type="dxa"/>
            </w:tcMar>
            <w:hideMark/>
          </w:tcPr>
          <w:p w:rsidR="00000000" w:rsidRDefault="005048A7">
            <w:pPr>
              <w:spacing w:after="100"/>
              <w:rPr>
                <w:rFonts w:eastAsia="Times New Roman"/>
              </w:rPr>
            </w:pPr>
            <w:r>
              <w:rPr>
                <w:rFonts w:eastAsia="Times New Roman"/>
                <w:color w:val="000000"/>
                <w:sz w:val="20"/>
                <w:szCs w:val="20"/>
              </w:rPr>
              <w:t>Pension contributions</w:t>
            </w: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048A7">
            <w:pPr>
              <w:spacing w:after="100"/>
              <w:jc w:val="right"/>
              <w:rPr>
                <w:rFonts w:eastAsia="Times New Roman"/>
              </w:rPr>
            </w:pPr>
          </w:p>
        </w:tc>
      </w:tr>
      <w:tr w:rsidR="00000000">
        <w:trPr>
          <w:divId w:val="1289242698"/>
        </w:trPr>
        <w:tc>
          <w:tcPr>
            <w:tcW w:w="0" w:type="auto"/>
            <w:gridSpan w:val="3"/>
            <w:shd w:val="clear" w:color="auto" w:fill="CCEEFF"/>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Free cash flow (non-GAAP)</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b/>
                <w:bCs/>
                <w:color w:val="000000"/>
                <w:sz w:val="20"/>
                <w:szCs w:val="20"/>
              </w:rPr>
              <w:t>(10)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04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04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048A7">
            <w:pPr>
              <w:spacing w:after="100"/>
              <w:jc w:val="right"/>
              <w:rPr>
                <w:rFonts w:eastAsia="Times New Roman"/>
              </w:rPr>
            </w:pPr>
            <w:r>
              <w:rPr>
                <w:rFonts w:eastAsia="Times New Roman"/>
                <w:color w:val="000000"/>
                <w:sz w:val="20"/>
                <w:szCs w:val="20"/>
              </w:rPr>
              <w:t>235 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048A7">
            <w:pPr>
              <w:spacing w:after="100"/>
              <w:jc w:val="right"/>
              <w:rPr>
                <w:rFonts w:eastAsia="Times New Roman"/>
              </w:rPr>
            </w:pPr>
          </w:p>
        </w:tc>
      </w:tr>
    </w:tbl>
    <w:p w:rsidR="00000000" w:rsidRDefault="005048A7">
      <w:pPr>
        <w:divId w:val="1727294016"/>
        <w:rPr>
          <w:rFonts w:eastAsia="Times New Roman"/>
        </w:rPr>
      </w:pPr>
    </w:p>
    <w:p w:rsidR="00000000" w:rsidRDefault="005048A7">
      <w:pPr>
        <w:jc w:val="both"/>
        <w:rPr>
          <w:rFonts w:eastAsia="Times New Roman"/>
        </w:rPr>
      </w:pPr>
      <w:r>
        <w:rPr>
          <w:rFonts w:eastAsia="Times New Roman"/>
          <w:color w:val="000000"/>
          <w:sz w:val="20"/>
          <w:szCs w:val="20"/>
        </w:rPr>
        <w:t xml:space="preserve">Financing activities and certain other investing activities are not included in our calculation of free cash flow. Other investing activities primarily include business acquisitions, divestitures and investments. During the six months ended June 30, 2022, </w:t>
      </w:r>
      <w:r>
        <w:rPr>
          <w:rFonts w:eastAsia="Times New Roman"/>
          <w:color w:val="000000"/>
          <w:sz w:val="20"/>
          <w:szCs w:val="20"/>
        </w:rPr>
        <w:t>the payments for business combinations totaled $1 million, net of cash acquired, for the cash consideration paid related to the acquisition of LibertyX completed in January of 2022 and the acquisition of Cardtronics in June of 2021. The LibertyX acquisitio</w:t>
      </w:r>
      <w:r>
        <w:rPr>
          <w:rFonts w:eastAsia="Times New Roman"/>
          <w:color w:val="000000"/>
          <w:sz w:val="20"/>
          <w:szCs w:val="20"/>
        </w:rPr>
        <w:t>n was completed via issuance of NCR common stock in exchange for the outstanding shares of LibertyX. During the six months ended June 30, 2021, the payments for business combinations was $2,464 million, mainly related to the acquisition of Cardtronics comp</w:t>
      </w:r>
      <w:r>
        <w:rPr>
          <w:rFonts w:eastAsia="Times New Roman"/>
          <w:color w:val="000000"/>
          <w:sz w:val="20"/>
          <w:szCs w:val="20"/>
        </w:rPr>
        <w:t>leted in the second quarter of 2021.</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Our financing activities include borrowings and repayments of credit facilities. During the six months ended June 30, 2021, in connection with the acquisition of Cardtronics, we issued new senior unsecured notes for an aggregate principal amount of $1.2 bi</w:t>
      </w:r>
      <w:r>
        <w:rPr>
          <w:rFonts w:eastAsia="Times New Roman"/>
          <w:color w:val="000000"/>
          <w:sz w:val="20"/>
          <w:szCs w:val="20"/>
        </w:rPr>
        <w:t xml:space="preserve">llion and amended and restated the Senior Secured Credit Facility to add an incremental term loan for $1.505 billion, of which </w:t>
      </w:r>
    </w:p>
    <w:p w:rsidR="00000000" w:rsidRDefault="005048A7">
      <w:pPr>
        <w:jc w:val="center"/>
        <w:divId w:val="1077437681"/>
        <w:rPr>
          <w:rFonts w:eastAsia="Times New Roman"/>
        </w:rPr>
      </w:pPr>
      <w:r>
        <w:rPr>
          <w:rFonts w:eastAsia="Times New Roman"/>
          <w:color w:val="000000"/>
          <w:sz w:val="20"/>
          <w:szCs w:val="20"/>
        </w:rPr>
        <w:t>54</w:t>
      </w:r>
    </w:p>
    <w:p w:rsidR="00000000" w:rsidRDefault="005048A7">
      <w:pPr>
        <w:rPr>
          <w:rFonts w:eastAsia="Times New Roman"/>
        </w:rPr>
      </w:pPr>
      <w:r>
        <w:rPr>
          <w:rFonts w:eastAsia="Times New Roman"/>
        </w:rPr>
        <w:pict>
          <v:rect id="_x0000_i1079" style="width:0;height:1.5pt" o:hralign="center" o:hrstd="t" o:hr="t" fillcolor="#a0a0a0" stroked="f"/>
        </w:pict>
      </w:r>
    </w:p>
    <w:p w:rsidR="00000000" w:rsidRDefault="005048A7">
      <w:pPr>
        <w:divId w:val="371003490"/>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jc w:val="both"/>
        <w:rPr>
          <w:rFonts w:eastAsia="Times New Roman"/>
        </w:rPr>
      </w:pPr>
      <w:r>
        <w:rPr>
          <w:rFonts w:eastAsia="Times New Roman"/>
          <w:color w:val="000000"/>
          <w:sz w:val="20"/>
          <w:szCs w:val="20"/>
        </w:rPr>
        <w:t>$200 million</w:t>
      </w:r>
      <w:r>
        <w:rPr>
          <w:rFonts w:eastAsia="Times New Roman"/>
          <w:color w:val="000000"/>
          <w:sz w:val="20"/>
          <w:szCs w:val="20"/>
        </w:rPr>
        <w:t xml:space="preserve"> converted into the Revolving Credit Facility. Additionally, we paid $32 million of deferred financing fees related to these transactions.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Financing activities during the six months ended June 30, 2022 also included dividends paid on the Series A preferred stock of $8 million, proceeds from employee stock plans of $14 million as well as tax withholding payments on behalf of employees for stoc</w:t>
      </w:r>
      <w:r>
        <w:rPr>
          <w:rFonts w:eastAsia="Times New Roman"/>
          <w:color w:val="000000"/>
          <w:sz w:val="20"/>
          <w:szCs w:val="20"/>
        </w:rPr>
        <w:t>k based awards that vested of $36 million. Financing activities during the six months ended June 30, 2021 included dividends paid on the Series A preferred stock of $8 million, proceeds from stock employee plans of $18 million, and tax withholding payments</w:t>
      </w:r>
      <w:r>
        <w:rPr>
          <w:rFonts w:eastAsia="Times New Roman"/>
          <w:color w:val="000000"/>
          <w:sz w:val="20"/>
          <w:szCs w:val="20"/>
        </w:rPr>
        <w:t xml:space="preserve"> on behalf of employees for stock based awards that vested of $25 million.</w:t>
      </w:r>
    </w:p>
    <w:p w:rsidR="00000000" w:rsidRDefault="005048A7">
      <w:pPr>
        <w:jc w:val="both"/>
        <w:rPr>
          <w:rFonts w:eastAsia="Times New Roman"/>
        </w:rPr>
      </w:pPr>
    </w:p>
    <w:p w:rsidR="00000000" w:rsidRDefault="005048A7">
      <w:pPr>
        <w:jc w:val="both"/>
        <w:rPr>
          <w:rFonts w:eastAsia="Times New Roman"/>
        </w:rPr>
      </w:pPr>
      <w:r>
        <w:rPr>
          <w:rFonts w:eastAsia="Times New Roman"/>
          <w:b/>
          <w:bCs/>
          <w:color w:val="000000"/>
          <w:sz w:val="20"/>
          <w:szCs w:val="20"/>
        </w:rPr>
        <w:t>Long Term Borrowings</w:t>
      </w:r>
      <w:r>
        <w:rPr>
          <w:rFonts w:eastAsia="Times New Roman"/>
          <w:color w:val="000000"/>
          <w:sz w:val="20"/>
          <w:szCs w:val="20"/>
        </w:rPr>
        <w:t xml:space="preserve"> The Senior Secured Credit Facility consists of term loan facilities in an aggregate principal amount of $2.055 billion, of which $1.94 billion was outstanding</w:t>
      </w:r>
      <w:r>
        <w:rPr>
          <w:rFonts w:eastAsia="Times New Roman"/>
          <w:color w:val="000000"/>
          <w:sz w:val="20"/>
          <w:szCs w:val="20"/>
        </w:rPr>
        <w:t xml:space="preserve"> as of June 30, 2022. Additionally, the Senior Secured Credit Facility provides for a five-year Revolving Credit Facility with an aggregate principal amount of $1.3 billion, of which $420 million was outstanding as of June 30, 2022. The Revolving Credit Fa</w:t>
      </w:r>
      <w:r>
        <w:rPr>
          <w:rFonts w:eastAsia="Times New Roman"/>
          <w:color w:val="000000"/>
          <w:sz w:val="20"/>
          <w:szCs w:val="20"/>
        </w:rPr>
        <w:t xml:space="preserve">cility also contains a sub-facility to be used for letters of credit, and as of June 30, 2022, there were $24 million letters of credit outstanding.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As of June 30, 2022, we had outstanding $1.2 billion in aggregate principal balance of 5.125% senior uns</w:t>
      </w:r>
      <w:r>
        <w:rPr>
          <w:rFonts w:eastAsia="Times New Roman"/>
          <w:color w:val="000000"/>
          <w:sz w:val="20"/>
          <w:szCs w:val="20"/>
        </w:rPr>
        <w:t>ecured notes due in 2029, $500 million in aggregate principal balance of 5.750% senior unsecured notes due in 2027, $650 million aggregate principal balance of 5.000% senior unsecured notes due in 2028, $500 million in aggregate principal balance of 6.125%</w:t>
      </w:r>
      <w:r>
        <w:rPr>
          <w:rFonts w:eastAsia="Times New Roman"/>
          <w:color w:val="000000"/>
          <w:sz w:val="20"/>
          <w:szCs w:val="20"/>
        </w:rPr>
        <w:t xml:space="preserve"> senior unsecured notes due in 2029, and $450 million in aggregate principal balance of 5.250% senior unsecured notes due in 2030.</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See Note 5, “Debt Obligations”, of the Notes to Condensed Consolidated Financial Statements included in Item 1 of this Repo</w:t>
      </w:r>
      <w:r>
        <w:rPr>
          <w:rFonts w:eastAsia="Times New Roman"/>
          <w:color w:val="000000"/>
          <w:sz w:val="20"/>
          <w:szCs w:val="20"/>
        </w:rPr>
        <w:t>rt for further information on the Senior Secured Credit Facility.</w:t>
      </w:r>
    </w:p>
    <w:p w:rsidR="00000000" w:rsidRDefault="005048A7">
      <w:pPr>
        <w:jc w:val="both"/>
        <w:rPr>
          <w:rFonts w:eastAsia="Times New Roman"/>
        </w:rPr>
      </w:pPr>
    </w:p>
    <w:p w:rsidR="00000000" w:rsidRDefault="005048A7">
      <w:pPr>
        <w:jc w:val="both"/>
        <w:rPr>
          <w:rFonts w:eastAsia="Times New Roman"/>
        </w:rPr>
      </w:pPr>
      <w:r>
        <w:rPr>
          <w:rFonts w:eastAsia="Times New Roman"/>
          <w:b/>
          <w:bCs/>
          <w:color w:val="000000"/>
          <w:sz w:val="20"/>
          <w:szCs w:val="20"/>
        </w:rPr>
        <w:t xml:space="preserve">Employee Benefit Plans </w:t>
      </w:r>
      <w:r>
        <w:rPr>
          <w:rFonts w:eastAsia="Times New Roman"/>
          <w:color w:val="000000"/>
          <w:sz w:val="20"/>
          <w:szCs w:val="20"/>
        </w:rPr>
        <w:t>In 2022, we expect to make contributions of $17 million to our international pension plans, $80 million to our postemployment plan and $1 million to our postretireme</w:t>
      </w:r>
      <w:r>
        <w:rPr>
          <w:rFonts w:eastAsia="Times New Roman"/>
          <w:color w:val="000000"/>
          <w:sz w:val="20"/>
          <w:szCs w:val="20"/>
        </w:rPr>
        <w:t>nt plan. For additional information, refer to Note 9, “Employee Benefit Plans” of the Notes to Condensed Consolidated Financial Statements.</w:t>
      </w:r>
    </w:p>
    <w:p w:rsidR="00000000" w:rsidRDefault="005048A7">
      <w:pPr>
        <w:jc w:val="both"/>
        <w:rPr>
          <w:rFonts w:eastAsia="Times New Roman"/>
        </w:rPr>
      </w:pPr>
    </w:p>
    <w:p w:rsidR="00000000" w:rsidRDefault="005048A7">
      <w:pPr>
        <w:jc w:val="both"/>
        <w:rPr>
          <w:rFonts w:eastAsia="Times New Roman"/>
        </w:rPr>
      </w:pPr>
      <w:r>
        <w:rPr>
          <w:rFonts w:eastAsia="Times New Roman"/>
          <w:b/>
          <w:bCs/>
          <w:color w:val="000000"/>
          <w:sz w:val="20"/>
          <w:szCs w:val="20"/>
        </w:rPr>
        <w:t>Series A Convertible Preferred Stock</w:t>
      </w:r>
      <w:r>
        <w:rPr>
          <w:rFonts w:eastAsia="Times New Roman"/>
          <w:color w:val="000000"/>
          <w:sz w:val="20"/>
          <w:szCs w:val="20"/>
        </w:rPr>
        <w:t xml:space="preserve"> As of June 30, 2022, the redemption value of the Series A Preferred Stock was</w:t>
      </w:r>
      <w:r>
        <w:rPr>
          <w:rFonts w:eastAsia="Times New Roman"/>
          <w:color w:val="000000"/>
          <w:sz w:val="20"/>
          <w:szCs w:val="20"/>
        </w:rPr>
        <w:t xml:space="preserve"> approximately $276 million. Holders of Series A Convertible Preferred Stock are entitled to a cumulative dividend at the rate of 5.5% per annum, payable quarterly in arrears. Beginning in the first quarter of 2020, dividends are payable in cash or in-kind</w:t>
      </w:r>
      <w:r>
        <w:rPr>
          <w:rFonts w:eastAsia="Times New Roman"/>
          <w:color w:val="000000"/>
          <w:sz w:val="20"/>
          <w:szCs w:val="20"/>
        </w:rPr>
        <w:t xml:space="preserve"> at the option of the Company. During the six months ended June 30, 2022 and 2021, the Company paid cash dividends of $8 million, respectively.</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 Series A Convertible Preferred Stock is convertible at the option of the holders at any time into shares o</w:t>
      </w:r>
      <w:r>
        <w:rPr>
          <w:rFonts w:eastAsia="Times New Roman"/>
          <w:color w:val="000000"/>
          <w:sz w:val="20"/>
          <w:szCs w:val="20"/>
        </w:rPr>
        <w:t xml:space="preserve">f common stock at a conversion price of $30.00 per share, or a conversion rate of 33.333 shares of common stock per share of Series A Convertible Preferred Stock. As of June 30, 2022 and December 31, 2021, the maximum number of common shares that could be </w:t>
      </w:r>
      <w:r>
        <w:rPr>
          <w:rFonts w:eastAsia="Times New Roman"/>
          <w:color w:val="000000"/>
          <w:sz w:val="20"/>
          <w:szCs w:val="20"/>
        </w:rPr>
        <w:t>required to be issued upon conversion of the outstanding shares of the Series A Convertible Preferred Stock was 9.2 million shares.</w:t>
      </w:r>
    </w:p>
    <w:p w:rsidR="00000000" w:rsidRDefault="005048A7">
      <w:pPr>
        <w:jc w:val="both"/>
        <w:rPr>
          <w:rFonts w:eastAsia="Times New Roman"/>
        </w:rPr>
      </w:pPr>
    </w:p>
    <w:p w:rsidR="00000000" w:rsidRDefault="005048A7">
      <w:pPr>
        <w:jc w:val="both"/>
        <w:rPr>
          <w:rFonts w:eastAsia="Times New Roman"/>
        </w:rPr>
      </w:pPr>
      <w:r>
        <w:rPr>
          <w:rFonts w:eastAsia="Times New Roman"/>
          <w:b/>
          <w:bCs/>
          <w:color w:val="000000"/>
          <w:sz w:val="20"/>
          <w:szCs w:val="20"/>
        </w:rPr>
        <w:t xml:space="preserve">Cash and Cash Equivalents Held by Foreign Subsidiaries </w:t>
      </w:r>
      <w:r>
        <w:rPr>
          <w:rFonts w:eastAsia="Times New Roman"/>
          <w:color w:val="000000"/>
          <w:sz w:val="20"/>
          <w:szCs w:val="20"/>
        </w:rPr>
        <w:t>Cash and cash equivalents held by the Company's foreign subsidiarie</w:t>
      </w:r>
      <w:r>
        <w:rPr>
          <w:rFonts w:eastAsia="Times New Roman"/>
          <w:color w:val="000000"/>
          <w:sz w:val="20"/>
          <w:szCs w:val="20"/>
        </w:rPr>
        <w:t>s at June 30, 2022 and December 31, 2021 were $318 million</w:t>
      </w:r>
      <w:r>
        <w:rPr>
          <w:rFonts w:eastAsia="Times New Roman"/>
          <w:color w:val="000000"/>
          <w:sz w:val="20"/>
          <w:szCs w:val="20"/>
          <w:shd w:val="clear" w:color="auto" w:fill="FFFFFF"/>
        </w:rPr>
        <w:t xml:space="preserve"> </w:t>
      </w:r>
      <w:r>
        <w:rPr>
          <w:rFonts w:eastAsia="Times New Roman"/>
          <w:color w:val="000000"/>
          <w:sz w:val="20"/>
          <w:szCs w:val="20"/>
        </w:rPr>
        <w:t>and $412 million, respectively. Under current tax laws and regulations, if cash and cash equivalents and short-term investments held outside the U.S. are distributed to the U.S. in the form of divi</w:t>
      </w:r>
      <w:r>
        <w:rPr>
          <w:rFonts w:eastAsia="Times New Roman"/>
          <w:color w:val="000000"/>
          <w:sz w:val="20"/>
          <w:szCs w:val="20"/>
        </w:rPr>
        <w:t>dends or otherwise, we may be subject to additional U.S. income taxes and foreign withholding taxes, which could be significant.</w:t>
      </w:r>
    </w:p>
    <w:p w:rsidR="00000000" w:rsidRDefault="005048A7">
      <w:pPr>
        <w:jc w:val="both"/>
        <w:rPr>
          <w:rFonts w:eastAsia="Times New Roman"/>
        </w:rPr>
      </w:pPr>
    </w:p>
    <w:p w:rsidR="00000000" w:rsidRDefault="005048A7">
      <w:pPr>
        <w:jc w:val="both"/>
        <w:rPr>
          <w:rFonts w:eastAsia="Times New Roman"/>
        </w:rPr>
      </w:pPr>
      <w:r>
        <w:rPr>
          <w:rFonts w:eastAsia="Times New Roman"/>
          <w:b/>
          <w:bCs/>
          <w:color w:val="000000"/>
          <w:sz w:val="20"/>
          <w:szCs w:val="20"/>
        </w:rPr>
        <w:t xml:space="preserve">Summary </w:t>
      </w:r>
      <w:r>
        <w:rPr>
          <w:rFonts w:eastAsia="Times New Roman"/>
          <w:color w:val="000000"/>
          <w:sz w:val="20"/>
          <w:szCs w:val="20"/>
        </w:rPr>
        <w:t>As of June 30, 2022, our cash and cash equivalents totaled $398 million and our total debt was $5.66 billion, excludi</w:t>
      </w:r>
      <w:r>
        <w:rPr>
          <w:rFonts w:eastAsia="Times New Roman"/>
          <w:color w:val="000000"/>
          <w:sz w:val="20"/>
          <w:szCs w:val="20"/>
        </w:rPr>
        <w:t>ng deferred fees. As of June 30, 2022, our borrowing capacity under the Revolving Credit Facility was approximately $856 million. Our ability to generate positive cash flows from operations is dependent on general economic conditions, the competitive envir</w:t>
      </w:r>
      <w:r>
        <w:rPr>
          <w:rFonts w:eastAsia="Times New Roman"/>
          <w:color w:val="000000"/>
          <w:sz w:val="20"/>
          <w:szCs w:val="20"/>
        </w:rPr>
        <w:t xml:space="preserve">onment in our industry, and is subject to the business and other risk factors described in Item 1A of Part I of the Company’s 2021 Annual Report on Form 10-K and Item 1A of Part II of this Quarterly Report on Form 10-Q (as applicable). If we are unable to </w:t>
      </w:r>
      <w:r>
        <w:rPr>
          <w:rFonts w:eastAsia="Times New Roman"/>
          <w:color w:val="000000"/>
          <w:sz w:val="20"/>
          <w:szCs w:val="20"/>
        </w:rPr>
        <w:t>generate sufficient cash flows from operations, or otherwise comply with the terms of our credit facilities, we may be required to seek additional financing alternatives.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We believe that we have sufficient liquidity based on our current cash position, ca</w:t>
      </w:r>
      <w:r>
        <w:rPr>
          <w:rFonts w:eastAsia="Times New Roman"/>
          <w:color w:val="000000"/>
          <w:sz w:val="20"/>
          <w:szCs w:val="20"/>
        </w:rPr>
        <w:t>sh flows from operations and existing financing to meet our expected pension, postemployment, and postretirement plan contributions, remediation payments related to environmental matters, debt servicing obligations, payments related to transformation initi</w:t>
      </w:r>
      <w:r>
        <w:rPr>
          <w:rFonts w:eastAsia="Times New Roman"/>
          <w:color w:val="000000"/>
          <w:sz w:val="20"/>
          <w:szCs w:val="20"/>
        </w:rPr>
        <w:t>atives, and in the long-term (i.e., beyond June 30, 2023) to meet our material cash requirements.</w:t>
      </w:r>
    </w:p>
    <w:p w:rsidR="00000000" w:rsidRDefault="005048A7">
      <w:pPr>
        <w:jc w:val="both"/>
        <w:rPr>
          <w:rFonts w:eastAsia="Times New Roman"/>
        </w:rPr>
      </w:pPr>
    </w:p>
    <w:p w:rsidR="00000000" w:rsidRDefault="005048A7">
      <w:pPr>
        <w:jc w:val="center"/>
        <w:divId w:val="1117604723"/>
        <w:rPr>
          <w:rFonts w:eastAsia="Times New Roman"/>
        </w:rPr>
      </w:pPr>
      <w:r>
        <w:rPr>
          <w:rFonts w:eastAsia="Times New Roman"/>
          <w:color w:val="000000"/>
          <w:sz w:val="20"/>
          <w:szCs w:val="20"/>
        </w:rPr>
        <w:t>55</w:t>
      </w:r>
    </w:p>
    <w:p w:rsidR="00000000" w:rsidRDefault="005048A7">
      <w:pPr>
        <w:rPr>
          <w:rFonts w:eastAsia="Times New Roman"/>
        </w:rPr>
      </w:pPr>
      <w:r>
        <w:rPr>
          <w:rFonts w:eastAsia="Times New Roman"/>
        </w:rPr>
        <w:pict>
          <v:rect id="_x0000_i1080" style="width:0;height:1.5pt" o:hralign="center" o:hrstd="t" o:hr="t" fillcolor="#a0a0a0" stroked="f"/>
        </w:pict>
      </w:r>
    </w:p>
    <w:p w:rsidR="00000000" w:rsidRDefault="005048A7">
      <w:pPr>
        <w:divId w:val="176777468"/>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u w:val="single"/>
        </w:rPr>
        <w:t>Material Cash Requirements from Contractual and Other Obligations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There have been no significant changes in our contractual and other commer</w:t>
      </w:r>
      <w:r>
        <w:rPr>
          <w:rFonts w:eastAsia="Times New Roman"/>
          <w:color w:val="000000"/>
          <w:sz w:val="20"/>
          <w:szCs w:val="20"/>
        </w:rPr>
        <w:t xml:space="preserve">cial obligations as described in our Form 10-K for the year ended December 31, 2021. </w:t>
      </w:r>
    </w:p>
    <w:p w:rsidR="00000000" w:rsidRDefault="005048A7">
      <w:pPr>
        <w:jc w:val="both"/>
        <w:divId w:val="1149204250"/>
        <w:rPr>
          <w:rFonts w:eastAsia="Times New Roman"/>
        </w:rPr>
      </w:pPr>
      <w:r>
        <w:rPr>
          <w:rFonts w:eastAsia="Times New Roman"/>
          <w:i/>
          <w:iCs/>
          <w:color w:val="000000"/>
          <w:sz w:val="20"/>
          <w:szCs w:val="20"/>
          <w:u w:val="single"/>
        </w:rPr>
        <w:t>Critical Accounting Policies and Estimates</w:t>
      </w:r>
    </w:p>
    <w:p w:rsidR="00000000" w:rsidRDefault="005048A7">
      <w:pPr>
        <w:jc w:val="both"/>
        <w:divId w:val="1213230181"/>
        <w:rPr>
          <w:rFonts w:eastAsia="Times New Roman"/>
        </w:rPr>
      </w:pPr>
      <w:r>
        <w:rPr>
          <w:rFonts w:eastAsia="Times New Roman"/>
          <w:color w:val="000000"/>
          <w:sz w:val="20"/>
          <w:szCs w:val="20"/>
        </w:rPr>
        <w:t>Critical accounting policies are those that are most important to the portrayal of our financial position and results of operat</w:t>
      </w:r>
      <w:r>
        <w:rPr>
          <w:rFonts w:eastAsia="Times New Roman"/>
          <w:color w:val="000000"/>
          <w:sz w:val="20"/>
          <w:szCs w:val="20"/>
        </w:rPr>
        <w:t>ions. These policies require highly subjective or complex judgments, often employing the use of estimates about the effect of matters that are inherently uncertain. Our most critical accounting estimates pertain to revenue recognition, inventory valuation,</w:t>
      </w:r>
      <w:r>
        <w:rPr>
          <w:rFonts w:eastAsia="Times New Roman"/>
          <w:color w:val="000000"/>
          <w:sz w:val="20"/>
          <w:szCs w:val="20"/>
        </w:rPr>
        <w:t xml:space="preserve"> goodwill and intangible assets, pension, postretirement and postemployment benefits, environmental and legal contingencies, and income taxes, which are described in Item 7. of our 2021 Form 10-K. </w:t>
      </w:r>
    </w:p>
    <w:p w:rsidR="00000000" w:rsidRDefault="005048A7">
      <w:pPr>
        <w:jc w:val="both"/>
        <w:divId w:val="381248154"/>
        <w:rPr>
          <w:rFonts w:eastAsia="Times New Roman"/>
        </w:rPr>
      </w:pPr>
      <w:r>
        <w:rPr>
          <w:rFonts w:eastAsia="Times New Roman"/>
          <w:i/>
          <w:iCs/>
          <w:color w:val="000000"/>
          <w:sz w:val="20"/>
          <w:szCs w:val="20"/>
          <w:u w:val="single"/>
        </w:rPr>
        <w:t>New Accounting Pronouncements</w:t>
      </w:r>
    </w:p>
    <w:p w:rsidR="00000000" w:rsidRDefault="005048A7">
      <w:pPr>
        <w:jc w:val="both"/>
        <w:divId w:val="1445923012"/>
        <w:rPr>
          <w:rFonts w:eastAsia="Times New Roman"/>
        </w:rPr>
      </w:pPr>
      <w:r>
        <w:rPr>
          <w:rFonts w:eastAsia="Times New Roman"/>
          <w:color w:val="000000"/>
          <w:sz w:val="20"/>
          <w:szCs w:val="20"/>
        </w:rPr>
        <w:t>See discussion in Note 1, “B</w:t>
      </w:r>
      <w:r>
        <w:rPr>
          <w:rFonts w:eastAsia="Times New Roman"/>
          <w:color w:val="000000"/>
          <w:sz w:val="20"/>
          <w:szCs w:val="20"/>
        </w:rPr>
        <w:t>asis of Presentation and Summary of Significant Accounting Policies” of the Notes to Condensed Consolidated Financial Statements for new accounting pronouncements.</w:t>
      </w:r>
    </w:p>
    <w:p w:rsidR="00000000" w:rsidRDefault="005048A7">
      <w:pPr>
        <w:jc w:val="both"/>
        <w:divId w:val="1088035472"/>
        <w:rPr>
          <w:rFonts w:eastAsia="Times New Roman"/>
        </w:rPr>
      </w:pPr>
      <w:r>
        <w:rPr>
          <w:rFonts w:eastAsia="Times New Roman"/>
          <w:i/>
          <w:iCs/>
          <w:color w:val="000000"/>
          <w:sz w:val="20"/>
          <w:szCs w:val="20"/>
          <w:u w:val="single"/>
        </w:rPr>
        <w:t>Forward-Looking Statements</w:t>
      </w:r>
    </w:p>
    <w:p w:rsidR="00000000" w:rsidRDefault="005048A7">
      <w:pPr>
        <w:jc w:val="both"/>
        <w:rPr>
          <w:rFonts w:eastAsia="Times New Roman"/>
        </w:rPr>
      </w:pPr>
      <w:r>
        <w:rPr>
          <w:rFonts w:eastAsia="Times New Roman"/>
          <w:color w:val="000000"/>
          <w:sz w:val="20"/>
          <w:szCs w:val="20"/>
        </w:rPr>
        <w:t>This quarterly report on Form 10-Q contains “forward-looking stat</w:t>
      </w:r>
      <w:r>
        <w:rPr>
          <w:rFonts w:eastAsia="Times New Roman"/>
          <w:color w:val="000000"/>
          <w:sz w:val="20"/>
          <w:szCs w:val="20"/>
        </w:rPr>
        <w:t>ements” within the meaning of Section 27A of the Securities Act of 1933, as amended and Section 21E of the Securities Exchange Act of 1934, as amended, pursuant to the safe harbor provisions of the Private Securities Litigation Reform Act of 1995 (the “Act</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Forward-looking statements use words such as “expect,” “anticipate,” “outlook,” “intend,” “plan,” “confident,” “believe,” “will,” “should,” “would,” “potential,” “positioning,” “proposed,” “objective,” “could,” “may,” and words of similar meaning, as w</w:t>
      </w:r>
      <w:r>
        <w:rPr>
          <w:rFonts w:eastAsia="Times New Roman"/>
          <w:color w:val="000000"/>
          <w:sz w:val="20"/>
          <w:szCs w:val="20"/>
        </w:rPr>
        <w:t>ell as other words or expressions referencing future events, conditions or circumstances. We intend these forward-looking statements to be covered by the safe harbor provisions for forward-looking statements contained in the Act. Statements that describe o</w:t>
      </w:r>
      <w:r>
        <w:rPr>
          <w:rFonts w:eastAsia="Times New Roman"/>
          <w:color w:val="000000"/>
          <w:sz w:val="20"/>
          <w:szCs w:val="20"/>
        </w:rPr>
        <w:t>r relate to NCR’s plans, goals, intentions, strategies, or financial outlook, and statements that do not relate to historical or current fact, are examples of forward-looking statements. Forward-looking statements are based on our current beliefs, expectat</w:t>
      </w:r>
      <w:r>
        <w:rPr>
          <w:rFonts w:eastAsia="Times New Roman"/>
          <w:color w:val="000000"/>
          <w:sz w:val="20"/>
          <w:szCs w:val="20"/>
        </w:rPr>
        <w:t>ions and assumptions, which may not prove to be accurate, and involve a number of known and unknown risks and uncertainties, many of which are out of NCR’s control. Forward-looking statements are not guarantees of future performance, and there are a number</w:t>
      </w:r>
      <w:r>
        <w:rPr>
          <w:rFonts w:eastAsia="Times New Roman"/>
          <w:color w:val="000000"/>
          <w:sz w:val="20"/>
          <w:szCs w:val="20"/>
        </w:rPr>
        <w:t xml:space="preserve"> of important factors that could cause actual outcomes and results to differ materially from the results contemplated by such forward-looking statements, including those factors relating to: </w:t>
      </w:r>
    </w:p>
    <w:p w:rsidR="00000000" w:rsidRDefault="005048A7">
      <w:pPr>
        <w:ind w:hanging="360"/>
        <w:jc w:val="both"/>
        <w:rPr>
          <w:rFonts w:eastAsia="Times New Roman"/>
        </w:rPr>
      </w:pPr>
      <w:r>
        <w:rPr>
          <w:rFonts w:eastAsia="Times New Roman"/>
          <w:color w:val="000000"/>
        </w:rPr>
        <w:t>•</w:t>
      </w:r>
      <w:r>
        <w:rPr>
          <w:rFonts w:eastAsia="Times New Roman"/>
          <w:color w:val="000000"/>
          <w:sz w:val="20"/>
          <w:szCs w:val="20"/>
        </w:rPr>
        <w:t>Strategy and Technology: transforming our business model; development and introduction of new solutions; competition in the technology industry; integration of acquisitions and management of alliance activities; our multinational operations; and our strate</w:t>
      </w:r>
      <w:r>
        <w:rPr>
          <w:rFonts w:eastAsia="Times New Roman"/>
          <w:color w:val="000000"/>
          <w:sz w:val="20"/>
          <w:szCs w:val="20"/>
        </w:rPr>
        <w:t xml:space="preserve">gic review announced on February 8, 2022 </w:t>
      </w:r>
    </w:p>
    <w:p w:rsidR="00000000" w:rsidRDefault="005048A7">
      <w:pPr>
        <w:ind w:hanging="360"/>
        <w:jc w:val="both"/>
        <w:rPr>
          <w:rFonts w:eastAsia="Times New Roman"/>
        </w:rPr>
      </w:pPr>
      <w:r>
        <w:rPr>
          <w:rFonts w:eastAsia="Times New Roman"/>
          <w:color w:val="000000"/>
        </w:rPr>
        <w:t>•</w:t>
      </w:r>
      <w:r>
        <w:rPr>
          <w:rFonts w:eastAsia="Times New Roman"/>
          <w:color w:val="000000"/>
          <w:sz w:val="20"/>
          <w:szCs w:val="20"/>
        </w:rPr>
        <w:t>Business Operations: domestic and global economic and credit conditions; risks and uncertainties from the payments-related business and industry; disruptions in our data center hosting and public cloud facilities;</w:t>
      </w:r>
      <w:r>
        <w:rPr>
          <w:rFonts w:eastAsia="Times New Roman"/>
          <w:color w:val="000000"/>
          <w:sz w:val="20"/>
          <w:szCs w:val="20"/>
        </w:rPr>
        <w:t xml:space="preserve"> retention and attraction of key employees; defects, errors, installation difficulties or development delays; failure of third-party suppliers; the impact of the coronavirus (COVID-19) pandemic and geopolitical and macroeconomic challenges; environmental e</w:t>
      </w:r>
      <w:r>
        <w:rPr>
          <w:rFonts w:eastAsia="Times New Roman"/>
          <w:color w:val="000000"/>
          <w:sz w:val="20"/>
          <w:szCs w:val="20"/>
        </w:rPr>
        <w:t>xposures from historical and ongoing manufacturing activities; and climate change</w:t>
      </w:r>
    </w:p>
    <w:p w:rsidR="00000000" w:rsidRDefault="005048A7">
      <w:pPr>
        <w:ind w:hanging="360"/>
        <w:jc w:val="both"/>
        <w:rPr>
          <w:rFonts w:eastAsia="Times New Roman"/>
        </w:rPr>
      </w:pPr>
      <w:r>
        <w:rPr>
          <w:rFonts w:eastAsia="Times New Roman"/>
          <w:color w:val="000000"/>
        </w:rPr>
        <w:t>•</w:t>
      </w:r>
      <w:r>
        <w:rPr>
          <w:rFonts w:eastAsia="Times New Roman"/>
          <w:color w:val="000000"/>
          <w:sz w:val="20"/>
          <w:szCs w:val="20"/>
        </w:rPr>
        <w:t xml:space="preserve">Data Privacy &amp; Security: impact of data protection, cybersecurity and data privacy including any related issues </w:t>
      </w:r>
    </w:p>
    <w:p w:rsidR="00000000" w:rsidRDefault="005048A7">
      <w:pPr>
        <w:ind w:hanging="360"/>
        <w:jc w:val="both"/>
        <w:rPr>
          <w:rFonts w:eastAsia="Times New Roman"/>
        </w:rPr>
      </w:pPr>
      <w:r>
        <w:rPr>
          <w:rFonts w:eastAsia="Times New Roman"/>
          <w:color w:val="000000"/>
        </w:rPr>
        <w:t>•</w:t>
      </w:r>
      <w:r>
        <w:rPr>
          <w:rFonts w:eastAsia="Times New Roman"/>
          <w:color w:val="000000"/>
          <w:sz w:val="20"/>
          <w:szCs w:val="20"/>
        </w:rPr>
        <w:t>Finance and Accounting: our level of indebtedness; the term</w:t>
      </w:r>
      <w:r>
        <w:rPr>
          <w:rFonts w:eastAsia="Times New Roman"/>
          <w:color w:val="000000"/>
          <w:sz w:val="20"/>
          <w:szCs w:val="20"/>
        </w:rPr>
        <w:t>s governing our indebtedness; incurrence of additional debt or similar liabilities or obligations; access or renewal of financing sources; our cash flow sufficiency to service our indebtedness; interest rate risks; the terms governing our trade receivables</w:t>
      </w:r>
      <w:r>
        <w:rPr>
          <w:rFonts w:eastAsia="Times New Roman"/>
          <w:color w:val="000000"/>
          <w:sz w:val="20"/>
          <w:szCs w:val="20"/>
        </w:rPr>
        <w:t xml:space="preserve"> facility; the impact of certain changes in control relating to acceleration of our indebtedness, our obligations under other financing arrangements, or required repurchase of our senior unsecured notes; and any lowering or withdrawal of the ratings assign</w:t>
      </w:r>
      <w:r>
        <w:rPr>
          <w:rFonts w:eastAsia="Times New Roman"/>
          <w:color w:val="000000"/>
          <w:sz w:val="20"/>
          <w:szCs w:val="20"/>
        </w:rPr>
        <w:t xml:space="preserve">ed to our debt securities by rating agencies; our pension liabilities; and write down of the value of certain significant assets </w:t>
      </w:r>
    </w:p>
    <w:p w:rsidR="00000000" w:rsidRDefault="005048A7">
      <w:pPr>
        <w:ind w:hanging="360"/>
        <w:jc w:val="both"/>
        <w:rPr>
          <w:rFonts w:eastAsia="Times New Roman"/>
        </w:rPr>
      </w:pPr>
      <w:r>
        <w:rPr>
          <w:rFonts w:eastAsia="Times New Roman"/>
          <w:color w:val="000000"/>
        </w:rPr>
        <w:t>•</w:t>
      </w:r>
      <w:r>
        <w:rPr>
          <w:rFonts w:eastAsia="Times New Roman"/>
          <w:color w:val="000000"/>
          <w:sz w:val="20"/>
          <w:szCs w:val="20"/>
        </w:rPr>
        <w:t xml:space="preserve">Law and Compliance: protection of our intellectual property; changes to our tax rates and additional income tax liabilities; </w:t>
      </w:r>
      <w:r>
        <w:rPr>
          <w:rFonts w:eastAsia="Times New Roman"/>
          <w:color w:val="000000"/>
          <w:sz w:val="20"/>
          <w:szCs w:val="20"/>
        </w:rPr>
        <w:t xml:space="preserve">uncertainties regarding regulations, lawsuits and other related matters; and changes to cryptocurrency regulations </w:t>
      </w:r>
    </w:p>
    <w:p w:rsidR="00000000" w:rsidRDefault="005048A7">
      <w:pPr>
        <w:ind w:hanging="360"/>
        <w:jc w:val="both"/>
        <w:rPr>
          <w:rFonts w:eastAsia="Times New Roman"/>
        </w:rPr>
      </w:pPr>
      <w:r>
        <w:rPr>
          <w:rFonts w:eastAsia="Times New Roman"/>
          <w:color w:val="000000"/>
        </w:rPr>
        <w:t>•</w:t>
      </w:r>
      <w:r>
        <w:rPr>
          <w:rFonts w:eastAsia="Times New Roman"/>
          <w:color w:val="000000"/>
          <w:sz w:val="20"/>
          <w:szCs w:val="20"/>
        </w:rPr>
        <w:t>Governance: impact of the terms of our Series A Convertible Preferred (“Series A”) Stock relating to voting power, share dilution and marke</w:t>
      </w:r>
      <w:r>
        <w:rPr>
          <w:rFonts w:eastAsia="Times New Roman"/>
          <w:color w:val="000000"/>
          <w:sz w:val="20"/>
          <w:szCs w:val="20"/>
        </w:rPr>
        <w:t>t price of our common stock; rights, preferences and privileges of Series A stockholders compared to the rights of our common stockholders; and actions or proposals from stockholders that do not align with our business strategies or the interests of our ot</w:t>
      </w:r>
      <w:r>
        <w:rPr>
          <w:rFonts w:eastAsia="Times New Roman"/>
          <w:color w:val="000000"/>
          <w:sz w:val="20"/>
          <w:szCs w:val="20"/>
        </w:rPr>
        <w:t xml:space="preserve">her stockholders </w:t>
      </w:r>
    </w:p>
    <w:p w:rsidR="00000000" w:rsidRDefault="005048A7">
      <w:pPr>
        <w:divId w:val="276448624"/>
        <w:rPr>
          <w:rFonts w:eastAsia="Times New Roman"/>
        </w:rPr>
      </w:pPr>
    </w:p>
    <w:p w:rsidR="00000000" w:rsidRDefault="005048A7">
      <w:pPr>
        <w:jc w:val="center"/>
        <w:divId w:val="1895895950"/>
        <w:rPr>
          <w:rFonts w:eastAsia="Times New Roman"/>
        </w:rPr>
      </w:pPr>
      <w:r>
        <w:rPr>
          <w:rFonts w:eastAsia="Times New Roman"/>
          <w:color w:val="000000"/>
          <w:sz w:val="20"/>
          <w:szCs w:val="20"/>
        </w:rPr>
        <w:t>56</w:t>
      </w:r>
    </w:p>
    <w:p w:rsidR="00000000" w:rsidRDefault="005048A7">
      <w:pPr>
        <w:rPr>
          <w:rFonts w:eastAsia="Times New Roman"/>
        </w:rPr>
      </w:pPr>
      <w:r>
        <w:rPr>
          <w:rFonts w:eastAsia="Times New Roman"/>
        </w:rPr>
        <w:pict>
          <v:rect id="_x0000_i1081" style="width:0;height:1.5pt" o:hralign="center" o:hrstd="t" o:hr="t" fillcolor="#a0a0a0" stroked="f"/>
        </w:pict>
      </w:r>
    </w:p>
    <w:p w:rsidR="00000000" w:rsidRDefault="005048A7">
      <w:pPr>
        <w:divId w:val="1492989636"/>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jc w:val="both"/>
        <w:rPr>
          <w:rFonts w:eastAsia="Times New Roman"/>
        </w:rPr>
      </w:pPr>
      <w:r>
        <w:rPr>
          <w:rFonts w:eastAsia="Times New Roman"/>
          <w:color w:val="000000"/>
          <w:sz w:val="20"/>
          <w:szCs w:val="20"/>
        </w:rPr>
        <w:t>Additional information concerning these and other factors can be found in the Company’s filings with the U.S. Securities</w:t>
      </w:r>
      <w:r>
        <w:rPr>
          <w:rFonts w:eastAsia="Times New Roman"/>
          <w:color w:val="000000"/>
          <w:sz w:val="20"/>
          <w:szCs w:val="20"/>
        </w:rPr>
        <w:t xml:space="preserve"> and Exchange Commission, including the Company’s most recent annual report on Form 10-K, quarterly reports on Form 10-Q and current reports on Form 8-K. Any forward-looking statement speaks only as of the date on which it is made. The Company does not und</w:t>
      </w:r>
      <w:r>
        <w:rPr>
          <w:rFonts w:eastAsia="Times New Roman"/>
          <w:color w:val="000000"/>
          <w:sz w:val="20"/>
          <w:szCs w:val="20"/>
        </w:rPr>
        <w:t>ertake any obligation to publicly update or revise any forward-looking statements, whether as a result of new information, future events or otherwise, except as required by law.</w:t>
      </w:r>
    </w:p>
    <w:p w:rsidR="00000000" w:rsidRDefault="005048A7">
      <w:pPr>
        <w:divId w:val="654646171"/>
        <w:rPr>
          <w:rFonts w:eastAsia="Times New Roman"/>
        </w:rPr>
      </w:pPr>
    </w:p>
    <w:p w:rsidR="00000000" w:rsidRDefault="005048A7">
      <w:pPr>
        <w:divId w:val="333924555"/>
        <w:rPr>
          <w:rFonts w:eastAsia="Times New Roman"/>
        </w:rPr>
      </w:pPr>
      <w:r>
        <w:rPr>
          <w:rFonts w:eastAsia="Times New Roman"/>
          <w:i/>
          <w:iCs/>
          <w:color w:val="000000"/>
          <w:sz w:val="20"/>
          <w:szCs w:val="20"/>
          <w:u w:val="single"/>
        </w:rPr>
        <w:t>Information About NCR</w:t>
      </w:r>
    </w:p>
    <w:p w:rsidR="00000000" w:rsidRDefault="005048A7">
      <w:pPr>
        <w:divId w:val="1038896911"/>
        <w:rPr>
          <w:rFonts w:eastAsia="Times New Roman"/>
        </w:rPr>
      </w:pPr>
    </w:p>
    <w:p w:rsidR="00000000" w:rsidRDefault="005048A7">
      <w:pPr>
        <w:jc w:val="both"/>
        <w:rPr>
          <w:rFonts w:eastAsia="Times New Roman"/>
        </w:rPr>
      </w:pPr>
      <w:r>
        <w:rPr>
          <w:rFonts w:eastAsia="Times New Roman"/>
          <w:color w:val="000000"/>
          <w:sz w:val="20"/>
          <w:szCs w:val="20"/>
        </w:rPr>
        <w:t>NCR encourages investors to visit its web site (</w:t>
      </w:r>
      <w:r>
        <w:rPr>
          <w:rFonts w:eastAsia="Times New Roman"/>
          <w:color w:val="0000FF"/>
          <w:sz w:val="20"/>
          <w:szCs w:val="20"/>
          <w:u w:val="single"/>
        </w:rPr>
        <w:t>http</w:t>
      </w:r>
      <w:r>
        <w:rPr>
          <w:rFonts w:eastAsia="Times New Roman"/>
          <w:color w:val="0000FF"/>
          <w:sz w:val="20"/>
          <w:szCs w:val="20"/>
          <w:u w:val="single"/>
        </w:rPr>
        <w:t>://www.ncr.com</w:t>
      </w:r>
      <w:r>
        <w:rPr>
          <w:rFonts w:eastAsia="Times New Roman"/>
          <w:color w:val="000000"/>
          <w:sz w:val="20"/>
          <w:szCs w:val="20"/>
        </w:rPr>
        <w:t>), which is updated regularly with financial and other important information about NCR. The contents of the Company’s web site are not incorporated into this quarterly report or the Company’s other filings with the U.S. Securities and Exchang</w:t>
      </w:r>
      <w:r>
        <w:rPr>
          <w:rFonts w:eastAsia="Times New Roman"/>
          <w:color w:val="000000"/>
          <w:sz w:val="20"/>
          <w:szCs w:val="20"/>
        </w:rPr>
        <w:t>e Commission.</w:t>
      </w:r>
    </w:p>
    <w:p w:rsidR="00000000" w:rsidRDefault="005048A7">
      <w:pPr>
        <w:jc w:val="center"/>
        <w:divId w:val="401634856"/>
        <w:rPr>
          <w:rFonts w:eastAsia="Times New Roman"/>
        </w:rPr>
      </w:pPr>
      <w:r>
        <w:rPr>
          <w:rFonts w:eastAsia="Times New Roman"/>
          <w:color w:val="000000"/>
          <w:sz w:val="20"/>
          <w:szCs w:val="20"/>
        </w:rPr>
        <w:t>57</w:t>
      </w:r>
    </w:p>
    <w:p w:rsidR="00000000" w:rsidRDefault="005048A7">
      <w:pPr>
        <w:rPr>
          <w:rFonts w:eastAsia="Times New Roman"/>
        </w:rPr>
      </w:pPr>
      <w:r>
        <w:rPr>
          <w:rFonts w:eastAsia="Times New Roman"/>
        </w:rPr>
        <w:pict>
          <v:rect id="_x0000_i1082" style="width:0;height:1.5pt" o:hralign="center" o:hrstd="t" o:hr="t" fillcolor="#a0a0a0" stroked="f"/>
        </w:pict>
      </w:r>
    </w:p>
    <w:p w:rsidR="00000000" w:rsidRDefault="005048A7">
      <w:pPr>
        <w:divId w:val="1801796903"/>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ind w:hanging="1170"/>
        <w:jc w:val="both"/>
        <w:rPr>
          <w:rFonts w:eastAsia="Times New Roman"/>
        </w:rPr>
      </w:pPr>
      <w:r>
        <w:rPr>
          <w:rFonts w:eastAsia="Times New Roman"/>
          <w:b/>
          <w:bCs/>
          <w:color w:val="000000"/>
          <w:sz w:val="20"/>
          <w:szCs w:val="20"/>
        </w:rPr>
        <w:t>Item 3.    QUANTITATIVE AND QUALITATIVE DISCLOSURES ABOUT MARKET RISK</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Market Risk</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 xml:space="preserve">We are exposed to market risks primarily from changes in foreign currency exchange rates and interest rates. It is our policy to manage our foreign exchange exposure and debt structure in order to manage capital costs, control financial risks and maintain </w:t>
      </w:r>
      <w:r>
        <w:rPr>
          <w:rFonts w:eastAsia="Times New Roman"/>
          <w:color w:val="000000"/>
          <w:sz w:val="20"/>
          <w:szCs w:val="20"/>
        </w:rPr>
        <w:t>financial flexibility over the long term. In managing market risks, we employ derivatives according to documented policies and procedures, including foreign currency contracts and interest rate swaps. We do not use derivatives for trading or speculative pu</w:t>
      </w:r>
      <w:r>
        <w:rPr>
          <w:rFonts w:eastAsia="Times New Roman"/>
          <w:color w:val="000000"/>
          <w:sz w:val="20"/>
          <w:szCs w:val="20"/>
        </w:rPr>
        <w:t xml:space="preserve">rposes. </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Foreign Exchange Risk</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shd w:val="clear" w:color="auto" w:fill="FFFFFF"/>
        </w:rPr>
        <w:t>Since a substantial portion of our operations and revenue occur outside the United States, and in currencies other than the U.S. Dollar, our results can be significantly impacted by changes in foreign currency exchange ra</w:t>
      </w:r>
      <w:r>
        <w:rPr>
          <w:rFonts w:eastAsia="Times New Roman"/>
          <w:color w:val="000000"/>
          <w:sz w:val="20"/>
          <w:szCs w:val="20"/>
          <w:shd w:val="clear" w:color="auto" w:fill="FFFFFF"/>
        </w:rPr>
        <w:t xml:space="preserve">tes. We have exposure to approximately 50 functional currencies and are exposed to foreign currency exchange risk with respect to our sales, profits and assets and liabilities denominated in currencies other than the U.S. Dollar. Although we use financial </w:t>
      </w:r>
      <w:r>
        <w:rPr>
          <w:rFonts w:eastAsia="Times New Roman"/>
          <w:color w:val="000000"/>
          <w:sz w:val="20"/>
          <w:szCs w:val="20"/>
          <w:shd w:val="clear" w:color="auto" w:fill="FFFFFF"/>
        </w:rPr>
        <w:t>instruments to hedge certain foreign currency risks, we are not fully protected against foreign currency fluctuations and our reported results of operations could be affected by changes in foreign currency exchange rates. To manage our exposures and mitiga</w:t>
      </w:r>
      <w:r>
        <w:rPr>
          <w:rFonts w:eastAsia="Times New Roman"/>
          <w:color w:val="000000"/>
          <w:sz w:val="20"/>
          <w:szCs w:val="20"/>
          <w:shd w:val="clear" w:color="auto" w:fill="FFFFFF"/>
        </w:rPr>
        <w:t>te the impact of currency fluctuations on the operations of our foreign subsidiaries, we hedge our main transactional exposures through the use of foreign exchange forward and option contracts. This is primarily done through the hedging of foreign currency</w:t>
      </w:r>
      <w:r>
        <w:rPr>
          <w:rFonts w:eastAsia="Times New Roman"/>
          <w:color w:val="000000"/>
          <w:sz w:val="20"/>
          <w:szCs w:val="20"/>
          <w:shd w:val="clear" w:color="auto" w:fill="FFFFFF"/>
        </w:rPr>
        <w:t xml:space="preserve"> denominated inter-company inventory purchases by the marketing units and the foreign currency denominated inputs to our manufacturing units. All of these transactions are forecasted. If these contracts are designated as highly effective cash flow hedges, </w:t>
      </w:r>
      <w:r>
        <w:rPr>
          <w:rFonts w:eastAsia="Times New Roman"/>
          <w:color w:val="000000"/>
          <w:sz w:val="20"/>
          <w:szCs w:val="20"/>
          <w:shd w:val="clear" w:color="auto" w:fill="FFFFFF"/>
        </w:rPr>
        <w:t>the gains or losses are deferred into accumulated other comprehensive income (</w:t>
      </w:r>
      <w:r>
        <w:rPr>
          <w:rFonts w:eastAsia="Times New Roman"/>
          <w:color w:val="000000"/>
          <w:sz w:val="20"/>
          <w:szCs w:val="20"/>
        </w:rPr>
        <w:t>“</w:t>
      </w:r>
      <w:r>
        <w:rPr>
          <w:rFonts w:eastAsia="Times New Roman"/>
          <w:color w:val="000000"/>
          <w:sz w:val="20"/>
          <w:szCs w:val="20"/>
          <w:shd w:val="clear" w:color="auto" w:fill="FFFFFF"/>
        </w:rPr>
        <w:t>AOCI</w:t>
      </w:r>
      <w:r>
        <w:rPr>
          <w:rFonts w:eastAsia="Times New Roman"/>
          <w:color w:val="000000"/>
          <w:sz w:val="20"/>
          <w:szCs w:val="20"/>
        </w:rPr>
        <w:t>”</w:t>
      </w:r>
      <w:r>
        <w:rPr>
          <w:rFonts w:eastAsia="Times New Roman"/>
          <w:color w:val="000000"/>
          <w:sz w:val="20"/>
          <w:szCs w:val="20"/>
          <w:shd w:val="clear" w:color="auto" w:fill="FFFFFF"/>
        </w:rPr>
        <w:t>). The gains or losses from derivative contracts that are designated as highly effective cash flow hedges related to inventory purchases are recorded in cost of products wh</w:t>
      </w:r>
      <w:r>
        <w:rPr>
          <w:rFonts w:eastAsia="Times New Roman"/>
          <w:color w:val="000000"/>
          <w:sz w:val="20"/>
          <w:szCs w:val="20"/>
          <w:shd w:val="clear" w:color="auto" w:fill="FFFFFF"/>
        </w:rPr>
        <w:t>en the inventory is sold to an unrelated third party. Otherwise, the gains or losses from these contracts are recognized in earnings as exchange rates change. We also use derivatives not designated as hedging instruments consisting primarily of forward con</w:t>
      </w:r>
      <w:r>
        <w:rPr>
          <w:rFonts w:eastAsia="Times New Roman"/>
          <w:color w:val="000000"/>
          <w:sz w:val="20"/>
          <w:szCs w:val="20"/>
          <w:shd w:val="clear" w:color="auto" w:fill="FFFFFF"/>
        </w:rPr>
        <w:t xml:space="preserve">tracts to hedge foreign currency denominated balance sheet exposures. For these derivatives we recognize gains and losses in the same period as the remeasurement losses and gains of the related foreign currency-denominated exposures.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shd w:val="clear" w:color="auto" w:fill="FFFFFF"/>
        </w:rPr>
        <w:t>We utilize non-exch</w:t>
      </w:r>
      <w:r>
        <w:rPr>
          <w:rFonts w:eastAsia="Times New Roman"/>
          <w:color w:val="000000"/>
          <w:sz w:val="20"/>
          <w:szCs w:val="20"/>
          <w:shd w:val="clear" w:color="auto" w:fill="FFFFFF"/>
        </w:rPr>
        <w:t>ange traded financial instruments, such as foreign exchange forward and option contracts, that we purchase exclusively from highly rated financial institutions. We record these contracts on our balance sheet at fair market value based upon market price quo</w:t>
      </w:r>
      <w:r>
        <w:rPr>
          <w:rFonts w:eastAsia="Times New Roman"/>
          <w:color w:val="000000"/>
          <w:sz w:val="20"/>
          <w:szCs w:val="20"/>
          <w:shd w:val="clear" w:color="auto" w:fill="FFFFFF"/>
        </w:rPr>
        <w:t>tations from the financial institutions. We do not enter into non-exchange traded contracts that require the use of fair value estimation techniques, but if we did, they could have a material impact on our financial results.</w:t>
      </w:r>
      <w:r>
        <w:rPr>
          <w:rFonts w:eastAsia="Times New Roman"/>
          <w:color w:val="000000"/>
          <w:sz w:val="20"/>
          <w:szCs w:val="20"/>
        </w:rPr>
        <w:t xml:space="preserve">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shd w:val="clear" w:color="auto" w:fill="FFFFFF"/>
        </w:rPr>
        <w:t>For purposes of analyzing po</w:t>
      </w:r>
      <w:r>
        <w:rPr>
          <w:rFonts w:eastAsia="Times New Roman"/>
          <w:color w:val="000000"/>
          <w:sz w:val="20"/>
          <w:szCs w:val="20"/>
          <w:shd w:val="clear" w:color="auto" w:fill="FFFFFF"/>
        </w:rPr>
        <w:t>tential risk, we use sensitivity analysis to quantify potential impacts that market rate changes may have on the fair values of our hedge portfolio related to firmly committed or forecasted transactions. The sensitivity analysis represents the hypothetical</w:t>
      </w:r>
      <w:r>
        <w:rPr>
          <w:rFonts w:eastAsia="Times New Roman"/>
          <w:color w:val="000000"/>
          <w:sz w:val="20"/>
          <w:szCs w:val="20"/>
          <w:shd w:val="clear" w:color="auto" w:fill="FFFFFF"/>
        </w:rPr>
        <w:t xml:space="preserve"> changes in value of the hedge position and does not reflect the related gain or loss on the forecasted underlying transaction. A 10% appreciation in the value of the U.S. Dollar against foreign currencies from the prevailing market rates would have result</w:t>
      </w:r>
      <w:r>
        <w:rPr>
          <w:rFonts w:eastAsia="Times New Roman"/>
          <w:color w:val="000000"/>
          <w:sz w:val="20"/>
          <w:szCs w:val="20"/>
          <w:shd w:val="clear" w:color="auto" w:fill="FFFFFF"/>
        </w:rPr>
        <w:t>ed in a corresponding decrease in the fair value of the hedge portfolio of $8 million as of June 30, 2022. A 10% depreciation in the value of the U.S. Dollar against foreign currencies from the prevailing market rates would have resulted in a corresponding</w:t>
      </w:r>
      <w:r>
        <w:rPr>
          <w:rFonts w:eastAsia="Times New Roman"/>
          <w:color w:val="000000"/>
          <w:sz w:val="20"/>
          <w:szCs w:val="20"/>
          <w:shd w:val="clear" w:color="auto" w:fill="FFFFFF"/>
        </w:rPr>
        <w:t xml:space="preserve"> increase in the fair value of the hedge portfolio of $8 million as of June 30, 2022. The Company expects that any increase or decrease in the fair value of the portfolio would be substantially offset by increases or decreases in the underlying exposures b</w:t>
      </w:r>
      <w:r>
        <w:rPr>
          <w:rFonts w:eastAsia="Times New Roman"/>
          <w:color w:val="000000"/>
          <w:sz w:val="20"/>
          <w:szCs w:val="20"/>
          <w:shd w:val="clear" w:color="auto" w:fill="FFFFFF"/>
        </w:rPr>
        <w:t xml:space="preserve">eing hedged.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 xml:space="preserve">The U.S. Dollar was stronger in the second quarter of 2022 compared to the second quarter of 2021 based on comparable weighted averages for our functional currencies. This excludes the effects of our hedging activities and, therefore, does </w:t>
      </w:r>
      <w:r>
        <w:rPr>
          <w:rFonts w:eastAsia="Times New Roman"/>
          <w:color w:val="000000"/>
          <w:sz w:val="20"/>
          <w:szCs w:val="20"/>
        </w:rPr>
        <w:t>not reflect the actual impact of fluctuations in exchange rates on our operating income.</w:t>
      </w:r>
      <w:r>
        <w:rPr>
          <w:rFonts w:eastAsia="Times New Roman"/>
          <w:color w:val="000000"/>
          <w:sz w:val="20"/>
          <w:szCs w:val="20"/>
          <w:shd w:val="clear" w:color="auto" w:fill="FFFFFF"/>
        </w:rPr>
        <w:t xml:space="preserve"> </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shd w:val="clear" w:color="auto" w:fill="FFFFFF"/>
        </w:rPr>
        <w:t>Interest Rate Risk</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shd w:val="clear" w:color="auto" w:fill="FFFFFF"/>
        </w:rPr>
        <w:t>We are subject to interest rate risk principally in relation to variable-rate debt. Approximately 58% of our borrowings were on a fixed rate ba</w:t>
      </w:r>
      <w:r>
        <w:rPr>
          <w:rFonts w:eastAsia="Times New Roman"/>
          <w:color w:val="000000"/>
          <w:sz w:val="20"/>
          <w:szCs w:val="20"/>
          <w:shd w:val="clear" w:color="auto" w:fill="FFFFFF"/>
        </w:rPr>
        <w:t xml:space="preserve">sis as of June 30, 2022. The increase in pre-tax interest expense for the six months ended June 30, 2022 from a hypothetical 100 basis point increase in variable interest rates would be approximately </w:t>
      </w:r>
      <w:r>
        <w:rPr>
          <w:rFonts w:eastAsia="Times New Roman"/>
          <w:color w:val="000000"/>
          <w:sz w:val="20"/>
          <w:szCs w:val="20"/>
        </w:rPr>
        <w:t>$10 million</w:t>
      </w:r>
      <w:r>
        <w:rPr>
          <w:rFonts w:eastAsia="Times New Roman"/>
          <w:color w:val="000000"/>
          <w:sz w:val="20"/>
          <w:szCs w:val="20"/>
          <w:shd w:val="clear" w:color="auto" w:fill="FFFFFF"/>
        </w:rPr>
        <w:t>, including the impact from outstanding inter</w:t>
      </w:r>
      <w:r>
        <w:rPr>
          <w:rFonts w:eastAsia="Times New Roman"/>
          <w:color w:val="000000"/>
          <w:sz w:val="20"/>
          <w:szCs w:val="20"/>
          <w:shd w:val="clear" w:color="auto" w:fill="FFFFFF"/>
        </w:rPr>
        <w:t>est rate swaps.</w:t>
      </w:r>
    </w:p>
    <w:p w:rsidR="00000000" w:rsidRDefault="005048A7">
      <w:pPr>
        <w:jc w:val="both"/>
        <w:rPr>
          <w:rFonts w:eastAsia="Times New Roman"/>
        </w:rPr>
      </w:pPr>
    </w:p>
    <w:p w:rsidR="00000000" w:rsidRDefault="005048A7">
      <w:pPr>
        <w:jc w:val="center"/>
        <w:divId w:val="1629236333"/>
        <w:rPr>
          <w:rFonts w:eastAsia="Times New Roman"/>
        </w:rPr>
      </w:pPr>
      <w:r>
        <w:rPr>
          <w:rFonts w:eastAsia="Times New Roman"/>
          <w:color w:val="000000"/>
          <w:sz w:val="20"/>
          <w:szCs w:val="20"/>
        </w:rPr>
        <w:t>58</w:t>
      </w:r>
    </w:p>
    <w:p w:rsidR="00000000" w:rsidRDefault="005048A7">
      <w:pPr>
        <w:rPr>
          <w:rFonts w:eastAsia="Times New Roman"/>
        </w:rPr>
      </w:pPr>
      <w:r>
        <w:rPr>
          <w:rFonts w:eastAsia="Times New Roman"/>
        </w:rPr>
        <w:pict>
          <v:rect id="_x0000_i1083" style="width:0;height:1.5pt" o:hralign="center" o:hrstd="t" o:hr="t" fillcolor="#a0a0a0" stroked="f"/>
        </w:pict>
      </w:r>
    </w:p>
    <w:p w:rsidR="00000000" w:rsidRDefault="005048A7">
      <w:pPr>
        <w:divId w:val="1931814122"/>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jc w:val="both"/>
        <w:rPr>
          <w:rFonts w:eastAsia="Times New Roman"/>
        </w:rPr>
      </w:pPr>
      <w:r>
        <w:rPr>
          <w:rFonts w:eastAsia="Times New Roman"/>
          <w:color w:val="000000"/>
          <w:sz w:val="20"/>
          <w:szCs w:val="20"/>
        </w:rPr>
        <w:t>Additionally, as our ATM vault cash rental expense is based on market rates of interest, it is sensitive to changes in app</w:t>
      </w:r>
      <w:r>
        <w:rPr>
          <w:rFonts w:eastAsia="Times New Roman"/>
          <w:color w:val="000000"/>
          <w:sz w:val="20"/>
          <w:szCs w:val="20"/>
        </w:rPr>
        <w:t>licable interest rates in the respective countries in which we operate. We pay a monthly fee on the average outstanding vault cash balances in our ATMs under floating rate formulas based on a spread above various interbank offered rates. The increase in va</w:t>
      </w:r>
      <w:r>
        <w:rPr>
          <w:rFonts w:eastAsia="Times New Roman"/>
          <w:color w:val="000000"/>
          <w:sz w:val="20"/>
          <w:szCs w:val="20"/>
        </w:rPr>
        <w:t xml:space="preserve">ult cash rental expense for the three months ended </w:t>
      </w:r>
      <w:r>
        <w:rPr>
          <w:rFonts w:eastAsia="Times New Roman"/>
          <w:color w:val="000000"/>
          <w:sz w:val="20"/>
          <w:szCs w:val="20"/>
          <w:shd w:val="clear" w:color="auto" w:fill="FFFFFF"/>
        </w:rPr>
        <w:t>June 30, 2022</w:t>
      </w:r>
      <w:r>
        <w:rPr>
          <w:rFonts w:eastAsia="Times New Roman"/>
          <w:color w:val="000000"/>
          <w:sz w:val="20"/>
          <w:szCs w:val="20"/>
        </w:rPr>
        <w:t xml:space="preserve"> from a hypothetical 100 basis point increase in variable interest rates would be approximately $10 million, excluding the impact from outstanding interest rate swap agreements.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We utilize interest rate swap contracts and interest rate cap agreements to add stability to interest expense and to manage exposure to interest rate movements as part of our interest rate risk management strategy. Payments and receipts related to interest</w:t>
      </w:r>
      <w:r>
        <w:rPr>
          <w:rFonts w:eastAsia="Times New Roman"/>
          <w:color w:val="000000"/>
          <w:sz w:val="20"/>
          <w:szCs w:val="20"/>
        </w:rPr>
        <w:t xml:space="preserve"> rate cap agreements and interest rate swap contracts are included in cash flows from operating activities in the Condensed Consolidated Statements of Cash Flows. Refer to Note 13, “Derivatives and Hedging Instruments”, for further information on our inter</w:t>
      </w:r>
      <w:r>
        <w:rPr>
          <w:rFonts w:eastAsia="Times New Roman"/>
          <w:color w:val="000000"/>
          <w:sz w:val="20"/>
          <w:szCs w:val="20"/>
        </w:rPr>
        <w:t xml:space="preserve">est rate derivative contracts in effect as of </w:t>
      </w:r>
      <w:r>
        <w:rPr>
          <w:rFonts w:eastAsia="Times New Roman"/>
          <w:color w:val="000000"/>
          <w:sz w:val="20"/>
          <w:szCs w:val="20"/>
          <w:shd w:val="clear" w:color="auto" w:fill="FFFFFF"/>
        </w:rPr>
        <w:t>June 30, 2022</w:t>
      </w:r>
      <w:r>
        <w:rPr>
          <w:rFonts w:eastAsia="Times New Roman"/>
          <w:color w:val="000000"/>
          <w:sz w:val="20"/>
          <w:szCs w:val="20"/>
        </w:rPr>
        <w:t>.</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Concentrations of Credit Risk</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We are potentially subject to concentrations of credit risk on accounts receivable and financial instruments, such as hedging instruments and cash and cash equiv</w:t>
      </w:r>
      <w:r>
        <w:rPr>
          <w:rFonts w:eastAsia="Times New Roman"/>
          <w:color w:val="000000"/>
          <w:sz w:val="20"/>
          <w:szCs w:val="20"/>
        </w:rPr>
        <w:t>alents. Credit risk includes the risk of nonperformance by counterparties. The maximum potential loss may exceed the amount recognized on the balance sheet. Exposure to credit risk is managed through credit approvals, credit limits, selecting major interna</w:t>
      </w:r>
      <w:r>
        <w:rPr>
          <w:rFonts w:eastAsia="Times New Roman"/>
          <w:color w:val="000000"/>
          <w:sz w:val="20"/>
          <w:szCs w:val="20"/>
        </w:rPr>
        <w:t>tional financial institutions as counterparties to hedging transactions, and monitoring procedures. Our business often involves large transactions with customers for which we do not require collateral. If one or more of those customers were to default in i</w:t>
      </w:r>
      <w:r>
        <w:rPr>
          <w:rFonts w:eastAsia="Times New Roman"/>
          <w:color w:val="000000"/>
          <w:sz w:val="20"/>
          <w:szCs w:val="20"/>
        </w:rPr>
        <w:t>ts obligations under applicable contractual arrangements, we could be exposed to potentially significant losses. Moreover, a prolonged downturn in the global economy could have an adverse impact on the ability of our customers to pay their obligations on a</w:t>
      </w:r>
      <w:r>
        <w:rPr>
          <w:rFonts w:eastAsia="Times New Roman"/>
          <w:color w:val="000000"/>
          <w:sz w:val="20"/>
          <w:szCs w:val="20"/>
        </w:rPr>
        <w:t xml:space="preserve"> timely basis. We believe that the reserves for potential losses are adequate. As of June 30, 2022, we did not have any significant concentration of credit risk related to financial instruments.</w:t>
      </w:r>
    </w:p>
    <w:p w:rsidR="00000000" w:rsidRDefault="005048A7">
      <w:pPr>
        <w:jc w:val="both"/>
        <w:rPr>
          <w:rFonts w:eastAsia="Times New Roman"/>
        </w:rPr>
      </w:pPr>
    </w:p>
    <w:p w:rsidR="00000000" w:rsidRDefault="005048A7">
      <w:pPr>
        <w:ind w:hanging="1170"/>
        <w:jc w:val="both"/>
        <w:rPr>
          <w:rFonts w:eastAsia="Times New Roman"/>
        </w:rPr>
      </w:pPr>
      <w:r>
        <w:rPr>
          <w:rFonts w:eastAsia="Times New Roman"/>
          <w:b/>
          <w:bCs/>
          <w:color w:val="000000"/>
          <w:sz w:val="20"/>
          <w:szCs w:val="20"/>
        </w:rPr>
        <w:t>Item 4.    CONTROLS AND PROCEDURES</w:t>
      </w:r>
    </w:p>
    <w:p w:rsidR="00000000" w:rsidRDefault="005048A7">
      <w:pPr>
        <w:jc w:val="both"/>
        <w:rPr>
          <w:rFonts w:eastAsia="Times New Roman"/>
        </w:rPr>
      </w:pPr>
    </w:p>
    <w:p w:rsidR="00000000" w:rsidRDefault="005048A7">
      <w:pPr>
        <w:jc w:val="both"/>
        <w:rPr>
          <w:rFonts w:eastAsia="Times New Roman"/>
        </w:rPr>
      </w:pPr>
      <w:r>
        <w:rPr>
          <w:rFonts w:eastAsia="Times New Roman"/>
          <w:i/>
          <w:iCs/>
          <w:color w:val="000000"/>
          <w:sz w:val="20"/>
          <w:szCs w:val="20"/>
        </w:rPr>
        <w:t>Evaluation of Disclosure Controls and Procedures</w:t>
      </w:r>
    </w:p>
    <w:p w:rsidR="00000000" w:rsidRDefault="005048A7">
      <w:pPr>
        <w:jc w:val="both"/>
        <w:divId w:val="666131062"/>
        <w:rPr>
          <w:rFonts w:eastAsia="Times New Roman"/>
        </w:rPr>
      </w:pPr>
      <w:r>
        <w:rPr>
          <w:rFonts w:eastAsia="Times New Roman"/>
          <w:color w:val="000000"/>
          <w:sz w:val="20"/>
          <w:szCs w:val="20"/>
        </w:rPr>
        <w:t>NCR has established disclosure controls and procedures (as defined in Rules 13a-15(e) and 15d-15(e) of the Securities Exchange Act of 1934 (the Exchange Act)) to provide reasonable assurance that information</w:t>
      </w:r>
      <w:r>
        <w:rPr>
          <w:rFonts w:eastAsia="Times New Roman"/>
          <w:color w:val="000000"/>
          <w:sz w:val="20"/>
          <w:szCs w:val="20"/>
        </w:rPr>
        <w:t xml:space="preserve"> required to be disclosed by NCR in the reports that it files or submits under the Exchange Act is recorded, processed, summarized and reported within the time periods specified in the SEC’s rules and forms. Disclosure controls and procedures include, with</w:t>
      </w:r>
      <w:r>
        <w:rPr>
          <w:rFonts w:eastAsia="Times New Roman"/>
          <w:color w:val="000000"/>
          <w:sz w:val="20"/>
          <w:szCs w:val="20"/>
        </w:rPr>
        <w:t xml:space="preserve">out limitation, controls and procedures designed to provide reasonable assurance that information required to be disclosed by NCR in the reports that it files or submits under the Exchange Act is accumulated and communicated to NCR’s management, including </w:t>
      </w:r>
      <w:r>
        <w:rPr>
          <w:rFonts w:eastAsia="Times New Roman"/>
          <w:color w:val="000000"/>
          <w:sz w:val="20"/>
          <w:szCs w:val="20"/>
        </w:rPr>
        <w:t>its Chief Executive and Chief Financial Officers, as appropriate to allow timely decisions regarding required disclosure. Based on their evaluation as of the end of the second quarter of 2022, conducted under their supervision and with the participation of</w:t>
      </w:r>
      <w:r>
        <w:rPr>
          <w:rFonts w:eastAsia="Times New Roman"/>
          <w:color w:val="000000"/>
          <w:sz w:val="20"/>
          <w:szCs w:val="20"/>
        </w:rPr>
        <w:t xml:space="preserve"> management, the Company’s Chief Executive and Chief Financial Officers have concluded that NCR’s disclosure controls and procedures are effective to meet such objectives and that NCR’s disclosure controls and procedures adequately alert them on a timely b</w:t>
      </w:r>
      <w:r>
        <w:rPr>
          <w:rFonts w:eastAsia="Times New Roman"/>
          <w:color w:val="000000"/>
          <w:sz w:val="20"/>
          <w:szCs w:val="20"/>
        </w:rPr>
        <w:t xml:space="preserve">asis to material information relating to the Company (including its consolidated subsidiaries) required to be included in NCR’s Exchange Act filings. </w:t>
      </w:r>
    </w:p>
    <w:p w:rsidR="00000000" w:rsidRDefault="005048A7">
      <w:pPr>
        <w:jc w:val="both"/>
        <w:divId w:val="112332635"/>
        <w:rPr>
          <w:rFonts w:eastAsia="Times New Roman"/>
        </w:rPr>
      </w:pPr>
    </w:p>
    <w:p w:rsidR="00000000" w:rsidRDefault="005048A7">
      <w:pPr>
        <w:jc w:val="both"/>
        <w:divId w:val="381945408"/>
        <w:rPr>
          <w:rFonts w:eastAsia="Times New Roman"/>
        </w:rPr>
      </w:pPr>
      <w:r>
        <w:rPr>
          <w:rFonts w:eastAsia="Times New Roman"/>
          <w:i/>
          <w:iCs/>
          <w:color w:val="000000"/>
          <w:sz w:val="20"/>
          <w:szCs w:val="20"/>
        </w:rPr>
        <w:t>Changes in Internal Control over Financial Reporting</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There have been no changes in our internal contr</w:t>
      </w:r>
      <w:r>
        <w:rPr>
          <w:rFonts w:eastAsia="Times New Roman"/>
          <w:color w:val="000000"/>
          <w:sz w:val="20"/>
          <w:szCs w:val="20"/>
        </w:rPr>
        <w:t>ol over financial reporting that occurred during the three months ended June 30, 2022 that have materially affected, or are reasonably likely to materially affect, our internal control over financial reporting.</w:t>
      </w:r>
    </w:p>
    <w:p w:rsidR="00000000" w:rsidRDefault="005048A7">
      <w:pPr>
        <w:jc w:val="both"/>
        <w:rPr>
          <w:rFonts w:eastAsia="Times New Roman"/>
        </w:rPr>
      </w:pPr>
    </w:p>
    <w:p w:rsidR="00000000" w:rsidRDefault="005048A7">
      <w:pPr>
        <w:jc w:val="center"/>
        <w:divId w:val="1435789144"/>
        <w:rPr>
          <w:rFonts w:eastAsia="Times New Roman"/>
        </w:rPr>
      </w:pPr>
      <w:r>
        <w:rPr>
          <w:rFonts w:eastAsia="Times New Roman"/>
          <w:color w:val="000000"/>
          <w:sz w:val="20"/>
          <w:szCs w:val="20"/>
        </w:rPr>
        <w:t>59</w:t>
      </w:r>
    </w:p>
    <w:p w:rsidR="00000000" w:rsidRDefault="005048A7">
      <w:pPr>
        <w:rPr>
          <w:rFonts w:eastAsia="Times New Roman"/>
        </w:rPr>
      </w:pPr>
      <w:r>
        <w:rPr>
          <w:rFonts w:eastAsia="Times New Roman"/>
        </w:rPr>
        <w:pict>
          <v:rect id="_x0000_i1084" style="width:0;height:1.5pt" o:hralign="center" o:hrstd="t" o:hr="t" fillcolor="#a0a0a0" stroked="f"/>
        </w:pict>
      </w:r>
    </w:p>
    <w:p w:rsidR="00000000" w:rsidRDefault="005048A7">
      <w:pPr>
        <w:divId w:val="275017753"/>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jc w:val="center"/>
        <w:rPr>
          <w:rFonts w:eastAsia="Times New Roman"/>
        </w:rPr>
      </w:pPr>
      <w:r>
        <w:rPr>
          <w:rFonts w:eastAsia="Times New Roman"/>
          <w:b/>
          <w:bCs/>
          <w:color w:val="000000"/>
          <w:sz w:val="20"/>
          <w:szCs w:val="20"/>
        </w:rPr>
        <w:t>Part II. Other Information</w:t>
      </w:r>
    </w:p>
    <w:p w:rsidR="00000000" w:rsidRDefault="005048A7">
      <w:pPr>
        <w:divId w:val="604188082"/>
        <w:rPr>
          <w:rFonts w:eastAsia="Times New Roman"/>
        </w:rPr>
      </w:pPr>
    </w:p>
    <w:p w:rsidR="00000000" w:rsidRDefault="005048A7">
      <w:pPr>
        <w:ind w:hanging="1170"/>
        <w:jc w:val="both"/>
        <w:rPr>
          <w:rFonts w:eastAsia="Times New Roman"/>
        </w:rPr>
      </w:pPr>
      <w:r>
        <w:rPr>
          <w:rFonts w:eastAsia="Times New Roman"/>
          <w:b/>
          <w:bCs/>
          <w:color w:val="000000"/>
          <w:sz w:val="20"/>
          <w:szCs w:val="20"/>
        </w:rPr>
        <w:t>Item 1.    LEGAL PROCEEDINGS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 information required by this item is included in Note 10, “Commitments and Contingencies” of the Notes to Condensed Cons</w:t>
      </w:r>
      <w:r>
        <w:rPr>
          <w:rFonts w:eastAsia="Times New Roman"/>
          <w:color w:val="000000"/>
          <w:sz w:val="20"/>
          <w:szCs w:val="20"/>
        </w:rPr>
        <w:t>olidated Financial Statements in this quarterly report and is incorporated herein by reference.</w:t>
      </w:r>
    </w:p>
    <w:p w:rsidR="00000000" w:rsidRDefault="005048A7">
      <w:pPr>
        <w:divId w:val="378673598"/>
        <w:rPr>
          <w:rFonts w:eastAsia="Times New Roman"/>
        </w:rPr>
      </w:pPr>
    </w:p>
    <w:p w:rsidR="00000000" w:rsidRDefault="005048A7">
      <w:pPr>
        <w:jc w:val="both"/>
        <w:rPr>
          <w:rFonts w:eastAsia="Times New Roman"/>
        </w:rPr>
      </w:pPr>
      <w:r>
        <w:rPr>
          <w:rFonts w:eastAsia="Times New Roman"/>
          <w:b/>
          <w:bCs/>
          <w:color w:val="000000"/>
          <w:sz w:val="20"/>
          <w:szCs w:val="20"/>
        </w:rPr>
        <w:t>Item 1A.    RISK FACTORS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There have been no material changes to the risk factors previously set forth under Part I, Item IA (“Risk Factors”) of the Company's 2021 Annual Report on Form 10-K (“Form 10-K”). Additional risks and uncertainties not presently known to us or that are cur</w:t>
      </w:r>
      <w:r>
        <w:rPr>
          <w:rFonts w:eastAsia="Times New Roman"/>
          <w:color w:val="000000"/>
          <w:sz w:val="20"/>
          <w:szCs w:val="20"/>
        </w:rPr>
        <w:t>rently not believed to be significant to our business may also affect our actual results and could harm our business, financial conditions and results of operations. If any additional risks and uncertainties actually occur, our business, results of operati</w:t>
      </w:r>
      <w:r>
        <w:rPr>
          <w:rFonts w:eastAsia="Times New Roman"/>
          <w:color w:val="000000"/>
          <w:sz w:val="20"/>
          <w:szCs w:val="20"/>
        </w:rPr>
        <w:t xml:space="preserve">ons and financial condition could be materially and adversely affected. </w:t>
      </w:r>
    </w:p>
    <w:p w:rsidR="00000000" w:rsidRDefault="005048A7">
      <w:pPr>
        <w:jc w:val="both"/>
        <w:rPr>
          <w:rFonts w:eastAsia="Times New Roman"/>
        </w:rPr>
      </w:pPr>
    </w:p>
    <w:p w:rsidR="00000000" w:rsidRDefault="005048A7">
      <w:pPr>
        <w:ind w:hanging="1170"/>
        <w:jc w:val="both"/>
        <w:rPr>
          <w:rFonts w:eastAsia="Times New Roman"/>
        </w:rPr>
      </w:pPr>
    </w:p>
    <w:p w:rsidR="00000000" w:rsidRDefault="005048A7">
      <w:pPr>
        <w:ind w:hanging="1170"/>
        <w:jc w:val="both"/>
        <w:rPr>
          <w:rFonts w:eastAsia="Times New Roman"/>
        </w:rPr>
      </w:pPr>
      <w:r>
        <w:rPr>
          <w:rFonts w:eastAsia="Times New Roman"/>
          <w:b/>
          <w:bCs/>
          <w:color w:val="000000"/>
          <w:sz w:val="20"/>
          <w:szCs w:val="20"/>
        </w:rPr>
        <w:t>Item 2.    UNREGISTERED SALES OF EQUITY SECURITIES AND USE OF PROCEEDS</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On October 19, 2016, the Board approved a share repurchase program, with no expiration from the date of au</w:t>
      </w:r>
      <w:r>
        <w:rPr>
          <w:rFonts w:eastAsia="Times New Roman"/>
          <w:color w:val="000000"/>
          <w:sz w:val="20"/>
          <w:szCs w:val="20"/>
        </w:rPr>
        <w:t>thorization, for the systematic repurchase of the Company’s common stock to offset the dilutive effects of the Company’s employee stock purchase plan, equity awards and in-kind dividends on the Company’s Series A Convertible Preferred Stock. Availability u</w:t>
      </w:r>
      <w:r>
        <w:rPr>
          <w:rFonts w:eastAsia="Times New Roman"/>
          <w:color w:val="000000"/>
          <w:sz w:val="20"/>
          <w:szCs w:val="20"/>
        </w:rPr>
        <w:t>nder this program accrues quarterly based on the average value of dilutive issuances during the quarter.</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On March 12, 2017, the Board approved a second share repurchase program, with no expiration from the date of authorization, that provides for the rep</w:t>
      </w:r>
      <w:r>
        <w:rPr>
          <w:rFonts w:eastAsia="Times New Roman"/>
          <w:color w:val="000000"/>
          <w:sz w:val="20"/>
          <w:szCs w:val="20"/>
        </w:rPr>
        <w:t xml:space="preserve">urchase of up to $300 million of the Company’s common stock. On July 25, 2018, the Board authorized an incremental $200 million of share repurchases under this program. </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As of June 30, 2022, $153 million was available for repurchases under the March 2017</w:t>
      </w:r>
      <w:r>
        <w:rPr>
          <w:rFonts w:eastAsia="Times New Roman"/>
          <w:color w:val="000000"/>
          <w:sz w:val="20"/>
          <w:szCs w:val="20"/>
        </w:rPr>
        <w:t xml:space="preserve"> program, and approximately $782 million was available for repurchases under the October 2016 dilution offset program. The timing and amount of repurchases under these programs depend upon market conditions and may be made from time to time in open market </w:t>
      </w:r>
      <w:r>
        <w:rPr>
          <w:rFonts w:eastAsia="Times New Roman"/>
          <w:color w:val="000000"/>
          <w:sz w:val="20"/>
          <w:szCs w:val="20"/>
        </w:rPr>
        <w:t>purchases, privately negotiated transactions, accelerated stock repurchase programs, issuer self-tender offers or otherwise. The repurchases will be made in compliance with applicable securities laws and may be discontinued at any time.</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The Company occas</w:t>
      </w:r>
      <w:r>
        <w:rPr>
          <w:rFonts w:eastAsia="Times New Roman"/>
          <w:color w:val="000000"/>
          <w:sz w:val="20"/>
          <w:szCs w:val="20"/>
        </w:rPr>
        <w:t>ionally purchases vested restricted stock or exercised stock options at the current market price to cover withholding taxes</w:t>
      </w:r>
      <w:r>
        <w:rPr>
          <w:rFonts w:eastAsia="Times New Roman"/>
          <w:color w:val="000000"/>
          <w:sz w:val="20"/>
          <w:szCs w:val="20"/>
          <w:shd w:val="clear" w:color="auto" w:fill="FFFFFF"/>
        </w:rPr>
        <w:t xml:space="preserve">. For the three months ended June 30, 2022, less than </w:t>
      </w:r>
      <w:r>
        <w:rPr>
          <w:rFonts w:eastAsia="Times New Roman"/>
          <w:color w:val="000000"/>
          <w:sz w:val="20"/>
          <w:szCs w:val="20"/>
        </w:rPr>
        <w:t>0.1 million</w:t>
      </w:r>
      <w:r>
        <w:rPr>
          <w:rFonts w:eastAsia="Times New Roman"/>
          <w:color w:val="000000"/>
          <w:sz w:val="20"/>
          <w:szCs w:val="20"/>
          <w:shd w:val="clear" w:color="auto" w:fill="FFFFFF"/>
        </w:rPr>
        <w:t xml:space="preserve"> shares were purchased at an average price of </w:t>
      </w:r>
      <w:r>
        <w:rPr>
          <w:rFonts w:eastAsia="Times New Roman"/>
          <w:color w:val="000000"/>
          <w:sz w:val="20"/>
          <w:szCs w:val="20"/>
        </w:rPr>
        <w:t>$39.35</w:t>
      </w:r>
      <w:r>
        <w:rPr>
          <w:rFonts w:eastAsia="Times New Roman"/>
          <w:color w:val="000000"/>
          <w:sz w:val="20"/>
          <w:szCs w:val="20"/>
          <w:shd w:val="clear" w:color="auto" w:fill="FFFFFF"/>
        </w:rPr>
        <w:t xml:space="preserve"> per share.</w:t>
      </w:r>
    </w:p>
    <w:p w:rsidR="00000000" w:rsidRDefault="005048A7">
      <w:pPr>
        <w:jc w:val="both"/>
        <w:rPr>
          <w:rFonts w:eastAsia="Times New Roman"/>
        </w:rPr>
      </w:pPr>
    </w:p>
    <w:p w:rsidR="00000000" w:rsidRDefault="005048A7">
      <w:pPr>
        <w:jc w:val="both"/>
        <w:rPr>
          <w:rFonts w:eastAsia="Times New Roman"/>
        </w:rPr>
      </w:pPr>
      <w:r>
        <w:rPr>
          <w:rFonts w:eastAsia="Times New Roman"/>
          <w:color w:val="000000"/>
          <w:sz w:val="20"/>
          <w:szCs w:val="20"/>
        </w:rPr>
        <w:t>Th</w:t>
      </w:r>
      <w:r>
        <w:rPr>
          <w:rFonts w:eastAsia="Times New Roman"/>
          <w:color w:val="000000"/>
          <w:sz w:val="20"/>
          <w:szCs w:val="20"/>
        </w:rPr>
        <w:t>e Company’s ability to repurchase its common stock is restricted under the Company’s Senior Secured Credit Facility and terms of the indentures for the Company’s senior unsecured notes, which prohibit certain share repurchases, including during the occurre</w:t>
      </w:r>
      <w:r>
        <w:rPr>
          <w:rFonts w:eastAsia="Times New Roman"/>
          <w:color w:val="000000"/>
          <w:sz w:val="20"/>
          <w:szCs w:val="20"/>
        </w:rPr>
        <w:t xml:space="preserve">nce of an event of default, and establish limits on the amount that the Company is permitted to allocate to share repurchases and other restricted payments. The limitations are calculated using formulas based generally on 50% of the Company’s consolidated </w:t>
      </w:r>
      <w:r>
        <w:rPr>
          <w:rFonts w:eastAsia="Times New Roman"/>
          <w:color w:val="000000"/>
          <w:sz w:val="20"/>
          <w:szCs w:val="20"/>
        </w:rPr>
        <w:t>net income for the period beginning in the third quarter of 2012 through the end of the most recently ended fiscal quarter, subject to certain other adjustments and deductions, with certain prescribed minimums. These formulas are described in greater detai</w:t>
      </w:r>
      <w:r>
        <w:rPr>
          <w:rFonts w:eastAsia="Times New Roman"/>
          <w:color w:val="000000"/>
          <w:sz w:val="20"/>
          <w:szCs w:val="20"/>
        </w:rPr>
        <w:t>l in the Company’s Senior Secured Credit Facility and the indentures for the Company’s senior unsecured notes, each of which is filed with the SEC.</w:t>
      </w:r>
    </w:p>
    <w:p w:rsidR="00000000" w:rsidRDefault="005048A7">
      <w:pPr>
        <w:jc w:val="center"/>
        <w:divId w:val="350378782"/>
        <w:rPr>
          <w:rFonts w:eastAsia="Times New Roman"/>
        </w:rPr>
      </w:pPr>
      <w:r>
        <w:rPr>
          <w:rFonts w:eastAsia="Times New Roman"/>
          <w:color w:val="000000"/>
          <w:sz w:val="20"/>
          <w:szCs w:val="20"/>
        </w:rPr>
        <w:t>60</w:t>
      </w:r>
    </w:p>
    <w:p w:rsidR="00000000" w:rsidRDefault="005048A7">
      <w:pPr>
        <w:rPr>
          <w:rFonts w:eastAsia="Times New Roman"/>
        </w:rPr>
      </w:pPr>
      <w:r>
        <w:rPr>
          <w:rFonts w:eastAsia="Times New Roman"/>
        </w:rPr>
        <w:pict>
          <v:rect id="_x0000_i1085" style="width:0;height:1.5pt" o:hralign="center" o:hrstd="t" o:hr="t" fillcolor="#a0a0a0" stroked="f"/>
        </w:pict>
      </w:r>
    </w:p>
    <w:p w:rsidR="00000000" w:rsidRDefault="005048A7">
      <w:pPr>
        <w:divId w:val="472984135"/>
        <w:rPr>
          <w:rFonts w:eastAsia="Times New Roman"/>
        </w:rPr>
      </w:pPr>
      <w:hyperlink w:anchor="i1e5a5c829d0c4e47b43817acb739c3cf_7" w:history="1">
        <w:r>
          <w:rPr>
            <w:rStyle w:val="a3"/>
            <w:rFonts w:eastAsia="Times New Roman"/>
            <w:sz w:val="16"/>
            <w:szCs w:val="16"/>
          </w:rPr>
          <w:t>Table of C</w:t>
        </w:r>
        <w:r>
          <w:rPr>
            <w:rStyle w:val="a3"/>
            <w:rFonts w:eastAsia="Times New Roman"/>
            <w:sz w:val="16"/>
            <w:szCs w:val="16"/>
          </w:rPr>
          <w:t>ontents</w:t>
        </w:r>
      </w:hyperlink>
    </w:p>
    <w:p w:rsidR="00000000" w:rsidRDefault="005048A7">
      <w:pPr>
        <w:ind w:hanging="450"/>
        <w:divId w:val="2127583272"/>
        <w:rPr>
          <w:rFonts w:eastAsia="Times New Roman"/>
        </w:rPr>
      </w:pPr>
      <w:r>
        <w:rPr>
          <w:rFonts w:eastAsia="Times New Roman"/>
          <w:b/>
          <w:bCs/>
          <w:color w:val="000000"/>
          <w:sz w:val="20"/>
          <w:szCs w:val="20"/>
        </w:rPr>
        <w:t>    Item 6.     EXHIBITS</w:t>
      </w:r>
    </w:p>
    <w:tbl>
      <w:tblPr>
        <w:tblW w:w="4919" w:type="pct"/>
        <w:tblCellMar>
          <w:top w:w="15" w:type="dxa"/>
          <w:left w:w="15" w:type="dxa"/>
          <w:bottom w:w="15" w:type="dxa"/>
          <w:right w:w="15" w:type="dxa"/>
        </w:tblCellMar>
        <w:tblLook w:val="04A0" w:firstRow="1" w:lastRow="0" w:firstColumn="1" w:lastColumn="0" w:noHBand="0" w:noVBand="1"/>
      </w:tblPr>
      <w:tblGrid>
        <w:gridCol w:w="67"/>
        <w:gridCol w:w="769"/>
        <w:gridCol w:w="36"/>
        <w:gridCol w:w="68"/>
        <w:gridCol w:w="7194"/>
        <w:gridCol w:w="37"/>
      </w:tblGrid>
      <w:tr w:rsidR="00000000">
        <w:trPr>
          <w:divId w:val="908154649"/>
        </w:trPr>
        <w:tc>
          <w:tcPr>
            <w:tcW w:w="50" w:type="pct"/>
            <w:vAlign w:val="center"/>
            <w:hideMark/>
          </w:tcPr>
          <w:p w:rsidR="00000000" w:rsidRDefault="005048A7">
            <w:pPr>
              <w:ind w:hanging="450"/>
              <w:rPr>
                <w:rFonts w:eastAsia="Times New Roman"/>
              </w:rPr>
            </w:pPr>
          </w:p>
        </w:tc>
        <w:tc>
          <w:tcPr>
            <w:tcW w:w="47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4410"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908154649"/>
        </w:trPr>
        <w:tc>
          <w:tcPr>
            <w:tcW w:w="0" w:type="auto"/>
            <w:gridSpan w:val="3"/>
            <w:tcMar>
              <w:top w:w="30" w:type="dxa"/>
              <w:left w:w="20" w:type="dxa"/>
              <w:bottom w:w="30" w:type="dxa"/>
              <w:right w:w="20" w:type="dxa"/>
            </w:tcMar>
            <w:hideMark/>
          </w:tcPr>
          <w:p w:rsidR="00000000" w:rsidRDefault="005048A7">
            <w:pPr>
              <w:spacing w:after="100"/>
              <w:jc w:val="both"/>
              <w:rPr>
                <w:rFonts w:eastAsia="Times New Roman"/>
              </w:rPr>
            </w:pPr>
            <w:hyperlink r:id="rId5" w:history="1">
              <w:r>
                <w:rPr>
                  <w:rStyle w:val="a3"/>
                  <w:rFonts w:eastAsia="Times New Roman"/>
                  <w:sz w:val="20"/>
                  <w:szCs w:val="20"/>
                </w:rPr>
                <w:t>10.1</w:t>
              </w:r>
            </w:hyperlink>
          </w:p>
        </w:tc>
        <w:tc>
          <w:tcPr>
            <w:tcW w:w="0" w:type="auto"/>
            <w:gridSpan w:val="3"/>
            <w:tcMar>
              <w:top w:w="30" w:type="dxa"/>
              <w:left w:w="20" w:type="dxa"/>
              <w:bottom w:w="30" w:type="dxa"/>
              <w:right w:w="20" w:type="dxa"/>
            </w:tcMar>
            <w:hideMark/>
          </w:tcPr>
          <w:p w:rsidR="00000000" w:rsidRDefault="005048A7">
            <w:pPr>
              <w:spacing w:after="100"/>
              <w:divId w:val="373235025"/>
              <w:rPr>
                <w:rFonts w:eastAsia="Times New Roman"/>
              </w:rPr>
            </w:pPr>
            <w:r>
              <w:rPr>
                <w:rFonts w:eastAsia="Times New Roman"/>
                <w:color w:val="000000"/>
                <w:sz w:val="20"/>
                <w:szCs w:val="20"/>
              </w:rPr>
              <w:t>NCR Corporation Executive Officer Cash Severance Policy (Exhibit 99.1 to the Current Report on Form 8-K of NCR Corporation dated May 4, 2022) *</w:t>
            </w:r>
          </w:p>
        </w:tc>
      </w:tr>
      <w:tr w:rsidR="00000000">
        <w:trPr>
          <w:divId w:val="908154649"/>
        </w:trPr>
        <w:tc>
          <w:tcPr>
            <w:tcW w:w="0" w:type="auto"/>
            <w:gridSpan w:val="3"/>
            <w:vAlign w:val="center"/>
            <w:hideMark/>
          </w:tcPr>
          <w:p w:rsidR="00000000" w:rsidRDefault="005048A7">
            <w:pPr>
              <w:spacing w:after="100"/>
              <w:rPr>
                <w:rFonts w:eastAsia="Times New Roman"/>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908154649"/>
        </w:trPr>
        <w:tc>
          <w:tcPr>
            <w:tcW w:w="0" w:type="auto"/>
            <w:gridSpan w:val="3"/>
            <w:vAlign w:val="center"/>
            <w:hideMark/>
          </w:tcPr>
          <w:p w:rsidR="00000000" w:rsidRDefault="005048A7">
            <w:pPr>
              <w:spacing w:after="100"/>
              <w:rPr>
                <w:rFonts w:eastAsia="Times New Roman"/>
                <w:sz w:val="20"/>
                <w:szCs w:val="20"/>
              </w:rPr>
            </w:pPr>
          </w:p>
        </w:tc>
        <w:tc>
          <w:tcPr>
            <w:tcW w:w="0" w:type="auto"/>
            <w:gridSpan w:val="3"/>
            <w:vAlign w:val="center"/>
            <w:hideMark/>
          </w:tcPr>
          <w:p w:rsidR="00000000" w:rsidRDefault="005048A7">
            <w:pPr>
              <w:spacing w:after="100"/>
              <w:rPr>
                <w:rFonts w:eastAsia="Times New Roman"/>
                <w:sz w:val="20"/>
                <w:szCs w:val="20"/>
              </w:rPr>
            </w:pPr>
          </w:p>
        </w:tc>
      </w:tr>
      <w:tr w:rsidR="00000000">
        <w:trPr>
          <w:divId w:val="908154649"/>
          <w:trHeight w:val="100"/>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908154649"/>
        </w:trPr>
        <w:tc>
          <w:tcPr>
            <w:tcW w:w="0" w:type="auto"/>
            <w:gridSpan w:val="3"/>
            <w:tcMar>
              <w:top w:w="30" w:type="dxa"/>
              <w:left w:w="20" w:type="dxa"/>
              <w:bottom w:w="30" w:type="dxa"/>
              <w:right w:w="20" w:type="dxa"/>
            </w:tcMar>
            <w:hideMark/>
          </w:tcPr>
          <w:p w:rsidR="00000000" w:rsidRDefault="005048A7">
            <w:pPr>
              <w:spacing w:after="100"/>
              <w:jc w:val="both"/>
              <w:rPr>
                <w:rFonts w:eastAsia="Times New Roman"/>
              </w:rPr>
            </w:pPr>
            <w:hyperlink r:id="rId6" w:history="1">
              <w:r>
                <w:rPr>
                  <w:rStyle w:val="a3"/>
                  <w:rFonts w:eastAsia="Times New Roman"/>
                  <w:sz w:val="20"/>
                  <w:szCs w:val="20"/>
                </w:rPr>
                <w:t>31.1</w:t>
              </w:r>
            </w:hyperlink>
          </w:p>
        </w:tc>
        <w:tc>
          <w:tcPr>
            <w:tcW w:w="0" w:type="auto"/>
            <w:gridSpan w:val="3"/>
            <w:tcMar>
              <w:top w:w="30" w:type="dxa"/>
              <w:left w:w="20" w:type="dxa"/>
              <w:bottom w:w="30" w:type="dxa"/>
              <w:right w:w="20" w:type="dxa"/>
            </w:tcMar>
            <w:hideMark/>
          </w:tcPr>
          <w:p w:rsidR="00000000" w:rsidRDefault="005048A7">
            <w:pPr>
              <w:spacing w:after="100"/>
              <w:jc w:val="both"/>
              <w:rPr>
                <w:rFonts w:eastAsia="Times New Roman"/>
              </w:rPr>
            </w:pPr>
            <w:r>
              <w:rPr>
                <w:rFonts w:eastAsia="Times New Roman"/>
                <w:color w:val="000000"/>
                <w:sz w:val="20"/>
                <w:szCs w:val="20"/>
              </w:rPr>
              <w:t>Certification pursuant to Rule 13a-14(a) and Rule 15d-14(a) of the Securities Exchange Act of 1934.</w:t>
            </w:r>
          </w:p>
        </w:tc>
      </w:tr>
      <w:tr w:rsidR="00000000">
        <w:trPr>
          <w:divId w:val="908154649"/>
          <w:trHeight w:val="100"/>
        </w:trPr>
        <w:tc>
          <w:tcPr>
            <w:tcW w:w="0" w:type="auto"/>
            <w:gridSpan w:val="3"/>
            <w:tcMar>
              <w:top w:w="0" w:type="dxa"/>
              <w:left w:w="20" w:type="dxa"/>
              <w:bottom w:w="0" w:type="dxa"/>
              <w:right w:w="20" w:type="dxa"/>
            </w:tcMar>
            <w:vAlign w:val="center"/>
            <w:hideMark/>
          </w:tcPr>
          <w:p w:rsidR="00000000" w:rsidRDefault="005048A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908154649"/>
        </w:trPr>
        <w:tc>
          <w:tcPr>
            <w:tcW w:w="0" w:type="auto"/>
            <w:gridSpan w:val="3"/>
            <w:tcMar>
              <w:top w:w="30" w:type="dxa"/>
              <w:left w:w="20" w:type="dxa"/>
              <w:bottom w:w="30" w:type="dxa"/>
              <w:right w:w="20" w:type="dxa"/>
            </w:tcMar>
            <w:hideMark/>
          </w:tcPr>
          <w:p w:rsidR="00000000" w:rsidRDefault="005048A7">
            <w:pPr>
              <w:spacing w:after="100"/>
              <w:jc w:val="both"/>
              <w:rPr>
                <w:rFonts w:eastAsia="Times New Roman"/>
              </w:rPr>
            </w:pPr>
            <w:hyperlink r:id="rId7" w:history="1">
              <w:r>
                <w:rPr>
                  <w:rStyle w:val="a3"/>
                  <w:rFonts w:eastAsia="Times New Roman"/>
                  <w:sz w:val="20"/>
                  <w:szCs w:val="20"/>
                </w:rPr>
                <w:t>31.2</w:t>
              </w:r>
            </w:hyperlink>
          </w:p>
        </w:tc>
        <w:tc>
          <w:tcPr>
            <w:tcW w:w="0" w:type="auto"/>
            <w:gridSpan w:val="3"/>
            <w:tcMar>
              <w:top w:w="30" w:type="dxa"/>
              <w:left w:w="20" w:type="dxa"/>
              <w:bottom w:w="30" w:type="dxa"/>
              <w:right w:w="20" w:type="dxa"/>
            </w:tcMar>
            <w:hideMark/>
          </w:tcPr>
          <w:p w:rsidR="00000000" w:rsidRDefault="005048A7">
            <w:pPr>
              <w:spacing w:after="100"/>
              <w:jc w:val="both"/>
              <w:rPr>
                <w:rFonts w:eastAsia="Times New Roman"/>
              </w:rPr>
            </w:pPr>
            <w:r>
              <w:rPr>
                <w:rFonts w:eastAsia="Times New Roman"/>
                <w:color w:val="000000"/>
                <w:sz w:val="20"/>
                <w:szCs w:val="20"/>
              </w:rPr>
              <w:t>Certification pursuant to Rule 13a-14(a) and Rule 15d-14(a) of the Securities Exchange Act of 1934.</w:t>
            </w:r>
          </w:p>
        </w:tc>
      </w:tr>
      <w:tr w:rsidR="00000000">
        <w:trPr>
          <w:divId w:val="908154649"/>
          <w:trHeight w:val="120"/>
        </w:trPr>
        <w:tc>
          <w:tcPr>
            <w:tcW w:w="0" w:type="auto"/>
            <w:gridSpan w:val="3"/>
            <w:tcMar>
              <w:top w:w="0" w:type="dxa"/>
              <w:left w:w="20" w:type="dxa"/>
              <w:bottom w:w="0" w:type="dxa"/>
              <w:right w:w="20" w:type="dxa"/>
            </w:tcMar>
            <w:vAlign w:val="center"/>
            <w:hideMark/>
          </w:tcPr>
          <w:p w:rsidR="00000000" w:rsidRDefault="005048A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908154649"/>
        </w:trPr>
        <w:tc>
          <w:tcPr>
            <w:tcW w:w="0" w:type="auto"/>
            <w:gridSpan w:val="3"/>
            <w:tcMar>
              <w:top w:w="30" w:type="dxa"/>
              <w:left w:w="20" w:type="dxa"/>
              <w:bottom w:w="30" w:type="dxa"/>
              <w:right w:w="20" w:type="dxa"/>
            </w:tcMar>
            <w:hideMark/>
          </w:tcPr>
          <w:p w:rsidR="00000000" w:rsidRDefault="005048A7">
            <w:pPr>
              <w:spacing w:after="100"/>
              <w:jc w:val="both"/>
              <w:rPr>
                <w:rFonts w:eastAsia="Times New Roman"/>
              </w:rPr>
            </w:pPr>
            <w:hyperlink r:id="rId8" w:history="1">
              <w:r>
                <w:rPr>
                  <w:rStyle w:val="a3"/>
                  <w:rFonts w:eastAsia="Times New Roman"/>
                  <w:sz w:val="20"/>
                  <w:szCs w:val="20"/>
                </w:rPr>
                <w:t>32</w:t>
              </w:r>
            </w:hyperlink>
          </w:p>
        </w:tc>
        <w:tc>
          <w:tcPr>
            <w:tcW w:w="0" w:type="auto"/>
            <w:gridSpan w:val="3"/>
            <w:tcMar>
              <w:top w:w="30" w:type="dxa"/>
              <w:left w:w="20" w:type="dxa"/>
              <w:bottom w:w="30" w:type="dxa"/>
              <w:right w:w="20" w:type="dxa"/>
            </w:tcMar>
            <w:hideMark/>
          </w:tcPr>
          <w:p w:rsidR="00000000" w:rsidRDefault="005048A7">
            <w:pPr>
              <w:spacing w:after="100"/>
              <w:jc w:val="both"/>
              <w:rPr>
                <w:rFonts w:eastAsia="Times New Roman"/>
              </w:rPr>
            </w:pPr>
            <w:r>
              <w:rPr>
                <w:rFonts w:eastAsia="Times New Roman"/>
                <w:color w:val="000000"/>
                <w:sz w:val="20"/>
                <w:szCs w:val="20"/>
              </w:rPr>
              <w:t>Certification pursuant to 18 U.S.C. Section 1350 as adopted pursuant to Section 906 of the Sar</w:t>
            </w:r>
            <w:r>
              <w:rPr>
                <w:rFonts w:eastAsia="Times New Roman"/>
                <w:color w:val="000000"/>
                <w:sz w:val="20"/>
                <w:szCs w:val="20"/>
              </w:rPr>
              <w:t>banes-Oxley Act of 2002.</w:t>
            </w:r>
          </w:p>
        </w:tc>
      </w:tr>
      <w:tr w:rsidR="00000000">
        <w:trPr>
          <w:divId w:val="908154649"/>
          <w:trHeight w:val="120"/>
        </w:trPr>
        <w:tc>
          <w:tcPr>
            <w:tcW w:w="0" w:type="auto"/>
            <w:gridSpan w:val="3"/>
            <w:tcMar>
              <w:top w:w="0" w:type="dxa"/>
              <w:left w:w="20" w:type="dxa"/>
              <w:bottom w:w="0" w:type="dxa"/>
              <w:right w:w="20" w:type="dxa"/>
            </w:tcMar>
            <w:vAlign w:val="center"/>
            <w:hideMark/>
          </w:tcPr>
          <w:p w:rsidR="00000000" w:rsidRDefault="005048A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908154649"/>
        </w:trPr>
        <w:tc>
          <w:tcPr>
            <w:tcW w:w="0" w:type="auto"/>
            <w:gridSpan w:val="3"/>
            <w:tcMar>
              <w:top w:w="30" w:type="dxa"/>
              <w:left w:w="20" w:type="dxa"/>
              <w:bottom w:w="30" w:type="dxa"/>
              <w:right w:w="20" w:type="dxa"/>
            </w:tcMar>
            <w:hideMark/>
          </w:tcPr>
          <w:p w:rsidR="00000000" w:rsidRDefault="005048A7">
            <w:pPr>
              <w:spacing w:after="100"/>
              <w:jc w:val="both"/>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vAlign w:val="bottom"/>
            <w:hideMark/>
          </w:tcPr>
          <w:p w:rsidR="00000000" w:rsidRDefault="005048A7">
            <w:pPr>
              <w:spacing w:after="100"/>
              <w:jc w:val="both"/>
              <w:rPr>
                <w:rFonts w:eastAsia="Times New Roman"/>
              </w:rPr>
            </w:pPr>
            <w:r>
              <w:rPr>
                <w:rFonts w:eastAsia="Times New Roman"/>
                <w:color w:val="000000"/>
                <w:sz w:val="20"/>
                <w:szCs w:val="20"/>
              </w:rPr>
              <w:t>The following materials from NCR Corporation’</w:t>
            </w:r>
            <w:r>
              <w:rPr>
                <w:rFonts w:eastAsia="Times New Roman"/>
                <w:color w:val="000000"/>
                <w:sz w:val="20"/>
                <w:szCs w:val="20"/>
              </w:rPr>
              <w:t>s Quarterly Report on Form 10-Q for the quarter ended March 31, 2022, formatted in iXBRL (Inline Extensible Business Reporting Language): (i) our condensed consolidated statements of operations for the three months ended March 31, 2022 and 2021; (ii) our c</w:t>
            </w:r>
            <w:r>
              <w:rPr>
                <w:rFonts w:eastAsia="Times New Roman"/>
                <w:color w:val="000000"/>
                <w:sz w:val="20"/>
                <w:szCs w:val="20"/>
              </w:rPr>
              <w:t>ondensed consolidated statements of comprehensive income for the three months ended March 31, 2022 and 2021; (iii) our condensed consolidated balance sheets as of March 31, 2022 and December 31, 2021; (iv) our condensed consolidated statements of cash flow</w:t>
            </w:r>
            <w:r>
              <w:rPr>
                <w:rFonts w:eastAsia="Times New Roman"/>
                <w:color w:val="000000"/>
                <w:sz w:val="20"/>
                <w:szCs w:val="20"/>
              </w:rPr>
              <w:t>s for the three months ended March 31, 2022 and 2021; (v) our condensed consolidated statements of changes in stockholder's equity for the three months ended March 31, 2022 and 2021; and (vi) the notes to our condensed consolidated financial statements.</w:t>
            </w:r>
          </w:p>
        </w:tc>
      </w:tr>
      <w:tr w:rsidR="00000000">
        <w:trPr>
          <w:divId w:val="908154649"/>
          <w:trHeight w:val="120"/>
        </w:trPr>
        <w:tc>
          <w:tcPr>
            <w:tcW w:w="0" w:type="auto"/>
            <w:gridSpan w:val="3"/>
            <w:tcMar>
              <w:top w:w="0" w:type="dxa"/>
              <w:left w:w="20" w:type="dxa"/>
              <w:bottom w:w="0" w:type="dxa"/>
              <w:right w:w="20" w:type="dxa"/>
            </w:tcMar>
            <w:vAlign w:val="center"/>
            <w:hideMark/>
          </w:tcPr>
          <w:p w:rsidR="00000000" w:rsidRDefault="005048A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908154649"/>
        </w:trPr>
        <w:tc>
          <w:tcPr>
            <w:tcW w:w="0" w:type="auto"/>
            <w:gridSpan w:val="3"/>
            <w:tcMar>
              <w:top w:w="30" w:type="dxa"/>
              <w:left w:w="20" w:type="dxa"/>
              <w:bottom w:w="30" w:type="dxa"/>
              <w:right w:w="20" w:type="dxa"/>
            </w:tcMar>
            <w:hideMark/>
          </w:tcPr>
          <w:p w:rsidR="00000000" w:rsidRDefault="005048A7">
            <w:pPr>
              <w:spacing w:after="100"/>
              <w:jc w:val="both"/>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vAlign w:val="bottom"/>
            <w:hideMark/>
          </w:tcPr>
          <w:p w:rsidR="00000000" w:rsidRDefault="005048A7">
            <w:pPr>
              <w:spacing w:after="100"/>
              <w:jc w:val="both"/>
              <w:rPr>
                <w:rFonts w:eastAsia="Times New Roman"/>
              </w:rPr>
            </w:pPr>
            <w:r>
              <w:rPr>
                <w:rFonts w:eastAsia="Times New Roman"/>
                <w:color w:val="000000"/>
                <w:sz w:val="20"/>
                <w:szCs w:val="20"/>
              </w:rPr>
              <w:t>Cover Page Interactive Data File, formatted in Inline XBRL and contained in Exhibit 101.</w:t>
            </w:r>
          </w:p>
        </w:tc>
      </w:tr>
    </w:tbl>
    <w:p w:rsidR="00000000" w:rsidRDefault="005048A7">
      <w:pPr>
        <w:divId w:val="1808430439"/>
        <w:rPr>
          <w:rFonts w:eastAsia="Times New Roman"/>
        </w:rPr>
      </w:pPr>
      <w:r>
        <w:rPr>
          <w:rFonts w:eastAsia="Times New Roman"/>
          <w:color w:val="000000"/>
          <w:sz w:val="20"/>
          <w:szCs w:val="20"/>
        </w:rPr>
        <w:t>* Management contracts or compensatory plans/arrangements.</w:t>
      </w:r>
    </w:p>
    <w:p w:rsidR="00000000" w:rsidRDefault="005048A7">
      <w:pPr>
        <w:divId w:val="685057061"/>
        <w:rPr>
          <w:rFonts w:eastAsia="Times New Roman"/>
        </w:rPr>
      </w:pPr>
    </w:p>
    <w:p w:rsidR="00000000" w:rsidRDefault="005048A7">
      <w:pPr>
        <w:jc w:val="center"/>
        <w:divId w:val="871501859"/>
        <w:rPr>
          <w:rFonts w:eastAsia="Times New Roman"/>
        </w:rPr>
      </w:pPr>
      <w:r>
        <w:rPr>
          <w:rFonts w:eastAsia="Times New Roman"/>
          <w:color w:val="000000"/>
          <w:sz w:val="20"/>
          <w:szCs w:val="20"/>
        </w:rPr>
        <w:t>61</w:t>
      </w:r>
    </w:p>
    <w:p w:rsidR="00000000" w:rsidRDefault="005048A7">
      <w:pPr>
        <w:rPr>
          <w:rFonts w:eastAsia="Times New Roman"/>
        </w:rPr>
      </w:pPr>
      <w:r>
        <w:rPr>
          <w:rFonts w:eastAsia="Times New Roman"/>
        </w:rPr>
        <w:pict>
          <v:rect id="_x0000_i1086" style="width:0;height:1.5pt" o:hralign="center" o:hrstd="t" o:hr="t" fillcolor="#a0a0a0" stroked="f"/>
        </w:pict>
      </w:r>
    </w:p>
    <w:p w:rsidR="00000000" w:rsidRDefault="005048A7">
      <w:pPr>
        <w:divId w:val="1628584736"/>
        <w:rPr>
          <w:rFonts w:eastAsia="Times New Roman"/>
        </w:rPr>
      </w:pPr>
      <w:hyperlink w:anchor="i1e5a5c829d0c4e47b43817acb739c3cf_7" w:history="1">
        <w:r>
          <w:rPr>
            <w:rStyle w:val="a3"/>
            <w:rFonts w:eastAsia="Times New Roman"/>
            <w:sz w:val="16"/>
            <w:szCs w:val="16"/>
          </w:rPr>
          <w:t>Table of Contents</w:t>
        </w:r>
      </w:hyperlink>
    </w:p>
    <w:p w:rsidR="00000000" w:rsidRDefault="005048A7">
      <w:pPr>
        <w:jc w:val="center"/>
        <w:rPr>
          <w:rFonts w:eastAsia="Times New Roman"/>
        </w:rPr>
      </w:pPr>
      <w:r>
        <w:rPr>
          <w:rFonts w:eastAsia="Times New Roman"/>
          <w:b/>
          <w:bCs/>
          <w:color w:val="000000"/>
          <w:sz w:val="20"/>
          <w:szCs w:val="20"/>
        </w:rPr>
        <w:t>SIGNATURES</w:t>
      </w:r>
    </w:p>
    <w:p w:rsidR="00000000" w:rsidRDefault="005048A7">
      <w:pPr>
        <w:divId w:val="1271012409"/>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p w:rsidR="00000000" w:rsidRDefault="005048A7">
      <w:pPr>
        <w:divId w:val="1231890650"/>
        <w:rPr>
          <w:rFonts w:eastAsia="Times New Roman"/>
        </w:rPr>
      </w:pPr>
      <w:r>
        <w:rPr>
          <w:rFonts w:eastAsia="Times New Roman"/>
          <w:color w:val="000000"/>
          <w:sz w:val="18"/>
          <w:szCs w:val="18"/>
        </w:rPr>
        <w:t> </w:t>
      </w:r>
    </w:p>
    <w:tbl>
      <w:tblPr>
        <w:tblW w:w="4992" w:type="pct"/>
        <w:tblCellMar>
          <w:top w:w="15" w:type="dxa"/>
          <w:left w:w="15" w:type="dxa"/>
          <w:bottom w:w="15" w:type="dxa"/>
          <w:right w:w="15" w:type="dxa"/>
        </w:tblCellMar>
        <w:tblLook w:val="04A0" w:firstRow="1" w:lastRow="0" w:firstColumn="1" w:lastColumn="0" w:noHBand="0" w:noVBand="1"/>
      </w:tblPr>
      <w:tblGrid>
        <w:gridCol w:w="82"/>
        <w:gridCol w:w="384"/>
        <w:gridCol w:w="36"/>
        <w:gridCol w:w="37"/>
        <w:gridCol w:w="3437"/>
        <w:gridCol w:w="36"/>
        <w:gridCol w:w="81"/>
        <w:gridCol w:w="240"/>
        <w:gridCol w:w="37"/>
        <w:gridCol w:w="37"/>
        <w:gridCol w:w="116"/>
        <w:gridCol w:w="37"/>
        <w:gridCol w:w="64"/>
        <w:gridCol w:w="3633"/>
        <w:gridCol w:w="36"/>
      </w:tblGrid>
      <w:tr w:rsidR="00000000">
        <w:trPr>
          <w:divId w:val="270403339"/>
        </w:trPr>
        <w:tc>
          <w:tcPr>
            <w:tcW w:w="50" w:type="pct"/>
            <w:vAlign w:val="center"/>
            <w:hideMark/>
          </w:tcPr>
          <w:p w:rsidR="00000000" w:rsidRDefault="005048A7">
            <w:pPr>
              <w:rPr>
                <w:rFonts w:eastAsia="Times New Roman"/>
              </w:rPr>
            </w:pPr>
          </w:p>
        </w:tc>
        <w:tc>
          <w:tcPr>
            <w:tcW w:w="237"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2082"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14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9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c>
          <w:tcPr>
            <w:tcW w:w="50" w:type="pct"/>
            <w:vAlign w:val="center"/>
            <w:hideMark/>
          </w:tcPr>
          <w:p w:rsidR="00000000" w:rsidRDefault="005048A7">
            <w:pPr>
              <w:spacing w:after="100"/>
              <w:rPr>
                <w:rFonts w:eastAsia="Times New Roman"/>
                <w:sz w:val="20"/>
                <w:szCs w:val="20"/>
              </w:rPr>
            </w:pPr>
          </w:p>
        </w:tc>
        <w:tc>
          <w:tcPr>
            <w:tcW w:w="2199" w:type="pct"/>
            <w:vAlign w:val="center"/>
            <w:hideMark/>
          </w:tcPr>
          <w:p w:rsidR="00000000" w:rsidRDefault="005048A7">
            <w:pPr>
              <w:spacing w:after="100"/>
              <w:rPr>
                <w:rFonts w:eastAsia="Times New Roman"/>
                <w:sz w:val="20"/>
                <w:szCs w:val="20"/>
              </w:rPr>
            </w:pPr>
          </w:p>
        </w:tc>
        <w:tc>
          <w:tcPr>
            <w:tcW w:w="5" w:type="pct"/>
            <w:vAlign w:val="center"/>
            <w:hideMark/>
          </w:tcPr>
          <w:p w:rsidR="00000000" w:rsidRDefault="005048A7">
            <w:pPr>
              <w:spacing w:after="100"/>
              <w:rPr>
                <w:rFonts w:eastAsia="Times New Roman"/>
                <w:sz w:val="20"/>
                <w:szCs w:val="20"/>
              </w:rPr>
            </w:pPr>
          </w:p>
        </w:tc>
      </w:tr>
      <w:tr w:rsidR="00000000">
        <w:trPr>
          <w:divId w:val="270403339"/>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9"/>
            <w:tcMar>
              <w:top w:w="30" w:type="dxa"/>
              <w:left w:w="20" w:type="dxa"/>
              <w:bottom w:w="30" w:type="dxa"/>
              <w:right w:w="20" w:type="dxa"/>
            </w:tcMar>
            <w:hideMark/>
          </w:tcPr>
          <w:p w:rsidR="00000000" w:rsidRDefault="005048A7">
            <w:pPr>
              <w:spacing w:after="100"/>
              <w:rPr>
                <w:rFonts w:eastAsia="Times New Roman"/>
              </w:rPr>
            </w:pPr>
            <w:r>
              <w:rPr>
                <w:rFonts w:eastAsia="Times New Roman"/>
                <w:color w:val="000000"/>
                <w:sz w:val="20"/>
                <w:szCs w:val="20"/>
              </w:rPr>
              <w:t>NCR CORPORATION</w:t>
            </w:r>
          </w:p>
        </w:tc>
      </w:tr>
      <w:tr w:rsidR="00000000">
        <w:trPr>
          <w:divId w:val="270403339"/>
          <w:trHeight w:val="300"/>
        </w:trPr>
        <w:tc>
          <w:tcPr>
            <w:tcW w:w="0" w:type="auto"/>
            <w:gridSpan w:val="3"/>
            <w:tcMar>
              <w:top w:w="0" w:type="dxa"/>
              <w:left w:w="20" w:type="dxa"/>
              <w:bottom w:w="0" w:type="dxa"/>
              <w:right w:w="20" w:type="dxa"/>
            </w:tcMar>
            <w:vAlign w:val="center"/>
            <w:hideMark/>
          </w:tcPr>
          <w:p w:rsidR="00000000" w:rsidRDefault="005048A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5048A7">
            <w:pPr>
              <w:spacing w:after="100"/>
              <w:rPr>
                <w:rFonts w:eastAsia="Times New Roman"/>
                <w:sz w:val="20"/>
                <w:szCs w:val="20"/>
              </w:rPr>
            </w:pPr>
          </w:p>
        </w:tc>
      </w:tr>
      <w:tr w:rsidR="00000000">
        <w:trPr>
          <w:divId w:val="270403339"/>
        </w:trPr>
        <w:tc>
          <w:tcPr>
            <w:tcW w:w="0" w:type="auto"/>
            <w:gridSpan w:val="3"/>
            <w:tcMar>
              <w:top w:w="30" w:type="dxa"/>
              <w:left w:w="20" w:type="dxa"/>
              <w:bottom w:w="30" w:type="dxa"/>
              <w:right w:w="20" w:type="dxa"/>
            </w:tcMar>
            <w:hideMark/>
          </w:tcPr>
          <w:p w:rsidR="00000000" w:rsidRDefault="005048A7">
            <w:pPr>
              <w:spacing w:after="100"/>
              <w:jc w:val="right"/>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20"/>
                <w:szCs w:val="20"/>
              </w:rPr>
              <w:t>July 29, 2022</w:t>
            </w:r>
          </w:p>
        </w:tc>
        <w:tc>
          <w:tcPr>
            <w:tcW w:w="0" w:type="auto"/>
            <w:gridSpan w:val="3"/>
            <w:tcMar>
              <w:top w:w="30" w:type="dxa"/>
              <w:left w:w="20" w:type="dxa"/>
              <w:bottom w:w="30" w:type="dxa"/>
              <w:right w:w="20" w:type="dxa"/>
            </w:tcMar>
            <w:hideMark/>
          </w:tcPr>
          <w:p w:rsidR="00000000" w:rsidRDefault="005048A7">
            <w:pPr>
              <w:spacing w:after="100"/>
              <w:jc w:val="right"/>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5048A7">
            <w:pPr>
              <w:spacing w:after="100"/>
              <w:jc w:val="center"/>
              <w:rPr>
                <w:rFonts w:eastAsia="Times New Roman"/>
              </w:rPr>
            </w:pPr>
            <w:r>
              <w:rPr>
                <w:rFonts w:eastAsia="Times New Roman"/>
                <w:color w:val="000000"/>
                <w:sz w:val="20"/>
                <w:szCs w:val="20"/>
              </w:rPr>
              <w:t>/s/ Timothy C. Oliver</w:t>
            </w:r>
          </w:p>
        </w:tc>
      </w:tr>
      <w:tr w:rsidR="00000000">
        <w:trPr>
          <w:divId w:val="270403339"/>
        </w:trPr>
        <w:tc>
          <w:tcPr>
            <w:tcW w:w="0" w:type="auto"/>
            <w:gridSpan w:val="3"/>
            <w:tcMar>
              <w:top w:w="0" w:type="dxa"/>
              <w:left w:w="20" w:type="dxa"/>
              <w:bottom w:w="0" w:type="dxa"/>
              <w:right w:w="20" w:type="dxa"/>
            </w:tcMar>
            <w:vAlign w:val="center"/>
            <w:hideMark/>
          </w:tcPr>
          <w:p w:rsidR="00000000" w:rsidRDefault="005048A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048A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048A7">
            <w:pPr>
              <w:spacing w:after="100"/>
              <w:jc w:val="center"/>
              <w:rPr>
                <w:rFonts w:eastAsia="Times New Roman"/>
              </w:rPr>
            </w:pPr>
            <w:r>
              <w:rPr>
                <w:rFonts w:eastAsia="Times New Roman"/>
                <w:b/>
                <w:bCs/>
                <w:color w:val="000000"/>
                <w:sz w:val="16"/>
                <w:szCs w:val="16"/>
              </w:rPr>
              <w:t>Timothy C. Oliver</w:t>
            </w:r>
            <w:r>
              <w:rPr>
                <w:rFonts w:eastAsia="Times New Roman"/>
                <w:b/>
                <w:bCs/>
                <w:color w:val="000000"/>
                <w:sz w:val="16"/>
                <w:szCs w:val="16"/>
              </w:rPr>
              <w:br/>
              <w:t>Senior Executive Vice President and Chief Financial Officer</w:t>
            </w:r>
          </w:p>
        </w:tc>
      </w:tr>
    </w:tbl>
    <w:p w:rsidR="00000000" w:rsidRDefault="005048A7">
      <w:pPr>
        <w:divId w:val="270403339"/>
        <w:rPr>
          <w:rFonts w:eastAsia="Times New Roman"/>
        </w:rPr>
      </w:pPr>
      <w:r>
        <w:rPr>
          <w:rFonts w:eastAsia="Times New Roman"/>
          <w:color w:val="000000"/>
          <w:sz w:val="20"/>
          <w:szCs w:val="20"/>
        </w:rPr>
        <w:t>    </w:t>
      </w:r>
    </w:p>
    <w:p w:rsidR="005048A7" w:rsidRDefault="005048A7">
      <w:pPr>
        <w:jc w:val="center"/>
        <w:divId w:val="967665444"/>
        <w:rPr>
          <w:rFonts w:eastAsia="Times New Roman"/>
        </w:rPr>
      </w:pPr>
      <w:r>
        <w:rPr>
          <w:rFonts w:eastAsia="Times New Roman"/>
          <w:color w:val="000000"/>
          <w:sz w:val="20"/>
          <w:szCs w:val="20"/>
        </w:rPr>
        <w:t>62</w:t>
      </w:r>
    </w:p>
    <w:sectPr w:rsidR="005048A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048A7"/>
    <w:rsid w:val="005048A7"/>
  </w:rsids>
  <m:mathPr>
    <m:mathFont m:val="Cambria Math"/>
    <m:brkBin m:val="before"/>
    <m:brkBinSub m:val="--"/>
    <m:smallFrac m:val="0"/>
    <m:dispDef/>
    <m:lMargin m:val="0"/>
    <m:rMargin m:val="0"/>
    <m:defJc m:val="centerGroup"/>
    <m:wrapIndent m:val="1440"/>
    <m:intLim m:val="subSup"/>
    <m:naryLim m:val="undOvr"/>
  </m:mathPr>
  <w:attachedSchema w:val="http://xbrl.sec.gov/country/2022"/>
  <w:attachedSchema w:val="http://fasb.org/srt/2022"/>
  <w:attachedSchema w:val="http://www.w3.org/1999/xlink"/>
  <w:attachedSchema w:val="http://www.xbrl.org/2013/inlineXBRL"/>
  <w:attachedSchema w:val="http://www.xbrl.org/inlineXBRL/transformation/2020-02-12"/>
  <w:attachedSchema w:val="http://www.xbrl.org/2003/iso4217"/>
  <w:attachedSchema w:val="http://www.xbrl.org/2003/instance"/>
  <w:attachedSchema w:val="http://www.xbrl.org/2009/utr"/>
  <w:attachedSchema w:val="http://www.sec.gov/inlineXBRL/transformation/2015-08-31"/>
  <w:attachedSchema w:val="http://www.ncr.com/20220630"/>
  <w:attachedSchema w:val="http://www.xbrl.org/2003/linkbase"/>
  <w:attachedSchema w:val="http://xbrl.org/2006/xbrldi"/>
  <w:attachedSchema w:val="http://xbrl.sec.gov/dei/2022"/>
  <w:attachedSchema w:val="http://fasb.org/us-gaap/202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982">
      <w:marLeft w:val="0"/>
      <w:marRight w:val="0"/>
      <w:marTop w:val="0"/>
      <w:marBottom w:val="0"/>
      <w:divBdr>
        <w:top w:val="none" w:sz="0" w:space="0" w:color="auto"/>
        <w:left w:val="none" w:sz="0" w:space="0" w:color="auto"/>
        <w:bottom w:val="none" w:sz="0" w:space="0" w:color="auto"/>
        <w:right w:val="none" w:sz="0" w:space="0" w:color="auto"/>
      </w:divBdr>
      <w:divsChild>
        <w:div w:id="1539315703">
          <w:marLeft w:val="0"/>
          <w:marRight w:val="0"/>
          <w:marTop w:val="0"/>
          <w:marBottom w:val="0"/>
          <w:divBdr>
            <w:top w:val="none" w:sz="0" w:space="0" w:color="auto"/>
            <w:left w:val="none" w:sz="0" w:space="0" w:color="auto"/>
            <w:bottom w:val="none" w:sz="0" w:space="0" w:color="auto"/>
            <w:right w:val="none" w:sz="0" w:space="0" w:color="auto"/>
          </w:divBdr>
        </w:div>
      </w:divsChild>
    </w:div>
    <w:div w:id="3289511">
      <w:marLeft w:val="0"/>
      <w:marRight w:val="0"/>
      <w:marTop w:val="0"/>
      <w:marBottom w:val="0"/>
      <w:divBdr>
        <w:top w:val="none" w:sz="0" w:space="0" w:color="auto"/>
        <w:left w:val="none" w:sz="0" w:space="0" w:color="auto"/>
        <w:bottom w:val="none" w:sz="0" w:space="0" w:color="auto"/>
        <w:right w:val="none" w:sz="0" w:space="0" w:color="auto"/>
      </w:divBdr>
    </w:div>
    <w:div w:id="7679377">
      <w:marLeft w:val="0"/>
      <w:marRight w:val="0"/>
      <w:marTop w:val="0"/>
      <w:marBottom w:val="0"/>
      <w:divBdr>
        <w:top w:val="none" w:sz="0" w:space="0" w:color="auto"/>
        <w:left w:val="none" w:sz="0" w:space="0" w:color="auto"/>
        <w:bottom w:val="none" w:sz="0" w:space="0" w:color="auto"/>
        <w:right w:val="none" w:sz="0" w:space="0" w:color="auto"/>
      </w:divBdr>
    </w:div>
    <w:div w:id="11498071">
      <w:marLeft w:val="0"/>
      <w:marRight w:val="0"/>
      <w:marTop w:val="180"/>
      <w:marBottom w:val="0"/>
      <w:divBdr>
        <w:top w:val="none" w:sz="0" w:space="0" w:color="auto"/>
        <w:left w:val="none" w:sz="0" w:space="0" w:color="auto"/>
        <w:bottom w:val="none" w:sz="0" w:space="0" w:color="auto"/>
        <w:right w:val="none" w:sz="0" w:space="0" w:color="auto"/>
      </w:divBdr>
    </w:div>
    <w:div w:id="14890570">
      <w:marLeft w:val="0"/>
      <w:marRight w:val="0"/>
      <w:marTop w:val="0"/>
      <w:marBottom w:val="0"/>
      <w:divBdr>
        <w:top w:val="none" w:sz="0" w:space="0" w:color="auto"/>
        <w:left w:val="none" w:sz="0" w:space="0" w:color="auto"/>
        <w:bottom w:val="none" w:sz="0" w:space="0" w:color="auto"/>
        <w:right w:val="none" w:sz="0" w:space="0" w:color="auto"/>
      </w:divBdr>
    </w:div>
    <w:div w:id="23405838">
      <w:marLeft w:val="0"/>
      <w:marRight w:val="0"/>
      <w:marTop w:val="0"/>
      <w:marBottom w:val="0"/>
      <w:divBdr>
        <w:top w:val="none" w:sz="0" w:space="0" w:color="auto"/>
        <w:left w:val="none" w:sz="0" w:space="0" w:color="auto"/>
        <w:bottom w:val="none" w:sz="0" w:space="0" w:color="auto"/>
        <w:right w:val="none" w:sz="0" w:space="0" w:color="auto"/>
      </w:divBdr>
    </w:div>
    <w:div w:id="24524575">
      <w:marLeft w:val="0"/>
      <w:marRight w:val="0"/>
      <w:marTop w:val="100"/>
      <w:marBottom w:val="0"/>
      <w:divBdr>
        <w:top w:val="none" w:sz="0" w:space="0" w:color="auto"/>
        <w:left w:val="none" w:sz="0" w:space="0" w:color="auto"/>
        <w:bottom w:val="none" w:sz="0" w:space="0" w:color="auto"/>
        <w:right w:val="none" w:sz="0" w:space="0" w:color="auto"/>
      </w:divBdr>
    </w:div>
    <w:div w:id="24795189">
      <w:marLeft w:val="0"/>
      <w:marRight w:val="0"/>
      <w:marTop w:val="0"/>
      <w:marBottom w:val="0"/>
      <w:divBdr>
        <w:top w:val="none" w:sz="0" w:space="0" w:color="auto"/>
        <w:left w:val="none" w:sz="0" w:space="0" w:color="auto"/>
        <w:bottom w:val="none" w:sz="0" w:space="0" w:color="auto"/>
        <w:right w:val="none" w:sz="0" w:space="0" w:color="auto"/>
      </w:divBdr>
    </w:div>
    <w:div w:id="27032522">
      <w:marLeft w:val="0"/>
      <w:marRight w:val="0"/>
      <w:marTop w:val="0"/>
      <w:marBottom w:val="0"/>
      <w:divBdr>
        <w:top w:val="none" w:sz="0" w:space="0" w:color="auto"/>
        <w:left w:val="none" w:sz="0" w:space="0" w:color="auto"/>
        <w:bottom w:val="none" w:sz="0" w:space="0" w:color="auto"/>
        <w:right w:val="none" w:sz="0" w:space="0" w:color="auto"/>
      </w:divBdr>
    </w:div>
    <w:div w:id="31007597">
      <w:marLeft w:val="0"/>
      <w:marRight w:val="0"/>
      <w:marTop w:val="0"/>
      <w:marBottom w:val="0"/>
      <w:divBdr>
        <w:top w:val="none" w:sz="0" w:space="0" w:color="auto"/>
        <w:left w:val="none" w:sz="0" w:space="0" w:color="auto"/>
        <w:bottom w:val="none" w:sz="0" w:space="0" w:color="auto"/>
        <w:right w:val="none" w:sz="0" w:space="0" w:color="auto"/>
      </w:divBdr>
      <w:divsChild>
        <w:div w:id="1887789229">
          <w:marLeft w:val="0"/>
          <w:marRight w:val="0"/>
          <w:marTop w:val="0"/>
          <w:marBottom w:val="0"/>
          <w:divBdr>
            <w:top w:val="none" w:sz="0" w:space="0" w:color="auto"/>
            <w:left w:val="none" w:sz="0" w:space="0" w:color="auto"/>
            <w:bottom w:val="none" w:sz="0" w:space="0" w:color="auto"/>
            <w:right w:val="none" w:sz="0" w:space="0" w:color="auto"/>
          </w:divBdr>
        </w:div>
      </w:divsChild>
    </w:div>
    <w:div w:id="34088134">
      <w:marLeft w:val="0"/>
      <w:marRight w:val="0"/>
      <w:marTop w:val="0"/>
      <w:marBottom w:val="0"/>
      <w:divBdr>
        <w:top w:val="none" w:sz="0" w:space="0" w:color="auto"/>
        <w:left w:val="none" w:sz="0" w:space="0" w:color="auto"/>
        <w:bottom w:val="none" w:sz="0" w:space="0" w:color="auto"/>
        <w:right w:val="none" w:sz="0" w:space="0" w:color="auto"/>
      </w:divBdr>
      <w:divsChild>
        <w:div w:id="698895262">
          <w:marLeft w:val="0"/>
          <w:marRight w:val="0"/>
          <w:marTop w:val="0"/>
          <w:marBottom w:val="0"/>
          <w:divBdr>
            <w:top w:val="none" w:sz="0" w:space="0" w:color="auto"/>
            <w:left w:val="none" w:sz="0" w:space="0" w:color="auto"/>
            <w:bottom w:val="none" w:sz="0" w:space="0" w:color="auto"/>
            <w:right w:val="none" w:sz="0" w:space="0" w:color="auto"/>
          </w:divBdr>
        </w:div>
      </w:divsChild>
    </w:div>
    <w:div w:id="56317666">
      <w:marLeft w:val="0"/>
      <w:marRight w:val="0"/>
      <w:marTop w:val="0"/>
      <w:marBottom w:val="0"/>
      <w:divBdr>
        <w:top w:val="none" w:sz="0" w:space="0" w:color="auto"/>
        <w:left w:val="none" w:sz="0" w:space="0" w:color="auto"/>
        <w:bottom w:val="none" w:sz="0" w:space="0" w:color="auto"/>
        <w:right w:val="none" w:sz="0" w:space="0" w:color="auto"/>
      </w:divBdr>
      <w:divsChild>
        <w:div w:id="1279876823">
          <w:marLeft w:val="0"/>
          <w:marRight w:val="0"/>
          <w:marTop w:val="0"/>
          <w:marBottom w:val="0"/>
          <w:divBdr>
            <w:top w:val="none" w:sz="0" w:space="0" w:color="auto"/>
            <w:left w:val="none" w:sz="0" w:space="0" w:color="auto"/>
            <w:bottom w:val="none" w:sz="0" w:space="0" w:color="auto"/>
            <w:right w:val="none" w:sz="0" w:space="0" w:color="auto"/>
          </w:divBdr>
        </w:div>
      </w:divsChild>
    </w:div>
    <w:div w:id="76094719">
      <w:marLeft w:val="0"/>
      <w:marRight w:val="0"/>
      <w:marTop w:val="0"/>
      <w:marBottom w:val="0"/>
      <w:divBdr>
        <w:top w:val="none" w:sz="0" w:space="0" w:color="auto"/>
        <w:left w:val="none" w:sz="0" w:space="0" w:color="auto"/>
        <w:bottom w:val="none" w:sz="0" w:space="0" w:color="auto"/>
        <w:right w:val="none" w:sz="0" w:space="0" w:color="auto"/>
      </w:divBdr>
      <w:divsChild>
        <w:div w:id="552619871">
          <w:marLeft w:val="0"/>
          <w:marRight w:val="0"/>
          <w:marTop w:val="0"/>
          <w:marBottom w:val="0"/>
          <w:divBdr>
            <w:top w:val="none" w:sz="0" w:space="0" w:color="auto"/>
            <w:left w:val="none" w:sz="0" w:space="0" w:color="auto"/>
            <w:bottom w:val="none" w:sz="0" w:space="0" w:color="auto"/>
            <w:right w:val="none" w:sz="0" w:space="0" w:color="auto"/>
          </w:divBdr>
        </w:div>
      </w:divsChild>
    </w:div>
    <w:div w:id="80680667">
      <w:marLeft w:val="0"/>
      <w:marRight w:val="0"/>
      <w:marTop w:val="100"/>
      <w:marBottom w:val="0"/>
      <w:divBdr>
        <w:top w:val="none" w:sz="0" w:space="0" w:color="auto"/>
        <w:left w:val="none" w:sz="0" w:space="0" w:color="auto"/>
        <w:bottom w:val="none" w:sz="0" w:space="0" w:color="auto"/>
        <w:right w:val="none" w:sz="0" w:space="0" w:color="auto"/>
      </w:divBdr>
    </w:div>
    <w:div w:id="80689717">
      <w:marLeft w:val="0"/>
      <w:marRight w:val="0"/>
      <w:marTop w:val="60"/>
      <w:marBottom w:val="60"/>
      <w:divBdr>
        <w:top w:val="none" w:sz="0" w:space="0" w:color="auto"/>
        <w:left w:val="none" w:sz="0" w:space="0" w:color="auto"/>
        <w:bottom w:val="none" w:sz="0" w:space="0" w:color="auto"/>
        <w:right w:val="none" w:sz="0" w:space="0" w:color="auto"/>
      </w:divBdr>
    </w:div>
    <w:div w:id="88701458">
      <w:marLeft w:val="0"/>
      <w:marRight w:val="0"/>
      <w:marTop w:val="100"/>
      <w:marBottom w:val="0"/>
      <w:divBdr>
        <w:top w:val="none" w:sz="0" w:space="0" w:color="auto"/>
        <w:left w:val="none" w:sz="0" w:space="0" w:color="auto"/>
        <w:bottom w:val="none" w:sz="0" w:space="0" w:color="auto"/>
        <w:right w:val="none" w:sz="0" w:space="0" w:color="auto"/>
      </w:divBdr>
    </w:div>
    <w:div w:id="88744675">
      <w:marLeft w:val="0"/>
      <w:marRight w:val="0"/>
      <w:marTop w:val="180"/>
      <w:marBottom w:val="0"/>
      <w:divBdr>
        <w:top w:val="none" w:sz="0" w:space="0" w:color="auto"/>
        <w:left w:val="none" w:sz="0" w:space="0" w:color="auto"/>
        <w:bottom w:val="none" w:sz="0" w:space="0" w:color="auto"/>
        <w:right w:val="none" w:sz="0" w:space="0" w:color="auto"/>
      </w:divBdr>
      <w:divsChild>
        <w:div w:id="920259280">
          <w:marLeft w:val="0"/>
          <w:marRight w:val="0"/>
          <w:marTop w:val="180"/>
          <w:marBottom w:val="0"/>
          <w:divBdr>
            <w:top w:val="none" w:sz="0" w:space="0" w:color="auto"/>
            <w:left w:val="none" w:sz="0" w:space="0" w:color="auto"/>
            <w:bottom w:val="none" w:sz="0" w:space="0" w:color="auto"/>
            <w:right w:val="none" w:sz="0" w:space="0" w:color="auto"/>
          </w:divBdr>
        </w:div>
        <w:div w:id="1572422323">
          <w:marLeft w:val="0"/>
          <w:marRight w:val="0"/>
          <w:marTop w:val="180"/>
          <w:marBottom w:val="0"/>
          <w:divBdr>
            <w:top w:val="none" w:sz="0" w:space="0" w:color="auto"/>
            <w:left w:val="none" w:sz="0" w:space="0" w:color="auto"/>
            <w:bottom w:val="none" w:sz="0" w:space="0" w:color="auto"/>
            <w:right w:val="none" w:sz="0" w:space="0" w:color="auto"/>
          </w:divBdr>
        </w:div>
        <w:div w:id="1587373261">
          <w:marLeft w:val="0"/>
          <w:marRight w:val="0"/>
          <w:marTop w:val="180"/>
          <w:marBottom w:val="0"/>
          <w:divBdr>
            <w:top w:val="none" w:sz="0" w:space="0" w:color="auto"/>
            <w:left w:val="none" w:sz="0" w:space="0" w:color="auto"/>
            <w:bottom w:val="none" w:sz="0" w:space="0" w:color="auto"/>
            <w:right w:val="none" w:sz="0" w:space="0" w:color="auto"/>
          </w:divBdr>
        </w:div>
        <w:div w:id="603616074">
          <w:marLeft w:val="0"/>
          <w:marRight w:val="0"/>
          <w:marTop w:val="180"/>
          <w:marBottom w:val="0"/>
          <w:divBdr>
            <w:top w:val="none" w:sz="0" w:space="0" w:color="auto"/>
            <w:left w:val="none" w:sz="0" w:space="0" w:color="auto"/>
            <w:bottom w:val="none" w:sz="0" w:space="0" w:color="auto"/>
            <w:right w:val="none" w:sz="0" w:space="0" w:color="auto"/>
          </w:divBdr>
        </w:div>
        <w:div w:id="2130662985">
          <w:marLeft w:val="0"/>
          <w:marRight w:val="0"/>
          <w:marTop w:val="180"/>
          <w:marBottom w:val="0"/>
          <w:divBdr>
            <w:top w:val="none" w:sz="0" w:space="0" w:color="auto"/>
            <w:left w:val="none" w:sz="0" w:space="0" w:color="auto"/>
            <w:bottom w:val="none" w:sz="0" w:space="0" w:color="auto"/>
            <w:right w:val="none" w:sz="0" w:space="0" w:color="auto"/>
          </w:divBdr>
        </w:div>
        <w:div w:id="1267808539">
          <w:marLeft w:val="0"/>
          <w:marRight w:val="0"/>
          <w:marTop w:val="180"/>
          <w:marBottom w:val="0"/>
          <w:divBdr>
            <w:top w:val="none" w:sz="0" w:space="0" w:color="auto"/>
            <w:left w:val="none" w:sz="0" w:space="0" w:color="auto"/>
            <w:bottom w:val="none" w:sz="0" w:space="0" w:color="auto"/>
            <w:right w:val="none" w:sz="0" w:space="0" w:color="auto"/>
          </w:divBdr>
        </w:div>
        <w:div w:id="1536308125">
          <w:marLeft w:val="0"/>
          <w:marRight w:val="0"/>
          <w:marTop w:val="180"/>
          <w:marBottom w:val="0"/>
          <w:divBdr>
            <w:top w:val="none" w:sz="0" w:space="0" w:color="auto"/>
            <w:left w:val="none" w:sz="0" w:space="0" w:color="auto"/>
            <w:bottom w:val="none" w:sz="0" w:space="0" w:color="auto"/>
            <w:right w:val="none" w:sz="0" w:space="0" w:color="auto"/>
          </w:divBdr>
        </w:div>
        <w:div w:id="858740150">
          <w:marLeft w:val="0"/>
          <w:marRight w:val="0"/>
          <w:marTop w:val="180"/>
          <w:marBottom w:val="0"/>
          <w:divBdr>
            <w:top w:val="none" w:sz="0" w:space="0" w:color="auto"/>
            <w:left w:val="none" w:sz="0" w:space="0" w:color="auto"/>
            <w:bottom w:val="none" w:sz="0" w:space="0" w:color="auto"/>
            <w:right w:val="none" w:sz="0" w:space="0" w:color="auto"/>
          </w:divBdr>
        </w:div>
        <w:div w:id="1489059251">
          <w:marLeft w:val="0"/>
          <w:marRight w:val="0"/>
          <w:marTop w:val="180"/>
          <w:marBottom w:val="0"/>
          <w:divBdr>
            <w:top w:val="none" w:sz="0" w:space="0" w:color="auto"/>
            <w:left w:val="none" w:sz="0" w:space="0" w:color="auto"/>
            <w:bottom w:val="none" w:sz="0" w:space="0" w:color="auto"/>
            <w:right w:val="none" w:sz="0" w:space="0" w:color="auto"/>
          </w:divBdr>
        </w:div>
        <w:div w:id="608851609">
          <w:marLeft w:val="0"/>
          <w:marRight w:val="0"/>
          <w:marTop w:val="180"/>
          <w:marBottom w:val="0"/>
          <w:divBdr>
            <w:top w:val="none" w:sz="0" w:space="0" w:color="auto"/>
            <w:left w:val="none" w:sz="0" w:space="0" w:color="auto"/>
            <w:bottom w:val="none" w:sz="0" w:space="0" w:color="auto"/>
            <w:right w:val="none" w:sz="0" w:space="0" w:color="auto"/>
          </w:divBdr>
        </w:div>
      </w:divsChild>
    </w:div>
    <w:div w:id="94254053">
      <w:marLeft w:val="0"/>
      <w:marRight w:val="0"/>
      <w:marTop w:val="0"/>
      <w:marBottom w:val="0"/>
      <w:divBdr>
        <w:top w:val="none" w:sz="0" w:space="0" w:color="auto"/>
        <w:left w:val="none" w:sz="0" w:space="0" w:color="auto"/>
        <w:bottom w:val="none" w:sz="0" w:space="0" w:color="auto"/>
        <w:right w:val="none" w:sz="0" w:space="0" w:color="auto"/>
      </w:divBdr>
    </w:div>
    <w:div w:id="97873786">
      <w:marLeft w:val="0"/>
      <w:marRight w:val="0"/>
      <w:marTop w:val="20"/>
      <w:marBottom w:val="0"/>
      <w:divBdr>
        <w:top w:val="none" w:sz="0" w:space="0" w:color="auto"/>
        <w:left w:val="none" w:sz="0" w:space="0" w:color="auto"/>
        <w:bottom w:val="none" w:sz="0" w:space="0" w:color="auto"/>
        <w:right w:val="none" w:sz="0" w:space="0" w:color="auto"/>
      </w:divBdr>
    </w:div>
    <w:div w:id="100296820">
      <w:marLeft w:val="0"/>
      <w:marRight w:val="0"/>
      <w:marTop w:val="0"/>
      <w:marBottom w:val="0"/>
      <w:divBdr>
        <w:top w:val="none" w:sz="0" w:space="0" w:color="auto"/>
        <w:left w:val="none" w:sz="0" w:space="0" w:color="auto"/>
        <w:bottom w:val="none" w:sz="0" w:space="0" w:color="auto"/>
        <w:right w:val="none" w:sz="0" w:space="0" w:color="auto"/>
      </w:divBdr>
      <w:divsChild>
        <w:div w:id="305354678">
          <w:marLeft w:val="0"/>
          <w:marRight w:val="0"/>
          <w:marTop w:val="0"/>
          <w:marBottom w:val="0"/>
          <w:divBdr>
            <w:top w:val="none" w:sz="0" w:space="0" w:color="auto"/>
            <w:left w:val="none" w:sz="0" w:space="0" w:color="auto"/>
            <w:bottom w:val="none" w:sz="0" w:space="0" w:color="auto"/>
            <w:right w:val="none" w:sz="0" w:space="0" w:color="auto"/>
          </w:divBdr>
        </w:div>
      </w:divsChild>
    </w:div>
    <w:div w:id="102266528">
      <w:marLeft w:val="0"/>
      <w:marRight w:val="0"/>
      <w:marTop w:val="0"/>
      <w:marBottom w:val="0"/>
      <w:divBdr>
        <w:top w:val="none" w:sz="0" w:space="0" w:color="auto"/>
        <w:left w:val="none" w:sz="0" w:space="0" w:color="auto"/>
        <w:bottom w:val="none" w:sz="0" w:space="0" w:color="auto"/>
        <w:right w:val="none" w:sz="0" w:space="0" w:color="auto"/>
      </w:divBdr>
      <w:divsChild>
        <w:div w:id="2058508111">
          <w:marLeft w:val="0"/>
          <w:marRight w:val="0"/>
          <w:marTop w:val="0"/>
          <w:marBottom w:val="0"/>
          <w:divBdr>
            <w:top w:val="none" w:sz="0" w:space="0" w:color="auto"/>
            <w:left w:val="none" w:sz="0" w:space="0" w:color="auto"/>
            <w:bottom w:val="none" w:sz="0" w:space="0" w:color="auto"/>
            <w:right w:val="none" w:sz="0" w:space="0" w:color="auto"/>
          </w:divBdr>
        </w:div>
      </w:divsChild>
    </w:div>
    <w:div w:id="102463415">
      <w:marLeft w:val="0"/>
      <w:marRight w:val="0"/>
      <w:marTop w:val="100"/>
      <w:marBottom w:val="0"/>
      <w:divBdr>
        <w:top w:val="none" w:sz="0" w:space="0" w:color="auto"/>
        <w:left w:val="none" w:sz="0" w:space="0" w:color="auto"/>
        <w:bottom w:val="none" w:sz="0" w:space="0" w:color="auto"/>
        <w:right w:val="none" w:sz="0" w:space="0" w:color="auto"/>
      </w:divBdr>
    </w:div>
    <w:div w:id="103118454">
      <w:marLeft w:val="0"/>
      <w:marRight w:val="0"/>
      <w:marTop w:val="0"/>
      <w:marBottom w:val="0"/>
      <w:divBdr>
        <w:top w:val="none" w:sz="0" w:space="0" w:color="auto"/>
        <w:left w:val="none" w:sz="0" w:space="0" w:color="auto"/>
        <w:bottom w:val="none" w:sz="0" w:space="0" w:color="auto"/>
        <w:right w:val="none" w:sz="0" w:space="0" w:color="auto"/>
      </w:divBdr>
      <w:divsChild>
        <w:div w:id="1236671754">
          <w:marLeft w:val="0"/>
          <w:marRight w:val="0"/>
          <w:marTop w:val="0"/>
          <w:marBottom w:val="0"/>
          <w:divBdr>
            <w:top w:val="none" w:sz="0" w:space="0" w:color="auto"/>
            <w:left w:val="none" w:sz="0" w:space="0" w:color="auto"/>
            <w:bottom w:val="none" w:sz="0" w:space="0" w:color="auto"/>
            <w:right w:val="none" w:sz="0" w:space="0" w:color="auto"/>
          </w:divBdr>
        </w:div>
      </w:divsChild>
    </w:div>
    <w:div w:id="112332635">
      <w:marLeft w:val="0"/>
      <w:marRight w:val="0"/>
      <w:marTop w:val="100"/>
      <w:marBottom w:val="0"/>
      <w:divBdr>
        <w:top w:val="none" w:sz="0" w:space="0" w:color="auto"/>
        <w:left w:val="none" w:sz="0" w:space="0" w:color="auto"/>
        <w:bottom w:val="none" w:sz="0" w:space="0" w:color="auto"/>
        <w:right w:val="none" w:sz="0" w:space="0" w:color="auto"/>
      </w:divBdr>
    </w:div>
    <w:div w:id="112403940">
      <w:marLeft w:val="0"/>
      <w:marRight w:val="0"/>
      <w:marTop w:val="0"/>
      <w:marBottom w:val="0"/>
      <w:divBdr>
        <w:top w:val="none" w:sz="0" w:space="0" w:color="auto"/>
        <w:left w:val="none" w:sz="0" w:space="0" w:color="auto"/>
        <w:bottom w:val="none" w:sz="0" w:space="0" w:color="auto"/>
        <w:right w:val="none" w:sz="0" w:space="0" w:color="auto"/>
      </w:divBdr>
      <w:divsChild>
        <w:div w:id="1965043428">
          <w:marLeft w:val="0"/>
          <w:marRight w:val="0"/>
          <w:marTop w:val="0"/>
          <w:marBottom w:val="0"/>
          <w:divBdr>
            <w:top w:val="none" w:sz="0" w:space="0" w:color="auto"/>
            <w:left w:val="none" w:sz="0" w:space="0" w:color="auto"/>
            <w:bottom w:val="none" w:sz="0" w:space="0" w:color="auto"/>
            <w:right w:val="none" w:sz="0" w:space="0" w:color="auto"/>
          </w:divBdr>
        </w:div>
      </w:divsChild>
    </w:div>
    <w:div w:id="112865364">
      <w:marLeft w:val="0"/>
      <w:marRight w:val="0"/>
      <w:marTop w:val="180"/>
      <w:marBottom w:val="0"/>
      <w:divBdr>
        <w:top w:val="none" w:sz="0" w:space="0" w:color="auto"/>
        <w:left w:val="none" w:sz="0" w:space="0" w:color="auto"/>
        <w:bottom w:val="none" w:sz="0" w:space="0" w:color="auto"/>
        <w:right w:val="none" w:sz="0" w:space="0" w:color="auto"/>
      </w:divBdr>
    </w:div>
    <w:div w:id="115294808">
      <w:marLeft w:val="0"/>
      <w:marRight w:val="0"/>
      <w:marTop w:val="100"/>
      <w:marBottom w:val="0"/>
      <w:divBdr>
        <w:top w:val="none" w:sz="0" w:space="0" w:color="auto"/>
        <w:left w:val="none" w:sz="0" w:space="0" w:color="auto"/>
        <w:bottom w:val="none" w:sz="0" w:space="0" w:color="auto"/>
        <w:right w:val="none" w:sz="0" w:space="0" w:color="auto"/>
      </w:divBdr>
    </w:div>
    <w:div w:id="125398849">
      <w:marLeft w:val="0"/>
      <w:marRight w:val="0"/>
      <w:marTop w:val="100"/>
      <w:marBottom w:val="0"/>
      <w:divBdr>
        <w:top w:val="none" w:sz="0" w:space="0" w:color="auto"/>
        <w:left w:val="none" w:sz="0" w:space="0" w:color="auto"/>
        <w:bottom w:val="none" w:sz="0" w:space="0" w:color="auto"/>
        <w:right w:val="none" w:sz="0" w:space="0" w:color="auto"/>
      </w:divBdr>
    </w:div>
    <w:div w:id="135343484">
      <w:marLeft w:val="0"/>
      <w:marRight w:val="0"/>
      <w:marTop w:val="0"/>
      <w:marBottom w:val="0"/>
      <w:divBdr>
        <w:top w:val="none" w:sz="0" w:space="0" w:color="auto"/>
        <w:left w:val="none" w:sz="0" w:space="0" w:color="auto"/>
        <w:bottom w:val="none" w:sz="0" w:space="0" w:color="auto"/>
        <w:right w:val="none" w:sz="0" w:space="0" w:color="auto"/>
      </w:divBdr>
      <w:divsChild>
        <w:div w:id="1971352768">
          <w:marLeft w:val="0"/>
          <w:marRight w:val="0"/>
          <w:marTop w:val="0"/>
          <w:marBottom w:val="0"/>
          <w:divBdr>
            <w:top w:val="none" w:sz="0" w:space="0" w:color="auto"/>
            <w:left w:val="none" w:sz="0" w:space="0" w:color="auto"/>
            <w:bottom w:val="none" w:sz="0" w:space="0" w:color="auto"/>
            <w:right w:val="none" w:sz="0" w:space="0" w:color="auto"/>
          </w:divBdr>
        </w:div>
      </w:divsChild>
    </w:div>
    <w:div w:id="135494978">
      <w:marLeft w:val="0"/>
      <w:marRight w:val="0"/>
      <w:marTop w:val="0"/>
      <w:marBottom w:val="0"/>
      <w:divBdr>
        <w:top w:val="none" w:sz="0" w:space="0" w:color="auto"/>
        <w:left w:val="none" w:sz="0" w:space="0" w:color="auto"/>
        <w:bottom w:val="none" w:sz="0" w:space="0" w:color="auto"/>
        <w:right w:val="none" w:sz="0" w:space="0" w:color="auto"/>
      </w:divBdr>
      <w:divsChild>
        <w:div w:id="1249271274">
          <w:marLeft w:val="0"/>
          <w:marRight w:val="0"/>
          <w:marTop w:val="0"/>
          <w:marBottom w:val="0"/>
          <w:divBdr>
            <w:top w:val="none" w:sz="0" w:space="0" w:color="auto"/>
            <w:left w:val="none" w:sz="0" w:space="0" w:color="auto"/>
            <w:bottom w:val="none" w:sz="0" w:space="0" w:color="auto"/>
            <w:right w:val="none" w:sz="0" w:space="0" w:color="auto"/>
          </w:divBdr>
        </w:div>
      </w:divsChild>
    </w:div>
    <w:div w:id="147095307">
      <w:marLeft w:val="0"/>
      <w:marRight w:val="0"/>
      <w:marTop w:val="0"/>
      <w:marBottom w:val="0"/>
      <w:divBdr>
        <w:top w:val="none" w:sz="0" w:space="0" w:color="auto"/>
        <w:left w:val="none" w:sz="0" w:space="0" w:color="auto"/>
        <w:bottom w:val="none" w:sz="0" w:space="0" w:color="auto"/>
        <w:right w:val="none" w:sz="0" w:space="0" w:color="auto"/>
      </w:divBdr>
    </w:div>
    <w:div w:id="153189104">
      <w:marLeft w:val="0"/>
      <w:marRight w:val="0"/>
      <w:marTop w:val="0"/>
      <w:marBottom w:val="0"/>
      <w:divBdr>
        <w:top w:val="none" w:sz="0" w:space="0" w:color="auto"/>
        <w:left w:val="none" w:sz="0" w:space="0" w:color="auto"/>
        <w:bottom w:val="none" w:sz="0" w:space="0" w:color="auto"/>
        <w:right w:val="none" w:sz="0" w:space="0" w:color="auto"/>
      </w:divBdr>
    </w:div>
    <w:div w:id="154495769">
      <w:marLeft w:val="0"/>
      <w:marRight w:val="0"/>
      <w:marTop w:val="0"/>
      <w:marBottom w:val="0"/>
      <w:divBdr>
        <w:top w:val="none" w:sz="0" w:space="0" w:color="auto"/>
        <w:left w:val="none" w:sz="0" w:space="0" w:color="auto"/>
        <w:bottom w:val="none" w:sz="0" w:space="0" w:color="auto"/>
        <w:right w:val="none" w:sz="0" w:space="0" w:color="auto"/>
      </w:divBdr>
    </w:div>
    <w:div w:id="162866872">
      <w:marLeft w:val="0"/>
      <w:marRight w:val="0"/>
      <w:marTop w:val="0"/>
      <w:marBottom w:val="0"/>
      <w:divBdr>
        <w:top w:val="none" w:sz="0" w:space="0" w:color="auto"/>
        <w:left w:val="none" w:sz="0" w:space="0" w:color="auto"/>
        <w:bottom w:val="none" w:sz="0" w:space="0" w:color="auto"/>
        <w:right w:val="none" w:sz="0" w:space="0" w:color="auto"/>
      </w:divBdr>
      <w:divsChild>
        <w:div w:id="963998046">
          <w:marLeft w:val="0"/>
          <w:marRight w:val="0"/>
          <w:marTop w:val="0"/>
          <w:marBottom w:val="0"/>
          <w:divBdr>
            <w:top w:val="none" w:sz="0" w:space="0" w:color="auto"/>
            <w:left w:val="none" w:sz="0" w:space="0" w:color="auto"/>
            <w:bottom w:val="none" w:sz="0" w:space="0" w:color="auto"/>
            <w:right w:val="none" w:sz="0" w:space="0" w:color="auto"/>
          </w:divBdr>
        </w:div>
      </w:divsChild>
    </w:div>
    <w:div w:id="171649860">
      <w:marLeft w:val="0"/>
      <w:marRight w:val="0"/>
      <w:marTop w:val="0"/>
      <w:marBottom w:val="0"/>
      <w:divBdr>
        <w:top w:val="none" w:sz="0" w:space="0" w:color="auto"/>
        <w:left w:val="none" w:sz="0" w:space="0" w:color="auto"/>
        <w:bottom w:val="none" w:sz="0" w:space="0" w:color="auto"/>
        <w:right w:val="none" w:sz="0" w:space="0" w:color="auto"/>
      </w:divBdr>
    </w:div>
    <w:div w:id="174999277">
      <w:marLeft w:val="0"/>
      <w:marRight w:val="0"/>
      <w:marTop w:val="0"/>
      <w:marBottom w:val="0"/>
      <w:divBdr>
        <w:top w:val="none" w:sz="0" w:space="0" w:color="auto"/>
        <w:left w:val="none" w:sz="0" w:space="0" w:color="auto"/>
        <w:bottom w:val="none" w:sz="0" w:space="0" w:color="auto"/>
        <w:right w:val="none" w:sz="0" w:space="0" w:color="auto"/>
      </w:divBdr>
    </w:div>
    <w:div w:id="183783921">
      <w:marLeft w:val="0"/>
      <w:marRight w:val="0"/>
      <w:marTop w:val="0"/>
      <w:marBottom w:val="0"/>
      <w:divBdr>
        <w:top w:val="none" w:sz="0" w:space="0" w:color="auto"/>
        <w:left w:val="none" w:sz="0" w:space="0" w:color="auto"/>
        <w:bottom w:val="none" w:sz="0" w:space="0" w:color="auto"/>
        <w:right w:val="none" w:sz="0" w:space="0" w:color="auto"/>
      </w:divBdr>
      <w:divsChild>
        <w:div w:id="32389017">
          <w:marLeft w:val="0"/>
          <w:marRight w:val="0"/>
          <w:marTop w:val="0"/>
          <w:marBottom w:val="0"/>
          <w:divBdr>
            <w:top w:val="none" w:sz="0" w:space="0" w:color="auto"/>
            <w:left w:val="none" w:sz="0" w:space="0" w:color="auto"/>
            <w:bottom w:val="none" w:sz="0" w:space="0" w:color="auto"/>
            <w:right w:val="none" w:sz="0" w:space="0" w:color="auto"/>
          </w:divBdr>
        </w:div>
      </w:divsChild>
    </w:div>
    <w:div w:id="185677231">
      <w:marLeft w:val="0"/>
      <w:marRight w:val="0"/>
      <w:marTop w:val="0"/>
      <w:marBottom w:val="0"/>
      <w:divBdr>
        <w:top w:val="none" w:sz="0" w:space="0" w:color="auto"/>
        <w:left w:val="none" w:sz="0" w:space="0" w:color="auto"/>
        <w:bottom w:val="none" w:sz="0" w:space="0" w:color="auto"/>
        <w:right w:val="none" w:sz="0" w:space="0" w:color="auto"/>
      </w:divBdr>
    </w:div>
    <w:div w:id="190844438">
      <w:marLeft w:val="0"/>
      <w:marRight w:val="0"/>
      <w:marTop w:val="0"/>
      <w:marBottom w:val="0"/>
      <w:divBdr>
        <w:top w:val="none" w:sz="0" w:space="0" w:color="auto"/>
        <w:left w:val="none" w:sz="0" w:space="0" w:color="auto"/>
        <w:bottom w:val="none" w:sz="0" w:space="0" w:color="auto"/>
        <w:right w:val="none" w:sz="0" w:space="0" w:color="auto"/>
      </w:divBdr>
    </w:div>
    <w:div w:id="195628688">
      <w:marLeft w:val="0"/>
      <w:marRight w:val="0"/>
      <w:marTop w:val="0"/>
      <w:marBottom w:val="0"/>
      <w:divBdr>
        <w:top w:val="none" w:sz="0" w:space="0" w:color="auto"/>
        <w:left w:val="none" w:sz="0" w:space="0" w:color="auto"/>
        <w:bottom w:val="none" w:sz="0" w:space="0" w:color="auto"/>
        <w:right w:val="none" w:sz="0" w:space="0" w:color="auto"/>
      </w:divBdr>
      <w:divsChild>
        <w:div w:id="2119371263">
          <w:marLeft w:val="0"/>
          <w:marRight w:val="0"/>
          <w:marTop w:val="0"/>
          <w:marBottom w:val="0"/>
          <w:divBdr>
            <w:top w:val="none" w:sz="0" w:space="0" w:color="auto"/>
            <w:left w:val="none" w:sz="0" w:space="0" w:color="auto"/>
            <w:bottom w:val="none" w:sz="0" w:space="0" w:color="auto"/>
            <w:right w:val="none" w:sz="0" w:space="0" w:color="auto"/>
          </w:divBdr>
        </w:div>
      </w:divsChild>
    </w:div>
    <w:div w:id="197936738">
      <w:marLeft w:val="0"/>
      <w:marRight w:val="0"/>
      <w:marTop w:val="0"/>
      <w:marBottom w:val="0"/>
      <w:divBdr>
        <w:top w:val="none" w:sz="0" w:space="0" w:color="auto"/>
        <w:left w:val="none" w:sz="0" w:space="0" w:color="auto"/>
        <w:bottom w:val="none" w:sz="0" w:space="0" w:color="auto"/>
        <w:right w:val="none" w:sz="0" w:space="0" w:color="auto"/>
      </w:divBdr>
    </w:div>
    <w:div w:id="208030175">
      <w:marLeft w:val="0"/>
      <w:marRight w:val="0"/>
      <w:marTop w:val="0"/>
      <w:marBottom w:val="0"/>
      <w:divBdr>
        <w:top w:val="none" w:sz="0" w:space="0" w:color="auto"/>
        <w:left w:val="none" w:sz="0" w:space="0" w:color="auto"/>
        <w:bottom w:val="none" w:sz="0" w:space="0" w:color="auto"/>
        <w:right w:val="none" w:sz="0" w:space="0" w:color="auto"/>
      </w:divBdr>
    </w:div>
    <w:div w:id="210044932">
      <w:marLeft w:val="0"/>
      <w:marRight w:val="0"/>
      <w:marTop w:val="0"/>
      <w:marBottom w:val="0"/>
      <w:divBdr>
        <w:top w:val="none" w:sz="0" w:space="0" w:color="auto"/>
        <w:left w:val="none" w:sz="0" w:space="0" w:color="auto"/>
        <w:bottom w:val="none" w:sz="0" w:space="0" w:color="auto"/>
        <w:right w:val="none" w:sz="0" w:space="0" w:color="auto"/>
      </w:divBdr>
      <w:divsChild>
        <w:div w:id="1456019775">
          <w:marLeft w:val="0"/>
          <w:marRight w:val="0"/>
          <w:marTop w:val="0"/>
          <w:marBottom w:val="0"/>
          <w:divBdr>
            <w:top w:val="none" w:sz="0" w:space="0" w:color="auto"/>
            <w:left w:val="none" w:sz="0" w:space="0" w:color="auto"/>
            <w:bottom w:val="none" w:sz="0" w:space="0" w:color="auto"/>
            <w:right w:val="none" w:sz="0" w:space="0" w:color="auto"/>
          </w:divBdr>
        </w:div>
      </w:divsChild>
    </w:div>
    <w:div w:id="217283561">
      <w:marLeft w:val="0"/>
      <w:marRight w:val="0"/>
      <w:marTop w:val="0"/>
      <w:marBottom w:val="0"/>
      <w:divBdr>
        <w:top w:val="none" w:sz="0" w:space="0" w:color="auto"/>
        <w:left w:val="none" w:sz="0" w:space="0" w:color="auto"/>
        <w:bottom w:val="none" w:sz="0" w:space="0" w:color="auto"/>
        <w:right w:val="none" w:sz="0" w:space="0" w:color="auto"/>
      </w:divBdr>
      <w:divsChild>
        <w:div w:id="1825926505">
          <w:marLeft w:val="0"/>
          <w:marRight w:val="0"/>
          <w:marTop w:val="0"/>
          <w:marBottom w:val="0"/>
          <w:divBdr>
            <w:top w:val="none" w:sz="0" w:space="0" w:color="auto"/>
            <w:left w:val="none" w:sz="0" w:space="0" w:color="auto"/>
            <w:bottom w:val="none" w:sz="0" w:space="0" w:color="auto"/>
            <w:right w:val="none" w:sz="0" w:space="0" w:color="auto"/>
          </w:divBdr>
        </w:div>
      </w:divsChild>
    </w:div>
    <w:div w:id="233862168">
      <w:marLeft w:val="0"/>
      <w:marRight w:val="0"/>
      <w:marTop w:val="0"/>
      <w:marBottom w:val="0"/>
      <w:divBdr>
        <w:top w:val="none" w:sz="0" w:space="0" w:color="auto"/>
        <w:left w:val="none" w:sz="0" w:space="0" w:color="auto"/>
        <w:bottom w:val="none" w:sz="0" w:space="0" w:color="auto"/>
        <w:right w:val="none" w:sz="0" w:space="0" w:color="auto"/>
      </w:divBdr>
    </w:div>
    <w:div w:id="233975931">
      <w:marLeft w:val="0"/>
      <w:marRight w:val="0"/>
      <w:marTop w:val="100"/>
      <w:marBottom w:val="0"/>
      <w:divBdr>
        <w:top w:val="none" w:sz="0" w:space="0" w:color="auto"/>
        <w:left w:val="none" w:sz="0" w:space="0" w:color="auto"/>
        <w:bottom w:val="none" w:sz="0" w:space="0" w:color="auto"/>
        <w:right w:val="none" w:sz="0" w:space="0" w:color="auto"/>
      </w:divBdr>
    </w:div>
    <w:div w:id="235677292">
      <w:marLeft w:val="0"/>
      <w:marRight w:val="0"/>
      <w:marTop w:val="0"/>
      <w:marBottom w:val="0"/>
      <w:divBdr>
        <w:top w:val="none" w:sz="0" w:space="0" w:color="auto"/>
        <w:left w:val="none" w:sz="0" w:space="0" w:color="auto"/>
        <w:bottom w:val="none" w:sz="0" w:space="0" w:color="auto"/>
        <w:right w:val="none" w:sz="0" w:space="0" w:color="auto"/>
      </w:divBdr>
    </w:div>
    <w:div w:id="237177572">
      <w:marLeft w:val="0"/>
      <w:marRight w:val="0"/>
      <w:marTop w:val="0"/>
      <w:marBottom w:val="0"/>
      <w:divBdr>
        <w:top w:val="none" w:sz="0" w:space="0" w:color="auto"/>
        <w:left w:val="none" w:sz="0" w:space="0" w:color="auto"/>
        <w:bottom w:val="none" w:sz="0" w:space="0" w:color="auto"/>
        <w:right w:val="none" w:sz="0" w:space="0" w:color="auto"/>
      </w:divBdr>
    </w:div>
    <w:div w:id="238104554">
      <w:marLeft w:val="0"/>
      <w:marRight w:val="0"/>
      <w:marTop w:val="0"/>
      <w:marBottom w:val="0"/>
      <w:divBdr>
        <w:top w:val="none" w:sz="0" w:space="0" w:color="auto"/>
        <w:left w:val="none" w:sz="0" w:space="0" w:color="auto"/>
        <w:bottom w:val="none" w:sz="0" w:space="0" w:color="auto"/>
        <w:right w:val="none" w:sz="0" w:space="0" w:color="auto"/>
      </w:divBdr>
      <w:divsChild>
        <w:div w:id="1766069937">
          <w:marLeft w:val="0"/>
          <w:marRight w:val="0"/>
          <w:marTop w:val="0"/>
          <w:marBottom w:val="0"/>
          <w:divBdr>
            <w:top w:val="none" w:sz="0" w:space="0" w:color="auto"/>
            <w:left w:val="none" w:sz="0" w:space="0" w:color="auto"/>
            <w:bottom w:val="none" w:sz="0" w:space="0" w:color="auto"/>
            <w:right w:val="none" w:sz="0" w:space="0" w:color="auto"/>
          </w:divBdr>
        </w:div>
      </w:divsChild>
    </w:div>
    <w:div w:id="238902668">
      <w:marLeft w:val="0"/>
      <w:marRight w:val="0"/>
      <w:marTop w:val="0"/>
      <w:marBottom w:val="0"/>
      <w:divBdr>
        <w:top w:val="none" w:sz="0" w:space="0" w:color="auto"/>
        <w:left w:val="none" w:sz="0" w:space="0" w:color="auto"/>
        <w:bottom w:val="none" w:sz="0" w:space="0" w:color="auto"/>
        <w:right w:val="none" w:sz="0" w:space="0" w:color="auto"/>
      </w:divBdr>
    </w:div>
    <w:div w:id="241641033">
      <w:marLeft w:val="0"/>
      <w:marRight w:val="0"/>
      <w:marTop w:val="0"/>
      <w:marBottom w:val="0"/>
      <w:divBdr>
        <w:top w:val="none" w:sz="0" w:space="0" w:color="auto"/>
        <w:left w:val="none" w:sz="0" w:space="0" w:color="auto"/>
        <w:bottom w:val="none" w:sz="0" w:space="0" w:color="auto"/>
        <w:right w:val="none" w:sz="0" w:space="0" w:color="auto"/>
      </w:divBdr>
      <w:divsChild>
        <w:div w:id="1801796903">
          <w:marLeft w:val="0"/>
          <w:marRight w:val="0"/>
          <w:marTop w:val="0"/>
          <w:marBottom w:val="0"/>
          <w:divBdr>
            <w:top w:val="none" w:sz="0" w:space="0" w:color="auto"/>
            <w:left w:val="none" w:sz="0" w:space="0" w:color="auto"/>
            <w:bottom w:val="none" w:sz="0" w:space="0" w:color="auto"/>
            <w:right w:val="none" w:sz="0" w:space="0" w:color="auto"/>
          </w:divBdr>
        </w:div>
      </w:divsChild>
    </w:div>
    <w:div w:id="242960931">
      <w:marLeft w:val="0"/>
      <w:marRight w:val="0"/>
      <w:marTop w:val="0"/>
      <w:marBottom w:val="0"/>
      <w:divBdr>
        <w:top w:val="none" w:sz="0" w:space="0" w:color="auto"/>
        <w:left w:val="none" w:sz="0" w:space="0" w:color="auto"/>
        <w:bottom w:val="none" w:sz="0" w:space="0" w:color="auto"/>
        <w:right w:val="none" w:sz="0" w:space="0" w:color="auto"/>
      </w:divBdr>
      <w:divsChild>
        <w:div w:id="1051222533">
          <w:marLeft w:val="0"/>
          <w:marRight w:val="0"/>
          <w:marTop w:val="0"/>
          <w:marBottom w:val="0"/>
          <w:divBdr>
            <w:top w:val="none" w:sz="0" w:space="0" w:color="auto"/>
            <w:left w:val="none" w:sz="0" w:space="0" w:color="auto"/>
            <w:bottom w:val="none" w:sz="0" w:space="0" w:color="auto"/>
            <w:right w:val="none" w:sz="0" w:space="0" w:color="auto"/>
          </w:divBdr>
          <w:divsChild>
            <w:div w:id="7823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37970">
      <w:marLeft w:val="0"/>
      <w:marRight w:val="0"/>
      <w:marTop w:val="0"/>
      <w:marBottom w:val="0"/>
      <w:divBdr>
        <w:top w:val="none" w:sz="0" w:space="0" w:color="auto"/>
        <w:left w:val="none" w:sz="0" w:space="0" w:color="auto"/>
        <w:bottom w:val="none" w:sz="0" w:space="0" w:color="auto"/>
        <w:right w:val="none" w:sz="0" w:space="0" w:color="auto"/>
      </w:divBdr>
      <w:divsChild>
        <w:div w:id="371003490">
          <w:marLeft w:val="0"/>
          <w:marRight w:val="0"/>
          <w:marTop w:val="0"/>
          <w:marBottom w:val="0"/>
          <w:divBdr>
            <w:top w:val="none" w:sz="0" w:space="0" w:color="auto"/>
            <w:left w:val="none" w:sz="0" w:space="0" w:color="auto"/>
            <w:bottom w:val="none" w:sz="0" w:space="0" w:color="auto"/>
            <w:right w:val="none" w:sz="0" w:space="0" w:color="auto"/>
          </w:divBdr>
        </w:div>
      </w:divsChild>
    </w:div>
    <w:div w:id="260114593">
      <w:marLeft w:val="0"/>
      <w:marRight w:val="0"/>
      <w:marTop w:val="0"/>
      <w:marBottom w:val="0"/>
      <w:divBdr>
        <w:top w:val="none" w:sz="0" w:space="0" w:color="auto"/>
        <w:left w:val="none" w:sz="0" w:space="0" w:color="auto"/>
        <w:bottom w:val="none" w:sz="0" w:space="0" w:color="auto"/>
        <w:right w:val="none" w:sz="0" w:space="0" w:color="auto"/>
      </w:divBdr>
    </w:div>
    <w:div w:id="263001346">
      <w:marLeft w:val="0"/>
      <w:marRight w:val="0"/>
      <w:marTop w:val="0"/>
      <w:marBottom w:val="0"/>
      <w:divBdr>
        <w:top w:val="none" w:sz="0" w:space="0" w:color="auto"/>
        <w:left w:val="none" w:sz="0" w:space="0" w:color="auto"/>
        <w:bottom w:val="none" w:sz="0" w:space="0" w:color="auto"/>
        <w:right w:val="none" w:sz="0" w:space="0" w:color="auto"/>
      </w:divBdr>
    </w:div>
    <w:div w:id="266935491">
      <w:marLeft w:val="0"/>
      <w:marRight w:val="0"/>
      <w:marTop w:val="80"/>
      <w:marBottom w:val="0"/>
      <w:divBdr>
        <w:top w:val="none" w:sz="0" w:space="0" w:color="auto"/>
        <w:left w:val="none" w:sz="0" w:space="0" w:color="auto"/>
        <w:bottom w:val="none" w:sz="0" w:space="0" w:color="auto"/>
        <w:right w:val="none" w:sz="0" w:space="0" w:color="auto"/>
      </w:divBdr>
    </w:div>
    <w:div w:id="269315731">
      <w:marLeft w:val="0"/>
      <w:marRight w:val="0"/>
      <w:marTop w:val="0"/>
      <w:marBottom w:val="0"/>
      <w:divBdr>
        <w:top w:val="none" w:sz="0" w:space="0" w:color="auto"/>
        <w:left w:val="none" w:sz="0" w:space="0" w:color="auto"/>
        <w:bottom w:val="none" w:sz="0" w:space="0" w:color="auto"/>
        <w:right w:val="none" w:sz="0" w:space="0" w:color="auto"/>
      </w:divBdr>
    </w:div>
    <w:div w:id="270403339">
      <w:marLeft w:val="0"/>
      <w:marRight w:val="0"/>
      <w:marTop w:val="100"/>
      <w:marBottom w:val="0"/>
      <w:divBdr>
        <w:top w:val="none" w:sz="0" w:space="0" w:color="auto"/>
        <w:left w:val="none" w:sz="0" w:space="0" w:color="auto"/>
        <w:bottom w:val="none" w:sz="0" w:space="0" w:color="auto"/>
        <w:right w:val="none" w:sz="0" w:space="0" w:color="auto"/>
      </w:divBdr>
    </w:div>
    <w:div w:id="270746223">
      <w:marLeft w:val="0"/>
      <w:marRight w:val="0"/>
      <w:marTop w:val="100"/>
      <w:marBottom w:val="0"/>
      <w:divBdr>
        <w:top w:val="none" w:sz="0" w:space="0" w:color="auto"/>
        <w:left w:val="none" w:sz="0" w:space="0" w:color="auto"/>
        <w:bottom w:val="none" w:sz="0" w:space="0" w:color="auto"/>
        <w:right w:val="none" w:sz="0" w:space="0" w:color="auto"/>
      </w:divBdr>
    </w:div>
    <w:div w:id="276448624">
      <w:marLeft w:val="0"/>
      <w:marRight w:val="0"/>
      <w:marTop w:val="0"/>
      <w:marBottom w:val="0"/>
      <w:divBdr>
        <w:top w:val="none" w:sz="0" w:space="0" w:color="auto"/>
        <w:left w:val="none" w:sz="0" w:space="0" w:color="auto"/>
        <w:bottom w:val="none" w:sz="0" w:space="0" w:color="auto"/>
        <w:right w:val="none" w:sz="0" w:space="0" w:color="auto"/>
      </w:divBdr>
    </w:div>
    <w:div w:id="289942019">
      <w:marLeft w:val="0"/>
      <w:marRight w:val="0"/>
      <w:marTop w:val="0"/>
      <w:marBottom w:val="0"/>
      <w:divBdr>
        <w:top w:val="none" w:sz="0" w:space="0" w:color="auto"/>
        <w:left w:val="none" w:sz="0" w:space="0" w:color="auto"/>
        <w:bottom w:val="none" w:sz="0" w:space="0" w:color="auto"/>
        <w:right w:val="none" w:sz="0" w:space="0" w:color="auto"/>
      </w:divBdr>
      <w:divsChild>
        <w:div w:id="339048994">
          <w:marLeft w:val="0"/>
          <w:marRight w:val="0"/>
          <w:marTop w:val="0"/>
          <w:marBottom w:val="0"/>
          <w:divBdr>
            <w:top w:val="none" w:sz="0" w:space="0" w:color="auto"/>
            <w:left w:val="none" w:sz="0" w:space="0" w:color="auto"/>
            <w:bottom w:val="none" w:sz="0" w:space="0" w:color="auto"/>
            <w:right w:val="none" w:sz="0" w:space="0" w:color="auto"/>
          </w:divBdr>
        </w:div>
      </w:divsChild>
    </w:div>
    <w:div w:id="300042917">
      <w:marLeft w:val="0"/>
      <w:marRight w:val="0"/>
      <w:marTop w:val="0"/>
      <w:marBottom w:val="0"/>
      <w:divBdr>
        <w:top w:val="none" w:sz="0" w:space="0" w:color="auto"/>
        <w:left w:val="none" w:sz="0" w:space="0" w:color="auto"/>
        <w:bottom w:val="none" w:sz="0" w:space="0" w:color="auto"/>
        <w:right w:val="none" w:sz="0" w:space="0" w:color="auto"/>
      </w:divBdr>
    </w:div>
    <w:div w:id="309870581">
      <w:marLeft w:val="0"/>
      <w:marRight w:val="0"/>
      <w:marTop w:val="0"/>
      <w:marBottom w:val="0"/>
      <w:divBdr>
        <w:top w:val="none" w:sz="0" w:space="0" w:color="auto"/>
        <w:left w:val="none" w:sz="0" w:space="0" w:color="auto"/>
        <w:bottom w:val="none" w:sz="0" w:space="0" w:color="auto"/>
        <w:right w:val="none" w:sz="0" w:space="0" w:color="auto"/>
      </w:divBdr>
      <w:divsChild>
        <w:div w:id="275017753">
          <w:marLeft w:val="0"/>
          <w:marRight w:val="0"/>
          <w:marTop w:val="0"/>
          <w:marBottom w:val="0"/>
          <w:divBdr>
            <w:top w:val="none" w:sz="0" w:space="0" w:color="auto"/>
            <w:left w:val="none" w:sz="0" w:space="0" w:color="auto"/>
            <w:bottom w:val="none" w:sz="0" w:space="0" w:color="auto"/>
            <w:right w:val="none" w:sz="0" w:space="0" w:color="auto"/>
          </w:divBdr>
        </w:div>
      </w:divsChild>
    </w:div>
    <w:div w:id="318391057">
      <w:marLeft w:val="0"/>
      <w:marRight w:val="0"/>
      <w:marTop w:val="0"/>
      <w:marBottom w:val="0"/>
      <w:divBdr>
        <w:top w:val="none" w:sz="0" w:space="0" w:color="auto"/>
        <w:left w:val="none" w:sz="0" w:space="0" w:color="auto"/>
        <w:bottom w:val="none" w:sz="0" w:space="0" w:color="auto"/>
        <w:right w:val="none" w:sz="0" w:space="0" w:color="auto"/>
      </w:divBdr>
    </w:div>
    <w:div w:id="332225897">
      <w:marLeft w:val="0"/>
      <w:marRight w:val="0"/>
      <w:marTop w:val="0"/>
      <w:marBottom w:val="0"/>
      <w:divBdr>
        <w:top w:val="none" w:sz="0" w:space="0" w:color="auto"/>
        <w:left w:val="none" w:sz="0" w:space="0" w:color="auto"/>
        <w:bottom w:val="none" w:sz="0" w:space="0" w:color="auto"/>
        <w:right w:val="none" w:sz="0" w:space="0" w:color="auto"/>
      </w:divBdr>
      <w:divsChild>
        <w:div w:id="1492989636">
          <w:marLeft w:val="0"/>
          <w:marRight w:val="0"/>
          <w:marTop w:val="0"/>
          <w:marBottom w:val="0"/>
          <w:divBdr>
            <w:top w:val="none" w:sz="0" w:space="0" w:color="auto"/>
            <w:left w:val="none" w:sz="0" w:space="0" w:color="auto"/>
            <w:bottom w:val="none" w:sz="0" w:space="0" w:color="auto"/>
            <w:right w:val="none" w:sz="0" w:space="0" w:color="auto"/>
          </w:divBdr>
        </w:div>
      </w:divsChild>
    </w:div>
    <w:div w:id="332414881">
      <w:marLeft w:val="0"/>
      <w:marRight w:val="0"/>
      <w:marTop w:val="0"/>
      <w:marBottom w:val="0"/>
      <w:divBdr>
        <w:top w:val="none" w:sz="0" w:space="0" w:color="auto"/>
        <w:left w:val="none" w:sz="0" w:space="0" w:color="auto"/>
        <w:bottom w:val="none" w:sz="0" w:space="0" w:color="auto"/>
        <w:right w:val="none" w:sz="0" w:space="0" w:color="auto"/>
      </w:divBdr>
      <w:divsChild>
        <w:div w:id="1174876641">
          <w:marLeft w:val="0"/>
          <w:marRight w:val="0"/>
          <w:marTop w:val="0"/>
          <w:marBottom w:val="0"/>
          <w:divBdr>
            <w:top w:val="none" w:sz="0" w:space="0" w:color="auto"/>
            <w:left w:val="none" w:sz="0" w:space="0" w:color="auto"/>
            <w:bottom w:val="none" w:sz="0" w:space="0" w:color="auto"/>
            <w:right w:val="none" w:sz="0" w:space="0" w:color="auto"/>
          </w:divBdr>
        </w:div>
      </w:divsChild>
    </w:div>
    <w:div w:id="333924555">
      <w:marLeft w:val="0"/>
      <w:marRight w:val="0"/>
      <w:marTop w:val="0"/>
      <w:marBottom w:val="0"/>
      <w:divBdr>
        <w:top w:val="none" w:sz="0" w:space="0" w:color="auto"/>
        <w:left w:val="none" w:sz="0" w:space="0" w:color="auto"/>
        <w:bottom w:val="none" w:sz="0" w:space="0" w:color="auto"/>
        <w:right w:val="none" w:sz="0" w:space="0" w:color="auto"/>
      </w:divBdr>
    </w:div>
    <w:div w:id="336664211">
      <w:marLeft w:val="0"/>
      <w:marRight w:val="0"/>
      <w:marTop w:val="0"/>
      <w:marBottom w:val="0"/>
      <w:divBdr>
        <w:top w:val="none" w:sz="0" w:space="0" w:color="auto"/>
        <w:left w:val="none" w:sz="0" w:space="0" w:color="auto"/>
        <w:bottom w:val="none" w:sz="0" w:space="0" w:color="auto"/>
        <w:right w:val="none" w:sz="0" w:space="0" w:color="auto"/>
      </w:divBdr>
      <w:divsChild>
        <w:div w:id="1956788785">
          <w:marLeft w:val="0"/>
          <w:marRight w:val="0"/>
          <w:marTop w:val="0"/>
          <w:marBottom w:val="0"/>
          <w:divBdr>
            <w:top w:val="none" w:sz="0" w:space="0" w:color="auto"/>
            <w:left w:val="none" w:sz="0" w:space="0" w:color="auto"/>
            <w:bottom w:val="none" w:sz="0" w:space="0" w:color="auto"/>
            <w:right w:val="none" w:sz="0" w:space="0" w:color="auto"/>
          </w:divBdr>
        </w:div>
      </w:divsChild>
    </w:div>
    <w:div w:id="345519490">
      <w:marLeft w:val="0"/>
      <w:marRight w:val="0"/>
      <w:marTop w:val="0"/>
      <w:marBottom w:val="0"/>
      <w:divBdr>
        <w:top w:val="none" w:sz="0" w:space="0" w:color="auto"/>
        <w:left w:val="none" w:sz="0" w:space="0" w:color="auto"/>
        <w:bottom w:val="none" w:sz="0" w:space="0" w:color="auto"/>
        <w:right w:val="none" w:sz="0" w:space="0" w:color="auto"/>
      </w:divBdr>
      <w:divsChild>
        <w:div w:id="713894799">
          <w:marLeft w:val="0"/>
          <w:marRight w:val="0"/>
          <w:marTop w:val="0"/>
          <w:marBottom w:val="0"/>
          <w:divBdr>
            <w:top w:val="none" w:sz="0" w:space="0" w:color="auto"/>
            <w:left w:val="none" w:sz="0" w:space="0" w:color="auto"/>
            <w:bottom w:val="none" w:sz="0" w:space="0" w:color="auto"/>
            <w:right w:val="none" w:sz="0" w:space="0" w:color="auto"/>
          </w:divBdr>
        </w:div>
      </w:divsChild>
    </w:div>
    <w:div w:id="363098445">
      <w:marLeft w:val="0"/>
      <w:marRight w:val="0"/>
      <w:marTop w:val="280"/>
      <w:marBottom w:val="0"/>
      <w:divBdr>
        <w:top w:val="none" w:sz="0" w:space="0" w:color="auto"/>
        <w:left w:val="none" w:sz="0" w:space="0" w:color="auto"/>
        <w:bottom w:val="none" w:sz="0" w:space="0" w:color="auto"/>
        <w:right w:val="none" w:sz="0" w:space="0" w:color="auto"/>
      </w:divBdr>
    </w:div>
    <w:div w:id="367068221">
      <w:marLeft w:val="0"/>
      <w:marRight w:val="0"/>
      <w:marTop w:val="0"/>
      <w:marBottom w:val="0"/>
      <w:divBdr>
        <w:top w:val="none" w:sz="0" w:space="0" w:color="auto"/>
        <w:left w:val="none" w:sz="0" w:space="0" w:color="auto"/>
        <w:bottom w:val="none" w:sz="0" w:space="0" w:color="auto"/>
        <w:right w:val="none" w:sz="0" w:space="0" w:color="auto"/>
      </w:divBdr>
    </w:div>
    <w:div w:id="369498386">
      <w:marLeft w:val="0"/>
      <w:marRight w:val="0"/>
      <w:marTop w:val="80"/>
      <w:marBottom w:val="0"/>
      <w:divBdr>
        <w:top w:val="none" w:sz="0" w:space="0" w:color="auto"/>
        <w:left w:val="none" w:sz="0" w:space="0" w:color="auto"/>
        <w:bottom w:val="none" w:sz="0" w:space="0" w:color="auto"/>
        <w:right w:val="none" w:sz="0" w:space="0" w:color="auto"/>
      </w:divBdr>
    </w:div>
    <w:div w:id="370038445">
      <w:marLeft w:val="0"/>
      <w:marRight w:val="0"/>
      <w:marTop w:val="0"/>
      <w:marBottom w:val="0"/>
      <w:divBdr>
        <w:top w:val="none" w:sz="0" w:space="0" w:color="auto"/>
        <w:left w:val="none" w:sz="0" w:space="0" w:color="auto"/>
        <w:bottom w:val="none" w:sz="0" w:space="0" w:color="auto"/>
        <w:right w:val="none" w:sz="0" w:space="0" w:color="auto"/>
      </w:divBdr>
      <w:divsChild>
        <w:div w:id="524485306">
          <w:marLeft w:val="0"/>
          <w:marRight w:val="0"/>
          <w:marTop w:val="0"/>
          <w:marBottom w:val="0"/>
          <w:divBdr>
            <w:top w:val="none" w:sz="0" w:space="0" w:color="auto"/>
            <w:left w:val="none" w:sz="0" w:space="0" w:color="auto"/>
            <w:bottom w:val="none" w:sz="0" w:space="0" w:color="auto"/>
            <w:right w:val="none" w:sz="0" w:space="0" w:color="auto"/>
          </w:divBdr>
        </w:div>
      </w:divsChild>
    </w:div>
    <w:div w:id="375206133">
      <w:marLeft w:val="0"/>
      <w:marRight w:val="0"/>
      <w:marTop w:val="0"/>
      <w:marBottom w:val="0"/>
      <w:divBdr>
        <w:top w:val="none" w:sz="0" w:space="0" w:color="auto"/>
        <w:left w:val="none" w:sz="0" w:space="0" w:color="auto"/>
        <w:bottom w:val="none" w:sz="0" w:space="0" w:color="auto"/>
        <w:right w:val="none" w:sz="0" w:space="0" w:color="auto"/>
      </w:divBdr>
    </w:div>
    <w:div w:id="378673598">
      <w:marLeft w:val="0"/>
      <w:marRight w:val="0"/>
      <w:marTop w:val="0"/>
      <w:marBottom w:val="0"/>
      <w:divBdr>
        <w:top w:val="none" w:sz="0" w:space="0" w:color="auto"/>
        <w:left w:val="none" w:sz="0" w:space="0" w:color="auto"/>
        <w:bottom w:val="none" w:sz="0" w:space="0" w:color="auto"/>
        <w:right w:val="none" w:sz="0" w:space="0" w:color="auto"/>
      </w:divBdr>
    </w:div>
    <w:div w:id="381248154">
      <w:marLeft w:val="0"/>
      <w:marRight w:val="0"/>
      <w:marTop w:val="180"/>
      <w:marBottom w:val="180"/>
      <w:divBdr>
        <w:top w:val="none" w:sz="0" w:space="0" w:color="auto"/>
        <w:left w:val="none" w:sz="0" w:space="0" w:color="auto"/>
        <w:bottom w:val="none" w:sz="0" w:space="0" w:color="auto"/>
        <w:right w:val="none" w:sz="0" w:space="0" w:color="auto"/>
      </w:divBdr>
    </w:div>
    <w:div w:id="381945408">
      <w:marLeft w:val="0"/>
      <w:marRight w:val="0"/>
      <w:marTop w:val="100"/>
      <w:marBottom w:val="0"/>
      <w:divBdr>
        <w:top w:val="none" w:sz="0" w:space="0" w:color="auto"/>
        <w:left w:val="none" w:sz="0" w:space="0" w:color="auto"/>
        <w:bottom w:val="none" w:sz="0" w:space="0" w:color="auto"/>
        <w:right w:val="none" w:sz="0" w:space="0" w:color="auto"/>
      </w:divBdr>
    </w:div>
    <w:div w:id="382825799">
      <w:marLeft w:val="0"/>
      <w:marRight w:val="0"/>
      <w:marTop w:val="0"/>
      <w:marBottom w:val="60"/>
      <w:divBdr>
        <w:top w:val="none" w:sz="0" w:space="0" w:color="auto"/>
        <w:left w:val="none" w:sz="0" w:space="0" w:color="auto"/>
        <w:bottom w:val="none" w:sz="0" w:space="0" w:color="auto"/>
        <w:right w:val="none" w:sz="0" w:space="0" w:color="auto"/>
      </w:divBdr>
    </w:div>
    <w:div w:id="383211643">
      <w:marLeft w:val="0"/>
      <w:marRight w:val="0"/>
      <w:marTop w:val="100"/>
      <w:marBottom w:val="0"/>
      <w:divBdr>
        <w:top w:val="none" w:sz="0" w:space="0" w:color="auto"/>
        <w:left w:val="none" w:sz="0" w:space="0" w:color="auto"/>
        <w:bottom w:val="none" w:sz="0" w:space="0" w:color="auto"/>
        <w:right w:val="none" w:sz="0" w:space="0" w:color="auto"/>
      </w:divBdr>
    </w:div>
    <w:div w:id="383917211">
      <w:marLeft w:val="0"/>
      <w:marRight w:val="0"/>
      <w:marTop w:val="0"/>
      <w:marBottom w:val="0"/>
      <w:divBdr>
        <w:top w:val="none" w:sz="0" w:space="0" w:color="auto"/>
        <w:left w:val="none" w:sz="0" w:space="0" w:color="auto"/>
        <w:bottom w:val="none" w:sz="0" w:space="0" w:color="auto"/>
        <w:right w:val="none" w:sz="0" w:space="0" w:color="auto"/>
      </w:divBdr>
      <w:divsChild>
        <w:div w:id="1967392702">
          <w:marLeft w:val="0"/>
          <w:marRight w:val="0"/>
          <w:marTop w:val="0"/>
          <w:marBottom w:val="0"/>
          <w:divBdr>
            <w:top w:val="none" w:sz="0" w:space="0" w:color="auto"/>
            <w:left w:val="none" w:sz="0" w:space="0" w:color="auto"/>
            <w:bottom w:val="none" w:sz="0" w:space="0" w:color="auto"/>
            <w:right w:val="none" w:sz="0" w:space="0" w:color="auto"/>
          </w:divBdr>
        </w:div>
      </w:divsChild>
    </w:div>
    <w:div w:id="385569066">
      <w:marLeft w:val="0"/>
      <w:marRight w:val="0"/>
      <w:marTop w:val="100"/>
      <w:marBottom w:val="0"/>
      <w:divBdr>
        <w:top w:val="none" w:sz="0" w:space="0" w:color="auto"/>
        <w:left w:val="none" w:sz="0" w:space="0" w:color="auto"/>
        <w:bottom w:val="none" w:sz="0" w:space="0" w:color="auto"/>
        <w:right w:val="none" w:sz="0" w:space="0" w:color="auto"/>
      </w:divBdr>
    </w:div>
    <w:div w:id="393354984">
      <w:marLeft w:val="0"/>
      <w:marRight w:val="0"/>
      <w:marTop w:val="180"/>
      <w:marBottom w:val="0"/>
      <w:divBdr>
        <w:top w:val="none" w:sz="0" w:space="0" w:color="auto"/>
        <w:left w:val="none" w:sz="0" w:space="0" w:color="auto"/>
        <w:bottom w:val="none" w:sz="0" w:space="0" w:color="auto"/>
        <w:right w:val="none" w:sz="0" w:space="0" w:color="auto"/>
      </w:divBdr>
    </w:div>
    <w:div w:id="396049873">
      <w:marLeft w:val="0"/>
      <w:marRight w:val="0"/>
      <w:marTop w:val="0"/>
      <w:marBottom w:val="0"/>
      <w:divBdr>
        <w:top w:val="none" w:sz="0" w:space="0" w:color="auto"/>
        <w:left w:val="none" w:sz="0" w:space="0" w:color="auto"/>
        <w:bottom w:val="none" w:sz="0" w:space="0" w:color="auto"/>
        <w:right w:val="none" w:sz="0" w:space="0" w:color="auto"/>
      </w:divBdr>
      <w:divsChild>
        <w:div w:id="1077437681">
          <w:marLeft w:val="0"/>
          <w:marRight w:val="0"/>
          <w:marTop w:val="0"/>
          <w:marBottom w:val="0"/>
          <w:divBdr>
            <w:top w:val="none" w:sz="0" w:space="0" w:color="auto"/>
            <w:left w:val="none" w:sz="0" w:space="0" w:color="auto"/>
            <w:bottom w:val="none" w:sz="0" w:space="0" w:color="auto"/>
            <w:right w:val="none" w:sz="0" w:space="0" w:color="auto"/>
          </w:divBdr>
        </w:div>
      </w:divsChild>
    </w:div>
    <w:div w:id="398477636">
      <w:marLeft w:val="0"/>
      <w:marRight w:val="0"/>
      <w:marTop w:val="0"/>
      <w:marBottom w:val="0"/>
      <w:divBdr>
        <w:top w:val="none" w:sz="0" w:space="0" w:color="auto"/>
        <w:left w:val="none" w:sz="0" w:space="0" w:color="auto"/>
        <w:bottom w:val="none" w:sz="0" w:space="0" w:color="auto"/>
        <w:right w:val="none" w:sz="0" w:space="0" w:color="auto"/>
      </w:divBdr>
    </w:div>
    <w:div w:id="399669193">
      <w:marLeft w:val="0"/>
      <w:marRight w:val="0"/>
      <w:marTop w:val="80"/>
      <w:marBottom w:val="0"/>
      <w:divBdr>
        <w:top w:val="none" w:sz="0" w:space="0" w:color="auto"/>
        <w:left w:val="none" w:sz="0" w:space="0" w:color="auto"/>
        <w:bottom w:val="none" w:sz="0" w:space="0" w:color="auto"/>
        <w:right w:val="none" w:sz="0" w:space="0" w:color="auto"/>
      </w:divBdr>
    </w:div>
    <w:div w:id="399984815">
      <w:marLeft w:val="0"/>
      <w:marRight w:val="0"/>
      <w:marTop w:val="100"/>
      <w:marBottom w:val="0"/>
      <w:divBdr>
        <w:top w:val="none" w:sz="0" w:space="0" w:color="auto"/>
        <w:left w:val="none" w:sz="0" w:space="0" w:color="auto"/>
        <w:bottom w:val="none" w:sz="0" w:space="0" w:color="auto"/>
        <w:right w:val="none" w:sz="0" w:space="0" w:color="auto"/>
      </w:divBdr>
    </w:div>
    <w:div w:id="400562120">
      <w:marLeft w:val="0"/>
      <w:marRight w:val="0"/>
      <w:marTop w:val="180"/>
      <w:marBottom w:val="0"/>
      <w:divBdr>
        <w:top w:val="none" w:sz="0" w:space="0" w:color="auto"/>
        <w:left w:val="none" w:sz="0" w:space="0" w:color="auto"/>
        <w:bottom w:val="none" w:sz="0" w:space="0" w:color="auto"/>
        <w:right w:val="none" w:sz="0" w:space="0" w:color="auto"/>
      </w:divBdr>
    </w:div>
    <w:div w:id="402140199">
      <w:marLeft w:val="0"/>
      <w:marRight w:val="0"/>
      <w:marTop w:val="0"/>
      <w:marBottom w:val="0"/>
      <w:divBdr>
        <w:top w:val="none" w:sz="0" w:space="0" w:color="auto"/>
        <w:left w:val="none" w:sz="0" w:space="0" w:color="auto"/>
        <w:bottom w:val="none" w:sz="0" w:space="0" w:color="auto"/>
        <w:right w:val="none" w:sz="0" w:space="0" w:color="auto"/>
      </w:divBdr>
      <w:divsChild>
        <w:div w:id="1149446945">
          <w:marLeft w:val="0"/>
          <w:marRight w:val="0"/>
          <w:marTop w:val="0"/>
          <w:marBottom w:val="0"/>
          <w:divBdr>
            <w:top w:val="none" w:sz="0" w:space="0" w:color="auto"/>
            <w:left w:val="none" w:sz="0" w:space="0" w:color="auto"/>
            <w:bottom w:val="none" w:sz="0" w:space="0" w:color="auto"/>
            <w:right w:val="none" w:sz="0" w:space="0" w:color="auto"/>
          </w:divBdr>
        </w:div>
      </w:divsChild>
    </w:div>
    <w:div w:id="405229928">
      <w:marLeft w:val="0"/>
      <w:marRight w:val="0"/>
      <w:marTop w:val="0"/>
      <w:marBottom w:val="0"/>
      <w:divBdr>
        <w:top w:val="none" w:sz="0" w:space="0" w:color="auto"/>
        <w:left w:val="none" w:sz="0" w:space="0" w:color="auto"/>
        <w:bottom w:val="none" w:sz="0" w:space="0" w:color="auto"/>
        <w:right w:val="none" w:sz="0" w:space="0" w:color="auto"/>
      </w:divBdr>
    </w:div>
    <w:div w:id="406654343">
      <w:marLeft w:val="0"/>
      <w:marRight w:val="0"/>
      <w:marTop w:val="0"/>
      <w:marBottom w:val="0"/>
      <w:divBdr>
        <w:top w:val="none" w:sz="0" w:space="0" w:color="auto"/>
        <w:left w:val="none" w:sz="0" w:space="0" w:color="auto"/>
        <w:bottom w:val="none" w:sz="0" w:space="0" w:color="auto"/>
        <w:right w:val="none" w:sz="0" w:space="0" w:color="auto"/>
      </w:divBdr>
    </w:div>
    <w:div w:id="407118646">
      <w:marLeft w:val="0"/>
      <w:marRight w:val="0"/>
      <w:marTop w:val="0"/>
      <w:marBottom w:val="0"/>
      <w:divBdr>
        <w:top w:val="none" w:sz="0" w:space="0" w:color="auto"/>
        <w:left w:val="none" w:sz="0" w:space="0" w:color="auto"/>
        <w:bottom w:val="none" w:sz="0" w:space="0" w:color="auto"/>
        <w:right w:val="none" w:sz="0" w:space="0" w:color="auto"/>
      </w:divBdr>
      <w:divsChild>
        <w:div w:id="401634856">
          <w:marLeft w:val="0"/>
          <w:marRight w:val="0"/>
          <w:marTop w:val="0"/>
          <w:marBottom w:val="0"/>
          <w:divBdr>
            <w:top w:val="none" w:sz="0" w:space="0" w:color="auto"/>
            <w:left w:val="none" w:sz="0" w:space="0" w:color="auto"/>
            <w:bottom w:val="none" w:sz="0" w:space="0" w:color="auto"/>
            <w:right w:val="none" w:sz="0" w:space="0" w:color="auto"/>
          </w:divBdr>
        </w:div>
      </w:divsChild>
    </w:div>
    <w:div w:id="407191090">
      <w:marLeft w:val="0"/>
      <w:marRight w:val="0"/>
      <w:marTop w:val="0"/>
      <w:marBottom w:val="0"/>
      <w:divBdr>
        <w:top w:val="none" w:sz="0" w:space="0" w:color="auto"/>
        <w:left w:val="none" w:sz="0" w:space="0" w:color="auto"/>
        <w:bottom w:val="none" w:sz="0" w:space="0" w:color="auto"/>
        <w:right w:val="none" w:sz="0" w:space="0" w:color="auto"/>
      </w:divBdr>
    </w:div>
    <w:div w:id="419835910">
      <w:marLeft w:val="0"/>
      <w:marRight w:val="0"/>
      <w:marTop w:val="0"/>
      <w:marBottom w:val="0"/>
      <w:divBdr>
        <w:top w:val="none" w:sz="0" w:space="0" w:color="auto"/>
        <w:left w:val="none" w:sz="0" w:space="0" w:color="auto"/>
        <w:bottom w:val="none" w:sz="0" w:space="0" w:color="auto"/>
        <w:right w:val="none" w:sz="0" w:space="0" w:color="auto"/>
      </w:divBdr>
    </w:div>
    <w:div w:id="430862367">
      <w:marLeft w:val="0"/>
      <w:marRight w:val="0"/>
      <w:marTop w:val="100"/>
      <w:marBottom w:val="0"/>
      <w:divBdr>
        <w:top w:val="none" w:sz="0" w:space="0" w:color="auto"/>
        <w:left w:val="none" w:sz="0" w:space="0" w:color="auto"/>
        <w:bottom w:val="none" w:sz="0" w:space="0" w:color="auto"/>
        <w:right w:val="none" w:sz="0" w:space="0" w:color="auto"/>
      </w:divBdr>
      <w:divsChild>
        <w:div w:id="1290211369">
          <w:marLeft w:val="0"/>
          <w:marRight w:val="0"/>
          <w:marTop w:val="0"/>
          <w:marBottom w:val="0"/>
          <w:divBdr>
            <w:top w:val="none" w:sz="0" w:space="0" w:color="auto"/>
            <w:left w:val="none" w:sz="0" w:space="0" w:color="auto"/>
            <w:bottom w:val="none" w:sz="0" w:space="0" w:color="auto"/>
            <w:right w:val="none" w:sz="0" w:space="0" w:color="auto"/>
          </w:divBdr>
        </w:div>
        <w:div w:id="2044862944">
          <w:marLeft w:val="0"/>
          <w:marRight w:val="0"/>
          <w:marTop w:val="0"/>
          <w:marBottom w:val="0"/>
          <w:divBdr>
            <w:top w:val="none" w:sz="0" w:space="0" w:color="auto"/>
            <w:left w:val="none" w:sz="0" w:space="0" w:color="auto"/>
            <w:bottom w:val="none" w:sz="0" w:space="0" w:color="auto"/>
            <w:right w:val="none" w:sz="0" w:space="0" w:color="auto"/>
          </w:divBdr>
        </w:div>
      </w:divsChild>
    </w:div>
    <w:div w:id="435904846">
      <w:marLeft w:val="0"/>
      <w:marRight w:val="0"/>
      <w:marTop w:val="0"/>
      <w:marBottom w:val="0"/>
      <w:divBdr>
        <w:top w:val="none" w:sz="0" w:space="0" w:color="auto"/>
        <w:left w:val="none" w:sz="0" w:space="0" w:color="auto"/>
        <w:bottom w:val="none" w:sz="0" w:space="0" w:color="auto"/>
        <w:right w:val="none" w:sz="0" w:space="0" w:color="auto"/>
      </w:divBdr>
    </w:div>
    <w:div w:id="436756267">
      <w:marLeft w:val="0"/>
      <w:marRight w:val="0"/>
      <w:marTop w:val="0"/>
      <w:marBottom w:val="0"/>
      <w:divBdr>
        <w:top w:val="none" w:sz="0" w:space="0" w:color="auto"/>
        <w:left w:val="none" w:sz="0" w:space="0" w:color="auto"/>
        <w:bottom w:val="none" w:sz="0" w:space="0" w:color="auto"/>
        <w:right w:val="none" w:sz="0" w:space="0" w:color="auto"/>
      </w:divBdr>
      <w:divsChild>
        <w:div w:id="1001202651">
          <w:marLeft w:val="0"/>
          <w:marRight w:val="0"/>
          <w:marTop w:val="0"/>
          <w:marBottom w:val="0"/>
          <w:divBdr>
            <w:top w:val="none" w:sz="0" w:space="0" w:color="auto"/>
            <w:left w:val="none" w:sz="0" w:space="0" w:color="auto"/>
            <w:bottom w:val="none" w:sz="0" w:space="0" w:color="auto"/>
            <w:right w:val="none" w:sz="0" w:space="0" w:color="auto"/>
          </w:divBdr>
        </w:div>
      </w:divsChild>
    </w:div>
    <w:div w:id="438961311">
      <w:marLeft w:val="0"/>
      <w:marRight w:val="0"/>
      <w:marTop w:val="0"/>
      <w:marBottom w:val="0"/>
      <w:divBdr>
        <w:top w:val="none" w:sz="0" w:space="0" w:color="auto"/>
        <w:left w:val="none" w:sz="0" w:space="0" w:color="auto"/>
        <w:bottom w:val="none" w:sz="0" w:space="0" w:color="auto"/>
        <w:right w:val="none" w:sz="0" w:space="0" w:color="auto"/>
      </w:divBdr>
    </w:div>
    <w:div w:id="440688967">
      <w:marLeft w:val="0"/>
      <w:marRight w:val="0"/>
      <w:marTop w:val="0"/>
      <w:marBottom w:val="0"/>
      <w:divBdr>
        <w:top w:val="none" w:sz="0" w:space="0" w:color="auto"/>
        <w:left w:val="none" w:sz="0" w:space="0" w:color="auto"/>
        <w:bottom w:val="none" w:sz="0" w:space="0" w:color="auto"/>
        <w:right w:val="none" w:sz="0" w:space="0" w:color="auto"/>
      </w:divBdr>
    </w:div>
    <w:div w:id="449858453">
      <w:marLeft w:val="0"/>
      <w:marRight w:val="0"/>
      <w:marTop w:val="0"/>
      <w:marBottom w:val="0"/>
      <w:divBdr>
        <w:top w:val="none" w:sz="0" w:space="0" w:color="auto"/>
        <w:left w:val="none" w:sz="0" w:space="0" w:color="auto"/>
        <w:bottom w:val="none" w:sz="0" w:space="0" w:color="auto"/>
        <w:right w:val="none" w:sz="0" w:space="0" w:color="auto"/>
      </w:divBdr>
      <w:divsChild>
        <w:div w:id="1268777811">
          <w:marLeft w:val="0"/>
          <w:marRight w:val="0"/>
          <w:marTop w:val="0"/>
          <w:marBottom w:val="0"/>
          <w:divBdr>
            <w:top w:val="none" w:sz="0" w:space="0" w:color="auto"/>
            <w:left w:val="none" w:sz="0" w:space="0" w:color="auto"/>
            <w:bottom w:val="none" w:sz="0" w:space="0" w:color="auto"/>
            <w:right w:val="none" w:sz="0" w:space="0" w:color="auto"/>
          </w:divBdr>
        </w:div>
      </w:divsChild>
    </w:div>
    <w:div w:id="458453609">
      <w:marLeft w:val="0"/>
      <w:marRight w:val="0"/>
      <w:marTop w:val="0"/>
      <w:marBottom w:val="0"/>
      <w:divBdr>
        <w:top w:val="none" w:sz="0" w:space="0" w:color="auto"/>
        <w:left w:val="none" w:sz="0" w:space="0" w:color="auto"/>
        <w:bottom w:val="none" w:sz="0" w:space="0" w:color="auto"/>
        <w:right w:val="none" w:sz="0" w:space="0" w:color="auto"/>
      </w:divBdr>
      <w:divsChild>
        <w:div w:id="717313681">
          <w:marLeft w:val="0"/>
          <w:marRight w:val="0"/>
          <w:marTop w:val="0"/>
          <w:marBottom w:val="0"/>
          <w:divBdr>
            <w:top w:val="none" w:sz="0" w:space="0" w:color="auto"/>
            <w:left w:val="none" w:sz="0" w:space="0" w:color="auto"/>
            <w:bottom w:val="none" w:sz="0" w:space="0" w:color="auto"/>
            <w:right w:val="none" w:sz="0" w:space="0" w:color="auto"/>
          </w:divBdr>
        </w:div>
      </w:divsChild>
    </w:div>
    <w:div w:id="459954948">
      <w:marLeft w:val="0"/>
      <w:marRight w:val="0"/>
      <w:marTop w:val="0"/>
      <w:marBottom w:val="0"/>
      <w:divBdr>
        <w:top w:val="none" w:sz="0" w:space="0" w:color="auto"/>
        <w:left w:val="none" w:sz="0" w:space="0" w:color="auto"/>
        <w:bottom w:val="none" w:sz="0" w:space="0" w:color="auto"/>
        <w:right w:val="none" w:sz="0" w:space="0" w:color="auto"/>
      </w:divBdr>
    </w:div>
    <w:div w:id="464012625">
      <w:marLeft w:val="0"/>
      <w:marRight w:val="0"/>
      <w:marTop w:val="100"/>
      <w:marBottom w:val="0"/>
      <w:divBdr>
        <w:top w:val="none" w:sz="0" w:space="0" w:color="auto"/>
        <w:left w:val="none" w:sz="0" w:space="0" w:color="auto"/>
        <w:bottom w:val="none" w:sz="0" w:space="0" w:color="auto"/>
        <w:right w:val="none" w:sz="0" w:space="0" w:color="auto"/>
      </w:divBdr>
    </w:div>
    <w:div w:id="472068538">
      <w:marLeft w:val="0"/>
      <w:marRight w:val="0"/>
      <w:marTop w:val="0"/>
      <w:marBottom w:val="0"/>
      <w:divBdr>
        <w:top w:val="none" w:sz="0" w:space="0" w:color="auto"/>
        <w:left w:val="none" w:sz="0" w:space="0" w:color="auto"/>
        <w:bottom w:val="none" w:sz="0" w:space="0" w:color="auto"/>
        <w:right w:val="none" w:sz="0" w:space="0" w:color="auto"/>
      </w:divBdr>
      <w:divsChild>
        <w:div w:id="652753294">
          <w:marLeft w:val="0"/>
          <w:marRight w:val="0"/>
          <w:marTop w:val="0"/>
          <w:marBottom w:val="0"/>
          <w:divBdr>
            <w:top w:val="none" w:sz="0" w:space="0" w:color="auto"/>
            <w:left w:val="none" w:sz="0" w:space="0" w:color="auto"/>
            <w:bottom w:val="none" w:sz="0" w:space="0" w:color="auto"/>
            <w:right w:val="none" w:sz="0" w:space="0" w:color="auto"/>
          </w:divBdr>
        </w:div>
      </w:divsChild>
    </w:div>
    <w:div w:id="474837422">
      <w:marLeft w:val="0"/>
      <w:marRight w:val="0"/>
      <w:marTop w:val="0"/>
      <w:marBottom w:val="0"/>
      <w:divBdr>
        <w:top w:val="none" w:sz="0" w:space="0" w:color="auto"/>
        <w:left w:val="none" w:sz="0" w:space="0" w:color="auto"/>
        <w:bottom w:val="none" w:sz="0" w:space="0" w:color="auto"/>
        <w:right w:val="none" w:sz="0" w:space="0" w:color="auto"/>
      </w:divBdr>
    </w:div>
    <w:div w:id="482626609">
      <w:marLeft w:val="0"/>
      <w:marRight w:val="0"/>
      <w:marTop w:val="0"/>
      <w:marBottom w:val="0"/>
      <w:divBdr>
        <w:top w:val="none" w:sz="0" w:space="0" w:color="auto"/>
        <w:left w:val="none" w:sz="0" w:space="0" w:color="auto"/>
        <w:bottom w:val="none" w:sz="0" w:space="0" w:color="auto"/>
        <w:right w:val="none" w:sz="0" w:space="0" w:color="auto"/>
      </w:divBdr>
    </w:div>
    <w:div w:id="487748109">
      <w:marLeft w:val="0"/>
      <w:marRight w:val="0"/>
      <w:marTop w:val="80"/>
      <w:marBottom w:val="0"/>
      <w:divBdr>
        <w:top w:val="none" w:sz="0" w:space="0" w:color="auto"/>
        <w:left w:val="none" w:sz="0" w:space="0" w:color="auto"/>
        <w:bottom w:val="none" w:sz="0" w:space="0" w:color="auto"/>
        <w:right w:val="none" w:sz="0" w:space="0" w:color="auto"/>
      </w:divBdr>
    </w:div>
    <w:div w:id="492571251">
      <w:marLeft w:val="0"/>
      <w:marRight w:val="0"/>
      <w:marTop w:val="0"/>
      <w:marBottom w:val="0"/>
      <w:divBdr>
        <w:top w:val="none" w:sz="0" w:space="0" w:color="auto"/>
        <w:left w:val="none" w:sz="0" w:space="0" w:color="auto"/>
        <w:bottom w:val="none" w:sz="0" w:space="0" w:color="auto"/>
        <w:right w:val="none" w:sz="0" w:space="0" w:color="auto"/>
      </w:divBdr>
    </w:div>
    <w:div w:id="496043838">
      <w:marLeft w:val="0"/>
      <w:marRight w:val="0"/>
      <w:marTop w:val="0"/>
      <w:marBottom w:val="0"/>
      <w:divBdr>
        <w:top w:val="none" w:sz="0" w:space="0" w:color="auto"/>
        <w:left w:val="none" w:sz="0" w:space="0" w:color="auto"/>
        <w:bottom w:val="none" w:sz="0" w:space="0" w:color="auto"/>
        <w:right w:val="none" w:sz="0" w:space="0" w:color="auto"/>
      </w:divBdr>
    </w:div>
    <w:div w:id="501316496">
      <w:marLeft w:val="0"/>
      <w:marRight w:val="0"/>
      <w:marTop w:val="0"/>
      <w:marBottom w:val="0"/>
      <w:divBdr>
        <w:top w:val="none" w:sz="0" w:space="0" w:color="auto"/>
        <w:left w:val="none" w:sz="0" w:space="0" w:color="auto"/>
        <w:bottom w:val="none" w:sz="0" w:space="0" w:color="auto"/>
        <w:right w:val="none" w:sz="0" w:space="0" w:color="auto"/>
      </w:divBdr>
    </w:div>
    <w:div w:id="511070819">
      <w:marLeft w:val="0"/>
      <w:marRight w:val="0"/>
      <w:marTop w:val="0"/>
      <w:marBottom w:val="160"/>
      <w:divBdr>
        <w:top w:val="none" w:sz="0" w:space="0" w:color="auto"/>
        <w:left w:val="none" w:sz="0" w:space="0" w:color="auto"/>
        <w:bottom w:val="none" w:sz="0" w:space="0" w:color="auto"/>
        <w:right w:val="none" w:sz="0" w:space="0" w:color="auto"/>
      </w:divBdr>
    </w:div>
    <w:div w:id="511802945">
      <w:marLeft w:val="0"/>
      <w:marRight w:val="0"/>
      <w:marTop w:val="80"/>
      <w:marBottom w:val="0"/>
      <w:divBdr>
        <w:top w:val="none" w:sz="0" w:space="0" w:color="auto"/>
        <w:left w:val="none" w:sz="0" w:space="0" w:color="auto"/>
        <w:bottom w:val="none" w:sz="0" w:space="0" w:color="auto"/>
        <w:right w:val="none" w:sz="0" w:space="0" w:color="auto"/>
      </w:divBdr>
    </w:div>
    <w:div w:id="514614931">
      <w:marLeft w:val="0"/>
      <w:marRight w:val="0"/>
      <w:marTop w:val="180"/>
      <w:marBottom w:val="0"/>
      <w:divBdr>
        <w:top w:val="none" w:sz="0" w:space="0" w:color="auto"/>
        <w:left w:val="none" w:sz="0" w:space="0" w:color="auto"/>
        <w:bottom w:val="none" w:sz="0" w:space="0" w:color="auto"/>
        <w:right w:val="none" w:sz="0" w:space="0" w:color="auto"/>
      </w:divBdr>
    </w:div>
    <w:div w:id="520123389">
      <w:marLeft w:val="0"/>
      <w:marRight w:val="0"/>
      <w:marTop w:val="200"/>
      <w:marBottom w:val="0"/>
      <w:divBdr>
        <w:top w:val="none" w:sz="0" w:space="0" w:color="auto"/>
        <w:left w:val="none" w:sz="0" w:space="0" w:color="auto"/>
        <w:bottom w:val="none" w:sz="0" w:space="0" w:color="auto"/>
        <w:right w:val="none" w:sz="0" w:space="0" w:color="auto"/>
      </w:divBdr>
      <w:divsChild>
        <w:div w:id="249462185">
          <w:marLeft w:val="0"/>
          <w:marRight w:val="0"/>
          <w:marTop w:val="0"/>
          <w:marBottom w:val="0"/>
          <w:divBdr>
            <w:top w:val="none" w:sz="0" w:space="0" w:color="auto"/>
            <w:left w:val="none" w:sz="0" w:space="0" w:color="auto"/>
            <w:bottom w:val="none" w:sz="0" w:space="0" w:color="auto"/>
            <w:right w:val="none" w:sz="0" w:space="0" w:color="auto"/>
          </w:divBdr>
        </w:div>
        <w:div w:id="1560478617">
          <w:marLeft w:val="0"/>
          <w:marRight w:val="0"/>
          <w:marTop w:val="0"/>
          <w:marBottom w:val="0"/>
          <w:divBdr>
            <w:top w:val="none" w:sz="0" w:space="0" w:color="auto"/>
            <w:left w:val="none" w:sz="0" w:space="0" w:color="auto"/>
            <w:bottom w:val="none" w:sz="0" w:space="0" w:color="auto"/>
            <w:right w:val="none" w:sz="0" w:space="0" w:color="auto"/>
          </w:divBdr>
        </w:div>
        <w:div w:id="253786232">
          <w:marLeft w:val="0"/>
          <w:marRight w:val="0"/>
          <w:marTop w:val="0"/>
          <w:marBottom w:val="0"/>
          <w:divBdr>
            <w:top w:val="none" w:sz="0" w:space="0" w:color="auto"/>
            <w:left w:val="none" w:sz="0" w:space="0" w:color="auto"/>
            <w:bottom w:val="none" w:sz="0" w:space="0" w:color="auto"/>
            <w:right w:val="none" w:sz="0" w:space="0" w:color="auto"/>
          </w:divBdr>
        </w:div>
        <w:div w:id="1367289310">
          <w:marLeft w:val="0"/>
          <w:marRight w:val="0"/>
          <w:marTop w:val="0"/>
          <w:marBottom w:val="0"/>
          <w:divBdr>
            <w:top w:val="none" w:sz="0" w:space="0" w:color="auto"/>
            <w:left w:val="none" w:sz="0" w:space="0" w:color="auto"/>
            <w:bottom w:val="none" w:sz="0" w:space="0" w:color="auto"/>
            <w:right w:val="none" w:sz="0" w:space="0" w:color="auto"/>
          </w:divBdr>
        </w:div>
        <w:div w:id="1158619879">
          <w:marLeft w:val="0"/>
          <w:marRight w:val="0"/>
          <w:marTop w:val="0"/>
          <w:marBottom w:val="0"/>
          <w:divBdr>
            <w:top w:val="none" w:sz="0" w:space="0" w:color="auto"/>
            <w:left w:val="none" w:sz="0" w:space="0" w:color="auto"/>
            <w:bottom w:val="none" w:sz="0" w:space="0" w:color="auto"/>
            <w:right w:val="none" w:sz="0" w:space="0" w:color="auto"/>
          </w:divBdr>
        </w:div>
        <w:div w:id="444425363">
          <w:marLeft w:val="0"/>
          <w:marRight w:val="0"/>
          <w:marTop w:val="0"/>
          <w:marBottom w:val="0"/>
          <w:divBdr>
            <w:top w:val="none" w:sz="0" w:space="0" w:color="auto"/>
            <w:left w:val="none" w:sz="0" w:space="0" w:color="auto"/>
            <w:bottom w:val="none" w:sz="0" w:space="0" w:color="auto"/>
            <w:right w:val="none" w:sz="0" w:space="0" w:color="auto"/>
          </w:divBdr>
        </w:div>
        <w:div w:id="278725442">
          <w:marLeft w:val="0"/>
          <w:marRight w:val="0"/>
          <w:marTop w:val="0"/>
          <w:marBottom w:val="0"/>
          <w:divBdr>
            <w:top w:val="none" w:sz="0" w:space="0" w:color="auto"/>
            <w:left w:val="none" w:sz="0" w:space="0" w:color="auto"/>
            <w:bottom w:val="none" w:sz="0" w:space="0" w:color="auto"/>
            <w:right w:val="none" w:sz="0" w:space="0" w:color="auto"/>
          </w:divBdr>
        </w:div>
        <w:div w:id="31467491">
          <w:marLeft w:val="0"/>
          <w:marRight w:val="0"/>
          <w:marTop w:val="0"/>
          <w:marBottom w:val="0"/>
          <w:divBdr>
            <w:top w:val="none" w:sz="0" w:space="0" w:color="auto"/>
            <w:left w:val="none" w:sz="0" w:space="0" w:color="auto"/>
            <w:bottom w:val="none" w:sz="0" w:space="0" w:color="auto"/>
            <w:right w:val="none" w:sz="0" w:space="0" w:color="auto"/>
          </w:divBdr>
        </w:div>
        <w:div w:id="1267689571">
          <w:marLeft w:val="0"/>
          <w:marRight w:val="0"/>
          <w:marTop w:val="0"/>
          <w:marBottom w:val="0"/>
          <w:divBdr>
            <w:top w:val="none" w:sz="0" w:space="0" w:color="auto"/>
            <w:left w:val="none" w:sz="0" w:space="0" w:color="auto"/>
            <w:bottom w:val="none" w:sz="0" w:space="0" w:color="auto"/>
            <w:right w:val="none" w:sz="0" w:space="0" w:color="auto"/>
          </w:divBdr>
        </w:div>
        <w:div w:id="882712902">
          <w:marLeft w:val="0"/>
          <w:marRight w:val="0"/>
          <w:marTop w:val="0"/>
          <w:marBottom w:val="0"/>
          <w:divBdr>
            <w:top w:val="none" w:sz="0" w:space="0" w:color="auto"/>
            <w:left w:val="none" w:sz="0" w:space="0" w:color="auto"/>
            <w:bottom w:val="none" w:sz="0" w:space="0" w:color="auto"/>
            <w:right w:val="none" w:sz="0" w:space="0" w:color="auto"/>
          </w:divBdr>
        </w:div>
        <w:div w:id="255097157">
          <w:marLeft w:val="0"/>
          <w:marRight w:val="0"/>
          <w:marTop w:val="0"/>
          <w:marBottom w:val="0"/>
          <w:divBdr>
            <w:top w:val="none" w:sz="0" w:space="0" w:color="auto"/>
            <w:left w:val="none" w:sz="0" w:space="0" w:color="auto"/>
            <w:bottom w:val="none" w:sz="0" w:space="0" w:color="auto"/>
            <w:right w:val="none" w:sz="0" w:space="0" w:color="auto"/>
          </w:divBdr>
        </w:div>
        <w:div w:id="118496676">
          <w:marLeft w:val="0"/>
          <w:marRight w:val="0"/>
          <w:marTop w:val="0"/>
          <w:marBottom w:val="0"/>
          <w:divBdr>
            <w:top w:val="none" w:sz="0" w:space="0" w:color="auto"/>
            <w:left w:val="none" w:sz="0" w:space="0" w:color="auto"/>
            <w:bottom w:val="none" w:sz="0" w:space="0" w:color="auto"/>
            <w:right w:val="none" w:sz="0" w:space="0" w:color="auto"/>
          </w:divBdr>
        </w:div>
        <w:div w:id="530191878">
          <w:marLeft w:val="0"/>
          <w:marRight w:val="0"/>
          <w:marTop w:val="0"/>
          <w:marBottom w:val="0"/>
          <w:divBdr>
            <w:top w:val="none" w:sz="0" w:space="0" w:color="auto"/>
            <w:left w:val="none" w:sz="0" w:space="0" w:color="auto"/>
            <w:bottom w:val="none" w:sz="0" w:space="0" w:color="auto"/>
            <w:right w:val="none" w:sz="0" w:space="0" w:color="auto"/>
          </w:divBdr>
        </w:div>
        <w:div w:id="1789666327">
          <w:marLeft w:val="0"/>
          <w:marRight w:val="0"/>
          <w:marTop w:val="0"/>
          <w:marBottom w:val="0"/>
          <w:divBdr>
            <w:top w:val="none" w:sz="0" w:space="0" w:color="auto"/>
            <w:left w:val="none" w:sz="0" w:space="0" w:color="auto"/>
            <w:bottom w:val="none" w:sz="0" w:space="0" w:color="auto"/>
            <w:right w:val="none" w:sz="0" w:space="0" w:color="auto"/>
          </w:divBdr>
        </w:div>
        <w:div w:id="719287227">
          <w:marLeft w:val="0"/>
          <w:marRight w:val="0"/>
          <w:marTop w:val="0"/>
          <w:marBottom w:val="0"/>
          <w:divBdr>
            <w:top w:val="none" w:sz="0" w:space="0" w:color="auto"/>
            <w:left w:val="none" w:sz="0" w:space="0" w:color="auto"/>
            <w:bottom w:val="none" w:sz="0" w:space="0" w:color="auto"/>
            <w:right w:val="none" w:sz="0" w:space="0" w:color="auto"/>
          </w:divBdr>
        </w:div>
        <w:div w:id="1703704979">
          <w:marLeft w:val="0"/>
          <w:marRight w:val="0"/>
          <w:marTop w:val="0"/>
          <w:marBottom w:val="0"/>
          <w:divBdr>
            <w:top w:val="none" w:sz="0" w:space="0" w:color="auto"/>
            <w:left w:val="none" w:sz="0" w:space="0" w:color="auto"/>
            <w:bottom w:val="none" w:sz="0" w:space="0" w:color="auto"/>
            <w:right w:val="none" w:sz="0" w:space="0" w:color="auto"/>
          </w:divBdr>
        </w:div>
      </w:divsChild>
    </w:div>
    <w:div w:id="528614763">
      <w:marLeft w:val="0"/>
      <w:marRight w:val="0"/>
      <w:marTop w:val="0"/>
      <w:marBottom w:val="0"/>
      <w:divBdr>
        <w:top w:val="none" w:sz="0" w:space="0" w:color="auto"/>
        <w:left w:val="none" w:sz="0" w:space="0" w:color="auto"/>
        <w:bottom w:val="none" w:sz="0" w:space="0" w:color="auto"/>
        <w:right w:val="none" w:sz="0" w:space="0" w:color="auto"/>
      </w:divBdr>
      <w:divsChild>
        <w:div w:id="806777932">
          <w:marLeft w:val="0"/>
          <w:marRight w:val="0"/>
          <w:marTop w:val="0"/>
          <w:marBottom w:val="0"/>
          <w:divBdr>
            <w:top w:val="none" w:sz="0" w:space="0" w:color="auto"/>
            <w:left w:val="none" w:sz="0" w:space="0" w:color="auto"/>
            <w:bottom w:val="none" w:sz="0" w:space="0" w:color="auto"/>
            <w:right w:val="none" w:sz="0" w:space="0" w:color="auto"/>
          </w:divBdr>
        </w:div>
      </w:divsChild>
    </w:div>
    <w:div w:id="531573737">
      <w:marLeft w:val="0"/>
      <w:marRight w:val="0"/>
      <w:marTop w:val="0"/>
      <w:marBottom w:val="60"/>
      <w:divBdr>
        <w:top w:val="none" w:sz="0" w:space="0" w:color="auto"/>
        <w:left w:val="none" w:sz="0" w:space="0" w:color="auto"/>
        <w:bottom w:val="none" w:sz="0" w:space="0" w:color="auto"/>
        <w:right w:val="none" w:sz="0" w:space="0" w:color="auto"/>
      </w:divBdr>
    </w:div>
    <w:div w:id="541408858">
      <w:marLeft w:val="0"/>
      <w:marRight w:val="0"/>
      <w:marTop w:val="0"/>
      <w:marBottom w:val="0"/>
      <w:divBdr>
        <w:top w:val="none" w:sz="0" w:space="0" w:color="auto"/>
        <w:left w:val="none" w:sz="0" w:space="0" w:color="auto"/>
        <w:bottom w:val="none" w:sz="0" w:space="0" w:color="auto"/>
        <w:right w:val="none" w:sz="0" w:space="0" w:color="auto"/>
      </w:divBdr>
    </w:div>
    <w:div w:id="543833134">
      <w:marLeft w:val="0"/>
      <w:marRight w:val="0"/>
      <w:marTop w:val="0"/>
      <w:marBottom w:val="0"/>
      <w:divBdr>
        <w:top w:val="none" w:sz="0" w:space="0" w:color="auto"/>
        <w:left w:val="none" w:sz="0" w:space="0" w:color="auto"/>
        <w:bottom w:val="none" w:sz="0" w:space="0" w:color="auto"/>
        <w:right w:val="none" w:sz="0" w:space="0" w:color="auto"/>
      </w:divBdr>
    </w:div>
    <w:div w:id="556743571">
      <w:marLeft w:val="0"/>
      <w:marRight w:val="0"/>
      <w:marTop w:val="100"/>
      <w:marBottom w:val="0"/>
      <w:divBdr>
        <w:top w:val="none" w:sz="0" w:space="0" w:color="auto"/>
        <w:left w:val="none" w:sz="0" w:space="0" w:color="auto"/>
        <w:bottom w:val="none" w:sz="0" w:space="0" w:color="auto"/>
        <w:right w:val="none" w:sz="0" w:space="0" w:color="auto"/>
      </w:divBdr>
      <w:divsChild>
        <w:div w:id="1144468625">
          <w:marLeft w:val="0"/>
          <w:marRight w:val="0"/>
          <w:marTop w:val="0"/>
          <w:marBottom w:val="0"/>
          <w:divBdr>
            <w:top w:val="none" w:sz="0" w:space="0" w:color="auto"/>
            <w:left w:val="none" w:sz="0" w:space="0" w:color="auto"/>
            <w:bottom w:val="none" w:sz="0" w:space="0" w:color="auto"/>
            <w:right w:val="none" w:sz="0" w:space="0" w:color="auto"/>
          </w:divBdr>
        </w:div>
        <w:div w:id="667169674">
          <w:marLeft w:val="0"/>
          <w:marRight w:val="0"/>
          <w:marTop w:val="0"/>
          <w:marBottom w:val="0"/>
          <w:divBdr>
            <w:top w:val="none" w:sz="0" w:space="0" w:color="auto"/>
            <w:left w:val="none" w:sz="0" w:space="0" w:color="auto"/>
            <w:bottom w:val="none" w:sz="0" w:space="0" w:color="auto"/>
            <w:right w:val="none" w:sz="0" w:space="0" w:color="auto"/>
          </w:divBdr>
        </w:div>
        <w:div w:id="1005208503">
          <w:marLeft w:val="0"/>
          <w:marRight w:val="0"/>
          <w:marTop w:val="0"/>
          <w:marBottom w:val="0"/>
          <w:divBdr>
            <w:top w:val="none" w:sz="0" w:space="0" w:color="auto"/>
            <w:left w:val="none" w:sz="0" w:space="0" w:color="auto"/>
            <w:bottom w:val="none" w:sz="0" w:space="0" w:color="auto"/>
            <w:right w:val="none" w:sz="0" w:space="0" w:color="auto"/>
          </w:divBdr>
        </w:div>
        <w:div w:id="1649244637">
          <w:marLeft w:val="0"/>
          <w:marRight w:val="0"/>
          <w:marTop w:val="0"/>
          <w:marBottom w:val="0"/>
          <w:divBdr>
            <w:top w:val="none" w:sz="0" w:space="0" w:color="auto"/>
            <w:left w:val="none" w:sz="0" w:space="0" w:color="auto"/>
            <w:bottom w:val="none" w:sz="0" w:space="0" w:color="auto"/>
            <w:right w:val="none" w:sz="0" w:space="0" w:color="auto"/>
          </w:divBdr>
        </w:div>
        <w:div w:id="941566897">
          <w:marLeft w:val="0"/>
          <w:marRight w:val="0"/>
          <w:marTop w:val="0"/>
          <w:marBottom w:val="0"/>
          <w:divBdr>
            <w:top w:val="none" w:sz="0" w:space="0" w:color="auto"/>
            <w:left w:val="none" w:sz="0" w:space="0" w:color="auto"/>
            <w:bottom w:val="none" w:sz="0" w:space="0" w:color="auto"/>
            <w:right w:val="none" w:sz="0" w:space="0" w:color="auto"/>
          </w:divBdr>
        </w:div>
        <w:div w:id="917637029">
          <w:marLeft w:val="0"/>
          <w:marRight w:val="0"/>
          <w:marTop w:val="0"/>
          <w:marBottom w:val="0"/>
          <w:divBdr>
            <w:top w:val="none" w:sz="0" w:space="0" w:color="auto"/>
            <w:left w:val="none" w:sz="0" w:space="0" w:color="auto"/>
            <w:bottom w:val="none" w:sz="0" w:space="0" w:color="auto"/>
            <w:right w:val="none" w:sz="0" w:space="0" w:color="auto"/>
          </w:divBdr>
        </w:div>
        <w:div w:id="1527907933">
          <w:marLeft w:val="0"/>
          <w:marRight w:val="0"/>
          <w:marTop w:val="0"/>
          <w:marBottom w:val="0"/>
          <w:divBdr>
            <w:top w:val="none" w:sz="0" w:space="0" w:color="auto"/>
            <w:left w:val="none" w:sz="0" w:space="0" w:color="auto"/>
            <w:bottom w:val="none" w:sz="0" w:space="0" w:color="auto"/>
            <w:right w:val="none" w:sz="0" w:space="0" w:color="auto"/>
          </w:divBdr>
        </w:div>
        <w:div w:id="543297001">
          <w:marLeft w:val="0"/>
          <w:marRight w:val="0"/>
          <w:marTop w:val="0"/>
          <w:marBottom w:val="0"/>
          <w:divBdr>
            <w:top w:val="none" w:sz="0" w:space="0" w:color="auto"/>
            <w:left w:val="none" w:sz="0" w:space="0" w:color="auto"/>
            <w:bottom w:val="none" w:sz="0" w:space="0" w:color="auto"/>
            <w:right w:val="none" w:sz="0" w:space="0" w:color="auto"/>
          </w:divBdr>
        </w:div>
        <w:div w:id="654335202">
          <w:marLeft w:val="0"/>
          <w:marRight w:val="0"/>
          <w:marTop w:val="0"/>
          <w:marBottom w:val="0"/>
          <w:divBdr>
            <w:top w:val="none" w:sz="0" w:space="0" w:color="auto"/>
            <w:left w:val="none" w:sz="0" w:space="0" w:color="auto"/>
            <w:bottom w:val="none" w:sz="0" w:space="0" w:color="auto"/>
            <w:right w:val="none" w:sz="0" w:space="0" w:color="auto"/>
          </w:divBdr>
        </w:div>
      </w:divsChild>
    </w:div>
    <w:div w:id="571426124">
      <w:marLeft w:val="0"/>
      <w:marRight w:val="0"/>
      <w:marTop w:val="0"/>
      <w:marBottom w:val="0"/>
      <w:divBdr>
        <w:top w:val="none" w:sz="0" w:space="0" w:color="auto"/>
        <w:left w:val="none" w:sz="0" w:space="0" w:color="auto"/>
        <w:bottom w:val="none" w:sz="0" w:space="0" w:color="auto"/>
        <w:right w:val="none" w:sz="0" w:space="0" w:color="auto"/>
      </w:divBdr>
      <w:divsChild>
        <w:div w:id="241381187">
          <w:marLeft w:val="0"/>
          <w:marRight w:val="0"/>
          <w:marTop w:val="0"/>
          <w:marBottom w:val="0"/>
          <w:divBdr>
            <w:top w:val="none" w:sz="0" w:space="0" w:color="auto"/>
            <w:left w:val="none" w:sz="0" w:space="0" w:color="auto"/>
            <w:bottom w:val="none" w:sz="0" w:space="0" w:color="auto"/>
            <w:right w:val="none" w:sz="0" w:space="0" w:color="auto"/>
          </w:divBdr>
        </w:div>
      </w:divsChild>
    </w:div>
    <w:div w:id="577058947">
      <w:marLeft w:val="0"/>
      <w:marRight w:val="0"/>
      <w:marTop w:val="0"/>
      <w:marBottom w:val="0"/>
      <w:divBdr>
        <w:top w:val="none" w:sz="0" w:space="0" w:color="auto"/>
        <w:left w:val="none" w:sz="0" w:space="0" w:color="auto"/>
        <w:bottom w:val="none" w:sz="0" w:space="0" w:color="auto"/>
        <w:right w:val="none" w:sz="0" w:space="0" w:color="auto"/>
      </w:divBdr>
      <w:divsChild>
        <w:div w:id="1117604723">
          <w:marLeft w:val="0"/>
          <w:marRight w:val="0"/>
          <w:marTop w:val="0"/>
          <w:marBottom w:val="0"/>
          <w:divBdr>
            <w:top w:val="none" w:sz="0" w:space="0" w:color="auto"/>
            <w:left w:val="none" w:sz="0" w:space="0" w:color="auto"/>
            <w:bottom w:val="none" w:sz="0" w:space="0" w:color="auto"/>
            <w:right w:val="none" w:sz="0" w:space="0" w:color="auto"/>
          </w:divBdr>
        </w:div>
      </w:divsChild>
    </w:div>
    <w:div w:id="580984983">
      <w:marLeft w:val="0"/>
      <w:marRight w:val="0"/>
      <w:marTop w:val="0"/>
      <w:marBottom w:val="0"/>
      <w:divBdr>
        <w:top w:val="none" w:sz="0" w:space="0" w:color="auto"/>
        <w:left w:val="none" w:sz="0" w:space="0" w:color="auto"/>
        <w:bottom w:val="none" w:sz="0" w:space="0" w:color="auto"/>
        <w:right w:val="none" w:sz="0" w:space="0" w:color="auto"/>
      </w:divBdr>
      <w:divsChild>
        <w:div w:id="1637252676">
          <w:marLeft w:val="0"/>
          <w:marRight w:val="0"/>
          <w:marTop w:val="0"/>
          <w:marBottom w:val="0"/>
          <w:divBdr>
            <w:top w:val="none" w:sz="0" w:space="0" w:color="auto"/>
            <w:left w:val="none" w:sz="0" w:space="0" w:color="auto"/>
            <w:bottom w:val="none" w:sz="0" w:space="0" w:color="auto"/>
            <w:right w:val="none" w:sz="0" w:space="0" w:color="auto"/>
          </w:divBdr>
        </w:div>
      </w:divsChild>
    </w:div>
    <w:div w:id="587227995">
      <w:marLeft w:val="0"/>
      <w:marRight w:val="0"/>
      <w:marTop w:val="0"/>
      <w:marBottom w:val="0"/>
      <w:divBdr>
        <w:top w:val="none" w:sz="0" w:space="0" w:color="auto"/>
        <w:left w:val="none" w:sz="0" w:space="0" w:color="auto"/>
        <w:bottom w:val="none" w:sz="0" w:space="0" w:color="auto"/>
        <w:right w:val="none" w:sz="0" w:space="0" w:color="auto"/>
      </w:divBdr>
    </w:div>
    <w:div w:id="604188082">
      <w:marLeft w:val="0"/>
      <w:marRight w:val="0"/>
      <w:marTop w:val="0"/>
      <w:marBottom w:val="0"/>
      <w:divBdr>
        <w:top w:val="none" w:sz="0" w:space="0" w:color="auto"/>
        <w:left w:val="none" w:sz="0" w:space="0" w:color="auto"/>
        <w:bottom w:val="none" w:sz="0" w:space="0" w:color="auto"/>
        <w:right w:val="none" w:sz="0" w:space="0" w:color="auto"/>
      </w:divBdr>
    </w:div>
    <w:div w:id="604272832">
      <w:marLeft w:val="0"/>
      <w:marRight w:val="0"/>
      <w:marTop w:val="100"/>
      <w:marBottom w:val="0"/>
      <w:divBdr>
        <w:top w:val="none" w:sz="0" w:space="0" w:color="auto"/>
        <w:left w:val="none" w:sz="0" w:space="0" w:color="auto"/>
        <w:bottom w:val="none" w:sz="0" w:space="0" w:color="auto"/>
        <w:right w:val="none" w:sz="0" w:space="0" w:color="auto"/>
      </w:divBdr>
      <w:divsChild>
        <w:div w:id="280694888">
          <w:marLeft w:val="0"/>
          <w:marRight w:val="0"/>
          <w:marTop w:val="0"/>
          <w:marBottom w:val="20"/>
          <w:divBdr>
            <w:top w:val="none" w:sz="0" w:space="0" w:color="auto"/>
            <w:left w:val="none" w:sz="0" w:space="0" w:color="auto"/>
            <w:bottom w:val="none" w:sz="0" w:space="0" w:color="auto"/>
            <w:right w:val="none" w:sz="0" w:space="0" w:color="auto"/>
          </w:divBdr>
        </w:div>
        <w:div w:id="58291236">
          <w:marLeft w:val="0"/>
          <w:marRight w:val="0"/>
          <w:marTop w:val="0"/>
          <w:marBottom w:val="20"/>
          <w:divBdr>
            <w:top w:val="none" w:sz="0" w:space="0" w:color="auto"/>
            <w:left w:val="none" w:sz="0" w:space="0" w:color="auto"/>
            <w:bottom w:val="none" w:sz="0" w:space="0" w:color="auto"/>
            <w:right w:val="none" w:sz="0" w:space="0" w:color="auto"/>
          </w:divBdr>
        </w:div>
        <w:div w:id="779420713">
          <w:marLeft w:val="0"/>
          <w:marRight w:val="0"/>
          <w:marTop w:val="0"/>
          <w:marBottom w:val="20"/>
          <w:divBdr>
            <w:top w:val="none" w:sz="0" w:space="0" w:color="auto"/>
            <w:left w:val="none" w:sz="0" w:space="0" w:color="auto"/>
            <w:bottom w:val="none" w:sz="0" w:space="0" w:color="auto"/>
            <w:right w:val="none" w:sz="0" w:space="0" w:color="auto"/>
          </w:divBdr>
        </w:div>
        <w:div w:id="736323220">
          <w:marLeft w:val="0"/>
          <w:marRight w:val="0"/>
          <w:marTop w:val="0"/>
          <w:marBottom w:val="20"/>
          <w:divBdr>
            <w:top w:val="none" w:sz="0" w:space="0" w:color="auto"/>
            <w:left w:val="none" w:sz="0" w:space="0" w:color="auto"/>
            <w:bottom w:val="none" w:sz="0" w:space="0" w:color="auto"/>
            <w:right w:val="none" w:sz="0" w:space="0" w:color="auto"/>
          </w:divBdr>
        </w:div>
        <w:div w:id="1883663198">
          <w:marLeft w:val="0"/>
          <w:marRight w:val="0"/>
          <w:marTop w:val="0"/>
          <w:marBottom w:val="20"/>
          <w:divBdr>
            <w:top w:val="none" w:sz="0" w:space="0" w:color="auto"/>
            <w:left w:val="none" w:sz="0" w:space="0" w:color="auto"/>
            <w:bottom w:val="none" w:sz="0" w:space="0" w:color="auto"/>
            <w:right w:val="none" w:sz="0" w:space="0" w:color="auto"/>
          </w:divBdr>
        </w:div>
        <w:div w:id="662242031">
          <w:marLeft w:val="0"/>
          <w:marRight w:val="0"/>
          <w:marTop w:val="0"/>
          <w:marBottom w:val="20"/>
          <w:divBdr>
            <w:top w:val="none" w:sz="0" w:space="0" w:color="auto"/>
            <w:left w:val="none" w:sz="0" w:space="0" w:color="auto"/>
            <w:bottom w:val="none" w:sz="0" w:space="0" w:color="auto"/>
            <w:right w:val="none" w:sz="0" w:space="0" w:color="auto"/>
          </w:divBdr>
        </w:div>
        <w:div w:id="263266516">
          <w:marLeft w:val="0"/>
          <w:marRight w:val="0"/>
          <w:marTop w:val="0"/>
          <w:marBottom w:val="20"/>
          <w:divBdr>
            <w:top w:val="none" w:sz="0" w:space="0" w:color="auto"/>
            <w:left w:val="none" w:sz="0" w:space="0" w:color="auto"/>
            <w:bottom w:val="none" w:sz="0" w:space="0" w:color="auto"/>
            <w:right w:val="none" w:sz="0" w:space="0" w:color="auto"/>
          </w:divBdr>
        </w:div>
        <w:div w:id="1893689397">
          <w:marLeft w:val="0"/>
          <w:marRight w:val="0"/>
          <w:marTop w:val="0"/>
          <w:marBottom w:val="20"/>
          <w:divBdr>
            <w:top w:val="none" w:sz="0" w:space="0" w:color="auto"/>
            <w:left w:val="none" w:sz="0" w:space="0" w:color="auto"/>
            <w:bottom w:val="none" w:sz="0" w:space="0" w:color="auto"/>
            <w:right w:val="none" w:sz="0" w:space="0" w:color="auto"/>
          </w:divBdr>
        </w:div>
      </w:divsChild>
    </w:div>
    <w:div w:id="610742172">
      <w:marLeft w:val="0"/>
      <w:marRight w:val="0"/>
      <w:marTop w:val="0"/>
      <w:marBottom w:val="0"/>
      <w:divBdr>
        <w:top w:val="none" w:sz="0" w:space="0" w:color="auto"/>
        <w:left w:val="none" w:sz="0" w:space="0" w:color="auto"/>
        <w:bottom w:val="none" w:sz="0" w:space="0" w:color="auto"/>
        <w:right w:val="none" w:sz="0" w:space="0" w:color="auto"/>
      </w:divBdr>
      <w:divsChild>
        <w:div w:id="563416413">
          <w:marLeft w:val="0"/>
          <w:marRight w:val="0"/>
          <w:marTop w:val="0"/>
          <w:marBottom w:val="0"/>
          <w:divBdr>
            <w:top w:val="none" w:sz="0" w:space="0" w:color="auto"/>
            <w:left w:val="none" w:sz="0" w:space="0" w:color="auto"/>
            <w:bottom w:val="none" w:sz="0" w:space="0" w:color="auto"/>
            <w:right w:val="none" w:sz="0" w:space="0" w:color="auto"/>
          </w:divBdr>
        </w:div>
      </w:divsChild>
    </w:div>
    <w:div w:id="622689938">
      <w:marLeft w:val="0"/>
      <w:marRight w:val="0"/>
      <w:marTop w:val="0"/>
      <w:marBottom w:val="0"/>
      <w:divBdr>
        <w:top w:val="none" w:sz="0" w:space="0" w:color="auto"/>
        <w:left w:val="none" w:sz="0" w:space="0" w:color="auto"/>
        <w:bottom w:val="none" w:sz="0" w:space="0" w:color="auto"/>
        <w:right w:val="none" w:sz="0" w:space="0" w:color="auto"/>
      </w:divBdr>
    </w:div>
    <w:div w:id="630088572">
      <w:marLeft w:val="0"/>
      <w:marRight w:val="0"/>
      <w:marTop w:val="180"/>
      <w:marBottom w:val="0"/>
      <w:divBdr>
        <w:top w:val="none" w:sz="0" w:space="0" w:color="auto"/>
        <w:left w:val="none" w:sz="0" w:space="0" w:color="auto"/>
        <w:bottom w:val="none" w:sz="0" w:space="0" w:color="auto"/>
        <w:right w:val="none" w:sz="0" w:space="0" w:color="auto"/>
      </w:divBdr>
    </w:div>
    <w:div w:id="631137947">
      <w:marLeft w:val="0"/>
      <w:marRight w:val="0"/>
      <w:marTop w:val="0"/>
      <w:marBottom w:val="0"/>
      <w:divBdr>
        <w:top w:val="none" w:sz="0" w:space="0" w:color="auto"/>
        <w:left w:val="none" w:sz="0" w:space="0" w:color="auto"/>
        <w:bottom w:val="none" w:sz="0" w:space="0" w:color="auto"/>
        <w:right w:val="none" w:sz="0" w:space="0" w:color="auto"/>
      </w:divBdr>
    </w:div>
    <w:div w:id="640159601">
      <w:marLeft w:val="0"/>
      <w:marRight w:val="0"/>
      <w:marTop w:val="0"/>
      <w:marBottom w:val="0"/>
      <w:divBdr>
        <w:top w:val="none" w:sz="0" w:space="0" w:color="auto"/>
        <w:left w:val="none" w:sz="0" w:space="0" w:color="auto"/>
        <w:bottom w:val="none" w:sz="0" w:space="0" w:color="auto"/>
        <w:right w:val="none" w:sz="0" w:space="0" w:color="auto"/>
      </w:divBdr>
      <w:divsChild>
        <w:div w:id="2128962558">
          <w:marLeft w:val="0"/>
          <w:marRight w:val="0"/>
          <w:marTop w:val="0"/>
          <w:marBottom w:val="0"/>
          <w:divBdr>
            <w:top w:val="none" w:sz="0" w:space="0" w:color="auto"/>
            <w:left w:val="none" w:sz="0" w:space="0" w:color="auto"/>
            <w:bottom w:val="none" w:sz="0" w:space="0" w:color="auto"/>
            <w:right w:val="none" w:sz="0" w:space="0" w:color="auto"/>
          </w:divBdr>
        </w:div>
      </w:divsChild>
    </w:div>
    <w:div w:id="647513833">
      <w:marLeft w:val="0"/>
      <w:marRight w:val="0"/>
      <w:marTop w:val="0"/>
      <w:marBottom w:val="0"/>
      <w:divBdr>
        <w:top w:val="none" w:sz="0" w:space="0" w:color="auto"/>
        <w:left w:val="none" w:sz="0" w:space="0" w:color="auto"/>
        <w:bottom w:val="none" w:sz="0" w:space="0" w:color="auto"/>
        <w:right w:val="none" w:sz="0" w:space="0" w:color="auto"/>
      </w:divBdr>
    </w:div>
    <w:div w:id="654450542">
      <w:marLeft w:val="0"/>
      <w:marRight w:val="0"/>
      <w:marTop w:val="0"/>
      <w:marBottom w:val="0"/>
      <w:divBdr>
        <w:top w:val="none" w:sz="0" w:space="0" w:color="auto"/>
        <w:left w:val="none" w:sz="0" w:space="0" w:color="auto"/>
        <w:bottom w:val="none" w:sz="0" w:space="0" w:color="auto"/>
        <w:right w:val="none" w:sz="0" w:space="0" w:color="auto"/>
      </w:divBdr>
      <w:divsChild>
        <w:div w:id="176777468">
          <w:marLeft w:val="0"/>
          <w:marRight w:val="0"/>
          <w:marTop w:val="0"/>
          <w:marBottom w:val="0"/>
          <w:divBdr>
            <w:top w:val="none" w:sz="0" w:space="0" w:color="auto"/>
            <w:left w:val="none" w:sz="0" w:space="0" w:color="auto"/>
            <w:bottom w:val="none" w:sz="0" w:space="0" w:color="auto"/>
            <w:right w:val="none" w:sz="0" w:space="0" w:color="auto"/>
          </w:divBdr>
        </w:div>
      </w:divsChild>
    </w:div>
    <w:div w:id="654646171">
      <w:marLeft w:val="0"/>
      <w:marRight w:val="0"/>
      <w:marTop w:val="0"/>
      <w:marBottom w:val="0"/>
      <w:divBdr>
        <w:top w:val="none" w:sz="0" w:space="0" w:color="auto"/>
        <w:left w:val="none" w:sz="0" w:space="0" w:color="auto"/>
        <w:bottom w:val="none" w:sz="0" w:space="0" w:color="auto"/>
        <w:right w:val="none" w:sz="0" w:space="0" w:color="auto"/>
      </w:divBdr>
    </w:div>
    <w:div w:id="659624617">
      <w:marLeft w:val="0"/>
      <w:marRight w:val="0"/>
      <w:marTop w:val="0"/>
      <w:marBottom w:val="0"/>
      <w:divBdr>
        <w:top w:val="none" w:sz="0" w:space="0" w:color="auto"/>
        <w:left w:val="none" w:sz="0" w:space="0" w:color="auto"/>
        <w:bottom w:val="none" w:sz="0" w:space="0" w:color="auto"/>
        <w:right w:val="none" w:sz="0" w:space="0" w:color="auto"/>
      </w:divBdr>
    </w:div>
    <w:div w:id="664747957">
      <w:marLeft w:val="0"/>
      <w:marRight w:val="0"/>
      <w:marTop w:val="0"/>
      <w:marBottom w:val="0"/>
      <w:divBdr>
        <w:top w:val="none" w:sz="0" w:space="0" w:color="auto"/>
        <w:left w:val="none" w:sz="0" w:space="0" w:color="auto"/>
        <w:bottom w:val="none" w:sz="0" w:space="0" w:color="auto"/>
        <w:right w:val="none" w:sz="0" w:space="0" w:color="auto"/>
      </w:divBdr>
      <w:divsChild>
        <w:div w:id="165363804">
          <w:marLeft w:val="0"/>
          <w:marRight w:val="0"/>
          <w:marTop w:val="0"/>
          <w:marBottom w:val="0"/>
          <w:divBdr>
            <w:top w:val="none" w:sz="0" w:space="0" w:color="auto"/>
            <w:left w:val="none" w:sz="0" w:space="0" w:color="auto"/>
            <w:bottom w:val="none" w:sz="0" w:space="0" w:color="auto"/>
            <w:right w:val="none" w:sz="0" w:space="0" w:color="auto"/>
          </w:divBdr>
        </w:div>
      </w:divsChild>
    </w:div>
    <w:div w:id="665785040">
      <w:marLeft w:val="0"/>
      <w:marRight w:val="0"/>
      <w:marTop w:val="0"/>
      <w:marBottom w:val="0"/>
      <w:divBdr>
        <w:top w:val="none" w:sz="0" w:space="0" w:color="auto"/>
        <w:left w:val="none" w:sz="0" w:space="0" w:color="auto"/>
        <w:bottom w:val="none" w:sz="0" w:space="0" w:color="auto"/>
        <w:right w:val="none" w:sz="0" w:space="0" w:color="auto"/>
      </w:divBdr>
      <w:divsChild>
        <w:div w:id="1408843484">
          <w:marLeft w:val="0"/>
          <w:marRight w:val="0"/>
          <w:marTop w:val="0"/>
          <w:marBottom w:val="0"/>
          <w:divBdr>
            <w:top w:val="none" w:sz="0" w:space="0" w:color="auto"/>
            <w:left w:val="none" w:sz="0" w:space="0" w:color="auto"/>
            <w:bottom w:val="none" w:sz="0" w:space="0" w:color="auto"/>
            <w:right w:val="none" w:sz="0" w:space="0" w:color="auto"/>
          </w:divBdr>
        </w:div>
      </w:divsChild>
    </w:div>
    <w:div w:id="666131062">
      <w:marLeft w:val="0"/>
      <w:marRight w:val="0"/>
      <w:marTop w:val="100"/>
      <w:marBottom w:val="0"/>
      <w:divBdr>
        <w:top w:val="none" w:sz="0" w:space="0" w:color="auto"/>
        <w:left w:val="none" w:sz="0" w:space="0" w:color="auto"/>
        <w:bottom w:val="none" w:sz="0" w:space="0" w:color="auto"/>
        <w:right w:val="none" w:sz="0" w:space="0" w:color="auto"/>
      </w:divBdr>
    </w:div>
    <w:div w:id="667444607">
      <w:marLeft w:val="0"/>
      <w:marRight w:val="0"/>
      <w:marTop w:val="0"/>
      <w:marBottom w:val="0"/>
      <w:divBdr>
        <w:top w:val="none" w:sz="0" w:space="0" w:color="auto"/>
        <w:left w:val="none" w:sz="0" w:space="0" w:color="auto"/>
        <w:bottom w:val="none" w:sz="0" w:space="0" w:color="auto"/>
        <w:right w:val="none" w:sz="0" w:space="0" w:color="auto"/>
      </w:divBdr>
      <w:divsChild>
        <w:div w:id="354383267">
          <w:marLeft w:val="0"/>
          <w:marRight w:val="0"/>
          <w:marTop w:val="0"/>
          <w:marBottom w:val="0"/>
          <w:divBdr>
            <w:top w:val="none" w:sz="0" w:space="0" w:color="auto"/>
            <w:left w:val="none" w:sz="0" w:space="0" w:color="auto"/>
            <w:bottom w:val="none" w:sz="0" w:space="0" w:color="auto"/>
            <w:right w:val="none" w:sz="0" w:space="0" w:color="auto"/>
          </w:divBdr>
        </w:div>
      </w:divsChild>
    </w:div>
    <w:div w:id="674922442">
      <w:marLeft w:val="0"/>
      <w:marRight w:val="0"/>
      <w:marTop w:val="0"/>
      <w:marBottom w:val="0"/>
      <w:divBdr>
        <w:top w:val="none" w:sz="0" w:space="0" w:color="auto"/>
        <w:left w:val="none" w:sz="0" w:space="0" w:color="auto"/>
        <w:bottom w:val="none" w:sz="0" w:space="0" w:color="auto"/>
        <w:right w:val="none" w:sz="0" w:space="0" w:color="auto"/>
      </w:divBdr>
      <w:divsChild>
        <w:div w:id="1931814122">
          <w:marLeft w:val="0"/>
          <w:marRight w:val="0"/>
          <w:marTop w:val="0"/>
          <w:marBottom w:val="0"/>
          <w:divBdr>
            <w:top w:val="none" w:sz="0" w:space="0" w:color="auto"/>
            <w:left w:val="none" w:sz="0" w:space="0" w:color="auto"/>
            <w:bottom w:val="none" w:sz="0" w:space="0" w:color="auto"/>
            <w:right w:val="none" w:sz="0" w:space="0" w:color="auto"/>
          </w:divBdr>
        </w:div>
      </w:divsChild>
    </w:div>
    <w:div w:id="678192892">
      <w:marLeft w:val="0"/>
      <w:marRight w:val="0"/>
      <w:marTop w:val="0"/>
      <w:marBottom w:val="0"/>
      <w:divBdr>
        <w:top w:val="none" w:sz="0" w:space="0" w:color="auto"/>
        <w:left w:val="none" w:sz="0" w:space="0" w:color="auto"/>
        <w:bottom w:val="none" w:sz="0" w:space="0" w:color="auto"/>
        <w:right w:val="none" w:sz="0" w:space="0" w:color="auto"/>
      </w:divBdr>
    </w:div>
    <w:div w:id="680857839">
      <w:marLeft w:val="0"/>
      <w:marRight w:val="0"/>
      <w:marTop w:val="180"/>
      <w:marBottom w:val="0"/>
      <w:divBdr>
        <w:top w:val="none" w:sz="0" w:space="0" w:color="auto"/>
        <w:left w:val="none" w:sz="0" w:space="0" w:color="auto"/>
        <w:bottom w:val="none" w:sz="0" w:space="0" w:color="auto"/>
        <w:right w:val="none" w:sz="0" w:space="0" w:color="auto"/>
      </w:divBdr>
    </w:div>
    <w:div w:id="685057061">
      <w:marLeft w:val="0"/>
      <w:marRight w:val="0"/>
      <w:marTop w:val="0"/>
      <w:marBottom w:val="0"/>
      <w:divBdr>
        <w:top w:val="none" w:sz="0" w:space="0" w:color="auto"/>
        <w:left w:val="none" w:sz="0" w:space="0" w:color="auto"/>
        <w:bottom w:val="none" w:sz="0" w:space="0" w:color="auto"/>
        <w:right w:val="none" w:sz="0" w:space="0" w:color="auto"/>
      </w:divBdr>
    </w:div>
    <w:div w:id="686441278">
      <w:marLeft w:val="0"/>
      <w:marRight w:val="0"/>
      <w:marTop w:val="100"/>
      <w:marBottom w:val="0"/>
      <w:divBdr>
        <w:top w:val="none" w:sz="0" w:space="0" w:color="auto"/>
        <w:left w:val="none" w:sz="0" w:space="0" w:color="auto"/>
        <w:bottom w:val="none" w:sz="0" w:space="0" w:color="auto"/>
        <w:right w:val="none" w:sz="0" w:space="0" w:color="auto"/>
      </w:divBdr>
    </w:div>
    <w:div w:id="691805266">
      <w:marLeft w:val="0"/>
      <w:marRight w:val="0"/>
      <w:marTop w:val="0"/>
      <w:marBottom w:val="160"/>
      <w:divBdr>
        <w:top w:val="none" w:sz="0" w:space="0" w:color="auto"/>
        <w:left w:val="none" w:sz="0" w:space="0" w:color="auto"/>
        <w:bottom w:val="none" w:sz="0" w:space="0" w:color="auto"/>
        <w:right w:val="none" w:sz="0" w:space="0" w:color="auto"/>
      </w:divBdr>
    </w:div>
    <w:div w:id="697390471">
      <w:marLeft w:val="0"/>
      <w:marRight w:val="0"/>
      <w:marTop w:val="60"/>
      <w:marBottom w:val="60"/>
      <w:divBdr>
        <w:top w:val="none" w:sz="0" w:space="0" w:color="auto"/>
        <w:left w:val="none" w:sz="0" w:space="0" w:color="auto"/>
        <w:bottom w:val="none" w:sz="0" w:space="0" w:color="auto"/>
        <w:right w:val="none" w:sz="0" w:space="0" w:color="auto"/>
      </w:divBdr>
    </w:div>
    <w:div w:id="706024969">
      <w:marLeft w:val="0"/>
      <w:marRight w:val="0"/>
      <w:marTop w:val="180"/>
      <w:marBottom w:val="0"/>
      <w:divBdr>
        <w:top w:val="none" w:sz="0" w:space="0" w:color="auto"/>
        <w:left w:val="none" w:sz="0" w:space="0" w:color="auto"/>
        <w:bottom w:val="none" w:sz="0" w:space="0" w:color="auto"/>
        <w:right w:val="none" w:sz="0" w:space="0" w:color="auto"/>
      </w:divBdr>
    </w:div>
    <w:div w:id="714737434">
      <w:marLeft w:val="0"/>
      <w:marRight w:val="0"/>
      <w:marTop w:val="0"/>
      <w:marBottom w:val="0"/>
      <w:divBdr>
        <w:top w:val="none" w:sz="0" w:space="0" w:color="auto"/>
        <w:left w:val="none" w:sz="0" w:space="0" w:color="auto"/>
        <w:bottom w:val="none" w:sz="0" w:space="0" w:color="auto"/>
        <w:right w:val="none" w:sz="0" w:space="0" w:color="auto"/>
      </w:divBdr>
    </w:div>
    <w:div w:id="716004602">
      <w:marLeft w:val="0"/>
      <w:marRight w:val="0"/>
      <w:marTop w:val="0"/>
      <w:marBottom w:val="0"/>
      <w:divBdr>
        <w:top w:val="none" w:sz="0" w:space="0" w:color="auto"/>
        <w:left w:val="none" w:sz="0" w:space="0" w:color="auto"/>
        <w:bottom w:val="none" w:sz="0" w:space="0" w:color="auto"/>
        <w:right w:val="none" w:sz="0" w:space="0" w:color="auto"/>
      </w:divBdr>
      <w:divsChild>
        <w:div w:id="579751983">
          <w:marLeft w:val="0"/>
          <w:marRight w:val="0"/>
          <w:marTop w:val="0"/>
          <w:marBottom w:val="0"/>
          <w:divBdr>
            <w:top w:val="none" w:sz="0" w:space="0" w:color="auto"/>
            <w:left w:val="none" w:sz="0" w:space="0" w:color="auto"/>
            <w:bottom w:val="none" w:sz="0" w:space="0" w:color="auto"/>
            <w:right w:val="none" w:sz="0" w:space="0" w:color="auto"/>
          </w:divBdr>
        </w:div>
      </w:divsChild>
    </w:div>
    <w:div w:id="717171742">
      <w:marLeft w:val="0"/>
      <w:marRight w:val="0"/>
      <w:marTop w:val="0"/>
      <w:marBottom w:val="0"/>
      <w:divBdr>
        <w:top w:val="none" w:sz="0" w:space="0" w:color="auto"/>
        <w:left w:val="none" w:sz="0" w:space="0" w:color="auto"/>
        <w:bottom w:val="none" w:sz="0" w:space="0" w:color="auto"/>
        <w:right w:val="none" w:sz="0" w:space="0" w:color="auto"/>
      </w:divBdr>
    </w:div>
    <w:div w:id="720713474">
      <w:marLeft w:val="0"/>
      <w:marRight w:val="0"/>
      <w:marTop w:val="0"/>
      <w:marBottom w:val="0"/>
      <w:divBdr>
        <w:top w:val="none" w:sz="0" w:space="0" w:color="auto"/>
        <w:left w:val="none" w:sz="0" w:space="0" w:color="auto"/>
        <w:bottom w:val="none" w:sz="0" w:space="0" w:color="auto"/>
        <w:right w:val="none" w:sz="0" w:space="0" w:color="auto"/>
      </w:divBdr>
    </w:div>
    <w:div w:id="730471302">
      <w:marLeft w:val="0"/>
      <w:marRight w:val="0"/>
      <w:marTop w:val="0"/>
      <w:marBottom w:val="0"/>
      <w:divBdr>
        <w:top w:val="none" w:sz="0" w:space="0" w:color="auto"/>
        <w:left w:val="none" w:sz="0" w:space="0" w:color="auto"/>
        <w:bottom w:val="none" w:sz="0" w:space="0" w:color="auto"/>
        <w:right w:val="none" w:sz="0" w:space="0" w:color="auto"/>
      </w:divBdr>
      <w:divsChild>
        <w:div w:id="843322210">
          <w:marLeft w:val="0"/>
          <w:marRight w:val="0"/>
          <w:marTop w:val="0"/>
          <w:marBottom w:val="0"/>
          <w:divBdr>
            <w:top w:val="none" w:sz="0" w:space="0" w:color="auto"/>
            <w:left w:val="none" w:sz="0" w:space="0" w:color="auto"/>
            <w:bottom w:val="none" w:sz="0" w:space="0" w:color="auto"/>
            <w:right w:val="none" w:sz="0" w:space="0" w:color="auto"/>
          </w:divBdr>
        </w:div>
      </w:divsChild>
    </w:div>
    <w:div w:id="735856308">
      <w:marLeft w:val="0"/>
      <w:marRight w:val="0"/>
      <w:marTop w:val="0"/>
      <w:marBottom w:val="0"/>
      <w:divBdr>
        <w:top w:val="none" w:sz="0" w:space="0" w:color="auto"/>
        <w:left w:val="none" w:sz="0" w:space="0" w:color="auto"/>
        <w:bottom w:val="none" w:sz="0" w:space="0" w:color="auto"/>
        <w:right w:val="none" w:sz="0" w:space="0" w:color="auto"/>
      </w:divBdr>
    </w:div>
    <w:div w:id="746459347">
      <w:marLeft w:val="0"/>
      <w:marRight w:val="0"/>
      <w:marTop w:val="100"/>
      <w:marBottom w:val="0"/>
      <w:divBdr>
        <w:top w:val="none" w:sz="0" w:space="0" w:color="auto"/>
        <w:left w:val="none" w:sz="0" w:space="0" w:color="auto"/>
        <w:bottom w:val="none" w:sz="0" w:space="0" w:color="auto"/>
        <w:right w:val="none" w:sz="0" w:space="0" w:color="auto"/>
      </w:divBdr>
    </w:div>
    <w:div w:id="749814512">
      <w:marLeft w:val="0"/>
      <w:marRight w:val="0"/>
      <w:marTop w:val="0"/>
      <w:marBottom w:val="0"/>
      <w:divBdr>
        <w:top w:val="none" w:sz="0" w:space="0" w:color="auto"/>
        <w:left w:val="none" w:sz="0" w:space="0" w:color="auto"/>
        <w:bottom w:val="none" w:sz="0" w:space="0" w:color="auto"/>
        <w:right w:val="none" w:sz="0" w:space="0" w:color="auto"/>
      </w:divBdr>
    </w:div>
    <w:div w:id="752900688">
      <w:marLeft w:val="0"/>
      <w:marRight w:val="0"/>
      <w:marTop w:val="180"/>
      <w:marBottom w:val="0"/>
      <w:divBdr>
        <w:top w:val="none" w:sz="0" w:space="0" w:color="auto"/>
        <w:left w:val="none" w:sz="0" w:space="0" w:color="auto"/>
        <w:bottom w:val="none" w:sz="0" w:space="0" w:color="auto"/>
        <w:right w:val="none" w:sz="0" w:space="0" w:color="auto"/>
      </w:divBdr>
    </w:div>
    <w:div w:id="753748848">
      <w:marLeft w:val="0"/>
      <w:marRight w:val="0"/>
      <w:marTop w:val="0"/>
      <w:marBottom w:val="0"/>
      <w:divBdr>
        <w:top w:val="none" w:sz="0" w:space="0" w:color="auto"/>
        <w:left w:val="none" w:sz="0" w:space="0" w:color="auto"/>
        <w:bottom w:val="none" w:sz="0" w:space="0" w:color="auto"/>
        <w:right w:val="none" w:sz="0" w:space="0" w:color="auto"/>
      </w:divBdr>
    </w:div>
    <w:div w:id="755320184">
      <w:marLeft w:val="0"/>
      <w:marRight w:val="0"/>
      <w:marTop w:val="180"/>
      <w:marBottom w:val="0"/>
      <w:divBdr>
        <w:top w:val="none" w:sz="0" w:space="0" w:color="auto"/>
        <w:left w:val="none" w:sz="0" w:space="0" w:color="auto"/>
        <w:bottom w:val="none" w:sz="0" w:space="0" w:color="auto"/>
        <w:right w:val="none" w:sz="0" w:space="0" w:color="auto"/>
      </w:divBdr>
    </w:div>
    <w:div w:id="756295207">
      <w:marLeft w:val="0"/>
      <w:marRight w:val="0"/>
      <w:marTop w:val="0"/>
      <w:marBottom w:val="0"/>
      <w:divBdr>
        <w:top w:val="none" w:sz="0" w:space="0" w:color="auto"/>
        <w:left w:val="none" w:sz="0" w:space="0" w:color="auto"/>
        <w:bottom w:val="none" w:sz="0" w:space="0" w:color="auto"/>
        <w:right w:val="none" w:sz="0" w:space="0" w:color="auto"/>
      </w:divBdr>
      <w:divsChild>
        <w:div w:id="1643389088">
          <w:marLeft w:val="0"/>
          <w:marRight w:val="0"/>
          <w:marTop w:val="0"/>
          <w:marBottom w:val="0"/>
          <w:divBdr>
            <w:top w:val="none" w:sz="0" w:space="0" w:color="auto"/>
            <w:left w:val="none" w:sz="0" w:space="0" w:color="auto"/>
            <w:bottom w:val="none" w:sz="0" w:space="0" w:color="auto"/>
            <w:right w:val="none" w:sz="0" w:space="0" w:color="auto"/>
          </w:divBdr>
        </w:div>
      </w:divsChild>
    </w:div>
    <w:div w:id="760219290">
      <w:marLeft w:val="0"/>
      <w:marRight w:val="0"/>
      <w:marTop w:val="180"/>
      <w:marBottom w:val="0"/>
      <w:divBdr>
        <w:top w:val="none" w:sz="0" w:space="0" w:color="auto"/>
        <w:left w:val="none" w:sz="0" w:space="0" w:color="auto"/>
        <w:bottom w:val="none" w:sz="0" w:space="0" w:color="auto"/>
        <w:right w:val="none" w:sz="0" w:space="0" w:color="auto"/>
      </w:divBdr>
    </w:div>
    <w:div w:id="770593160">
      <w:marLeft w:val="0"/>
      <w:marRight w:val="0"/>
      <w:marTop w:val="0"/>
      <w:marBottom w:val="0"/>
      <w:divBdr>
        <w:top w:val="none" w:sz="0" w:space="0" w:color="auto"/>
        <w:left w:val="none" w:sz="0" w:space="0" w:color="auto"/>
        <w:bottom w:val="none" w:sz="0" w:space="0" w:color="auto"/>
        <w:right w:val="none" w:sz="0" w:space="0" w:color="auto"/>
      </w:divBdr>
      <w:divsChild>
        <w:div w:id="871501859">
          <w:marLeft w:val="0"/>
          <w:marRight w:val="0"/>
          <w:marTop w:val="0"/>
          <w:marBottom w:val="0"/>
          <w:divBdr>
            <w:top w:val="none" w:sz="0" w:space="0" w:color="auto"/>
            <w:left w:val="none" w:sz="0" w:space="0" w:color="auto"/>
            <w:bottom w:val="none" w:sz="0" w:space="0" w:color="auto"/>
            <w:right w:val="none" w:sz="0" w:space="0" w:color="auto"/>
          </w:divBdr>
        </w:div>
      </w:divsChild>
    </w:div>
    <w:div w:id="775904619">
      <w:marLeft w:val="0"/>
      <w:marRight w:val="0"/>
      <w:marTop w:val="100"/>
      <w:marBottom w:val="0"/>
      <w:divBdr>
        <w:top w:val="none" w:sz="0" w:space="0" w:color="auto"/>
        <w:left w:val="none" w:sz="0" w:space="0" w:color="auto"/>
        <w:bottom w:val="none" w:sz="0" w:space="0" w:color="auto"/>
        <w:right w:val="none" w:sz="0" w:space="0" w:color="auto"/>
      </w:divBdr>
      <w:divsChild>
        <w:div w:id="861864676">
          <w:marLeft w:val="0"/>
          <w:marRight w:val="0"/>
          <w:marTop w:val="0"/>
          <w:marBottom w:val="0"/>
          <w:divBdr>
            <w:top w:val="none" w:sz="0" w:space="0" w:color="auto"/>
            <w:left w:val="none" w:sz="0" w:space="0" w:color="auto"/>
            <w:bottom w:val="none" w:sz="0" w:space="0" w:color="auto"/>
            <w:right w:val="none" w:sz="0" w:space="0" w:color="auto"/>
          </w:divBdr>
        </w:div>
      </w:divsChild>
    </w:div>
    <w:div w:id="779909616">
      <w:marLeft w:val="0"/>
      <w:marRight w:val="0"/>
      <w:marTop w:val="0"/>
      <w:marBottom w:val="0"/>
      <w:divBdr>
        <w:top w:val="none" w:sz="0" w:space="0" w:color="auto"/>
        <w:left w:val="none" w:sz="0" w:space="0" w:color="auto"/>
        <w:bottom w:val="none" w:sz="0" w:space="0" w:color="auto"/>
        <w:right w:val="none" w:sz="0" w:space="0" w:color="auto"/>
      </w:divBdr>
    </w:div>
    <w:div w:id="787087572">
      <w:marLeft w:val="0"/>
      <w:marRight w:val="0"/>
      <w:marTop w:val="80"/>
      <w:marBottom w:val="0"/>
      <w:divBdr>
        <w:top w:val="none" w:sz="0" w:space="0" w:color="auto"/>
        <w:left w:val="none" w:sz="0" w:space="0" w:color="auto"/>
        <w:bottom w:val="none" w:sz="0" w:space="0" w:color="auto"/>
        <w:right w:val="none" w:sz="0" w:space="0" w:color="auto"/>
      </w:divBdr>
    </w:div>
    <w:div w:id="793213217">
      <w:marLeft w:val="0"/>
      <w:marRight w:val="0"/>
      <w:marTop w:val="0"/>
      <w:marBottom w:val="0"/>
      <w:divBdr>
        <w:top w:val="none" w:sz="0" w:space="0" w:color="auto"/>
        <w:left w:val="none" w:sz="0" w:space="0" w:color="auto"/>
        <w:bottom w:val="none" w:sz="0" w:space="0" w:color="auto"/>
        <w:right w:val="none" w:sz="0" w:space="0" w:color="auto"/>
      </w:divBdr>
    </w:div>
    <w:div w:id="796147740">
      <w:marLeft w:val="0"/>
      <w:marRight w:val="0"/>
      <w:marTop w:val="0"/>
      <w:marBottom w:val="0"/>
      <w:divBdr>
        <w:top w:val="none" w:sz="0" w:space="0" w:color="auto"/>
        <w:left w:val="none" w:sz="0" w:space="0" w:color="auto"/>
        <w:bottom w:val="none" w:sz="0" w:space="0" w:color="auto"/>
        <w:right w:val="none" w:sz="0" w:space="0" w:color="auto"/>
      </w:divBdr>
      <w:divsChild>
        <w:div w:id="747768570">
          <w:marLeft w:val="0"/>
          <w:marRight w:val="0"/>
          <w:marTop w:val="0"/>
          <w:marBottom w:val="0"/>
          <w:divBdr>
            <w:top w:val="none" w:sz="0" w:space="0" w:color="auto"/>
            <w:left w:val="none" w:sz="0" w:space="0" w:color="auto"/>
            <w:bottom w:val="none" w:sz="0" w:space="0" w:color="auto"/>
            <w:right w:val="none" w:sz="0" w:space="0" w:color="auto"/>
          </w:divBdr>
        </w:div>
      </w:divsChild>
    </w:div>
    <w:div w:id="796532274">
      <w:marLeft w:val="0"/>
      <w:marRight w:val="0"/>
      <w:marTop w:val="100"/>
      <w:marBottom w:val="0"/>
      <w:divBdr>
        <w:top w:val="none" w:sz="0" w:space="0" w:color="auto"/>
        <w:left w:val="none" w:sz="0" w:space="0" w:color="auto"/>
        <w:bottom w:val="none" w:sz="0" w:space="0" w:color="auto"/>
        <w:right w:val="none" w:sz="0" w:space="0" w:color="auto"/>
      </w:divBdr>
    </w:div>
    <w:div w:id="802381198">
      <w:marLeft w:val="0"/>
      <w:marRight w:val="0"/>
      <w:marTop w:val="100"/>
      <w:marBottom w:val="0"/>
      <w:divBdr>
        <w:top w:val="none" w:sz="0" w:space="0" w:color="auto"/>
        <w:left w:val="none" w:sz="0" w:space="0" w:color="auto"/>
        <w:bottom w:val="none" w:sz="0" w:space="0" w:color="auto"/>
        <w:right w:val="none" w:sz="0" w:space="0" w:color="auto"/>
      </w:divBdr>
    </w:div>
    <w:div w:id="804932518">
      <w:marLeft w:val="0"/>
      <w:marRight w:val="0"/>
      <w:marTop w:val="0"/>
      <w:marBottom w:val="0"/>
      <w:divBdr>
        <w:top w:val="none" w:sz="0" w:space="0" w:color="auto"/>
        <w:left w:val="none" w:sz="0" w:space="0" w:color="auto"/>
        <w:bottom w:val="none" w:sz="0" w:space="0" w:color="auto"/>
        <w:right w:val="none" w:sz="0" w:space="0" w:color="auto"/>
      </w:divBdr>
      <w:divsChild>
        <w:div w:id="1212614878">
          <w:marLeft w:val="0"/>
          <w:marRight w:val="0"/>
          <w:marTop w:val="0"/>
          <w:marBottom w:val="0"/>
          <w:divBdr>
            <w:top w:val="none" w:sz="0" w:space="0" w:color="auto"/>
            <w:left w:val="none" w:sz="0" w:space="0" w:color="auto"/>
            <w:bottom w:val="none" w:sz="0" w:space="0" w:color="auto"/>
            <w:right w:val="none" w:sz="0" w:space="0" w:color="auto"/>
          </w:divBdr>
        </w:div>
      </w:divsChild>
    </w:div>
    <w:div w:id="806431426">
      <w:marLeft w:val="0"/>
      <w:marRight w:val="0"/>
      <w:marTop w:val="0"/>
      <w:marBottom w:val="0"/>
      <w:divBdr>
        <w:top w:val="none" w:sz="0" w:space="0" w:color="auto"/>
        <w:left w:val="none" w:sz="0" w:space="0" w:color="auto"/>
        <w:bottom w:val="none" w:sz="0" w:space="0" w:color="auto"/>
        <w:right w:val="none" w:sz="0" w:space="0" w:color="auto"/>
      </w:divBdr>
    </w:div>
    <w:div w:id="815798838">
      <w:marLeft w:val="0"/>
      <w:marRight w:val="0"/>
      <w:marTop w:val="0"/>
      <w:marBottom w:val="0"/>
      <w:divBdr>
        <w:top w:val="none" w:sz="0" w:space="0" w:color="auto"/>
        <w:left w:val="none" w:sz="0" w:space="0" w:color="auto"/>
        <w:bottom w:val="none" w:sz="0" w:space="0" w:color="auto"/>
        <w:right w:val="none" w:sz="0" w:space="0" w:color="auto"/>
      </w:divBdr>
      <w:divsChild>
        <w:div w:id="512843233">
          <w:marLeft w:val="0"/>
          <w:marRight w:val="0"/>
          <w:marTop w:val="0"/>
          <w:marBottom w:val="0"/>
          <w:divBdr>
            <w:top w:val="none" w:sz="0" w:space="0" w:color="auto"/>
            <w:left w:val="none" w:sz="0" w:space="0" w:color="auto"/>
            <w:bottom w:val="none" w:sz="0" w:space="0" w:color="auto"/>
            <w:right w:val="none" w:sz="0" w:space="0" w:color="auto"/>
          </w:divBdr>
        </w:div>
      </w:divsChild>
    </w:div>
    <w:div w:id="818038424">
      <w:marLeft w:val="0"/>
      <w:marRight w:val="0"/>
      <w:marTop w:val="100"/>
      <w:marBottom w:val="0"/>
      <w:divBdr>
        <w:top w:val="none" w:sz="0" w:space="0" w:color="auto"/>
        <w:left w:val="none" w:sz="0" w:space="0" w:color="auto"/>
        <w:bottom w:val="none" w:sz="0" w:space="0" w:color="auto"/>
        <w:right w:val="none" w:sz="0" w:space="0" w:color="auto"/>
      </w:divBdr>
    </w:div>
    <w:div w:id="822967959">
      <w:marLeft w:val="0"/>
      <w:marRight w:val="0"/>
      <w:marTop w:val="100"/>
      <w:marBottom w:val="0"/>
      <w:divBdr>
        <w:top w:val="none" w:sz="0" w:space="0" w:color="auto"/>
        <w:left w:val="none" w:sz="0" w:space="0" w:color="auto"/>
        <w:bottom w:val="none" w:sz="0" w:space="0" w:color="auto"/>
        <w:right w:val="none" w:sz="0" w:space="0" w:color="auto"/>
      </w:divBdr>
    </w:div>
    <w:div w:id="830566373">
      <w:marLeft w:val="0"/>
      <w:marRight w:val="0"/>
      <w:marTop w:val="0"/>
      <w:marBottom w:val="0"/>
      <w:divBdr>
        <w:top w:val="none" w:sz="0" w:space="0" w:color="auto"/>
        <w:left w:val="none" w:sz="0" w:space="0" w:color="auto"/>
        <w:bottom w:val="none" w:sz="0" w:space="0" w:color="auto"/>
        <w:right w:val="none" w:sz="0" w:space="0" w:color="auto"/>
      </w:divBdr>
      <w:divsChild>
        <w:div w:id="1806967764">
          <w:marLeft w:val="0"/>
          <w:marRight w:val="0"/>
          <w:marTop w:val="0"/>
          <w:marBottom w:val="0"/>
          <w:divBdr>
            <w:top w:val="none" w:sz="0" w:space="0" w:color="auto"/>
            <w:left w:val="none" w:sz="0" w:space="0" w:color="auto"/>
            <w:bottom w:val="none" w:sz="0" w:space="0" w:color="auto"/>
            <w:right w:val="none" w:sz="0" w:space="0" w:color="auto"/>
          </w:divBdr>
        </w:div>
      </w:divsChild>
    </w:div>
    <w:div w:id="833185065">
      <w:marLeft w:val="0"/>
      <w:marRight w:val="0"/>
      <w:marTop w:val="0"/>
      <w:marBottom w:val="0"/>
      <w:divBdr>
        <w:top w:val="none" w:sz="0" w:space="0" w:color="auto"/>
        <w:left w:val="none" w:sz="0" w:space="0" w:color="auto"/>
        <w:bottom w:val="none" w:sz="0" w:space="0" w:color="auto"/>
        <w:right w:val="none" w:sz="0" w:space="0" w:color="auto"/>
      </w:divBdr>
      <w:divsChild>
        <w:div w:id="1579055824">
          <w:marLeft w:val="0"/>
          <w:marRight w:val="0"/>
          <w:marTop w:val="0"/>
          <w:marBottom w:val="0"/>
          <w:divBdr>
            <w:top w:val="none" w:sz="0" w:space="0" w:color="auto"/>
            <w:left w:val="none" w:sz="0" w:space="0" w:color="auto"/>
            <w:bottom w:val="none" w:sz="0" w:space="0" w:color="auto"/>
            <w:right w:val="none" w:sz="0" w:space="0" w:color="auto"/>
          </w:divBdr>
        </w:div>
      </w:divsChild>
    </w:div>
    <w:div w:id="843934311">
      <w:marLeft w:val="0"/>
      <w:marRight w:val="0"/>
      <w:marTop w:val="0"/>
      <w:marBottom w:val="0"/>
      <w:divBdr>
        <w:top w:val="none" w:sz="0" w:space="0" w:color="auto"/>
        <w:left w:val="none" w:sz="0" w:space="0" w:color="auto"/>
        <w:bottom w:val="none" w:sz="0" w:space="0" w:color="auto"/>
        <w:right w:val="none" w:sz="0" w:space="0" w:color="auto"/>
      </w:divBdr>
    </w:div>
    <w:div w:id="854729652">
      <w:marLeft w:val="0"/>
      <w:marRight w:val="0"/>
      <w:marTop w:val="0"/>
      <w:marBottom w:val="0"/>
      <w:divBdr>
        <w:top w:val="none" w:sz="0" w:space="0" w:color="auto"/>
        <w:left w:val="none" w:sz="0" w:space="0" w:color="auto"/>
        <w:bottom w:val="none" w:sz="0" w:space="0" w:color="auto"/>
        <w:right w:val="none" w:sz="0" w:space="0" w:color="auto"/>
      </w:divBdr>
    </w:div>
    <w:div w:id="856312992">
      <w:marLeft w:val="0"/>
      <w:marRight w:val="0"/>
      <w:marTop w:val="0"/>
      <w:marBottom w:val="0"/>
      <w:divBdr>
        <w:top w:val="none" w:sz="0" w:space="0" w:color="auto"/>
        <w:left w:val="none" w:sz="0" w:space="0" w:color="auto"/>
        <w:bottom w:val="none" w:sz="0" w:space="0" w:color="auto"/>
        <w:right w:val="none" w:sz="0" w:space="0" w:color="auto"/>
      </w:divBdr>
      <w:divsChild>
        <w:div w:id="889000045">
          <w:marLeft w:val="0"/>
          <w:marRight w:val="0"/>
          <w:marTop w:val="0"/>
          <w:marBottom w:val="0"/>
          <w:divBdr>
            <w:top w:val="none" w:sz="0" w:space="0" w:color="auto"/>
            <w:left w:val="none" w:sz="0" w:space="0" w:color="auto"/>
            <w:bottom w:val="none" w:sz="0" w:space="0" w:color="auto"/>
            <w:right w:val="none" w:sz="0" w:space="0" w:color="auto"/>
          </w:divBdr>
        </w:div>
      </w:divsChild>
    </w:div>
    <w:div w:id="861938602">
      <w:marLeft w:val="0"/>
      <w:marRight w:val="0"/>
      <w:marTop w:val="0"/>
      <w:marBottom w:val="0"/>
      <w:divBdr>
        <w:top w:val="none" w:sz="0" w:space="0" w:color="auto"/>
        <w:left w:val="none" w:sz="0" w:space="0" w:color="auto"/>
        <w:bottom w:val="none" w:sz="0" w:space="0" w:color="auto"/>
        <w:right w:val="none" w:sz="0" w:space="0" w:color="auto"/>
      </w:divBdr>
    </w:div>
    <w:div w:id="871310606">
      <w:marLeft w:val="0"/>
      <w:marRight w:val="0"/>
      <w:marTop w:val="0"/>
      <w:marBottom w:val="0"/>
      <w:divBdr>
        <w:top w:val="none" w:sz="0" w:space="0" w:color="auto"/>
        <w:left w:val="none" w:sz="0" w:space="0" w:color="auto"/>
        <w:bottom w:val="none" w:sz="0" w:space="0" w:color="auto"/>
        <w:right w:val="none" w:sz="0" w:space="0" w:color="auto"/>
      </w:divBdr>
      <w:divsChild>
        <w:div w:id="51082176">
          <w:marLeft w:val="0"/>
          <w:marRight w:val="0"/>
          <w:marTop w:val="0"/>
          <w:marBottom w:val="0"/>
          <w:divBdr>
            <w:top w:val="none" w:sz="0" w:space="0" w:color="auto"/>
            <w:left w:val="none" w:sz="0" w:space="0" w:color="auto"/>
            <w:bottom w:val="none" w:sz="0" w:space="0" w:color="auto"/>
            <w:right w:val="none" w:sz="0" w:space="0" w:color="auto"/>
          </w:divBdr>
        </w:div>
      </w:divsChild>
    </w:div>
    <w:div w:id="872620864">
      <w:marLeft w:val="0"/>
      <w:marRight w:val="0"/>
      <w:marTop w:val="0"/>
      <w:marBottom w:val="0"/>
      <w:divBdr>
        <w:top w:val="none" w:sz="0" w:space="0" w:color="auto"/>
        <w:left w:val="none" w:sz="0" w:space="0" w:color="auto"/>
        <w:bottom w:val="none" w:sz="0" w:space="0" w:color="auto"/>
        <w:right w:val="none" w:sz="0" w:space="0" w:color="auto"/>
      </w:divBdr>
    </w:div>
    <w:div w:id="873344423">
      <w:marLeft w:val="0"/>
      <w:marRight w:val="0"/>
      <w:marTop w:val="0"/>
      <w:marBottom w:val="0"/>
      <w:divBdr>
        <w:top w:val="none" w:sz="0" w:space="0" w:color="auto"/>
        <w:left w:val="none" w:sz="0" w:space="0" w:color="auto"/>
        <w:bottom w:val="none" w:sz="0" w:space="0" w:color="auto"/>
        <w:right w:val="none" w:sz="0" w:space="0" w:color="auto"/>
      </w:divBdr>
      <w:divsChild>
        <w:div w:id="198010838">
          <w:marLeft w:val="0"/>
          <w:marRight w:val="0"/>
          <w:marTop w:val="0"/>
          <w:marBottom w:val="0"/>
          <w:divBdr>
            <w:top w:val="none" w:sz="0" w:space="0" w:color="auto"/>
            <w:left w:val="none" w:sz="0" w:space="0" w:color="auto"/>
            <w:bottom w:val="none" w:sz="0" w:space="0" w:color="auto"/>
            <w:right w:val="none" w:sz="0" w:space="0" w:color="auto"/>
          </w:divBdr>
        </w:div>
      </w:divsChild>
    </w:div>
    <w:div w:id="885948065">
      <w:marLeft w:val="0"/>
      <w:marRight w:val="0"/>
      <w:marTop w:val="20"/>
      <w:marBottom w:val="0"/>
      <w:divBdr>
        <w:top w:val="none" w:sz="0" w:space="0" w:color="auto"/>
        <w:left w:val="none" w:sz="0" w:space="0" w:color="auto"/>
        <w:bottom w:val="none" w:sz="0" w:space="0" w:color="auto"/>
        <w:right w:val="none" w:sz="0" w:space="0" w:color="auto"/>
      </w:divBdr>
    </w:div>
    <w:div w:id="886063671">
      <w:marLeft w:val="0"/>
      <w:marRight w:val="0"/>
      <w:marTop w:val="0"/>
      <w:marBottom w:val="0"/>
      <w:divBdr>
        <w:top w:val="none" w:sz="0" w:space="0" w:color="auto"/>
        <w:left w:val="none" w:sz="0" w:space="0" w:color="auto"/>
        <w:bottom w:val="none" w:sz="0" w:space="0" w:color="auto"/>
        <w:right w:val="none" w:sz="0" w:space="0" w:color="auto"/>
      </w:divBdr>
    </w:div>
    <w:div w:id="887570607">
      <w:marLeft w:val="0"/>
      <w:marRight w:val="0"/>
      <w:marTop w:val="0"/>
      <w:marBottom w:val="0"/>
      <w:divBdr>
        <w:top w:val="none" w:sz="0" w:space="0" w:color="auto"/>
        <w:left w:val="none" w:sz="0" w:space="0" w:color="auto"/>
        <w:bottom w:val="none" w:sz="0" w:space="0" w:color="auto"/>
        <w:right w:val="none" w:sz="0" w:space="0" w:color="auto"/>
      </w:divBdr>
    </w:div>
    <w:div w:id="888105551">
      <w:marLeft w:val="0"/>
      <w:marRight w:val="0"/>
      <w:marTop w:val="100"/>
      <w:marBottom w:val="0"/>
      <w:divBdr>
        <w:top w:val="none" w:sz="0" w:space="0" w:color="auto"/>
        <w:left w:val="none" w:sz="0" w:space="0" w:color="auto"/>
        <w:bottom w:val="none" w:sz="0" w:space="0" w:color="auto"/>
        <w:right w:val="none" w:sz="0" w:space="0" w:color="auto"/>
      </w:divBdr>
    </w:div>
    <w:div w:id="898128771">
      <w:marLeft w:val="0"/>
      <w:marRight w:val="0"/>
      <w:marTop w:val="0"/>
      <w:marBottom w:val="0"/>
      <w:divBdr>
        <w:top w:val="none" w:sz="0" w:space="0" w:color="auto"/>
        <w:left w:val="none" w:sz="0" w:space="0" w:color="auto"/>
        <w:bottom w:val="none" w:sz="0" w:space="0" w:color="auto"/>
        <w:right w:val="none" w:sz="0" w:space="0" w:color="auto"/>
      </w:divBdr>
      <w:divsChild>
        <w:div w:id="369653616">
          <w:marLeft w:val="0"/>
          <w:marRight w:val="0"/>
          <w:marTop w:val="0"/>
          <w:marBottom w:val="0"/>
          <w:divBdr>
            <w:top w:val="none" w:sz="0" w:space="0" w:color="auto"/>
            <w:left w:val="none" w:sz="0" w:space="0" w:color="auto"/>
            <w:bottom w:val="none" w:sz="0" w:space="0" w:color="auto"/>
            <w:right w:val="none" w:sz="0" w:space="0" w:color="auto"/>
          </w:divBdr>
        </w:div>
      </w:divsChild>
    </w:div>
    <w:div w:id="900287820">
      <w:marLeft w:val="0"/>
      <w:marRight w:val="0"/>
      <w:marTop w:val="100"/>
      <w:marBottom w:val="0"/>
      <w:divBdr>
        <w:top w:val="none" w:sz="0" w:space="0" w:color="auto"/>
        <w:left w:val="none" w:sz="0" w:space="0" w:color="auto"/>
        <w:bottom w:val="none" w:sz="0" w:space="0" w:color="auto"/>
        <w:right w:val="none" w:sz="0" w:space="0" w:color="auto"/>
      </w:divBdr>
    </w:div>
    <w:div w:id="901217312">
      <w:marLeft w:val="0"/>
      <w:marRight w:val="0"/>
      <w:marTop w:val="0"/>
      <w:marBottom w:val="0"/>
      <w:divBdr>
        <w:top w:val="none" w:sz="0" w:space="0" w:color="auto"/>
        <w:left w:val="none" w:sz="0" w:space="0" w:color="auto"/>
        <w:bottom w:val="none" w:sz="0" w:space="0" w:color="auto"/>
        <w:right w:val="none" w:sz="0" w:space="0" w:color="auto"/>
      </w:divBdr>
    </w:div>
    <w:div w:id="902636860">
      <w:marLeft w:val="0"/>
      <w:marRight w:val="0"/>
      <w:marTop w:val="180"/>
      <w:marBottom w:val="0"/>
      <w:divBdr>
        <w:top w:val="none" w:sz="0" w:space="0" w:color="auto"/>
        <w:left w:val="none" w:sz="0" w:space="0" w:color="auto"/>
        <w:bottom w:val="none" w:sz="0" w:space="0" w:color="auto"/>
        <w:right w:val="none" w:sz="0" w:space="0" w:color="auto"/>
      </w:divBdr>
    </w:div>
    <w:div w:id="908154649">
      <w:marLeft w:val="0"/>
      <w:marRight w:val="0"/>
      <w:marTop w:val="100"/>
      <w:marBottom w:val="0"/>
      <w:divBdr>
        <w:top w:val="none" w:sz="0" w:space="0" w:color="auto"/>
        <w:left w:val="none" w:sz="0" w:space="0" w:color="auto"/>
        <w:bottom w:val="none" w:sz="0" w:space="0" w:color="auto"/>
        <w:right w:val="none" w:sz="0" w:space="0" w:color="auto"/>
      </w:divBdr>
      <w:divsChild>
        <w:div w:id="373235025">
          <w:marLeft w:val="0"/>
          <w:marRight w:val="0"/>
          <w:marTop w:val="0"/>
          <w:marBottom w:val="0"/>
          <w:divBdr>
            <w:top w:val="none" w:sz="0" w:space="0" w:color="auto"/>
            <w:left w:val="none" w:sz="0" w:space="0" w:color="auto"/>
            <w:bottom w:val="none" w:sz="0" w:space="0" w:color="auto"/>
            <w:right w:val="none" w:sz="0" w:space="0" w:color="auto"/>
          </w:divBdr>
        </w:div>
      </w:divsChild>
    </w:div>
    <w:div w:id="911816974">
      <w:marLeft w:val="0"/>
      <w:marRight w:val="0"/>
      <w:marTop w:val="0"/>
      <w:marBottom w:val="0"/>
      <w:divBdr>
        <w:top w:val="none" w:sz="0" w:space="0" w:color="auto"/>
        <w:left w:val="none" w:sz="0" w:space="0" w:color="auto"/>
        <w:bottom w:val="none" w:sz="0" w:space="0" w:color="auto"/>
        <w:right w:val="none" w:sz="0" w:space="0" w:color="auto"/>
      </w:divBdr>
      <w:divsChild>
        <w:div w:id="1307591566">
          <w:marLeft w:val="0"/>
          <w:marRight w:val="0"/>
          <w:marTop w:val="0"/>
          <w:marBottom w:val="0"/>
          <w:divBdr>
            <w:top w:val="none" w:sz="0" w:space="0" w:color="auto"/>
            <w:left w:val="none" w:sz="0" w:space="0" w:color="auto"/>
            <w:bottom w:val="none" w:sz="0" w:space="0" w:color="auto"/>
            <w:right w:val="none" w:sz="0" w:space="0" w:color="auto"/>
          </w:divBdr>
        </w:div>
      </w:divsChild>
    </w:div>
    <w:div w:id="913320861">
      <w:marLeft w:val="0"/>
      <w:marRight w:val="0"/>
      <w:marTop w:val="0"/>
      <w:marBottom w:val="0"/>
      <w:divBdr>
        <w:top w:val="none" w:sz="0" w:space="0" w:color="auto"/>
        <w:left w:val="none" w:sz="0" w:space="0" w:color="auto"/>
        <w:bottom w:val="none" w:sz="0" w:space="0" w:color="auto"/>
        <w:right w:val="none" w:sz="0" w:space="0" w:color="auto"/>
      </w:divBdr>
    </w:div>
    <w:div w:id="928848214">
      <w:marLeft w:val="0"/>
      <w:marRight w:val="0"/>
      <w:marTop w:val="0"/>
      <w:marBottom w:val="0"/>
      <w:divBdr>
        <w:top w:val="none" w:sz="0" w:space="0" w:color="auto"/>
        <w:left w:val="none" w:sz="0" w:space="0" w:color="auto"/>
        <w:bottom w:val="none" w:sz="0" w:space="0" w:color="auto"/>
        <w:right w:val="none" w:sz="0" w:space="0" w:color="auto"/>
      </w:divBdr>
    </w:div>
    <w:div w:id="929461030">
      <w:marLeft w:val="0"/>
      <w:marRight w:val="0"/>
      <w:marTop w:val="100"/>
      <w:marBottom w:val="0"/>
      <w:divBdr>
        <w:top w:val="none" w:sz="0" w:space="0" w:color="auto"/>
        <w:left w:val="none" w:sz="0" w:space="0" w:color="auto"/>
        <w:bottom w:val="none" w:sz="0" w:space="0" w:color="auto"/>
        <w:right w:val="none" w:sz="0" w:space="0" w:color="auto"/>
      </w:divBdr>
      <w:divsChild>
        <w:div w:id="1600675894">
          <w:marLeft w:val="0"/>
          <w:marRight w:val="0"/>
          <w:marTop w:val="0"/>
          <w:marBottom w:val="0"/>
          <w:divBdr>
            <w:top w:val="none" w:sz="0" w:space="0" w:color="auto"/>
            <w:left w:val="none" w:sz="0" w:space="0" w:color="auto"/>
            <w:bottom w:val="none" w:sz="0" w:space="0" w:color="auto"/>
            <w:right w:val="none" w:sz="0" w:space="0" w:color="auto"/>
          </w:divBdr>
        </w:div>
      </w:divsChild>
    </w:div>
    <w:div w:id="936788331">
      <w:marLeft w:val="0"/>
      <w:marRight w:val="0"/>
      <w:marTop w:val="0"/>
      <w:marBottom w:val="0"/>
      <w:divBdr>
        <w:top w:val="none" w:sz="0" w:space="0" w:color="auto"/>
        <w:left w:val="none" w:sz="0" w:space="0" w:color="auto"/>
        <w:bottom w:val="none" w:sz="0" w:space="0" w:color="auto"/>
        <w:right w:val="none" w:sz="0" w:space="0" w:color="auto"/>
      </w:divBdr>
    </w:div>
    <w:div w:id="937757475">
      <w:marLeft w:val="0"/>
      <w:marRight w:val="0"/>
      <w:marTop w:val="0"/>
      <w:marBottom w:val="0"/>
      <w:divBdr>
        <w:top w:val="none" w:sz="0" w:space="0" w:color="auto"/>
        <w:left w:val="none" w:sz="0" w:space="0" w:color="auto"/>
        <w:bottom w:val="none" w:sz="0" w:space="0" w:color="auto"/>
        <w:right w:val="none" w:sz="0" w:space="0" w:color="auto"/>
      </w:divBdr>
    </w:div>
    <w:div w:id="942228663">
      <w:marLeft w:val="0"/>
      <w:marRight w:val="0"/>
      <w:marTop w:val="0"/>
      <w:marBottom w:val="0"/>
      <w:divBdr>
        <w:top w:val="none" w:sz="0" w:space="0" w:color="auto"/>
        <w:left w:val="none" w:sz="0" w:space="0" w:color="auto"/>
        <w:bottom w:val="none" w:sz="0" w:space="0" w:color="auto"/>
        <w:right w:val="none" w:sz="0" w:space="0" w:color="auto"/>
      </w:divBdr>
      <w:divsChild>
        <w:div w:id="1779908327">
          <w:marLeft w:val="0"/>
          <w:marRight w:val="0"/>
          <w:marTop w:val="0"/>
          <w:marBottom w:val="0"/>
          <w:divBdr>
            <w:top w:val="none" w:sz="0" w:space="0" w:color="auto"/>
            <w:left w:val="none" w:sz="0" w:space="0" w:color="auto"/>
            <w:bottom w:val="none" w:sz="0" w:space="0" w:color="auto"/>
            <w:right w:val="none" w:sz="0" w:space="0" w:color="auto"/>
          </w:divBdr>
        </w:div>
      </w:divsChild>
    </w:div>
    <w:div w:id="943271090">
      <w:marLeft w:val="0"/>
      <w:marRight w:val="0"/>
      <w:marTop w:val="0"/>
      <w:marBottom w:val="0"/>
      <w:divBdr>
        <w:top w:val="none" w:sz="0" w:space="0" w:color="auto"/>
        <w:left w:val="none" w:sz="0" w:space="0" w:color="auto"/>
        <w:bottom w:val="none" w:sz="0" w:space="0" w:color="auto"/>
        <w:right w:val="none" w:sz="0" w:space="0" w:color="auto"/>
      </w:divBdr>
    </w:div>
    <w:div w:id="952247767">
      <w:marLeft w:val="0"/>
      <w:marRight w:val="0"/>
      <w:marTop w:val="0"/>
      <w:marBottom w:val="0"/>
      <w:divBdr>
        <w:top w:val="none" w:sz="0" w:space="0" w:color="auto"/>
        <w:left w:val="none" w:sz="0" w:space="0" w:color="auto"/>
        <w:bottom w:val="none" w:sz="0" w:space="0" w:color="auto"/>
        <w:right w:val="none" w:sz="0" w:space="0" w:color="auto"/>
      </w:divBdr>
    </w:div>
    <w:div w:id="955717260">
      <w:marLeft w:val="0"/>
      <w:marRight w:val="0"/>
      <w:marTop w:val="0"/>
      <w:marBottom w:val="0"/>
      <w:divBdr>
        <w:top w:val="none" w:sz="0" w:space="0" w:color="auto"/>
        <w:left w:val="none" w:sz="0" w:space="0" w:color="auto"/>
        <w:bottom w:val="none" w:sz="0" w:space="0" w:color="auto"/>
        <w:right w:val="none" w:sz="0" w:space="0" w:color="auto"/>
      </w:divBdr>
      <w:divsChild>
        <w:div w:id="1435789144">
          <w:marLeft w:val="0"/>
          <w:marRight w:val="0"/>
          <w:marTop w:val="0"/>
          <w:marBottom w:val="0"/>
          <w:divBdr>
            <w:top w:val="none" w:sz="0" w:space="0" w:color="auto"/>
            <w:left w:val="none" w:sz="0" w:space="0" w:color="auto"/>
            <w:bottom w:val="none" w:sz="0" w:space="0" w:color="auto"/>
            <w:right w:val="none" w:sz="0" w:space="0" w:color="auto"/>
          </w:divBdr>
        </w:div>
      </w:divsChild>
    </w:div>
    <w:div w:id="956764227">
      <w:marLeft w:val="0"/>
      <w:marRight w:val="0"/>
      <w:marTop w:val="60"/>
      <w:marBottom w:val="60"/>
      <w:divBdr>
        <w:top w:val="none" w:sz="0" w:space="0" w:color="auto"/>
        <w:left w:val="none" w:sz="0" w:space="0" w:color="auto"/>
        <w:bottom w:val="none" w:sz="0" w:space="0" w:color="auto"/>
        <w:right w:val="none" w:sz="0" w:space="0" w:color="auto"/>
      </w:divBdr>
    </w:div>
    <w:div w:id="969361410">
      <w:marLeft w:val="0"/>
      <w:marRight w:val="0"/>
      <w:marTop w:val="0"/>
      <w:marBottom w:val="0"/>
      <w:divBdr>
        <w:top w:val="none" w:sz="0" w:space="0" w:color="auto"/>
        <w:left w:val="none" w:sz="0" w:space="0" w:color="auto"/>
        <w:bottom w:val="none" w:sz="0" w:space="0" w:color="auto"/>
        <w:right w:val="none" w:sz="0" w:space="0" w:color="auto"/>
      </w:divBdr>
    </w:div>
    <w:div w:id="970330718">
      <w:marLeft w:val="0"/>
      <w:marRight w:val="0"/>
      <w:marTop w:val="0"/>
      <w:marBottom w:val="0"/>
      <w:divBdr>
        <w:top w:val="none" w:sz="0" w:space="0" w:color="auto"/>
        <w:left w:val="none" w:sz="0" w:space="0" w:color="auto"/>
        <w:bottom w:val="none" w:sz="0" w:space="0" w:color="auto"/>
        <w:right w:val="none" w:sz="0" w:space="0" w:color="auto"/>
      </w:divBdr>
      <w:divsChild>
        <w:div w:id="1094932110">
          <w:marLeft w:val="0"/>
          <w:marRight w:val="0"/>
          <w:marTop w:val="0"/>
          <w:marBottom w:val="0"/>
          <w:divBdr>
            <w:top w:val="none" w:sz="0" w:space="0" w:color="auto"/>
            <w:left w:val="none" w:sz="0" w:space="0" w:color="auto"/>
            <w:bottom w:val="none" w:sz="0" w:space="0" w:color="auto"/>
            <w:right w:val="none" w:sz="0" w:space="0" w:color="auto"/>
          </w:divBdr>
        </w:div>
      </w:divsChild>
    </w:div>
    <w:div w:id="980110335">
      <w:marLeft w:val="0"/>
      <w:marRight w:val="0"/>
      <w:marTop w:val="0"/>
      <w:marBottom w:val="0"/>
      <w:divBdr>
        <w:top w:val="none" w:sz="0" w:space="0" w:color="auto"/>
        <w:left w:val="none" w:sz="0" w:space="0" w:color="auto"/>
        <w:bottom w:val="none" w:sz="0" w:space="0" w:color="auto"/>
        <w:right w:val="none" w:sz="0" w:space="0" w:color="auto"/>
      </w:divBdr>
      <w:divsChild>
        <w:div w:id="1915627598">
          <w:marLeft w:val="0"/>
          <w:marRight w:val="0"/>
          <w:marTop w:val="0"/>
          <w:marBottom w:val="0"/>
          <w:divBdr>
            <w:top w:val="none" w:sz="0" w:space="0" w:color="auto"/>
            <w:left w:val="none" w:sz="0" w:space="0" w:color="auto"/>
            <w:bottom w:val="none" w:sz="0" w:space="0" w:color="auto"/>
            <w:right w:val="none" w:sz="0" w:space="0" w:color="auto"/>
          </w:divBdr>
        </w:div>
      </w:divsChild>
    </w:div>
    <w:div w:id="987321186">
      <w:marLeft w:val="0"/>
      <w:marRight w:val="0"/>
      <w:marTop w:val="0"/>
      <w:marBottom w:val="0"/>
      <w:divBdr>
        <w:top w:val="none" w:sz="0" w:space="0" w:color="auto"/>
        <w:left w:val="none" w:sz="0" w:space="0" w:color="auto"/>
        <w:bottom w:val="none" w:sz="0" w:space="0" w:color="auto"/>
        <w:right w:val="none" w:sz="0" w:space="0" w:color="auto"/>
      </w:divBdr>
    </w:div>
    <w:div w:id="989291570">
      <w:marLeft w:val="0"/>
      <w:marRight w:val="0"/>
      <w:marTop w:val="0"/>
      <w:marBottom w:val="0"/>
      <w:divBdr>
        <w:top w:val="none" w:sz="0" w:space="0" w:color="auto"/>
        <w:left w:val="none" w:sz="0" w:space="0" w:color="auto"/>
        <w:bottom w:val="none" w:sz="0" w:space="0" w:color="auto"/>
        <w:right w:val="none" w:sz="0" w:space="0" w:color="auto"/>
      </w:divBdr>
    </w:div>
    <w:div w:id="992098932">
      <w:marLeft w:val="0"/>
      <w:marRight w:val="0"/>
      <w:marTop w:val="0"/>
      <w:marBottom w:val="0"/>
      <w:divBdr>
        <w:top w:val="none" w:sz="0" w:space="0" w:color="auto"/>
        <w:left w:val="none" w:sz="0" w:space="0" w:color="auto"/>
        <w:bottom w:val="none" w:sz="0" w:space="0" w:color="auto"/>
        <w:right w:val="none" w:sz="0" w:space="0" w:color="auto"/>
      </w:divBdr>
    </w:div>
    <w:div w:id="992564335">
      <w:marLeft w:val="0"/>
      <w:marRight w:val="0"/>
      <w:marTop w:val="0"/>
      <w:marBottom w:val="0"/>
      <w:divBdr>
        <w:top w:val="none" w:sz="0" w:space="0" w:color="auto"/>
        <w:left w:val="none" w:sz="0" w:space="0" w:color="auto"/>
        <w:bottom w:val="none" w:sz="0" w:space="0" w:color="auto"/>
        <w:right w:val="none" w:sz="0" w:space="0" w:color="auto"/>
      </w:divBdr>
      <w:divsChild>
        <w:div w:id="256864769">
          <w:marLeft w:val="0"/>
          <w:marRight w:val="0"/>
          <w:marTop w:val="0"/>
          <w:marBottom w:val="0"/>
          <w:divBdr>
            <w:top w:val="none" w:sz="0" w:space="0" w:color="auto"/>
            <w:left w:val="none" w:sz="0" w:space="0" w:color="auto"/>
            <w:bottom w:val="none" w:sz="0" w:space="0" w:color="auto"/>
            <w:right w:val="none" w:sz="0" w:space="0" w:color="auto"/>
          </w:divBdr>
        </w:div>
      </w:divsChild>
    </w:div>
    <w:div w:id="1014183423">
      <w:marLeft w:val="0"/>
      <w:marRight w:val="0"/>
      <w:marTop w:val="100"/>
      <w:marBottom w:val="0"/>
      <w:divBdr>
        <w:top w:val="none" w:sz="0" w:space="0" w:color="auto"/>
        <w:left w:val="none" w:sz="0" w:space="0" w:color="auto"/>
        <w:bottom w:val="none" w:sz="0" w:space="0" w:color="auto"/>
        <w:right w:val="none" w:sz="0" w:space="0" w:color="auto"/>
      </w:divBdr>
    </w:div>
    <w:div w:id="1027295415">
      <w:marLeft w:val="0"/>
      <w:marRight w:val="0"/>
      <w:marTop w:val="0"/>
      <w:marBottom w:val="0"/>
      <w:divBdr>
        <w:top w:val="none" w:sz="0" w:space="0" w:color="auto"/>
        <w:left w:val="none" w:sz="0" w:space="0" w:color="auto"/>
        <w:bottom w:val="none" w:sz="0" w:space="0" w:color="auto"/>
        <w:right w:val="none" w:sz="0" w:space="0" w:color="auto"/>
      </w:divBdr>
    </w:div>
    <w:div w:id="1033573529">
      <w:marLeft w:val="0"/>
      <w:marRight w:val="0"/>
      <w:marTop w:val="100"/>
      <w:marBottom w:val="0"/>
      <w:divBdr>
        <w:top w:val="none" w:sz="0" w:space="0" w:color="auto"/>
        <w:left w:val="none" w:sz="0" w:space="0" w:color="auto"/>
        <w:bottom w:val="none" w:sz="0" w:space="0" w:color="auto"/>
        <w:right w:val="none" w:sz="0" w:space="0" w:color="auto"/>
      </w:divBdr>
    </w:div>
    <w:div w:id="1038896911">
      <w:marLeft w:val="0"/>
      <w:marRight w:val="0"/>
      <w:marTop w:val="0"/>
      <w:marBottom w:val="0"/>
      <w:divBdr>
        <w:top w:val="none" w:sz="0" w:space="0" w:color="auto"/>
        <w:left w:val="none" w:sz="0" w:space="0" w:color="auto"/>
        <w:bottom w:val="none" w:sz="0" w:space="0" w:color="auto"/>
        <w:right w:val="none" w:sz="0" w:space="0" w:color="auto"/>
      </w:divBdr>
    </w:div>
    <w:div w:id="1041707481">
      <w:marLeft w:val="0"/>
      <w:marRight w:val="0"/>
      <w:marTop w:val="0"/>
      <w:marBottom w:val="0"/>
      <w:divBdr>
        <w:top w:val="none" w:sz="0" w:space="0" w:color="auto"/>
        <w:left w:val="none" w:sz="0" w:space="0" w:color="auto"/>
        <w:bottom w:val="none" w:sz="0" w:space="0" w:color="auto"/>
        <w:right w:val="none" w:sz="0" w:space="0" w:color="auto"/>
      </w:divBdr>
      <w:divsChild>
        <w:div w:id="307056257">
          <w:marLeft w:val="0"/>
          <w:marRight w:val="0"/>
          <w:marTop w:val="0"/>
          <w:marBottom w:val="0"/>
          <w:divBdr>
            <w:top w:val="none" w:sz="0" w:space="0" w:color="auto"/>
            <w:left w:val="none" w:sz="0" w:space="0" w:color="auto"/>
            <w:bottom w:val="none" w:sz="0" w:space="0" w:color="auto"/>
            <w:right w:val="none" w:sz="0" w:space="0" w:color="auto"/>
          </w:divBdr>
        </w:div>
      </w:divsChild>
    </w:div>
    <w:div w:id="1047029815">
      <w:marLeft w:val="0"/>
      <w:marRight w:val="0"/>
      <w:marTop w:val="0"/>
      <w:marBottom w:val="0"/>
      <w:divBdr>
        <w:top w:val="none" w:sz="0" w:space="0" w:color="auto"/>
        <w:left w:val="none" w:sz="0" w:space="0" w:color="auto"/>
        <w:bottom w:val="none" w:sz="0" w:space="0" w:color="auto"/>
        <w:right w:val="none" w:sz="0" w:space="0" w:color="auto"/>
      </w:divBdr>
      <w:divsChild>
        <w:div w:id="350378782">
          <w:marLeft w:val="0"/>
          <w:marRight w:val="0"/>
          <w:marTop w:val="0"/>
          <w:marBottom w:val="0"/>
          <w:divBdr>
            <w:top w:val="none" w:sz="0" w:space="0" w:color="auto"/>
            <w:left w:val="none" w:sz="0" w:space="0" w:color="auto"/>
            <w:bottom w:val="none" w:sz="0" w:space="0" w:color="auto"/>
            <w:right w:val="none" w:sz="0" w:space="0" w:color="auto"/>
          </w:divBdr>
        </w:div>
      </w:divsChild>
    </w:div>
    <w:div w:id="1051198380">
      <w:marLeft w:val="0"/>
      <w:marRight w:val="0"/>
      <w:marTop w:val="100"/>
      <w:marBottom w:val="0"/>
      <w:divBdr>
        <w:top w:val="none" w:sz="0" w:space="0" w:color="auto"/>
        <w:left w:val="none" w:sz="0" w:space="0" w:color="auto"/>
        <w:bottom w:val="none" w:sz="0" w:space="0" w:color="auto"/>
        <w:right w:val="none" w:sz="0" w:space="0" w:color="auto"/>
      </w:divBdr>
      <w:divsChild>
        <w:div w:id="1323239780">
          <w:marLeft w:val="0"/>
          <w:marRight w:val="0"/>
          <w:marTop w:val="0"/>
          <w:marBottom w:val="0"/>
          <w:divBdr>
            <w:top w:val="none" w:sz="0" w:space="0" w:color="auto"/>
            <w:left w:val="none" w:sz="0" w:space="0" w:color="auto"/>
            <w:bottom w:val="none" w:sz="0" w:space="0" w:color="auto"/>
            <w:right w:val="none" w:sz="0" w:space="0" w:color="auto"/>
          </w:divBdr>
        </w:div>
        <w:div w:id="1245065393">
          <w:marLeft w:val="0"/>
          <w:marRight w:val="0"/>
          <w:marTop w:val="0"/>
          <w:marBottom w:val="0"/>
          <w:divBdr>
            <w:top w:val="none" w:sz="0" w:space="0" w:color="auto"/>
            <w:left w:val="none" w:sz="0" w:space="0" w:color="auto"/>
            <w:bottom w:val="none" w:sz="0" w:space="0" w:color="auto"/>
            <w:right w:val="none" w:sz="0" w:space="0" w:color="auto"/>
          </w:divBdr>
        </w:div>
        <w:div w:id="504318495">
          <w:marLeft w:val="0"/>
          <w:marRight w:val="0"/>
          <w:marTop w:val="0"/>
          <w:marBottom w:val="0"/>
          <w:divBdr>
            <w:top w:val="none" w:sz="0" w:space="0" w:color="auto"/>
            <w:left w:val="none" w:sz="0" w:space="0" w:color="auto"/>
            <w:bottom w:val="none" w:sz="0" w:space="0" w:color="auto"/>
            <w:right w:val="none" w:sz="0" w:space="0" w:color="auto"/>
          </w:divBdr>
        </w:div>
        <w:div w:id="345443707">
          <w:marLeft w:val="0"/>
          <w:marRight w:val="0"/>
          <w:marTop w:val="0"/>
          <w:marBottom w:val="0"/>
          <w:divBdr>
            <w:top w:val="none" w:sz="0" w:space="0" w:color="auto"/>
            <w:left w:val="none" w:sz="0" w:space="0" w:color="auto"/>
            <w:bottom w:val="none" w:sz="0" w:space="0" w:color="auto"/>
            <w:right w:val="none" w:sz="0" w:space="0" w:color="auto"/>
          </w:divBdr>
        </w:div>
        <w:div w:id="668292962">
          <w:marLeft w:val="0"/>
          <w:marRight w:val="0"/>
          <w:marTop w:val="0"/>
          <w:marBottom w:val="0"/>
          <w:divBdr>
            <w:top w:val="none" w:sz="0" w:space="0" w:color="auto"/>
            <w:left w:val="none" w:sz="0" w:space="0" w:color="auto"/>
            <w:bottom w:val="none" w:sz="0" w:space="0" w:color="auto"/>
            <w:right w:val="none" w:sz="0" w:space="0" w:color="auto"/>
          </w:divBdr>
        </w:div>
      </w:divsChild>
    </w:div>
    <w:div w:id="1052533430">
      <w:marLeft w:val="0"/>
      <w:marRight w:val="0"/>
      <w:marTop w:val="0"/>
      <w:marBottom w:val="0"/>
      <w:divBdr>
        <w:top w:val="none" w:sz="0" w:space="0" w:color="auto"/>
        <w:left w:val="none" w:sz="0" w:space="0" w:color="auto"/>
        <w:bottom w:val="none" w:sz="0" w:space="0" w:color="auto"/>
        <w:right w:val="none" w:sz="0" w:space="0" w:color="auto"/>
      </w:divBdr>
    </w:div>
    <w:div w:id="1061176867">
      <w:marLeft w:val="0"/>
      <w:marRight w:val="0"/>
      <w:marTop w:val="0"/>
      <w:marBottom w:val="0"/>
      <w:divBdr>
        <w:top w:val="none" w:sz="0" w:space="0" w:color="auto"/>
        <w:left w:val="none" w:sz="0" w:space="0" w:color="auto"/>
        <w:bottom w:val="none" w:sz="0" w:space="0" w:color="auto"/>
        <w:right w:val="none" w:sz="0" w:space="0" w:color="auto"/>
      </w:divBdr>
      <w:divsChild>
        <w:div w:id="1238782920">
          <w:marLeft w:val="0"/>
          <w:marRight w:val="0"/>
          <w:marTop w:val="0"/>
          <w:marBottom w:val="0"/>
          <w:divBdr>
            <w:top w:val="none" w:sz="0" w:space="0" w:color="auto"/>
            <w:left w:val="none" w:sz="0" w:space="0" w:color="auto"/>
            <w:bottom w:val="none" w:sz="0" w:space="0" w:color="auto"/>
            <w:right w:val="none" w:sz="0" w:space="0" w:color="auto"/>
          </w:divBdr>
        </w:div>
      </w:divsChild>
    </w:div>
    <w:div w:id="1063524408">
      <w:marLeft w:val="0"/>
      <w:marRight w:val="0"/>
      <w:marTop w:val="0"/>
      <w:marBottom w:val="0"/>
      <w:divBdr>
        <w:top w:val="none" w:sz="0" w:space="0" w:color="auto"/>
        <w:left w:val="none" w:sz="0" w:space="0" w:color="auto"/>
        <w:bottom w:val="none" w:sz="0" w:space="0" w:color="auto"/>
        <w:right w:val="none" w:sz="0" w:space="0" w:color="auto"/>
      </w:divBdr>
    </w:div>
    <w:div w:id="1065447360">
      <w:marLeft w:val="0"/>
      <w:marRight w:val="0"/>
      <w:marTop w:val="0"/>
      <w:marBottom w:val="0"/>
      <w:divBdr>
        <w:top w:val="none" w:sz="0" w:space="0" w:color="auto"/>
        <w:left w:val="none" w:sz="0" w:space="0" w:color="auto"/>
        <w:bottom w:val="none" w:sz="0" w:space="0" w:color="auto"/>
        <w:right w:val="none" w:sz="0" w:space="0" w:color="auto"/>
      </w:divBdr>
    </w:div>
    <w:div w:id="1080371036">
      <w:marLeft w:val="0"/>
      <w:marRight w:val="0"/>
      <w:marTop w:val="0"/>
      <w:marBottom w:val="0"/>
      <w:divBdr>
        <w:top w:val="none" w:sz="0" w:space="0" w:color="auto"/>
        <w:left w:val="none" w:sz="0" w:space="0" w:color="auto"/>
        <w:bottom w:val="none" w:sz="0" w:space="0" w:color="auto"/>
        <w:right w:val="none" w:sz="0" w:space="0" w:color="auto"/>
      </w:divBdr>
      <w:divsChild>
        <w:div w:id="1757166464">
          <w:marLeft w:val="0"/>
          <w:marRight w:val="0"/>
          <w:marTop w:val="0"/>
          <w:marBottom w:val="0"/>
          <w:divBdr>
            <w:top w:val="none" w:sz="0" w:space="0" w:color="auto"/>
            <w:left w:val="none" w:sz="0" w:space="0" w:color="auto"/>
            <w:bottom w:val="none" w:sz="0" w:space="0" w:color="auto"/>
            <w:right w:val="none" w:sz="0" w:space="0" w:color="auto"/>
          </w:divBdr>
        </w:div>
      </w:divsChild>
    </w:div>
    <w:div w:id="1087464054">
      <w:marLeft w:val="0"/>
      <w:marRight w:val="0"/>
      <w:marTop w:val="0"/>
      <w:marBottom w:val="0"/>
      <w:divBdr>
        <w:top w:val="none" w:sz="0" w:space="0" w:color="auto"/>
        <w:left w:val="none" w:sz="0" w:space="0" w:color="auto"/>
        <w:bottom w:val="none" w:sz="0" w:space="0" w:color="auto"/>
        <w:right w:val="none" w:sz="0" w:space="0" w:color="auto"/>
      </w:divBdr>
    </w:div>
    <w:div w:id="1088035472">
      <w:marLeft w:val="0"/>
      <w:marRight w:val="0"/>
      <w:marTop w:val="180"/>
      <w:marBottom w:val="180"/>
      <w:divBdr>
        <w:top w:val="none" w:sz="0" w:space="0" w:color="auto"/>
        <w:left w:val="none" w:sz="0" w:space="0" w:color="auto"/>
        <w:bottom w:val="none" w:sz="0" w:space="0" w:color="auto"/>
        <w:right w:val="none" w:sz="0" w:space="0" w:color="auto"/>
      </w:divBdr>
    </w:div>
    <w:div w:id="1094128946">
      <w:marLeft w:val="0"/>
      <w:marRight w:val="0"/>
      <w:marTop w:val="0"/>
      <w:marBottom w:val="0"/>
      <w:divBdr>
        <w:top w:val="none" w:sz="0" w:space="0" w:color="auto"/>
        <w:left w:val="none" w:sz="0" w:space="0" w:color="auto"/>
        <w:bottom w:val="none" w:sz="0" w:space="0" w:color="auto"/>
        <w:right w:val="none" w:sz="0" w:space="0" w:color="auto"/>
      </w:divBdr>
      <w:divsChild>
        <w:div w:id="122385728">
          <w:marLeft w:val="0"/>
          <w:marRight w:val="0"/>
          <w:marTop w:val="0"/>
          <w:marBottom w:val="0"/>
          <w:divBdr>
            <w:top w:val="none" w:sz="0" w:space="0" w:color="auto"/>
            <w:left w:val="none" w:sz="0" w:space="0" w:color="auto"/>
            <w:bottom w:val="none" w:sz="0" w:space="0" w:color="auto"/>
            <w:right w:val="none" w:sz="0" w:space="0" w:color="auto"/>
          </w:divBdr>
        </w:div>
      </w:divsChild>
    </w:div>
    <w:div w:id="1094934659">
      <w:marLeft w:val="0"/>
      <w:marRight w:val="0"/>
      <w:marTop w:val="0"/>
      <w:marBottom w:val="0"/>
      <w:divBdr>
        <w:top w:val="none" w:sz="0" w:space="0" w:color="auto"/>
        <w:left w:val="none" w:sz="0" w:space="0" w:color="auto"/>
        <w:bottom w:val="none" w:sz="0" w:space="0" w:color="auto"/>
        <w:right w:val="none" w:sz="0" w:space="0" w:color="auto"/>
      </w:divBdr>
      <w:divsChild>
        <w:div w:id="797647172">
          <w:marLeft w:val="0"/>
          <w:marRight w:val="0"/>
          <w:marTop w:val="0"/>
          <w:marBottom w:val="0"/>
          <w:divBdr>
            <w:top w:val="none" w:sz="0" w:space="0" w:color="auto"/>
            <w:left w:val="none" w:sz="0" w:space="0" w:color="auto"/>
            <w:bottom w:val="none" w:sz="0" w:space="0" w:color="auto"/>
            <w:right w:val="none" w:sz="0" w:space="0" w:color="auto"/>
          </w:divBdr>
        </w:div>
      </w:divsChild>
    </w:div>
    <w:div w:id="1097023650">
      <w:marLeft w:val="0"/>
      <w:marRight w:val="0"/>
      <w:marTop w:val="0"/>
      <w:marBottom w:val="0"/>
      <w:divBdr>
        <w:top w:val="none" w:sz="0" w:space="0" w:color="auto"/>
        <w:left w:val="none" w:sz="0" w:space="0" w:color="auto"/>
        <w:bottom w:val="none" w:sz="0" w:space="0" w:color="auto"/>
        <w:right w:val="none" w:sz="0" w:space="0" w:color="auto"/>
      </w:divBdr>
      <w:divsChild>
        <w:div w:id="1174491717">
          <w:marLeft w:val="0"/>
          <w:marRight w:val="0"/>
          <w:marTop w:val="0"/>
          <w:marBottom w:val="0"/>
          <w:divBdr>
            <w:top w:val="none" w:sz="0" w:space="0" w:color="auto"/>
            <w:left w:val="none" w:sz="0" w:space="0" w:color="auto"/>
            <w:bottom w:val="none" w:sz="0" w:space="0" w:color="auto"/>
            <w:right w:val="none" w:sz="0" w:space="0" w:color="auto"/>
          </w:divBdr>
        </w:div>
      </w:divsChild>
    </w:div>
    <w:div w:id="1101686229">
      <w:marLeft w:val="0"/>
      <w:marRight w:val="0"/>
      <w:marTop w:val="0"/>
      <w:marBottom w:val="0"/>
      <w:divBdr>
        <w:top w:val="none" w:sz="0" w:space="0" w:color="auto"/>
        <w:left w:val="none" w:sz="0" w:space="0" w:color="auto"/>
        <w:bottom w:val="none" w:sz="0" w:space="0" w:color="auto"/>
        <w:right w:val="none" w:sz="0" w:space="0" w:color="auto"/>
      </w:divBdr>
    </w:div>
    <w:div w:id="1103574726">
      <w:marLeft w:val="0"/>
      <w:marRight w:val="0"/>
      <w:marTop w:val="0"/>
      <w:marBottom w:val="0"/>
      <w:divBdr>
        <w:top w:val="none" w:sz="0" w:space="0" w:color="auto"/>
        <w:left w:val="none" w:sz="0" w:space="0" w:color="auto"/>
        <w:bottom w:val="none" w:sz="0" w:space="0" w:color="auto"/>
        <w:right w:val="none" w:sz="0" w:space="0" w:color="auto"/>
      </w:divBdr>
    </w:div>
    <w:div w:id="1115978576">
      <w:marLeft w:val="0"/>
      <w:marRight w:val="0"/>
      <w:marTop w:val="0"/>
      <w:marBottom w:val="0"/>
      <w:divBdr>
        <w:top w:val="none" w:sz="0" w:space="0" w:color="auto"/>
        <w:left w:val="none" w:sz="0" w:space="0" w:color="auto"/>
        <w:bottom w:val="none" w:sz="0" w:space="0" w:color="auto"/>
        <w:right w:val="none" w:sz="0" w:space="0" w:color="auto"/>
      </w:divBdr>
    </w:div>
    <w:div w:id="1119375735">
      <w:marLeft w:val="0"/>
      <w:marRight w:val="0"/>
      <w:marTop w:val="0"/>
      <w:marBottom w:val="0"/>
      <w:divBdr>
        <w:top w:val="none" w:sz="0" w:space="0" w:color="auto"/>
        <w:left w:val="none" w:sz="0" w:space="0" w:color="auto"/>
        <w:bottom w:val="none" w:sz="0" w:space="0" w:color="auto"/>
        <w:right w:val="none" w:sz="0" w:space="0" w:color="auto"/>
      </w:divBdr>
    </w:div>
    <w:div w:id="1122770695">
      <w:marLeft w:val="0"/>
      <w:marRight w:val="0"/>
      <w:marTop w:val="0"/>
      <w:marBottom w:val="0"/>
      <w:divBdr>
        <w:top w:val="none" w:sz="0" w:space="0" w:color="auto"/>
        <w:left w:val="none" w:sz="0" w:space="0" w:color="auto"/>
        <w:bottom w:val="none" w:sz="0" w:space="0" w:color="auto"/>
        <w:right w:val="none" w:sz="0" w:space="0" w:color="auto"/>
      </w:divBdr>
      <w:divsChild>
        <w:div w:id="1301300541">
          <w:marLeft w:val="0"/>
          <w:marRight w:val="0"/>
          <w:marTop w:val="0"/>
          <w:marBottom w:val="0"/>
          <w:divBdr>
            <w:top w:val="none" w:sz="0" w:space="0" w:color="auto"/>
            <w:left w:val="none" w:sz="0" w:space="0" w:color="auto"/>
            <w:bottom w:val="none" w:sz="0" w:space="0" w:color="auto"/>
            <w:right w:val="none" w:sz="0" w:space="0" w:color="auto"/>
          </w:divBdr>
        </w:div>
      </w:divsChild>
    </w:div>
    <w:div w:id="1125346016">
      <w:marLeft w:val="0"/>
      <w:marRight w:val="0"/>
      <w:marTop w:val="0"/>
      <w:marBottom w:val="0"/>
      <w:divBdr>
        <w:top w:val="none" w:sz="0" w:space="0" w:color="auto"/>
        <w:left w:val="none" w:sz="0" w:space="0" w:color="auto"/>
        <w:bottom w:val="none" w:sz="0" w:space="0" w:color="auto"/>
        <w:right w:val="none" w:sz="0" w:space="0" w:color="auto"/>
      </w:divBdr>
      <w:divsChild>
        <w:div w:id="869730493">
          <w:marLeft w:val="0"/>
          <w:marRight w:val="0"/>
          <w:marTop w:val="0"/>
          <w:marBottom w:val="0"/>
          <w:divBdr>
            <w:top w:val="none" w:sz="0" w:space="0" w:color="auto"/>
            <w:left w:val="none" w:sz="0" w:space="0" w:color="auto"/>
            <w:bottom w:val="none" w:sz="0" w:space="0" w:color="auto"/>
            <w:right w:val="none" w:sz="0" w:space="0" w:color="auto"/>
          </w:divBdr>
        </w:div>
      </w:divsChild>
    </w:div>
    <w:div w:id="1129519072">
      <w:marLeft w:val="0"/>
      <w:marRight w:val="0"/>
      <w:marTop w:val="100"/>
      <w:marBottom w:val="0"/>
      <w:divBdr>
        <w:top w:val="none" w:sz="0" w:space="0" w:color="auto"/>
        <w:left w:val="none" w:sz="0" w:space="0" w:color="auto"/>
        <w:bottom w:val="none" w:sz="0" w:space="0" w:color="auto"/>
        <w:right w:val="none" w:sz="0" w:space="0" w:color="auto"/>
      </w:divBdr>
    </w:div>
    <w:div w:id="1149204250">
      <w:marLeft w:val="0"/>
      <w:marRight w:val="0"/>
      <w:marTop w:val="180"/>
      <w:marBottom w:val="180"/>
      <w:divBdr>
        <w:top w:val="none" w:sz="0" w:space="0" w:color="auto"/>
        <w:left w:val="none" w:sz="0" w:space="0" w:color="auto"/>
        <w:bottom w:val="none" w:sz="0" w:space="0" w:color="auto"/>
        <w:right w:val="none" w:sz="0" w:space="0" w:color="auto"/>
      </w:divBdr>
    </w:div>
    <w:div w:id="1164471165">
      <w:marLeft w:val="0"/>
      <w:marRight w:val="0"/>
      <w:marTop w:val="0"/>
      <w:marBottom w:val="0"/>
      <w:divBdr>
        <w:top w:val="none" w:sz="0" w:space="0" w:color="auto"/>
        <w:left w:val="none" w:sz="0" w:space="0" w:color="auto"/>
        <w:bottom w:val="none" w:sz="0" w:space="0" w:color="auto"/>
        <w:right w:val="none" w:sz="0" w:space="0" w:color="auto"/>
      </w:divBdr>
      <w:divsChild>
        <w:div w:id="1195462957">
          <w:marLeft w:val="0"/>
          <w:marRight w:val="0"/>
          <w:marTop w:val="0"/>
          <w:marBottom w:val="0"/>
          <w:divBdr>
            <w:top w:val="none" w:sz="0" w:space="0" w:color="auto"/>
            <w:left w:val="none" w:sz="0" w:space="0" w:color="auto"/>
            <w:bottom w:val="none" w:sz="0" w:space="0" w:color="auto"/>
            <w:right w:val="none" w:sz="0" w:space="0" w:color="auto"/>
          </w:divBdr>
        </w:div>
      </w:divsChild>
    </w:div>
    <w:div w:id="1165978995">
      <w:marLeft w:val="0"/>
      <w:marRight w:val="0"/>
      <w:marTop w:val="0"/>
      <w:marBottom w:val="0"/>
      <w:divBdr>
        <w:top w:val="none" w:sz="0" w:space="0" w:color="auto"/>
        <w:left w:val="none" w:sz="0" w:space="0" w:color="auto"/>
        <w:bottom w:val="none" w:sz="0" w:space="0" w:color="auto"/>
        <w:right w:val="none" w:sz="0" w:space="0" w:color="auto"/>
      </w:divBdr>
      <w:divsChild>
        <w:div w:id="1232934772">
          <w:marLeft w:val="0"/>
          <w:marRight w:val="0"/>
          <w:marTop w:val="0"/>
          <w:marBottom w:val="0"/>
          <w:divBdr>
            <w:top w:val="none" w:sz="0" w:space="0" w:color="auto"/>
            <w:left w:val="none" w:sz="0" w:space="0" w:color="auto"/>
            <w:bottom w:val="none" w:sz="0" w:space="0" w:color="auto"/>
            <w:right w:val="none" w:sz="0" w:space="0" w:color="auto"/>
          </w:divBdr>
        </w:div>
      </w:divsChild>
    </w:div>
    <w:div w:id="1169708846">
      <w:marLeft w:val="0"/>
      <w:marRight w:val="0"/>
      <w:marTop w:val="180"/>
      <w:marBottom w:val="0"/>
      <w:divBdr>
        <w:top w:val="none" w:sz="0" w:space="0" w:color="auto"/>
        <w:left w:val="none" w:sz="0" w:space="0" w:color="auto"/>
        <w:bottom w:val="none" w:sz="0" w:space="0" w:color="auto"/>
        <w:right w:val="none" w:sz="0" w:space="0" w:color="auto"/>
      </w:divBdr>
    </w:div>
    <w:div w:id="1179857787">
      <w:marLeft w:val="0"/>
      <w:marRight w:val="0"/>
      <w:marTop w:val="0"/>
      <w:marBottom w:val="0"/>
      <w:divBdr>
        <w:top w:val="none" w:sz="0" w:space="0" w:color="auto"/>
        <w:left w:val="none" w:sz="0" w:space="0" w:color="auto"/>
        <w:bottom w:val="none" w:sz="0" w:space="0" w:color="auto"/>
        <w:right w:val="none" w:sz="0" w:space="0" w:color="auto"/>
      </w:divBdr>
      <w:divsChild>
        <w:div w:id="1510557569">
          <w:marLeft w:val="0"/>
          <w:marRight w:val="0"/>
          <w:marTop w:val="0"/>
          <w:marBottom w:val="0"/>
          <w:divBdr>
            <w:top w:val="none" w:sz="0" w:space="0" w:color="auto"/>
            <w:left w:val="none" w:sz="0" w:space="0" w:color="auto"/>
            <w:bottom w:val="none" w:sz="0" w:space="0" w:color="auto"/>
            <w:right w:val="none" w:sz="0" w:space="0" w:color="auto"/>
          </w:divBdr>
        </w:div>
      </w:divsChild>
    </w:div>
    <w:div w:id="1183592537">
      <w:marLeft w:val="0"/>
      <w:marRight w:val="0"/>
      <w:marTop w:val="0"/>
      <w:marBottom w:val="0"/>
      <w:divBdr>
        <w:top w:val="none" w:sz="0" w:space="0" w:color="auto"/>
        <w:left w:val="none" w:sz="0" w:space="0" w:color="auto"/>
        <w:bottom w:val="none" w:sz="0" w:space="0" w:color="auto"/>
        <w:right w:val="none" w:sz="0" w:space="0" w:color="auto"/>
      </w:divBdr>
    </w:div>
    <w:div w:id="1188644219">
      <w:marLeft w:val="0"/>
      <w:marRight w:val="0"/>
      <w:marTop w:val="0"/>
      <w:marBottom w:val="0"/>
      <w:divBdr>
        <w:top w:val="none" w:sz="0" w:space="0" w:color="auto"/>
        <w:left w:val="none" w:sz="0" w:space="0" w:color="auto"/>
        <w:bottom w:val="none" w:sz="0" w:space="0" w:color="auto"/>
        <w:right w:val="none" w:sz="0" w:space="0" w:color="auto"/>
      </w:divBdr>
      <w:divsChild>
        <w:div w:id="852959376">
          <w:marLeft w:val="0"/>
          <w:marRight w:val="0"/>
          <w:marTop w:val="0"/>
          <w:marBottom w:val="0"/>
          <w:divBdr>
            <w:top w:val="none" w:sz="0" w:space="0" w:color="auto"/>
            <w:left w:val="none" w:sz="0" w:space="0" w:color="auto"/>
            <w:bottom w:val="none" w:sz="0" w:space="0" w:color="auto"/>
            <w:right w:val="none" w:sz="0" w:space="0" w:color="auto"/>
          </w:divBdr>
        </w:div>
      </w:divsChild>
    </w:div>
    <w:div w:id="1189489546">
      <w:marLeft w:val="0"/>
      <w:marRight w:val="0"/>
      <w:marTop w:val="0"/>
      <w:marBottom w:val="0"/>
      <w:divBdr>
        <w:top w:val="none" w:sz="0" w:space="0" w:color="auto"/>
        <w:left w:val="none" w:sz="0" w:space="0" w:color="auto"/>
        <w:bottom w:val="none" w:sz="0" w:space="0" w:color="auto"/>
        <w:right w:val="none" w:sz="0" w:space="0" w:color="auto"/>
      </w:divBdr>
      <w:divsChild>
        <w:div w:id="1895895950">
          <w:marLeft w:val="0"/>
          <w:marRight w:val="0"/>
          <w:marTop w:val="0"/>
          <w:marBottom w:val="0"/>
          <w:divBdr>
            <w:top w:val="none" w:sz="0" w:space="0" w:color="auto"/>
            <w:left w:val="none" w:sz="0" w:space="0" w:color="auto"/>
            <w:bottom w:val="none" w:sz="0" w:space="0" w:color="auto"/>
            <w:right w:val="none" w:sz="0" w:space="0" w:color="auto"/>
          </w:divBdr>
        </w:div>
      </w:divsChild>
    </w:div>
    <w:div w:id="1195845981">
      <w:marLeft w:val="0"/>
      <w:marRight w:val="0"/>
      <w:marTop w:val="0"/>
      <w:marBottom w:val="0"/>
      <w:divBdr>
        <w:top w:val="none" w:sz="0" w:space="0" w:color="auto"/>
        <w:left w:val="none" w:sz="0" w:space="0" w:color="auto"/>
        <w:bottom w:val="none" w:sz="0" w:space="0" w:color="auto"/>
        <w:right w:val="none" w:sz="0" w:space="0" w:color="auto"/>
      </w:divBdr>
    </w:div>
    <w:div w:id="1202674002">
      <w:marLeft w:val="0"/>
      <w:marRight w:val="0"/>
      <w:marTop w:val="100"/>
      <w:marBottom w:val="0"/>
      <w:divBdr>
        <w:top w:val="none" w:sz="0" w:space="0" w:color="auto"/>
        <w:left w:val="none" w:sz="0" w:space="0" w:color="auto"/>
        <w:bottom w:val="none" w:sz="0" w:space="0" w:color="auto"/>
        <w:right w:val="none" w:sz="0" w:space="0" w:color="auto"/>
      </w:divBdr>
    </w:div>
    <w:div w:id="1203327994">
      <w:marLeft w:val="0"/>
      <w:marRight w:val="0"/>
      <w:marTop w:val="0"/>
      <w:marBottom w:val="0"/>
      <w:divBdr>
        <w:top w:val="none" w:sz="0" w:space="0" w:color="auto"/>
        <w:left w:val="none" w:sz="0" w:space="0" w:color="auto"/>
        <w:bottom w:val="none" w:sz="0" w:space="0" w:color="auto"/>
        <w:right w:val="none" w:sz="0" w:space="0" w:color="auto"/>
      </w:divBdr>
      <w:divsChild>
        <w:div w:id="1183086856">
          <w:marLeft w:val="0"/>
          <w:marRight w:val="0"/>
          <w:marTop w:val="0"/>
          <w:marBottom w:val="0"/>
          <w:divBdr>
            <w:top w:val="none" w:sz="0" w:space="0" w:color="auto"/>
            <w:left w:val="none" w:sz="0" w:space="0" w:color="auto"/>
            <w:bottom w:val="none" w:sz="0" w:space="0" w:color="auto"/>
            <w:right w:val="none" w:sz="0" w:space="0" w:color="auto"/>
          </w:divBdr>
        </w:div>
      </w:divsChild>
    </w:div>
    <w:div w:id="1207647694">
      <w:marLeft w:val="0"/>
      <w:marRight w:val="0"/>
      <w:marTop w:val="0"/>
      <w:marBottom w:val="0"/>
      <w:divBdr>
        <w:top w:val="none" w:sz="0" w:space="0" w:color="auto"/>
        <w:left w:val="none" w:sz="0" w:space="0" w:color="auto"/>
        <w:bottom w:val="none" w:sz="0" w:space="0" w:color="auto"/>
        <w:right w:val="none" w:sz="0" w:space="0" w:color="auto"/>
      </w:divBdr>
    </w:div>
    <w:div w:id="1213230181">
      <w:marLeft w:val="0"/>
      <w:marRight w:val="0"/>
      <w:marTop w:val="180"/>
      <w:marBottom w:val="180"/>
      <w:divBdr>
        <w:top w:val="none" w:sz="0" w:space="0" w:color="auto"/>
        <w:left w:val="none" w:sz="0" w:space="0" w:color="auto"/>
        <w:bottom w:val="none" w:sz="0" w:space="0" w:color="auto"/>
        <w:right w:val="none" w:sz="0" w:space="0" w:color="auto"/>
      </w:divBdr>
    </w:div>
    <w:div w:id="1213687570">
      <w:marLeft w:val="0"/>
      <w:marRight w:val="0"/>
      <w:marTop w:val="0"/>
      <w:marBottom w:val="0"/>
      <w:divBdr>
        <w:top w:val="none" w:sz="0" w:space="0" w:color="auto"/>
        <w:left w:val="none" w:sz="0" w:space="0" w:color="auto"/>
        <w:bottom w:val="none" w:sz="0" w:space="0" w:color="auto"/>
        <w:right w:val="none" w:sz="0" w:space="0" w:color="auto"/>
      </w:divBdr>
      <w:divsChild>
        <w:div w:id="1208450072">
          <w:marLeft w:val="0"/>
          <w:marRight w:val="0"/>
          <w:marTop w:val="0"/>
          <w:marBottom w:val="0"/>
          <w:divBdr>
            <w:top w:val="none" w:sz="0" w:space="0" w:color="auto"/>
            <w:left w:val="none" w:sz="0" w:space="0" w:color="auto"/>
            <w:bottom w:val="none" w:sz="0" w:space="0" w:color="auto"/>
            <w:right w:val="none" w:sz="0" w:space="0" w:color="auto"/>
          </w:divBdr>
        </w:div>
      </w:divsChild>
    </w:div>
    <w:div w:id="1217820451">
      <w:marLeft w:val="0"/>
      <w:marRight w:val="0"/>
      <w:marTop w:val="0"/>
      <w:marBottom w:val="0"/>
      <w:divBdr>
        <w:top w:val="none" w:sz="0" w:space="0" w:color="auto"/>
        <w:left w:val="none" w:sz="0" w:space="0" w:color="auto"/>
        <w:bottom w:val="none" w:sz="0" w:space="0" w:color="auto"/>
        <w:right w:val="none" w:sz="0" w:space="0" w:color="auto"/>
      </w:divBdr>
      <w:divsChild>
        <w:div w:id="1075662572">
          <w:marLeft w:val="0"/>
          <w:marRight w:val="0"/>
          <w:marTop w:val="0"/>
          <w:marBottom w:val="0"/>
          <w:divBdr>
            <w:top w:val="none" w:sz="0" w:space="0" w:color="auto"/>
            <w:left w:val="none" w:sz="0" w:space="0" w:color="auto"/>
            <w:bottom w:val="none" w:sz="0" w:space="0" w:color="auto"/>
            <w:right w:val="none" w:sz="0" w:space="0" w:color="auto"/>
          </w:divBdr>
        </w:div>
      </w:divsChild>
    </w:div>
    <w:div w:id="1220481073">
      <w:marLeft w:val="0"/>
      <w:marRight w:val="0"/>
      <w:marTop w:val="0"/>
      <w:marBottom w:val="0"/>
      <w:divBdr>
        <w:top w:val="none" w:sz="0" w:space="0" w:color="auto"/>
        <w:left w:val="none" w:sz="0" w:space="0" w:color="auto"/>
        <w:bottom w:val="none" w:sz="0" w:space="0" w:color="auto"/>
        <w:right w:val="none" w:sz="0" w:space="0" w:color="auto"/>
      </w:divBdr>
    </w:div>
    <w:div w:id="1231890650">
      <w:marLeft w:val="0"/>
      <w:marRight w:val="0"/>
      <w:marTop w:val="0"/>
      <w:marBottom w:val="0"/>
      <w:divBdr>
        <w:top w:val="none" w:sz="0" w:space="0" w:color="auto"/>
        <w:left w:val="none" w:sz="0" w:space="0" w:color="auto"/>
        <w:bottom w:val="none" w:sz="0" w:space="0" w:color="auto"/>
        <w:right w:val="none" w:sz="0" w:space="0" w:color="auto"/>
      </w:divBdr>
    </w:div>
    <w:div w:id="1241015351">
      <w:marLeft w:val="0"/>
      <w:marRight w:val="0"/>
      <w:marTop w:val="0"/>
      <w:marBottom w:val="0"/>
      <w:divBdr>
        <w:top w:val="none" w:sz="0" w:space="0" w:color="auto"/>
        <w:left w:val="none" w:sz="0" w:space="0" w:color="auto"/>
        <w:bottom w:val="none" w:sz="0" w:space="0" w:color="auto"/>
        <w:right w:val="none" w:sz="0" w:space="0" w:color="auto"/>
      </w:divBdr>
    </w:div>
    <w:div w:id="1254825329">
      <w:marLeft w:val="0"/>
      <w:marRight w:val="0"/>
      <w:marTop w:val="100"/>
      <w:marBottom w:val="0"/>
      <w:divBdr>
        <w:top w:val="none" w:sz="0" w:space="0" w:color="auto"/>
        <w:left w:val="none" w:sz="0" w:space="0" w:color="auto"/>
        <w:bottom w:val="none" w:sz="0" w:space="0" w:color="auto"/>
        <w:right w:val="none" w:sz="0" w:space="0" w:color="auto"/>
      </w:divBdr>
    </w:div>
    <w:div w:id="1259754081">
      <w:marLeft w:val="0"/>
      <w:marRight w:val="0"/>
      <w:marTop w:val="180"/>
      <w:marBottom w:val="0"/>
      <w:divBdr>
        <w:top w:val="none" w:sz="0" w:space="0" w:color="auto"/>
        <w:left w:val="none" w:sz="0" w:space="0" w:color="auto"/>
        <w:bottom w:val="none" w:sz="0" w:space="0" w:color="auto"/>
        <w:right w:val="none" w:sz="0" w:space="0" w:color="auto"/>
      </w:divBdr>
    </w:div>
    <w:div w:id="1260874589">
      <w:marLeft w:val="0"/>
      <w:marRight w:val="0"/>
      <w:marTop w:val="0"/>
      <w:marBottom w:val="0"/>
      <w:divBdr>
        <w:top w:val="none" w:sz="0" w:space="0" w:color="auto"/>
        <w:left w:val="none" w:sz="0" w:space="0" w:color="auto"/>
        <w:bottom w:val="none" w:sz="0" w:space="0" w:color="auto"/>
        <w:right w:val="none" w:sz="0" w:space="0" w:color="auto"/>
      </w:divBdr>
    </w:div>
    <w:div w:id="1263993028">
      <w:marLeft w:val="0"/>
      <w:marRight w:val="0"/>
      <w:marTop w:val="0"/>
      <w:marBottom w:val="0"/>
      <w:divBdr>
        <w:top w:val="none" w:sz="0" w:space="0" w:color="auto"/>
        <w:left w:val="none" w:sz="0" w:space="0" w:color="auto"/>
        <w:bottom w:val="none" w:sz="0" w:space="0" w:color="auto"/>
        <w:right w:val="none" w:sz="0" w:space="0" w:color="auto"/>
      </w:divBdr>
    </w:div>
    <w:div w:id="1265500401">
      <w:marLeft w:val="0"/>
      <w:marRight w:val="0"/>
      <w:marTop w:val="0"/>
      <w:marBottom w:val="0"/>
      <w:divBdr>
        <w:top w:val="none" w:sz="0" w:space="0" w:color="auto"/>
        <w:left w:val="none" w:sz="0" w:space="0" w:color="auto"/>
        <w:bottom w:val="none" w:sz="0" w:space="0" w:color="auto"/>
        <w:right w:val="none" w:sz="0" w:space="0" w:color="auto"/>
      </w:divBdr>
    </w:div>
    <w:div w:id="1268345794">
      <w:marLeft w:val="0"/>
      <w:marRight w:val="0"/>
      <w:marTop w:val="0"/>
      <w:marBottom w:val="0"/>
      <w:divBdr>
        <w:top w:val="none" w:sz="0" w:space="0" w:color="auto"/>
        <w:left w:val="none" w:sz="0" w:space="0" w:color="auto"/>
        <w:bottom w:val="none" w:sz="0" w:space="0" w:color="auto"/>
        <w:right w:val="none" w:sz="0" w:space="0" w:color="auto"/>
      </w:divBdr>
    </w:div>
    <w:div w:id="1269773227">
      <w:marLeft w:val="0"/>
      <w:marRight w:val="0"/>
      <w:marTop w:val="0"/>
      <w:marBottom w:val="0"/>
      <w:divBdr>
        <w:top w:val="none" w:sz="0" w:space="0" w:color="auto"/>
        <w:left w:val="none" w:sz="0" w:space="0" w:color="auto"/>
        <w:bottom w:val="none" w:sz="0" w:space="0" w:color="auto"/>
        <w:right w:val="none" w:sz="0" w:space="0" w:color="auto"/>
      </w:divBdr>
    </w:div>
    <w:div w:id="1271012409">
      <w:marLeft w:val="0"/>
      <w:marRight w:val="0"/>
      <w:marTop w:val="180"/>
      <w:marBottom w:val="0"/>
      <w:divBdr>
        <w:top w:val="none" w:sz="0" w:space="0" w:color="auto"/>
        <w:left w:val="none" w:sz="0" w:space="0" w:color="auto"/>
        <w:bottom w:val="none" w:sz="0" w:space="0" w:color="auto"/>
        <w:right w:val="none" w:sz="0" w:space="0" w:color="auto"/>
      </w:divBdr>
    </w:div>
    <w:div w:id="1289242698">
      <w:marLeft w:val="0"/>
      <w:marRight w:val="0"/>
      <w:marTop w:val="100"/>
      <w:marBottom w:val="0"/>
      <w:divBdr>
        <w:top w:val="none" w:sz="0" w:space="0" w:color="auto"/>
        <w:left w:val="none" w:sz="0" w:space="0" w:color="auto"/>
        <w:bottom w:val="none" w:sz="0" w:space="0" w:color="auto"/>
        <w:right w:val="none" w:sz="0" w:space="0" w:color="auto"/>
      </w:divBdr>
    </w:div>
    <w:div w:id="1290480052">
      <w:marLeft w:val="0"/>
      <w:marRight w:val="0"/>
      <w:marTop w:val="100"/>
      <w:marBottom w:val="0"/>
      <w:divBdr>
        <w:top w:val="none" w:sz="0" w:space="0" w:color="auto"/>
        <w:left w:val="none" w:sz="0" w:space="0" w:color="auto"/>
        <w:bottom w:val="none" w:sz="0" w:space="0" w:color="auto"/>
        <w:right w:val="none" w:sz="0" w:space="0" w:color="auto"/>
      </w:divBdr>
    </w:div>
    <w:div w:id="1320187916">
      <w:marLeft w:val="0"/>
      <w:marRight w:val="0"/>
      <w:marTop w:val="0"/>
      <w:marBottom w:val="0"/>
      <w:divBdr>
        <w:top w:val="none" w:sz="0" w:space="0" w:color="auto"/>
        <w:left w:val="none" w:sz="0" w:space="0" w:color="auto"/>
        <w:bottom w:val="none" w:sz="0" w:space="0" w:color="auto"/>
        <w:right w:val="none" w:sz="0" w:space="0" w:color="auto"/>
      </w:divBdr>
      <w:divsChild>
        <w:div w:id="883718321">
          <w:marLeft w:val="0"/>
          <w:marRight w:val="0"/>
          <w:marTop w:val="0"/>
          <w:marBottom w:val="0"/>
          <w:divBdr>
            <w:top w:val="none" w:sz="0" w:space="0" w:color="auto"/>
            <w:left w:val="none" w:sz="0" w:space="0" w:color="auto"/>
            <w:bottom w:val="none" w:sz="0" w:space="0" w:color="auto"/>
            <w:right w:val="none" w:sz="0" w:space="0" w:color="auto"/>
          </w:divBdr>
        </w:div>
      </w:divsChild>
    </w:div>
    <w:div w:id="1331248524">
      <w:marLeft w:val="0"/>
      <w:marRight w:val="0"/>
      <w:marTop w:val="0"/>
      <w:marBottom w:val="0"/>
      <w:divBdr>
        <w:top w:val="none" w:sz="0" w:space="0" w:color="auto"/>
        <w:left w:val="none" w:sz="0" w:space="0" w:color="auto"/>
        <w:bottom w:val="none" w:sz="0" w:space="0" w:color="auto"/>
        <w:right w:val="none" w:sz="0" w:space="0" w:color="auto"/>
      </w:divBdr>
    </w:div>
    <w:div w:id="1331326291">
      <w:marLeft w:val="0"/>
      <w:marRight w:val="0"/>
      <w:marTop w:val="180"/>
      <w:marBottom w:val="0"/>
      <w:divBdr>
        <w:top w:val="none" w:sz="0" w:space="0" w:color="auto"/>
        <w:left w:val="none" w:sz="0" w:space="0" w:color="auto"/>
        <w:bottom w:val="none" w:sz="0" w:space="0" w:color="auto"/>
        <w:right w:val="none" w:sz="0" w:space="0" w:color="auto"/>
      </w:divBdr>
    </w:div>
    <w:div w:id="1333416347">
      <w:marLeft w:val="0"/>
      <w:marRight w:val="0"/>
      <w:marTop w:val="0"/>
      <w:marBottom w:val="0"/>
      <w:divBdr>
        <w:top w:val="none" w:sz="0" w:space="0" w:color="auto"/>
        <w:left w:val="none" w:sz="0" w:space="0" w:color="auto"/>
        <w:bottom w:val="none" w:sz="0" w:space="0" w:color="auto"/>
        <w:right w:val="none" w:sz="0" w:space="0" w:color="auto"/>
      </w:divBdr>
      <w:divsChild>
        <w:div w:id="306785609">
          <w:marLeft w:val="0"/>
          <w:marRight w:val="0"/>
          <w:marTop w:val="0"/>
          <w:marBottom w:val="0"/>
          <w:divBdr>
            <w:top w:val="none" w:sz="0" w:space="0" w:color="auto"/>
            <w:left w:val="none" w:sz="0" w:space="0" w:color="auto"/>
            <w:bottom w:val="none" w:sz="0" w:space="0" w:color="auto"/>
            <w:right w:val="none" w:sz="0" w:space="0" w:color="auto"/>
          </w:divBdr>
        </w:div>
      </w:divsChild>
    </w:div>
    <w:div w:id="1345784418">
      <w:marLeft w:val="0"/>
      <w:marRight w:val="0"/>
      <w:marTop w:val="100"/>
      <w:marBottom w:val="0"/>
      <w:divBdr>
        <w:top w:val="none" w:sz="0" w:space="0" w:color="auto"/>
        <w:left w:val="none" w:sz="0" w:space="0" w:color="auto"/>
        <w:bottom w:val="none" w:sz="0" w:space="0" w:color="auto"/>
        <w:right w:val="none" w:sz="0" w:space="0" w:color="auto"/>
      </w:divBdr>
      <w:divsChild>
        <w:div w:id="1261912265">
          <w:marLeft w:val="0"/>
          <w:marRight w:val="0"/>
          <w:marTop w:val="0"/>
          <w:marBottom w:val="0"/>
          <w:divBdr>
            <w:top w:val="none" w:sz="0" w:space="0" w:color="auto"/>
            <w:left w:val="none" w:sz="0" w:space="0" w:color="auto"/>
            <w:bottom w:val="none" w:sz="0" w:space="0" w:color="auto"/>
            <w:right w:val="none" w:sz="0" w:space="0" w:color="auto"/>
          </w:divBdr>
        </w:div>
      </w:divsChild>
    </w:div>
    <w:div w:id="1365057700">
      <w:marLeft w:val="0"/>
      <w:marRight w:val="0"/>
      <w:marTop w:val="0"/>
      <w:marBottom w:val="0"/>
      <w:divBdr>
        <w:top w:val="none" w:sz="0" w:space="0" w:color="auto"/>
        <w:left w:val="none" w:sz="0" w:space="0" w:color="auto"/>
        <w:bottom w:val="none" w:sz="0" w:space="0" w:color="auto"/>
        <w:right w:val="none" w:sz="0" w:space="0" w:color="auto"/>
      </w:divBdr>
      <w:divsChild>
        <w:div w:id="1362628941">
          <w:marLeft w:val="0"/>
          <w:marRight w:val="0"/>
          <w:marTop w:val="0"/>
          <w:marBottom w:val="0"/>
          <w:divBdr>
            <w:top w:val="none" w:sz="0" w:space="0" w:color="auto"/>
            <w:left w:val="none" w:sz="0" w:space="0" w:color="auto"/>
            <w:bottom w:val="none" w:sz="0" w:space="0" w:color="auto"/>
            <w:right w:val="none" w:sz="0" w:space="0" w:color="auto"/>
          </w:divBdr>
        </w:div>
      </w:divsChild>
    </w:div>
    <w:div w:id="1371111142">
      <w:marLeft w:val="0"/>
      <w:marRight w:val="0"/>
      <w:marTop w:val="100"/>
      <w:marBottom w:val="0"/>
      <w:divBdr>
        <w:top w:val="none" w:sz="0" w:space="0" w:color="auto"/>
        <w:left w:val="none" w:sz="0" w:space="0" w:color="auto"/>
        <w:bottom w:val="none" w:sz="0" w:space="0" w:color="auto"/>
        <w:right w:val="none" w:sz="0" w:space="0" w:color="auto"/>
      </w:divBdr>
    </w:div>
    <w:div w:id="1373532607">
      <w:marLeft w:val="0"/>
      <w:marRight w:val="0"/>
      <w:marTop w:val="0"/>
      <w:marBottom w:val="0"/>
      <w:divBdr>
        <w:top w:val="none" w:sz="0" w:space="0" w:color="auto"/>
        <w:left w:val="none" w:sz="0" w:space="0" w:color="auto"/>
        <w:bottom w:val="none" w:sz="0" w:space="0" w:color="auto"/>
        <w:right w:val="none" w:sz="0" w:space="0" w:color="auto"/>
      </w:divBdr>
      <w:divsChild>
        <w:div w:id="1580795122">
          <w:marLeft w:val="0"/>
          <w:marRight w:val="0"/>
          <w:marTop w:val="0"/>
          <w:marBottom w:val="0"/>
          <w:divBdr>
            <w:top w:val="none" w:sz="0" w:space="0" w:color="auto"/>
            <w:left w:val="none" w:sz="0" w:space="0" w:color="auto"/>
            <w:bottom w:val="none" w:sz="0" w:space="0" w:color="auto"/>
            <w:right w:val="none" w:sz="0" w:space="0" w:color="auto"/>
          </w:divBdr>
        </w:div>
      </w:divsChild>
    </w:div>
    <w:div w:id="1394231997">
      <w:marLeft w:val="0"/>
      <w:marRight w:val="0"/>
      <w:marTop w:val="0"/>
      <w:marBottom w:val="0"/>
      <w:divBdr>
        <w:top w:val="none" w:sz="0" w:space="0" w:color="auto"/>
        <w:left w:val="none" w:sz="0" w:space="0" w:color="auto"/>
        <w:bottom w:val="none" w:sz="0" w:space="0" w:color="auto"/>
        <w:right w:val="none" w:sz="0" w:space="0" w:color="auto"/>
      </w:divBdr>
    </w:div>
    <w:div w:id="1394622299">
      <w:marLeft w:val="0"/>
      <w:marRight w:val="0"/>
      <w:marTop w:val="0"/>
      <w:marBottom w:val="0"/>
      <w:divBdr>
        <w:top w:val="none" w:sz="0" w:space="0" w:color="auto"/>
        <w:left w:val="none" w:sz="0" w:space="0" w:color="auto"/>
        <w:bottom w:val="none" w:sz="0" w:space="0" w:color="auto"/>
        <w:right w:val="none" w:sz="0" w:space="0" w:color="auto"/>
      </w:divBdr>
      <w:divsChild>
        <w:div w:id="1414932291">
          <w:marLeft w:val="0"/>
          <w:marRight w:val="0"/>
          <w:marTop w:val="0"/>
          <w:marBottom w:val="0"/>
          <w:divBdr>
            <w:top w:val="none" w:sz="0" w:space="0" w:color="auto"/>
            <w:left w:val="none" w:sz="0" w:space="0" w:color="auto"/>
            <w:bottom w:val="none" w:sz="0" w:space="0" w:color="auto"/>
            <w:right w:val="none" w:sz="0" w:space="0" w:color="auto"/>
          </w:divBdr>
        </w:div>
      </w:divsChild>
    </w:div>
    <w:div w:id="1400520429">
      <w:marLeft w:val="0"/>
      <w:marRight w:val="0"/>
      <w:marTop w:val="0"/>
      <w:marBottom w:val="0"/>
      <w:divBdr>
        <w:top w:val="none" w:sz="0" w:space="0" w:color="auto"/>
        <w:left w:val="none" w:sz="0" w:space="0" w:color="auto"/>
        <w:bottom w:val="none" w:sz="0" w:space="0" w:color="auto"/>
        <w:right w:val="none" w:sz="0" w:space="0" w:color="auto"/>
      </w:divBdr>
    </w:div>
    <w:div w:id="1401290966">
      <w:marLeft w:val="0"/>
      <w:marRight w:val="0"/>
      <w:marTop w:val="0"/>
      <w:marBottom w:val="0"/>
      <w:divBdr>
        <w:top w:val="none" w:sz="0" w:space="0" w:color="auto"/>
        <w:left w:val="none" w:sz="0" w:space="0" w:color="auto"/>
        <w:bottom w:val="none" w:sz="0" w:space="0" w:color="auto"/>
        <w:right w:val="none" w:sz="0" w:space="0" w:color="auto"/>
      </w:divBdr>
    </w:div>
    <w:div w:id="1403092930">
      <w:marLeft w:val="0"/>
      <w:marRight w:val="0"/>
      <w:marTop w:val="0"/>
      <w:marBottom w:val="60"/>
      <w:divBdr>
        <w:top w:val="none" w:sz="0" w:space="0" w:color="auto"/>
        <w:left w:val="none" w:sz="0" w:space="0" w:color="auto"/>
        <w:bottom w:val="none" w:sz="0" w:space="0" w:color="auto"/>
        <w:right w:val="none" w:sz="0" w:space="0" w:color="auto"/>
      </w:divBdr>
    </w:div>
    <w:div w:id="1412459306">
      <w:marLeft w:val="0"/>
      <w:marRight w:val="0"/>
      <w:marTop w:val="0"/>
      <w:marBottom w:val="0"/>
      <w:divBdr>
        <w:top w:val="none" w:sz="0" w:space="0" w:color="auto"/>
        <w:left w:val="none" w:sz="0" w:space="0" w:color="auto"/>
        <w:bottom w:val="none" w:sz="0" w:space="0" w:color="auto"/>
        <w:right w:val="none" w:sz="0" w:space="0" w:color="auto"/>
      </w:divBdr>
    </w:div>
    <w:div w:id="1419057806">
      <w:marLeft w:val="0"/>
      <w:marRight w:val="0"/>
      <w:marTop w:val="20"/>
      <w:marBottom w:val="0"/>
      <w:divBdr>
        <w:top w:val="none" w:sz="0" w:space="0" w:color="auto"/>
        <w:left w:val="none" w:sz="0" w:space="0" w:color="auto"/>
        <w:bottom w:val="none" w:sz="0" w:space="0" w:color="auto"/>
        <w:right w:val="none" w:sz="0" w:space="0" w:color="auto"/>
      </w:divBdr>
    </w:div>
    <w:div w:id="1419598644">
      <w:marLeft w:val="0"/>
      <w:marRight w:val="0"/>
      <w:marTop w:val="180"/>
      <w:marBottom w:val="0"/>
      <w:divBdr>
        <w:top w:val="none" w:sz="0" w:space="0" w:color="auto"/>
        <w:left w:val="none" w:sz="0" w:space="0" w:color="auto"/>
        <w:bottom w:val="none" w:sz="0" w:space="0" w:color="auto"/>
        <w:right w:val="none" w:sz="0" w:space="0" w:color="auto"/>
      </w:divBdr>
    </w:div>
    <w:div w:id="1433093321">
      <w:marLeft w:val="0"/>
      <w:marRight w:val="0"/>
      <w:marTop w:val="0"/>
      <w:marBottom w:val="0"/>
      <w:divBdr>
        <w:top w:val="none" w:sz="0" w:space="0" w:color="auto"/>
        <w:left w:val="none" w:sz="0" w:space="0" w:color="auto"/>
        <w:bottom w:val="none" w:sz="0" w:space="0" w:color="auto"/>
        <w:right w:val="none" w:sz="0" w:space="0" w:color="auto"/>
      </w:divBdr>
      <w:divsChild>
        <w:div w:id="209266996">
          <w:marLeft w:val="0"/>
          <w:marRight w:val="0"/>
          <w:marTop w:val="0"/>
          <w:marBottom w:val="0"/>
          <w:divBdr>
            <w:top w:val="none" w:sz="0" w:space="0" w:color="auto"/>
            <w:left w:val="none" w:sz="0" w:space="0" w:color="auto"/>
            <w:bottom w:val="none" w:sz="0" w:space="0" w:color="auto"/>
            <w:right w:val="none" w:sz="0" w:space="0" w:color="auto"/>
          </w:divBdr>
        </w:div>
      </w:divsChild>
    </w:div>
    <w:div w:id="1445923012">
      <w:marLeft w:val="0"/>
      <w:marRight w:val="0"/>
      <w:marTop w:val="100"/>
      <w:marBottom w:val="0"/>
      <w:divBdr>
        <w:top w:val="none" w:sz="0" w:space="0" w:color="auto"/>
        <w:left w:val="none" w:sz="0" w:space="0" w:color="auto"/>
        <w:bottom w:val="none" w:sz="0" w:space="0" w:color="auto"/>
        <w:right w:val="none" w:sz="0" w:space="0" w:color="auto"/>
      </w:divBdr>
    </w:div>
    <w:div w:id="1446316269">
      <w:marLeft w:val="0"/>
      <w:marRight w:val="0"/>
      <w:marTop w:val="180"/>
      <w:marBottom w:val="0"/>
      <w:divBdr>
        <w:top w:val="none" w:sz="0" w:space="0" w:color="auto"/>
        <w:left w:val="none" w:sz="0" w:space="0" w:color="auto"/>
        <w:bottom w:val="none" w:sz="0" w:space="0" w:color="auto"/>
        <w:right w:val="none" w:sz="0" w:space="0" w:color="auto"/>
      </w:divBdr>
    </w:div>
    <w:div w:id="1446971622">
      <w:marLeft w:val="0"/>
      <w:marRight w:val="0"/>
      <w:marTop w:val="0"/>
      <w:marBottom w:val="0"/>
      <w:divBdr>
        <w:top w:val="none" w:sz="0" w:space="0" w:color="auto"/>
        <w:left w:val="none" w:sz="0" w:space="0" w:color="auto"/>
        <w:bottom w:val="none" w:sz="0" w:space="0" w:color="auto"/>
        <w:right w:val="none" w:sz="0" w:space="0" w:color="auto"/>
      </w:divBdr>
    </w:div>
    <w:div w:id="1448504598">
      <w:marLeft w:val="0"/>
      <w:marRight w:val="0"/>
      <w:marTop w:val="0"/>
      <w:marBottom w:val="0"/>
      <w:divBdr>
        <w:top w:val="none" w:sz="0" w:space="0" w:color="auto"/>
        <w:left w:val="none" w:sz="0" w:space="0" w:color="auto"/>
        <w:bottom w:val="none" w:sz="0" w:space="0" w:color="auto"/>
        <w:right w:val="none" w:sz="0" w:space="0" w:color="auto"/>
      </w:divBdr>
    </w:div>
    <w:div w:id="1449011063">
      <w:marLeft w:val="0"/>
      <w:marRight w:val="0"/>
      <w:marTop w:val="0"/>
      <w:marBottom w:val="60"/>
      <w:divBdr>
        <w:top w:val="none" w:sz="0" w:space="0" w:color="auto"/>
        <w:left w:val="none" w:sz="0" w:space="0" w:color="auto"/>
        <w:bottom w:val="none" w:sz="0" w:space="0" w:color="auto"/>
        <w:right w:val="none" w:sz="0" w:space="0" w:color="auto"/>
      </w:divBdr>
    </w:div>
    <w:div w:id="1458143112">
      <w:marLeft w:val="0"/>
      <w:marRight w:val="0"/>
      <w:marTop w:val="0"/>
      <w:marBottom w:val="0"/>
      <w:divBdr>
        <w:top w:val="none" w:sz="0" w:space="0" w:color="auto"/>
        <w:left w:val="none" w:sz="0" w:space="0" w:color="auto"/>
        <w:bottom w:val="none" w:sz="0" w:space="0" w:color="auto"/>
        <w:right w:val="none" w:sz="0" w:space="0" w:color="auto"/>
      </w:divBdr>
      <w:divsChild>
        <w:div w:id="585697126">
          <w:marLeft w:val="0"/>
          <w:marRight w:val="0"/>
          <w:marTop w:val="0"/>
          <w:marBottom w:val="0"/>
          <w:divBdr>
            <w:top w:val="none" w:sz="0" w:space="0" w:color="auto"/>
            <w:left w:val="none" w:sz="0" w:space="0" w:color="auto"/>
            <w:bottom w:val="none" w:sz="0" w:space="0" w:color="auto"/>
            <w:right w:val="none" w:sz="0" w:space="0" w:color="auto"/>
          </w:divBdr>
        </w:div>
      </w:divsChild>
    </w:div>
    <w:div w:id="1469738544">
      <w:marLeft w:val="0"/>
      <w:marRight w:val="0"/>
      <w:marTop w:val="0"/>
      <w:marBottom w:val="0"/>
      <w:divBdr>
        <w:top w:val="none" w:sz="0" w:space="0" w:color="auto"/>
        <w:left w:val="none" w:sz="0" w:space="0" w:color="auto"/>
        <w:bottom w:val="none" w:sz="0" w:space="0" w:color="auto"/>
        <w:right w:val="none" w:sz="0" w:space="0" w:color="auto"/>
      </w:divBdr>
    </w:div>
    <w:div w:id="1476489622">
      <w:marLeft w:val="0"/>
      <w:marRight w:val="0"/>
      <w:marTop w:val="100"/>
      <w:marBottom w:val="0"/>
      <w:divBdr>
        <w:top w:val="none" w:sz="0" w:space="0" w:color="auto"/>
        <w:left w:val="none" w:sz="0" w:space="0" w:color="auto"/>
        <w:bottom w:val="none" w:sz="0" w:space="0" w:color="auto"/>
        <w:right w:val="none" w:sz="0" w:space="0" w:color="auto"/>
      </w:divBdr>
    </w:div>
    <w:div w:id="1483735376">
      <w:marLeft w:val="0"/>
      <w:marRight w:val="0"/>
      <w:marTop w:val="0"/>
      <w:marBottom w:val="0"/>
      <w:divBdr>
        <w:top w:val="none" w:sz="0" w:space="0" w:color="auto"/>
        <w:left w:val="none" w:sz="0" w:space="0" w:color="auto"/>
        <w:bottom w:val="none" w:sz="0" w:space="0" w:color="auto"/>
        <w:right w:val="none" w:sz="0" w:space="0" w:color="auto"/>
      </w:divBdr>
    </w:div>
    <w:div w:id="1498838764">
      <w:marLeft w:val="0"/>
      <w:marRight w:val="0"/>
      <w:marTop w:val="0"/>
      <w:marBottom w:val="0"/>
      <w:divBdr>
        <w:top w:val="none" w:sz="0" w:space="0" w:color="auto"/>
        <w:left w:val="none" w:sz="0" w:space="0" w:color="auto"/>
        <w:bottom w:val="none" w:sz="0" w:space="0" w:color="auto"/>
        <w:right w:val="none" w:sz="0" w:space="0" w:color="auto"/>
      </w:divBdr>
    </w:div>
    <w:div w:id="1499424965">
      <w:marLeft w:val="0"/>
      <w:marRight w:val="0"/>
      <w:marTop w:val="0"/>
      <w:marBottom w:val="0"/>
      <w:divBdr>
        <w:top w:val="none" w:sz="0" w:space="0" w:color="auto"/>
        <w:left w:val="none" w:sz="0" w:space="0" w:color="auto"/>
        <w:bottom w:val="none" w:sz="0" w:space="0" w:color="auto"/>
        <w:right w:val="none" w:sz="0" w:space="0" w:color="auto"/>
      </w:divBdr>
      <w:divsChild>
        <w:div w:id="1166822561">
          <w:marLeft w:val="0"/>
          <w:marRight w:val="0"/>
          <w:marTop w:val="0"/>
          <w:marBottom w:val="0"/>
          <w:divBdr>
            <w:top w:val="none" w:sz="0" w:space="0" w:color="auto"/>
            <w:left w:val="none" w:sz="0" w:space="0" w:color="auto"/>
            <w:bottom w:val="none" w:sz="0" w:space="0" w:color="auto"/>
            <w:right w:val="none" w:sz="0" w:space="0" w:color="auto"/>
          </w:divBdr>
        </w:div>
      </w:divsChild>
    </w:div>
    <w:div w:id="1502240362">
      <w:marLeft w:val="0"/>
      <w:marRight w:val="0"/>
      <w:marTop w:val="0"/>
      <w:marBottom w:val="0"/>
      <w:divBdr>
        <w:top w:val="none" w:sz="0" w:space="0" w:color="auto"/>
        <w:left w:val="none" w:sz="0" w:space="0" w:color="auto"/>
        <w:bottom w:val="none" w:sz="0" w:space="0" w:color="auto"/>
        <w:right w:val="none" w:sz="0" w:space="0" w:color="auto"/>
      </w:divBdr>
    </w:div>
    <w:div w:id="1506481274">
      <w:marLeft w:val="0"/>
      <w:marRight w:val="0"/>
      <w:marTop w:val="0"/>
      <w:marBottom w:val="0"/>
      <w:divBdr>
        <w:top w:val="none" w:sz="0" w:space="0" w:color="auto"/>
        <w:left w:val="none" w:sz="0" w:space="0" w:color="auto"/>
        <w:bottom w:val="none" w:sz="0" w:space="0" w:color="auto"/>
        <w:right w:val="none" w:sz="0" w:space="0" w:color="auto"/>
      </w:divBdr>
    </w:div>
    <w:div w:id="1507746646">
      <w:marLeft w:val="0"/>
      <w:marRight w:val="0"/>
      <w:marTop w:val="0"/>
      <w:marBottom w:val="0"/>
      <w:divBdr>
        <w:top w:val="none" w:sz="0" w:space="0" w:color="auto"/>
        <w:left w:val="none" w:sz="0" w:space="0" w:color="auto"/>
        <w:bottom w:val="none" w:sz="0" w:space="0" w:color="auto"/>
        <w:right w:val="none" w:sz="0" w:space="0" w:color="auto"/>
      </w:divBdr>
      <w:divsChild>
        <w:div w:id="1853035377">
          <w:marLeft w:val="0"/>
          <w:marRight w:val="0"/>
          <w:marTop w:val="0"/>
          <w:marBottom w:val="0"/>
          <w:divBdr>
            <w:top w:val="none" w:sz="0" w:space="0" w:color="auto"/>
            <w:left w:val="none" w:sz="0" w:space="0" w:color="auto"/>
            <w:bottom w:val="none" w:sz="0" w:space="0" w:color="auto"/>
            <w:right w:val="none" w:sz="0" w:space="0" w:color="auto"/>
          </w:divBdr>
        </w:div>
      </w:divsChild>
    </w:div>
    <w:div w:id="1507817199">
      <w:marLeft w:val="0"/>
      <w:marRight w:val="0"/>
      <w:marTop w:val="0"/>
      <w:marBottom w:val="0"/>
      <w:divBdr>
        <w:top w:val="none" w:sz="0" w:space="0" w:color="auto"/>
        <w:left w:val="none" w:sz="0" w:space="0" w:color="auto"/>
        <w:bottom w:val="none" w:sz="0" w:space="0" w:color="auto"/>
        <w:right w:val="none" w:sz="0" w:space="0" w:color="auto"/>
      </w:divBdr>
      <w:divsChild>
        <w:div w:id="1682658012">
          <w:marLeft w:val="0"/>
          <w:marRight w:val="0"/>
          <w:marTop w:val="0"/>
          <w:marBottom w:val="0"/>
          <w:divBdr>
            <w:top w:val="none" w:sz="0" w:space="0" w:color="auto"/>
            <w:left w:val="none" w:sz="0" w:space="0" w:color="auto"/>
            <w:bottom w:val="none" w:sz="0" w:space="0" w:color="auto"/>
            <w:right w:val="none" w:sz="0" w:space="0" w:color="auto"/>
          </w:divBdr>
        </w:div>
      </w:divsChild>
    </w:div>
    <w:div w:id="1512337815">
      <w:marLeft w:val="0"/>
      <w:marRight w:val="0"/>
      <w:marTop w:val="0"/>
      <w:marBottom w:val="0"/>
      <w:divBdr>
        <w:top w:val="none" w:sz="0" w:space="0" w:color="auto"/>
        <w:left w:val="none" w:sz="0" w:space="0" w:color="auto"/>
        <w:bottom w:val="none" w:sz="0" w:space="0" w:color="auto"/>
        <w:right w:val="none" w:sz="0" w:space="0" w:color="auto"/>
      </w:divBdr>
    </w:div>
    <w:div w:id="1515997613">
      <w:marLeft w:val="0"/>
      <w:marRight w:val="0"/>
      <w:marTop w:val="0"/>
      <w:marBottom w:val="0"/>
      <w:divBdr>
        <w:top w:val="none" w:sz="0" w:space="0" w:color="auto"/>
        <w:left w:val="none" w:sz="0" w:space="0" w:color="auto"/>
        <w:bottom w:val="none" w:sz="0" w:space="0" w:color="auto"/>
        <w:right w:val="none" w:sz="0" w:space="0" w:color="auto"/>
      </w:divBdr>
      <w:divsChild>
        <w:div w:id="1390150742">
          <w:marLeft w:val="0"/>
          <w:marRight w:val="0"/>
          <w:marTop w:val="0"/>
          <w:marBottom w:val="0"/>
          <w:divBdr>
            <w:top w:val="none" w:sz="0" w:space="0" w:color="auto"/>
            <w:left w:val="none" w:sz="0" w:space="0" w:color="auto"/>
            <w:bottom w:val="none" w:sz="0" w:space="0" w:color="auto"/>
            <w:right w:val="none" w:sz="0" w:space="0" w:color="auto"/>
          </w:divBdr>
        </w:div>
      </w:divsChild>
    </w:div>
    <w:div w:id="1517570702">
      <w:marLeft w:val="0"/>
      <w:marRight w:val="0"/>
      <w:marTop w:val="0"/>
      <w:marBottom w:val="0"/>
      <w:divBdr>
        <w:top w:val="none" w:sz="0" w:space="0" w:color="auto"/>
        <w:left w:val="none" w:sz="0" w:space="0" w:color="auto"/>
        <w:bottom w:val="none" w:sz="0" w:space="0" w:color="auto"/>
        <w:right w:val="none" w:sz="0" w:space="0" w:color="auto"/>
      </w:divBdr>
    </w:div>
    <w:div w:id="1518495399">
      <w:marLeft w:val="0"/>
      <w:marRight w:val="0"/>
      <w:marTop w:val="180"/>
      <w:marBottom w:val="0"/>
      <w:divBdr>
        <w:top w:val="none" w:sz="0" w:space="0" w:color="auto"/>
        <w:left w:val="none" w:sz="0" w:space="0" w:color="auto"/>
        <w:bottom w:val="none" w:sz="0" w:space="0" w:color="auto"/>
        <w:right w:val="none" w:sz="0" w:space="0" w:color="auto"/>
      </w:divBdr>
    </w:div>
    <w:div w:id="1519807681">
      <w:marLeft w:val="0"/>
      <w:marRight w:val="0"/>
      <w:marTop w:val="100"/>
      <w:marBottom w:val="0"/>
      <w:divBdr>
        <w:top w:val="none" w:sz="0" w:space="0" w:color="auto"/>
        <w:left w:val="none" w:sz="0" w:space="0" w:color="auto"/>
        <w:bottom w:val="none" w:sz="0" w:space="0" w:color="auto"/>
        <w:right w:val="none" w:sz="0" w:space="0" w:color="auto"/>
      </w:divBdr>
    </w:div>
    <w:div w:id="1520269533">
      <w:marLeft w:val="0"/>
      <w:marRight w:val="0"/>
      <w:marTop w:val="0"/>
      <w:marBottom w:val="0"/>
      <w:divBdr>
        <w:top w:val="none" w:sz="0" w:space="0" w:color="auto"/>
        <w:left w:val="none" w:sz="0" w:space="0" w:color="auto"/>
        <w:bottom w:val="none" w:sz="0" w:space="0" w:color="auto"/>
        <w:right w:val="none" w:sz="0" w:space="0" w:color="auto"/>
      </w:divBdr>
    </w:div>
    <w:div w:id="1521237493">
      <w:marLeft w:val="0"/>
      <w:marRight w:val="0"/>
      <w:marTop w:val="0"/>
      <w:marBottom w:val="0"/>
      <w:divBdr>
        <w:top w:val="none" w:sz="0" w:space="0" w:color="auto"/>
        <w:left w:val="none" w:sz="0" w:space="0" w:color="auto"/>
        <w:bottom w:val="none" w:sz="0" w:space="0" w:color="auto"/>
        <w:right w:val="none" w:sz="0" w:space="0" w:color="auto"/>
      </w:divBdr>
    </w:div>
    <w:div w:id="1528638276">
      <w:marLeft w:val="0"/>
      <w:marRight w:val="0"/>
      <w:marTop w:val="0"/>
      <w:marBottom w:val="0"/>
      <w:divBdr>
        <w:top w:val="none" w:sz="0" w:space="0" w:color="auto"/>
        <w:left w:val="none" w:sz="0" w:space="0" w:color="auto"/>
        <w:bottom w:val="none" w:sz="0" w:space="0" w:color="auto"/>
        <w:right w:val="none" w:sz="0" w:space="0" w:color="auto"/>
      </w:divBdr>
      <w:divsChild>
        <w:div w:id="95299018">
          <w:marLeft w:val="0"/>
          <w:marRight w:val="0"/>
          <w:marTop w:val="0"/>
          <w:marBottom w:val="0"/>
          <w:divBdr>
            <w:top w:val="none" w:sz="0" w:space="0" w:color="auto"/>
            <w:left w:val="none" w:sz="0" w:space="0" w:color="auto"/>
            <w:bottom w:val="none" w:sz="0" w:space="0" w:color="auto"/>
            <w:right w:val="none" w:sz="0" w:space="0" w:color="auto"/>
          </w:divBdr>
        </w:div>
      </w:divsChild>
    </w:div>
    <w:div w:id="1550458802">
      <w:marLeft w:val="0"/>
      <w:marRight w:val="0"/>
      <w:marTop w:val="0"/>
      <w:marBottom w:val="0"/>
      <w:divBdr>
        <w:top w:val="none" w:sz="0" w:space="0" w:color="auto"/>
        <w:left w:val="none" w:sz="0" w:space="0" w:color="auto"/>
        <w:bottom w:val="none" w:sz="0" w:space="0" w:color="auto"/>
        <w:right w:val="none" w:sz="0" w:space="0" w:color="auto"/>
      </w:divBdr>
    </w:div>
    <w:div w:id="1557742726">
      <w:marLeft w:val="0"/>
      <w:marRight w:val="0"/>
      <w:marTop w:val="0"/>
      <w:marBottom w:val="0"/>
      <w:divBdr>
        <w:top w:val="none" w:sz="0" w:space="0" w:color="auto"/>
        <w:left w:val="none" w:sz="0" w:space="0" w:color="auto"/>
        <w:bottom w:val="none" w:sz="0" w:space="0" w:color="auto"/>
        <w:right w:val="none" w:sz="0" w:space="0" w:color="auto"/>
      </w:divBdr>
    </w:div>
    <w:div w:id="1558590601">
      <w:marLeft w:val="0"/>
      <w:marRight w:val="0"/>
      <w:marTop w:val="100"/>
      <w:marBottom w:val="0"/>
      <w:divBdr>
        <w:top w:val="none" w:sz="0" w:space="0" w:color="auto"/>
        <w:left w:val="none" w:sz="0" w:space="0" w:color="auto"/>
        <w:bottom w:val="none" w:sz="0" w:space="0" w:color="auto"/>
        <w:right w:val="none" w:sz="0" w:space="0" w:color="auto"/>
      </w:divBdr>
    </w:div>
    <w:div w:id="1561399940">
      <w:marLeft w:val="0"/>
      <w:marRight w:val="0"/>
      <w:marTop w:val="100"/>
      <w:marBottom w:val="0"/>
      <w:divBdr>
        <w:top w:val="none" w:sz="0" w:space="0" w:color="auto"/>
        <w:left w:val="none" w:sz="0" w:space="0" w:color="auto"/>
        <w:bottom w:val="none" w:sz="0" w:space="0" w:color="auto"/>
        <w:right w:val="none" w:sz="0" w:space="0" w:color="auto"/>
      </w:divBdr>
    </w:div>
    <w:div w:id="1574896183">
      <w:marLeft w:val="0"/>
      <w:marRight w:val="0"/>
      <w:marTop w:val="180"/>
      <w:marBottom w:val="180"/>
      <w:divBdr>
        <w:top w:val="none" w:sz="0" w:space="0" w:color="auto"/>
        <w:left w:val="none" w:sz="0" w:space="0" w:color="auto"/>
        <w:bottom w:val="none" w:sz="0" w:space="0" w:color="auto"/>
        <w:right w:val="none" w:sz="0" w:space="0" w:color="auto"/>
      </w:divBdr>
    </w:div>
    <w:div w:id="1579899720">
      <w:marLeft w:val="0"/>
      <w:marRight w:val="0"/>
      <w:marTop w:val="0"/>
      <w:marBottom w:val="0"/>
      <w:divBdr>
        <w:top w:val="none" w:sz="0" w:space="0" w:color="auto"/>
        <w:left w:val="none" w:sz="0" w:space="0" w:color="auto"/>
        <w:bottom w:val="none" w:sz="0" w:space="0" w:color="auto"/>
        <w:right w:val="none" w:sz="0" w:space="0" w:color="auto"/>
      </w:divBdr>
      <w:divsChild>
        <w:div w:id="257301158">
          <w:marLeft w:val="0"/>
          <w:marRight w:val="0"/>
          <w:marTop w:val="0"/>
          <w:marBottom w:val="0"/>
          <w:divBdr>
            <w:top w:val="none" w:sz="0" w:space="0" w:color="auto"/>
            <w:left w:val="none" w:sz="0" w:space="0" w:color="auto"/>
            <w:bottom w:val="none" w:sz="0" w:space="0" w:color="auto"/>
            <w:right w:val="none" w:sz="0" w:space="0" w:color="auto"/>
          </w:divBdr>
        </w:div>
      </w:divsChild>
    </w:div>
    <w:div w:id="1585454846">
      <w:marLeft w:val="0"/>
      <w:marRight w:val="0"/>
      <w:marTop w:val="0"/>
      <w:marBottom w:val="0"/>
      <w:divBdr>
        <w:top w:val="none" w:sz="0" w:space="0" w:color="auto"/>
        <w:left w:val="none" w:sz="0" w:space="0" w:color="auto"/>
        <w:bottom w:val="none" w:sz="0" w:space="0" w:color="auto"/>
        <w:right w:val="none" w:sz="0" w:space="0" w:color="auto"/>
      </w:divBdr>
    </w:div>
    <w:div w:id="1586497941">
      <w:marLeft w:val="0"/>
      <w:marRight w:val="0"/>
      <w:marTop w:val="0"/>
      <w:marBottom w:val="0"/>
      <w:divBdr>
        <w:top w:val="none" w:sz="0" w:space="0" w:color="auto"/>
        <w:left w:val="none" w:sz="0" w:space="0" w:color="auto"/>
        <w:bottom w:val="none" w:sz="0" w:space="0" w:color="auto"/>
        <w:right w:val="none" w:sz="0" w:space="0" w:color="auto"/>
      </w:divBdr>
    </w:div>
    <w:div w:id="1592352803">
      <w:marLeft w:val="0"/>
      <w:marRight w:val="0"/>
      <w:marTop w:val="0"/>
      <w:marBottom w:val="0"/>
      <w:divBdr>
        <w:top w:val="none" w:sz="0" w:space="0" w:color="auto"/>
        <w:left w:val="none" w:sz="0" w:space="0" w:color="auto"/>
        <w:bottom w:val="none" w:sz="0" w:space="0" w:color="auto"/>
        <w:right w:val="none" w:sz="0" w:space="0" w:color="auto"/>
      </w:divBdr>
    </w:div>
    <w:div w:id="1595238530">
      <w:marLeft w:val="0"/>
      <w:marRight w:val="0"/>
      <w:marTop w:val="100"/>
      <w:marBottom w:val="0"/>
      <w:divBdr>
        <w:top w:val="none" w:sz="0" w:space="0" w:color="auto"/>
        <w:left w:val="none" w:sz="0" w:space="0" w:color="auto"/>
        <w:bottom w:val="none" w:sz="0" w:space="0" w:color="auto"/>
        <w:right w:val="none" w:sz="0" w:space="0" w:color="auto"/>
      </w:divBdr>
    </w:div>
    <w:div w:id="1599554881">
      <w:marLeft w:val="0"/>
      <w:marRight w:val="0"/>
      <w:marTop w:val="0"/>
      <w:marBottom w:val="0"/>
      <w:divBdr>
        <w:top w:val="none" w:sz="0" w:space="0" w:color="auto"/>
        <w:left w:val="none" w:sz="0" w:space="0" w:color="auto"/>
        <w:bottom w:val="none" w:sz="0" w:space="0" w:color="auto"/>
        <w:right w:val="none" w:sz="0" w:space="0" w:color="auto"/>
      </w:divBdr>
      <w:divsChild>
        <w:div w:id="1629236333">
          <w:marLeft w:val="0"/>
          <w:marRight w:val="0"/>
          <w:marTop w:val="0"/>
          <w:marBottom w:val="0"/>
          <w:divBdr>
            <w:top w:val="none" w:sz="0" w:space="0" w:color="auto"/>
            <w:left w:val="none" w:sz="0" w:space="0" w:color="auto"/>
            <w:bottom w:val="none" w:sz="0" w:space="0" w:color="auto"/>
            <w:right w:val="none" w:sz="0" w:space="0" w:color="auto"/>
          </w:divBdr>
        </w:div>
      </w:divsChild>
    </w:div>
    <w:div w:id="1602444796">
      <w:marLeft w:val="0"/>
      <w:marRight w:val="0"/>
      <w:marTop w:val="0"/>
      <w:marBottom w:val="0"/>
      <w:divBdr>
        <w:top w:val="none" w:sz="0" w:space="0" w:color="auto"/>
        <w:left w:val="none" w:sz="0" w:space="0" w:color="auto"/>
        <w:bottom w:val="none" w:sz="0" w:space="0" w:color="auto"/>
        <w:right w:val="none" w:sz="0" w:space="0" w:color="auto"/>
      </w:divBdr>
    </w:div>
    <w:div w:id="1608654625">
      <w:marLeft w:val="0"/>
      <w:marRight w:val="0"/>
      <w:marTop w:val="0"/>
      <w:marBottom w:val="0"/>
      <w:divBdr>
        <w:top w:val="none" w:sz="0" w:space="0" w:color="auto"/>
        <w:left w:val="none" w:sz="0" w:space="0" w:color="auto"/>
        <w:bottom w:val="none" w:sz="0" w:space="0" w:color="auto"/>
        <w:right w:val="none" w:sz="0" w:space="0" w:color="auto"/>
      </w:divBdr>
      <w:divsChild>
        <w:div w:id="1628584736">
          <w:marLeft w:val="0"/>
          <w:marRight w:val="0"/>
          <w:marTop w:val="0"/>
          <w:marBottom w:val="0"/>
          <w:divBdr>
            <w:top w:val="none" w:sz="0" w:space="0" w:color="auto"/>
            <w:left w:val="none" w:sz="0" w:space="0" w:color="auto"/>
            <w:bottom w:val="none" w:sz="0" w:space="0" w:color="auto"/>
            <w:right w:val="none" w:sz="0" w:space="0" w:color="auto"/>
          </w:divBdr>
        </w:div>
      </w:divsChild>
    </w:div>
    <w:div w:id="1612668022">
      <w:marLeft w:val="0"/>
      <w:marRight w:val="0"/>
      <w:marTop w:val="100"/>
      <w:marBottom w:val="0"/>
      <w:divBdr>
        <w:top w:val="none" w:sz="0" w:space="0" w:color="auto"/>
        <w:left w:val="none" w:sz="0" w:space="0" w:color="auto"/>
        <w:bottom w:val="none" w:sz="0" w:space="0" w:color="auto"/>
        <w:right w:val="none" w:sz="0" w:space="0" w:color="auto"/>
      </w:divBdr>
      <w:divsChild>
        <w:div w:id="666320778">
          <w:marLeft w:val="0"/>
          <w:marRight w:val="0"/>
          <w:marTop w:val="180"/>
          <w:marBottom w:val="0"/>
          <w:divBdr>
            <w:top w:val="none" w:sz="0" w:space="0" w:color="auto"/>
            <w:left w:val="none" w:sz="0" w:space="0" w:color="auto"/>
            <w:bottom w:val="none" w:sz="0" w:space="0" w:color="auto"/>
            <w:right w:val="none" w:sz="0" w:space="0" w:color="auto"/>
          </w:divBdr>
        </w:div>
        <w:div w:id="701175844">
          <w:marLeft w:val="0"/>
          <w:marRight w:val="0"/>
          <w:marTop w:val="180"/>
          <w:marBottom w:val="0"/>
          <w:divBdr>
            <w:top w:val="none" w:sz="0" w:space="0" w:color="auto"/>
            <w:left w:val="none" w:sz="0" w:space="0" w:color="auto"/>
            <w:bottom w:val="none" w:sz="0" w:space="0" w:color="auto"/>
            <w:right w:val="none" w:sz="0" w:space="0" w:color="auto"/>
          </w:divBdr>
        </w:div>
        <w:div w:id="653336333">
          <w:marLeft w:val="0"/>
          <w:marRight w:val="0"/>
          <w:marTop w:val="180"/>
          <w:marBottom w:val="0"/>
          <w:divBdr>
            <w:top w:val="none" w:sz="0" w:space="0" w:color="auto"/>
            <w:left w:val="none" w:sz="0" w:space="0" w:color="auto"/>
            <w:bottom w:val="none" w:sz="0" w:space="0" w:color="auto"/>
            <w:right w:val="none" w:sz="0" w:space="0" w:color="auto"/>
          </w:divBdr>
        </w:div>
        <w:div w:id="883567992">
          <w:marLeft w:val="0"/>
          <w:marRight w:val="0"/>
          <w:marTop w:val="180"/>
          <w:marBottom w:val="0"/>
          <w:divBdr>
            <w:top w:val="none" w:sz="0" w:space="0" w:color="auto"/>
            <w:left w:val="none" w:sz="0" w:space="0" w:color="auto"/>
            <w:bottom w:val="none" w:sz="0" w:space="0" w:color="auto"/>
            <w:right w:val="none" w:sz="0" w:space="0" w:color="auto"/>
          </w:divBdr>
        </w:div>
        <w:div w:id="1635524903">
          <w:marLeft w:val="0"/>
          <w:marRight w:val="0"/>
          <w:marTop w:val="180"/>
          <w:marBottom w:val="0"/>
          <w:divBdr>
            <w:top w:val="none" w:sz="0" w:space="0" w:color="auto"/>
            <w:left w:val="none" w:sz="0" w:space="0" w:color="auto"/>
            <w:bottom w:val="none" w:sz="0" w:space="0" w:color="auto"/>
            <w:right w:val="none" w:sz="0" w:space="0" w:color="auto"/>
          </w:divBdr>
        </w:div>
      </w:divsChild>
    </w:div>
    <w:div w:id="1622688995">
      <w:marLeft w:val="0"/>
      <w:marRight w:val="0"/>
      <w:marTop w:val="100"/>
      <w:marBottom w:val="0"/>
      <w:divBdr>
        <w:top w:val="none" w:sz="0" w:space="0" w:color="auto"/>
        <w:left w:val="none" w:sz="0" w:space="0" w:color="auto"/>
        <w:bottom w:val="none" w:sz="0" w:space="0" w:color="auto"/>
        <w:right w:val="none" w:sz="0" w:space="0" w:color="auto"/>
      </w:divBdr>
      <w:divsChild>
        <w:div w:id="1164124071">
          <w:marLeft w:val="0"/>
          <w:marRight w:val="0"/>
          <w:marTop w:val="0"/>
          <w:marBottom w:val="0"/>
          <w:divBdr>
            <w:top w:val="none" w:sz="0" w:space="0" w:color="auto"/>
            <w:left w:val="none" w:sz="0" w:space="0" w:color="auto"/>
            <w:bottom w:val="none" w:sz="0" w:space="0" w:color="auto"/>
            <w:right w:val="none" w:sz="0" w:space="0" w:color="auto"/>
          </w:divBdr>
        </w:div>
      </w:divsChild>
    </w:div>
    <w:div w:id="1623340205">
      <w:marLeft w:val="0"/>
      <w:marRight w:val="0"/>
      <w:marTop w:val="0"/>
      <w:marBottom w:val="0"/>
      <w:divBdr>
        <w:top w:val="none" w:sz="0" w:space="0" w:color="auto"/>
        <w:left w:val="none" w:sz="0" w:space="0" w:color="auto"/>
        <w:bottom w:val="none" w:sz="0" w:space="0" w:color="auto"/>
        <w:right w:val="none" w:sz="0" w:space="0" w:color="auto"/>
      </w:divBdr>
      <w:divsChild>
        <w:div w:id="1057783252">
          <w:marLeft w:val="0"/>
          <w:marRight w:val="0"/>
          <w:marTop w:val="0"/>
          <w:marBottom w:val="0"/>
          <w:divBdr>
            <w:top w:val="none" w:sz="0" w:space="0" w:color="auto"/>
            <w:left w:val="none" w:sz="0" w:space="0" w:color="auto"/>
            <w:bottom w:val="none" w:sz="0" w:space="0" w:color="auto"/>
            <w:right w:val="none" w:sz="0" w:space="0" w:color="auto"/>
          </w:divBdr>
        </w:div>
      </w:divsChild>
    </w:div>
    <w:div w:id="1624732776">
      <w:marLeft w:val="0"/>
      <w:marRight w:val="0"/>
      <w:marTop w:val="100"/>
      <w:marBottom w:val="0"/>
      <w:divBdr>
        <w:top w:val="none" w:sz="0" w:space="0" w:color="auto"/>
        <w:left w:val="none" w:sz="0" w:space="0" w:color="auto"/>
        <w:bottom w:val="none" w:sz="0" w:space="0" w:color="auto"/>
        <w:right w:val="none" w:sz="0" w:space="0" w:color="auto"/>
      </w:divBdr>
    </w:div>
    <w:div w:id="1624967214">
      <w:marLeft w:val="0"/>
      <w:marRight w:val="0"/>
      <w:marTop w:val="0"/>
      <w:marBottom w:val="60"/>
      <w:divBdr>
        <w:top w:val="none" w:sz="0" w:space="0" w:color="auto"/>
        <w:left w:val="none" w:sz="0" w:space="0" w:color="auto"/>
        <w:bottom w:val="none" w:sz="0" w:space="0" w:color="auto"/>
        <w:right w:val="none" w:sz="0" w:space="0" w:color="auto"/>
      </w:divBdr>
    </w:div>
    <w:div w:id="1633052960">
      <w:marLeft w:val="0"/>
      <w:marRight w:val="0"/>
      <w:marTop w:val="0"/>
      <w:marBottom w:val="0"/>
      <w:divBdr>
        <w:top w:val="none" w:sz="0" w:space="0" w:color="auto"/>
        <w:left w:val="none" w:sz="0" w:space="0" w:color="auto"/>
        <w:bottom w:val="none" w:sz="0" w:space="0" w:color="auto"/>
        <w:right w:val="none" w:sz="0" w:space="0" w:color="auto"/>
      </w:divBdr>
      <w:divsChild>
        <w:div w:id="307783967">
          <w:marLeft w:val="0"/>
          <w:marRight w:val="0"/>
          <w:marTop w:val="0"/>
          <w:marBottom w:val="0"/>
          <w:divBdr>
            <w:top w:val="none" w:sz="0" w:space="0" w:color="auto"/>
            <w:left w:val="none" w:sz="0" w:space="0" w:color="auto"/>
            <w:bottom w:val="none" w:sz="0" w:space="0" w:color="auto"/>
            <w:right w:val="none" w:sz="0" w:space="0" w:color="auto"/>
          </w:divBdr>
        </w:div>
      </w:divsChild>
    </w:div>
    <w:div w:id="1647971368">
      <w:marLeft w:val="0"/>
      <w:marRight w:val="0"/>
      <w:marTop w:val="0"/>
      <w:marBottom w:val="0"/>
      <w:divBdr>
        <w:top w:val="none" w:sz="0" w:space="0" w:color="auto"/>
        <w:left w:val="none" w:sz="0" w:space="0" w:color="auto"/>
        <w:bottom w:val="none" w:sz="0" w:space="0" w:color="auto"/>
        <w:right w:val="none" w:sz="0" w:space="0" w:color="auto"/>
      </w:divBdr>
      <w:divsChild>
        <w:div w:id="1373116230">
          <w:marLeft w:val="0"/>
          <w:marRight w:val="0"/>
          <w:marTop w:val="0"/>
          <w:marBottom w:val="0"/>
          <w:divBdr>
            <w:top w:val="none" w:sz="0" w:space="0" w:color="auto"/>
            <w:left w:val="none" w:sz="0" w:space="0" w:color="auto"/>
            <w:bottom w:val="none" w:sz="0" w:space="0" w:color="auto"/>
            <w:right w:val="none" w:sz="0" w:space="0" w:color="auto"/>
          </w:divBdr>
        </w:div>
      </w:divsChild>
    </w:div>
    <w:div w:id="1651253964">
      <w:marLeft w:val="0"/>
      <w:marRight w:val="0"/>
      <w:marTop w:val="0"/>
      <w:marBottom w:val="0"/>
      <w:divBdr>
        <w:top w:val="none" w:sz="0" w:space="0" w:color="auto"/>
        <w:left w:val="none" w:sz="0" w:space="0" w:color="auto"/>
        <w:bottom w:val="none" w:sz="0" w:space="0" w:color="auto"/>
        <w:right w:val="none" w:sz="0" w:space="0" w:color="auto"/>
      </w:divBdr>
    </w:div>
    <w:div w:id="1657494991">
      <w:marLeft w:val="0"/>
      <w:marRight w:val="0"/>
      <w:marTop w:val="0"/>
      <w:marBottom w:val="0"/>
      <w:divBdr>
        <w:top w:val="none" w:sz="0" w:space="0" w:color="auto"/>
        <w:left w:val="none" w:sz="0" w:space="0" w:color="auto"/>
        <w:bottom w:val="none" w:sz="0" w:space="0" w:color="auto"/>
        <w:right w:val="none" w:sz="0" w:space="0" w:color="auto"/>
      </w:divBdr>
      <w:divsChild>
        <w:div w:id="1497726745">
          <w:marLeft w:val="0"/>
          <w:marRight w:val="0"/>
          <w:marTop w:val="0"/>
          <w:marBottom w:val="0"/>
          <w:divBdr>
            <w:top w:val="none" w:sz="0" w:space="0" w:color="auto"/>
            <w:left w:val="none" w:sz="0" w:space="0" w:color="auto"/>
            <w:bottom w:val="none" w:sz="0" w:space="0" w:color="auto"/>
            <w:right w:val="none" w:sz="0" w:space="0" w:color="auto"/>
          </w:divBdr>
        </w:div>
        <w:div w:id="541870956">
          <w:marLeft w:val="0"/>
          <w:marRight w:val="0"/>
          <w:marTop w:val="0"/>
          <w:marBottom w:val="0"/>
          <w:divBdr>
            <w:top w:val="none" w:sz="0" w:space="0" w:color="auto"/>
            <w:left w:val="none" w:sz="0" w:space="0" w:color="auto"/>
            <w:bottom w:val="none" w:sz="0" w:space="0" w:color="auto"/>
            <w:right w:val="none" w:sz="0" w:space="0" w:color="auto"/>
          </w:divBdr>
        </w:div>
        <w:div w:id="2103338423">
          <w:marLeft w:val="0"/>
          <w:marRight w:val="0"/>
          <w:marTop w:val="0"/>
          <w:marBottom w:val="0"/>
          <w:divBdr>
            <w:top w:val="none" w:sz="0" w:space="0" w:color="auto"/>
            <w:left w:val="none" w:sz="0" w:space="0" w:color="auto"/>
            <w:bottom w:val="none" w:sz="0" w:space="0" w:color="auto"/>
            <w:right w:val="none" w:sz="0" w:space="0" w:color="auto"/>
          </w:divBdr>
        </w:div>
      </w:divsChild>
    </w:div>
    <w:div w:id="1668512061">
      <w:marLeft w:val="0"/>
      <w:marRight w:val="0"/>
      <w:marTop w:val="0"/>
      <w:marBottom w:val="0"/>
      <w:divBdr>
        <w:top w:val="none" w:sz="0" w:space="0" w:color="auto"/>
        <w:left w:val="none" w:sz="0" w:space="0" w:color="auto"/>
        <w:bottom w:val="none" w:sz="0" w:space="0" w:color="auto"/>
        <w:right w:val="none" w:sz="0" w:space="0" w:color="auto"/>
      </w:divBdr>
    </w:div>
    <w:div w:id="1671827635">
      <w:marLeft w:val="0"/>
      <w:marRight w:val="0"/>
      <w:marTop w:val="100"/>
      <w:marBottom w:val="0"/>
      <w:divBdr>
        <w:top w:val="none" w:sz="0" w:space="0" w:color="auto"/>
        <w:left w:val="none" w:sz="0" w:space="0" w:color="auto"/>
        <w:bottom w:val="none" w:sz="0" w:space="0" w:color="auto"/>
        <w:right w:val="none" w:sz="0" w:space="0" w:color="auto"/>
      </w:divBdr>
    </w:div>
    <w:div w:id="1677725626">
      <w:marLeft w:val="0"/>
      <w:marRight w:val="0"/>
      <w:marTop w:val="0"/>
      <w:marBottom w:val="0"/>
      <w:divBdr>
        <w:top w:val="none" w:sz="0" w:space="0" w:color="auto"/>
        <w:left w:val="none" w:sz="0" w:space="0" w:color="auto"/>
        <w:bottom w:val="none" w:sz="0" w:space="0" w:color="auto"/>
        <w:right w:val="none" w:sz="0" w:space="0" w:color="auto"/>
      </w:divBdr>
      <w:divsChild>
        <w:div w:id="1579555387">
          <w:marLeft w:val="0"/>
          <w:marRight w:val="0"/>
          <w:marTop w:val="0"/>
          <w:marBottom w:val="0"/>
          <w:divBdr>
            <w:top w:val="none" w:sz="0" w:space="0" w:color="auto"/>
            <w:left w:val="none" w:sz="0" w:space="0" w:color="auto"/>
            <w:bottom w:val="none" w:sz="0" w:space="0" w:color="auto"/>
            <w:right w:val="none" w:sz="0" w:space="0" w:color="auto"/>
          </w:divBdr>
        </w:div>
      </w:divsChild>
    </w:div>
    <w:div w:id="1701859190">
      <w:marLeft w:val="0"/>
      <w:marRight w:val="0"/>
      <w:marTop w:val="0"/>
      <w:marBottom w:val="0"/>
      <w:divBdr>
        <w:top w:val="none" w:sz="0" w:space="0" w:color="auto"/>
        <w:left w:val="none" w:sz="0" w:space="0" w:color="auto"/>
        <w:bottom w:val="none" w:sz="0" w:space="0" w:color="auto"/>
        <w:right w:val="none" w:sz="0" w:space="0" w:color="auto"/>
      </w:divBdr>
      <w:divsChild>
        <w:div w:id="1490901268">
          <w:marLeft w:val="0"/>
          <w:marRight w:val="0"/>
          <w:marTop w:val="0"/>
          <w:marBottom w:val="0"/>
          <w:divBdr>
            <w:top w:val="none" w:sz="0" w:space="0" w:color="auto"/>
            <w:left w:val="none" w:sz="0" w:space="0" w:color="auto"/>
            <w:bottom w:val="none" w:sz="0" w:space="0" w:color="auto"/>
            <w:right w:val="none" w:sz="0" w:space="0" w:color="auto"/>
          </w:divBdr>
        </w:div>
      </w:divsChild>
    </w:div>
    <w:div w:id="1703169682">
      <w:marLeft w:val="0"/>
      <w:marRight w:val="0"/>
      <w:marTop w:val="0"/>
      <w:marBottom w:val="0"/>
      <w:divBdr>
        <w:top w:val="none" w:sz="0" w:space="0" w:color="auto"/>
        <w:left w:val="none" w:sz="0" w:space="0" w:color="auto"/>
        <w:bottom w:val="none" w:sz="0" w:space="0" w:color="auto"/>
        <w:right w:val="none" w:sz="0" w:space="0" w:color="auto"/>
      </w:divBdr>
      <w:divsChild>
        <w:div w:id="289361328">
          <w:marLeft w:val="0"/>
          <w:marRight w:val="0"/>
          <w:marTop w:val="0"/>
          <w:marBottom w:val="0"/>
          <w:divBdr>
            <w:top w:val="none" w:sz="0" w:space="0" w:color="auto"/>
            <w:left w:val="none" w:sz="0" w:space="0" w:color="auto"/>
            <w:bottom w:val="none" w:sz="0" w:space="0" w:color="auto"/>
            <w:right w:val="none" w:sz="0" w:space="0" w:color="auto"/>
          </w:divBdr>
        </w:div>
      </w:divsChild>
    </w:div>
    <w:div w:id="1704138573">
      <w:marLeft w:val="0"/>
      <w:marRight w:val="0"/>
      <w:marTop w:val="100"/>
      <w:marBottom w:val="0"/>
      <w:divBdr>
        <w:top w:val="none" w:sz="0" w:space="0" w:color="auto"/>
        <w:left w:val="none" w:sz="0" w:space="0" w:color="auto"/>
        <w:bottom w:val="none" w:sz="0" w:space="0" w:color="auto"/>
        <w:right w:val="none" w:sz="0" w:space="0" w:color="auto"/>
      </w:divBdr>
    </w:div>
    <w:div w:id="1727294016">
      <w:marLeft w:val="0"/>
      <w:marRight w:val="0"/>
      <w:marTop w:val="0"/>
      <w:marBottom w:val="0"/>
      <w:divBdr>
        <w:top w:val="none" w:sz="0" w:space="0" w:color="auto"/>
        <w:left w:val="none" w:sz="0" w:space="0" w:color="auto"/>
        <w:bottom w:val="none" w:sz="0" w:space="0" w:color="auto"/>
        <w:right w:val="none" w:sz="0" w:space="0" w:color="auto"/>
      </w:divBdr>
    </w:div>
    <w:div w:id="1729643180">
      <w:marLeft w:val="0"/>
      <w:marRight w:val="0"/>
      <w:marTop w:val="0"/>
      <w:marBottom w:val="0"/>
      <w:divBdr>
        <w:top w:val="none" w:sz="0" w:space="0" w:color="auto"/>
        <w:left w:val="none" w:sz="0" w:space="0" w:color="auto"/>
        <w:bottom w:val="none" w:sz="0" w:space="0" w:color="auto"/>
        <w:right w:val="none" w:sz="0" w:space="0" w:color="auto"/>
      </w:divBdr>
    </w:div>
    <w:div w:id="1739670738">
      <w:marLeft w:val="0"/>
      <w:marRight w:val="0"/>
      <w:marTop w:val="0"/>
      <w:marBottom w:val="0"/>
      <w:divBdr>
        <w:top w:val="none" w:sz="0" w:space="0" w:color="auto"/>
        <w:left w:val="none" w:sz="0" w:space="0" w:color="auto"/>
        <w:bottom w:val="none" w:sz="0" w:space="0" w:color="auto"/>
        <w:right w:val="none" w:sz="0" w:space="0" w:color="auto"/>
      </w:divBdr>
      <w:divsChild>
        <w:div w:id="1311207678">
          <w:marLeft w:val="0"/>
          <w:marRight w:val="0"/>
          <w:marTop w:val="0"/>
          <w:marBottom w:val="0"/>
          <w:divBdr>
            <w:top w:val="none" w:sz="0" w:space="0" w:color="auto"/>
            <w:left w:val="none" w:sz="0" w:space="0" w:color="auto"/>
            <w:bottom w:val="none" w:sz="0" w:space="0" w:color="auto"/>
            <w:right w:val="none" w:sz="0" w:space="0" w:color="auto"/>
          </w:divBdr>
        </w:div>
      </w:divsChild>
    </w:div>
    <w:div w:id="1740322290">
      <w:marLeft w:val="0"/>
      <w:marRight w:val="0"/>
      <w:marTop w:val="100"/>
      <w:marBottom w:val="0"/>
      <w:divBdr>
        <w:top w:val="none" w:sz="0" w:space="0" w:color="auto"/>
        <w:left w:val="none" w:sz="0" w:space="0" w:color="auto"/>
        <w:bottom w:val="none" w:sz="0" w:space="0" w:color="auto"/>
        <w:right w:val="none" w:sz="0" w:space="0" w:color="auto"/>
      </w:divBdr>
    </w:div>
    <w:div w:id="1772773197">
      <w:marLeft w:val="0"/>
      <w:marRight w:val="0"/>
      <w:marTop w:val="0"/>
      <w:marBottom w:val="0"/>
      <w:divBdr>
        <w:top w:val="none" w:sz="0" w:space="0" w:color="auto"/>
        <w:left w:val="none" w:sz="0" w:space="0" w:color="auto"/>
        <w:bottom w:val="none" w:sz="0" w:space="0" w:color="auto"/>
        <w:right w:val="none" w:sz="0" w:space="0" w:color="auto"/>
      </w:divBdr>
    </w:div>
    <w:div w:id="1781216756">
      <w:marLeft w:val="0"/>
      <w:marRight w:val="0"/>
      <w:marTop w:val="0"/>
      <w:marBottom w:val="0"/>
      <w:divBdr>
        <w:top w:val="none" w:sz="0" w:space="0" w:color="auto"/>
        <w:left w:val="none" w:sz="0" w:space="0" w:color="auto"/>
        <w:bottom w:val="none" w:sz="0" w:space="0" w:color="auto"/>
        <w:right w:val="none" w:sz="0" w:space="0" w:color="auto"/>
      </w:divBdr>
      <w:divsChild>
        <w:div w:id="478421481">
          <w:marLeft w:val="0"/>
          <w:marRight w:val="0"/>
          <w:marTop w:val="0"/>
          <w:marBottom w:val="0"/>
          <w:divBdr>
            <w:top w:val="none" w:sz="0" w:space="0" w:color="auto"/>
            <w:left w:val="none" w:sz="0" w:space="0" w:color="auto"/>
            <w:bottom w:val="none" w:sz="0" w:space="0" w:color="auto"/>
            <w:right w:val="none" w:sz="0" w:space="0" w:color="auto"/>
          </w:divBdr>
        </w:div>
      </w:divsChild>
    </w:div>
    <w:div w:id="1785034080">
      <w:marLeft w:val="0"/>
      <w:marRight w:val="0"/>
      <w:marTop w:val="60"/>
      <w:marBottom w:val="60"/>
      <w:divBdr>
        <w:top w:val="none" w:sz="0" w:space="0" w:color="auto"/>
        <w:left w:val="none" w:sz="0" w:space="0" w:color="auto"/>
        <w:bottom w:val="none" w:sz="0" w:space="0" w:color="auto"/>
        <w:right w:val="none" w:sz="0" w:space="0" w:color="auto"/>
      </w:divBdr>
    </w:div>
    <w:div w:id="1788040208">
      <w:marLeft w:val="0"/>
      <w:marRight w:val="0"/>
      <w:marTop w:val="0"/>
      <w:marBottom w:val="0"/>
      <w:divBdr>
        <w:top w:val="none" w:sz="0" w:space="0" w:color="auto"/>
        <w:left w:val="none" w:sz="0" w:space="0" w:color="auto"/>
        <w:bottom w:val="none" w:sz="0" w:space="0" w:color="auto"/>
        <w:right w:val="none" w:sz="0" w:space="0" w:color="auto"/>
      </w:divBdr>
    </w:div>
    <w:div w:id="1790540726">
      <w:marLeft w:val="0"/>
      <w:marRight w:val="0"/>
      <w:marTop w:val="180"/>
      <w:marBottom w:val="0"/>
      <w:divBdr>
        <w:top w:val="none" w:sz="0" w:space="0" w:color="auto"/>
        <w:left w:val="none" w:sz="0" w:space="0" w:color="auto"/>
        <w:bottom w:val="none" w:sz="0" w:space="0" w:color="auto"/>
        <w:right w:val="none" w:sz="0" w:space="0" w:color="auto"/>
      </w:divBdr>
    </w:div>
    <w:div w:id="1803578682">
      <w:marLeft w:val="0"/>
      <w:marRight w:val="0"/>
      <w:marTop w:val="180"/>
      <w:marBottom w:val="0"/>
      <w:divBdr>
        <w:top w:val="none" w:sz="0" w:space="0" w:color="auto"/>
        <w:left w:val="none" w:sz="0" w:space="0" w:color="auto"/>
        <w:bottom w:val="none" w:sz="0" w:space="0" w:color="auto"/>
        <w:right w:val="none" w:sz="0" w:space="0" w:color="auto"/>
      </w:divBdr>
    </w:div>
    <w:div w:id="1804081620">
      <w:marLeft w:val="0"/>
      <w:marRight w:val="0"/>
      <w:marTop w:val="180"/>
      <w:marBottom w:val="0"/>
      <w:divBdr>
        <w:top w:val="none" w:sz="0" w:space="0" w:color="auto"/>
        <w:left w:val="none" w:sz="0" w:space="0" w:color="auto"/>
        <w:bottom w:val="none" w:sz="0" w:space="0" w:color="auto"/>
        <w:right w:val="none" w:sz="0" w:space="0" w:color="auto"/>
      </w:divBdr>
    </w:div>
    <w:div w:id="1807775413">
      <w:marLeft w:val="0"/>
      <w:marRight w:val="0"/>
      <w:marTop w:val="0"/>
      <w:marBottom w:val="0"/>
      <w:divBdr>
        <w:top w:val="none" w:sz="0" w:space="0" w:color="auto"/>
        <w:left w:val="none" w:sz="0" w:space="0" w:color="auto"/>
        <w:bottom w:val="none" w:sz="0" w:space="0" w:color="auto"/>
        <w:right w:val="none" w:sz="0" w:space="0" w:color="auto"/>
      </w:divBdr>
    </w:div>
    <w:div w:id="1807894152">
      <w:marLeft w:val="0"/>
      <w:marRight w:val="0"/>
      <w:marTop w:val="60"/>
      <w:marBottom w:val="0"/>
      <w:divBdr>
        <w:top w:val="none" w:sz="0" w:space="0" w:color="auto"/>
        <w:left w:val="none" w:sz="0" w:space="0" w:color="auto"/>
        <w:bottom w:val="none" w:sz="0" w:space="0" w:color="auto"/>
        <w:right w:val="none" w:sz="0" w:space="0" w:color="auto"/>
      </w:divBdr>
      <w:divsChild>
        <w:div w:id="1918324063">
          <w:marLeft w:val="0"/>
          <w:marRight w:val="0"/>
          <w:marTop w:val="180"/>
          <w:marBottom w:val="0"/>
          <w:divBdr>
            <w:top w:val="none" w:sz="0" w:space="0" w:color="auto"/>
            <w:left w:val="none" w:sz="0" w:space="0" w:color="auto"/>
            <w:bottom w:val="none" w:sz="0" w:space="0" w:color="auto"/>
            <w:right w:val="none" w:sz="0" w:space="0" w:color="auto"/>
          </w:divBdr>
        </w:div>
      </w:divsChild>
    </w:div>
    <w:div w:id="1808430439">
      <w:marLeft w:val="0"/>
      <w:marRight w:val="0"/>
      <w:marTop w:val="0"/>
      <w:marBottom w:val="0"/>
      <w:divBdr>
        <w:top w:val="none" w:sz="0" w:space="0" w:color="auto"/>
        <w:left w:val="none" w:sz="0" w:space="0" w:color="auto"/>
        <w:bottom w:val="none" w:sz="0" w:space="0" w:color="auto"/>
        <w:right w:val="none" w:sz="0" w:space="0" w:color="auto"/>
      </w:divBdr>
    </w:div>
    <w:div w:id="1816723950">
      <w:marLeft w:val="0"/>
      <w:marRight w:val="0"/>
      <w:marTop w:val="100"/>
      <w:marBottom w:val="0"/>
      <w:divBdr>
        <w:top w:val="none" w:sz="0" w:space="0" w:color="auto"/>
        <w:left w:val="none" w:sz="0" w:space="0" w:color="auto"/>
        <w:bottom w:val="none" w:sz="0" w:space="0" w:color="auto"/>
        <w:right w:val="none" w:sz="0" w:space="0" w:color="auto"/>
      </w:divBdr>
    </w:div>
    <w:div w:id="1824198267">
      <w:marLeft w:val="0"/>
      <w:marRight w:val="0"/>
      <w:marTop w:val="0"/>
      <w:marBottom w:val="0"/>
      <w:divBdr>
        <w:top w:val="none" w:sz="0" w:space="0" w:color="auto"/>
        <w:left w:val="none" w:sz="0" w:space="0" w:color="auto"/>
        <w:bottom w:val="none" w:sz="0" w:space="0" w:color="auto"/>
        <w:right w:val="none" w:sz="0" w:space="0" w:color="auto"/>
      </w:divBdr>
      <w:divsChild>
        <w:div w:id="109322805">
          <w:marLeft w:val="0"/>
          <w:marRight w:val="0"/>
          <w:marTop w:val="0"/>
          <w:marBottom w:val="0"/>
          <w:divBdr>
            <w:top w:val="none" w:sz="0" w:space="0" w:color="auto"/>
            <w:left w:val="none" w:sz="0" w:space="0" w:color="auto"/>
            <w:bottom w:val="none" w:sz="0" w:space="0" w:color="auto"/>
            <w:right w:val="none" w:sz="0" w:space="0" w:color="auto"/>
          </w:divBdr>
        </w:div>
      </w:divsChild>
    </w:div>
    <w:div w:id="1829978511">
      <w:marLeft w:val="0"/>
      <w:marRight w:val="0"/>
      <w:marTop w:val="0"/>
      <w:marBottom w:val="0"/>
      <w:divBdr>
        <w:top w:val="none" w:sz="0" w:space="0" w:color="auto"/>
        <w:left w:val="none" w:sz="0" w:space="0" w:color="auto"/>
        <w:bottom w:val="none" w:sz="0" w:space="0" w:color="auto"/>
        <w:right w:val="none" w:sz="0" w:space="0" w:color="auto"/>
      </w:divBdr>
      <w:divsChild>
        <w:div w:id="1504273648">
          <w:marLeft w:val="0"/>
          <w:marRight w:val="0"/>
          <w:marTop w:val="0"/>
          <w:marBottom w:val="0"/>
          <w:divBdr>
            <w:top w:val="none" w:sz="0" w:space="0" w:color="auto"/>
            <w:left w:val="none" w:sz="0" w:space="0" w:color="auto"/>
            <w:bottom w:val="none" w:sz="0" w:space="0" w:color="auto"/>
            <w:right w:val="none" w:sz="0" w:space="0" w:color="auto"/>
          </w:divBdr>
        </w:div>
      </w:divsChild>
    </w:div>
    <w:div w:id="1841234362">
      <w:marLeft w:val="0"/>
      <w:marRight w:val="0"/>
      <w:marTop w:val="0"/>
      <w:marBottom w:val="0"/>
      <w:divBdr>
        <w:top w:val="none" w:sz="0" w:space="0" w:color="auto"/>
        <w:left w:val="none" w:sz="0" w:space="0" w:color="auto"/>
        <w:bottom w:val="none" w:sz="0" w:space="0" w:color="auto"/>
        <w:right w:val="none" w:sz="0" w:space="0" w:color="auto"/>
      </w:divBdr>
      <w:divsChild>
        <w:div w:id="967665444">
          <w:marLeft w:val="0"/>
          <w:marRight w:val="0"/>
          <w:marTop w:val="0"/>
          <w:marBottom w:val="0"/>
          <w:divBdr>
            <w:top w:val="none" w:sz="0" w:space="0" w:color="auto"/>
            <w:left w:val="none" w:sz="0" w:space="0" w:color="auto"/>
            <w:bottom w:val="none" w:sz="0" w:space="0" w:color="auto"/>
            <w:right w:val="none" w:sz="0" w:space="0" w:color="auto"/>
          </w:divBdr>
        </w:div>
      </w:divsChild>
    </w:div>
    <w:div w:id="1842618803">
      <w:marLeft w:val="0"/>
      <w:marRight w:val="0"/>
      <w:marTop w:val="0"/>
      <w:marBottom w:val="0"/>
      <w:divBdr>
        <w:top w:val="none" w:sz="0" w:space="0" w:color="auto"/>
        <w:left w:val="none" w:sz="0" w:space="0" w:color="auto"/>
        <w:bottom w:val="none" w:sz="0" w:space="0" w:color="auto"/>
        <w:right w:val="none" w:sz="0" w:space="0" w:color="auto"/>
      </w:divBdr>
      <w:divsChild>
        <w:div w:id="734471350">
          <w:marLeft w:val="0"/>
          <w:marRight w:val="0"/>
          <w:marTop w:val="0"/>
          <w:marBottom w:val="0"/>
          <w:divBdr>
            <w:top w:val="none" w:sz="0" w:space="0" w:color="auto"/>
            <w:left w:val="none" w:sz="0" w:space="0" w:color="auto"/>
            <w:bottom w:val="none" w:sz="0" w:space="0" w:color="auto"/>
            <w:right w:val="none" w:sz="0" w:space="0" w:color="auto"/>
          </w:divBdr>
        </w:div>
      </w:divsChild>
    </w:div>
    <w:div w:id="1844930358">
      <w:marLeft w:val="0"/>
      <w:marRight w:val="0"/>
      <w:marTop w:val="100"/>
      <w:marBottom w:val="0"/>
      <w:divBdr>
        <w:top w:val="none" w:sz="0" w:space="0" w:color="auto"/>
        <w:left w:val="none" w:sz="0" w:space="0" w:color="auto"/>
        <w:bottom w:val="none" w:sz="0" w:space="0" w:color="auto"/>
        <w:right w:val="none" w:sz="0" w:space="0" w:color="auto"/>
      </w:divBdr>
    </w:div>
    <w:div w:id="1851985993">
      <w:marLeft w:val="0"/>
      <w:marRight w:val="0"/>
      <w:marTop w:val="0"/>
      <w:marBottom w:val="0"/>
      <w:divBdr>
        <w:top w:val="none" w:sz="0" w:space="0" w:color="auto"/>
        <w:left w:val="none" w:sz="0" w:space="0" w:color="auto"/>
        <w:bottom w:val="none" w:sz="0" w:space="0" w:color="auto"/>
        <w:right w:val="none" w:sz="0" w:space="0" w:color="auto"/>
      </w:divBdr>
    </w:div>
    <w:div w:id="1852791304">
      <w:marLeft w:val="0"/>
      <w:marRight w:val="0"/>
      <w:marTop w:val="180"/>
      <w:marBottom w:val="0"/>
      <w:divBdr>
        <w:top w:val="none" w:sz="0" w:space="0" w:color="auto"/>
        <w:left w:val="none" w:sz="0" w:space="0" w:color="auto"/>
        <w:bottom w:val="none" w:sz="0" w:space="0" w:color="auto"/>
        <w:right w:val="none" w:sz="0" w:space="0" w:color="auto"/>
      </w:divBdr>
    </w:div>
    <w:div w:id="1869874763">
      <w:marLeft w:val="0"/>
      <w:marRight w:val="0"/>
      <w:marTop w:val="100"/>
      <w:marBottom w:val="0"/>
      <w:divBdr>
        <w:top w:val="none" w:sz="0" w:space="0" w:color="auto"/>
        <w:left w:val="none" w:sz="0" w:space="0" w:color="auto"/>
        <w:bottom w:val="none" w:sz="0" w:space="0" w:color="auto"/>
        <w:right w:val="none" w:sz="0" w:space="0" w:color="auto"/>
      </w:divBdr>
    </w:div>
    <w:div w:id="1873348424">
      <w:marLeft w:val="0"/>
      <w:marRight w:val="0"/>
      <w:marTop w:val="0"/>
      <w:marBottom w:val="0"/>
      <w:divBdr>
        <w:top w:val="none" w:sz="0" w:space="0" w:color="auto"/>
        <w:left w:val="none" w:sz="0" w:space="0" w:color="auto"/>
        <w:bottom w:val="none" w:sz="0" w:space="0" w:color="auto"/>
        <w:right w:val="none" w:sz="0" w:space="0" w:color="auto"/>
      </w:divBdr>
      <w:divsChild>
        <w:div w:id="2041316435">
          <w:marLeft w:val="0"/>
          <w:marRight w:val="0"/>
          <w:marTop w:val="0"/>
          <w:marBottom w:val="0"/>
          <w:divBdr>
            <w:top w:val="none" w:sz="0" w:space="0" w:color="auto"/>
            <w:left w:val="none" w:sz="0" w:space="0" w:color="auto"/>
            <w:bottom w:val="none" w:sz="0" w:space="0" w:color="auto"/>
            <w:right w:val="none" w:sz="0" w:space="0" w:color="auto"/>
          </w:divBdr>
        </w:div>
      </w:divsChild>
    </w:div>
    <w:div w:id="1873499353">
      <w:marLeft w:val="0"/>
      <w:marRight w:val="0"/>
      <w:marTop w:val="0"/>
      <w:marBottom w:val="0"/>
      <w:divBdr>
        <w:top w:val="none" w:sz="0" w:space="0" w:color="auto"/>
        <w:left w:val="none" w:sz="0" w:space="0" w:color="auto"/>
        <w:bottom w:val="none" w:sz="0" w:space="0" w:color="auto"/>
        <w:right w:val="none" w:sz="0" w:space="0" w:color="auto"/>
      </w:divBdr>
    </w:div>
    <w:div w:id="1875576440">
      <w:marLeft w:val="0"/>
      <w:marRight w:val="0"/>
      <w:marTop w:val="180"/>
      <w:marBottom w:val="180"/>
      <w:divBdr>
        <w:top w:val="none" w:sz="0" w:space="0" w:color="auto"/>
        <w:left w:val="none" w:sz="0" w:space="0" w:color="auto"/>
        <w:bottom w:val="none" w:sz="0" w:space="0" w:color="auto"/>
        <w:right w:val="none" w:sz="0" w:space="0" w:color="auto"/>
      </w:divBdr>
    </w:div>
    <w:div w:id="1880362217">
      <w:marLeft w:val="0"/>
      <w:marRight w:val="0"/>
      <w:marTop w:val="0"/>
      <w:marBottom w:val="0"/>
      <w:divBdr>
        <w:top w:val="none" w:sz="0" w:space="0" w:color="auto"/>
        <w:left w:val="none" w:sz="0" w:space="0" w:color="auto"/>
        <w:bottom w:val="none" w:sz="0" w:space="0" w:color="auto"/>
        <w:right w:val="none" w:sz="0" w:space="0" w:color="auto"/>
      </w:divBdr>
    </w:div>
    <w:div w:id="1880781267">
      <w:marLeft w:val="0"/>
      <w:marRight w:val="0"/>
      <w:marTop w:val="0"/>
      <w:marBottom w:val="0"/>
      <w:divBdr>
        <w:top w:val="none" w:sz="0" w:space="0" w:color="auto"/>
        <w:left w:val="none" w:sz="0" w:space="0" w:color="auto"/>
        <w:bottom w:val="none" w:sz="0" w:space="0" w:color="auto"/>
        <w:right w:val="none" w:sz="0" w:space="0" w:color="auto"/>
      </w:divBdr>
    </w:div>
    <w:div w:id="1885406144">
      <w:marLeft w:val="0"/>
      <w:marRight w:val="0"/>
      <w:marTop w:val="0"/>
      <w:marBottom w:val="0"/>
      <w:divBdr>
        <w:top w:val="none" w:sz="0" w:space="0" w:color="auto"/>
        <w:left w:val="none" w:sz="0" w:space="0" w:color="auto"/>
        <w:bottom w:val="none" w:sz="0" w:space="0" w:color="auto"/>
        <w:right w:val="none" w:sz="0" w:space="0" w:color="auto"/>
      </w:divBdr>
      <w:divsChild>
        <w:div w:id="557790411">
          <w:marLeft w:val="0"/>
          <w:marRight w:val="0"/>
          <w:marTop w:val="0"/>
          <w:marBottom w:val="0"/>
          <w:divBdr>
            <w:top w:val="none" w:sz="0" w:space="0" w:color="auto"/>
            <w:left w:val="none" w:sz="0" w:space="0" w:color="auto"/>
            <w:bottom w:val="none" w:sz="0" w:space="0" w:color="auto"/>
            <w:right w:val="none" w:sz="0" w:space="0" w:color="auto"/>
          </w:divBdr>
        </w:div>
      </w:divsChild>
    </w:div>
    <w:div w:id="1886330426">
      <w:marLeft w:val="0"/>
      <w:marRight w:val="0"/>
      <w:marTop w:val="100"/>
      <w:marBottom w:val="0"/>
      <w:divBdr>
        <w:top w:val="none" w:sz="0" w:space="0" w:color="auto"/>
        <w:left w:val="none" w:sz="0" w:space="0" w:color="auto"/>
        <w:bottom w:val="none" w:sz="0" w:space="0" w:color="auto"/>
        <w:right w:val="none" w:sz="0" w:space="0" w:color="auto"/>
      </w:divBdr>
    </w:div>
    <w:div w:id="1886676842">
      <w:marLeft w:val="0"/>
      <w:marRight w:val="0"/>
      <w:marTop w:val="0"/>
      <w:marBottom w:val="0"/>
      <w:divBdr>
        <w:top w:val="none" w:sz="0" w:space="0" w:color="auto"/>
        <w:left w:val="none" w:sz="0" w:space="0" w:color="auto"/>
        <w:bottom w:val="none" w:sz="0" w:space="0" w:color="auto"/>
        <w:right w:val="none" w:sz="0" w:space="0" w:color="auto"/>
      </w:divBdr>
    </w:div>
    <w:div w:id="1887109495">
      <w:marLeft w:val="0"/>
      <w:marRight w:val="0"/>
      <w:marTop w:val="0"/>
      <w:marBottom w:val="0"/>
      <w:divBdr>
        <w:top w:val="none" w:sz="0" w:space="0" w:color="auto"/>
        <w:left w:val="none" w:sz="0" w:space="0" w:color="auto"/>
        <w:bottom w:val="none" w:sz="0" w:space="0" w:color="auto"/>
        <w:right w:val="none" w:sz="0" w:space="0" w:color="auto"/>
      </w:divBdr>
      <w:divsChild>
        <w:div w:id="1460026812">
          <w:marLeft w:val="0"/>
          <w:marRight w:val="0"/>
          <w:marTop w:val="0"/>
          <w:marBottom w:val="0"/>
          <w:divBdr>
            <w:top w:val="none" w:sz="0" w:space="0" w:color="auto"/>
            <w:left w:val="none" w:sz="0" w:space="0" w:color="auto"/>
            <w:bottom w:val="none" w:sz="0" w:space="0" w:color="auto"/>
            <w:right w:val="none" w:sz="0" w:space="0" w:color="auto"/>
          </w:divBdr>
        </w:div>
      </w:divsChild>
    </w:div>
    <w:div w:id="1890456291">
      <w:marLeft w:val="0"/>
      <w:marRight w:val="0"/>
      <w:marTop w:val="180"/>
      <w:marBottom w:val="0"/>
      <w:divBdr>
        <w:top w:val="none" w:sz="0" w:space="0" w:color="auto"/>
        <w:left w:val="none" w:sz="0" w:space="0" w:color="auto"/>
        <w:bottom w:val="none" w:sz="0" w:space="0" w:color="auto"/>
        <w:right w:val="none" w:sz="0" w:space="0" w:color="auto"/>
      </w:divBdr>
    </w:div>
    <w:div w:id="1891334154">
      <w:marLeft w:val="0"/>
      <w:marRight w:val="0"/>
      <w:marTop w:val="0"/>
      <w:marBottom w:val="0"/>
      <w:divBdr>
        <w:top w:val="none" w:sz="0" w:space="0" w:color="auto"/>
        <w:left w:val="none" w:sz="0" w:space="0" w:color="auto"/>
        <w:bottom w:val="none" w:sz="0" w:space="0" w:color="auto"/>
        <w:right w:val="none" w:sz="0" w:space="0" w:color="auto"/>
      </w:divBdr>
    </w:div>
    <w:div w:id="1896818344">
      <w:marLeft w:val="0"/>
      <w:marRight w:val="0"/>
      <w:marTop w:val="0"/>
      <w:marBottom w:val="0"/>
      <w:divBdr>
        <w:top w:val="none" w:sz="0" w:space="0" w:color="auto"/>
        <w:left w:val="none" w:sz="0" w:space="0" w:color="auto"/>
        <w:bottom w:val="none" w:sz="0" w:space="0" w:color="auto"/>
        <w:right w:val="none" w:sz="0" w:space="0" w:color="auto"/>
      </w:divBdr>
      <w:divsChild>
        <w:div w:id="668217570">
          <w:marLeft w:val="0"/>
          <w:marRight w:val="0"/>
          <w:marTop w:val="0"/>
          <w:marBottom w:val="0"/>
          <w:divBdr>
            <w:top w:val="none" w:sz="0" w:space="0" w:color="auto"/>
            <w:left w:val="none" w:sz="0" w:space="0" w:color="auto"/>
            <w:bottom w:val="none" w:sz="0" w:space="0" w:color="auto"/>
            <w:right w:val="none" w:sz="0" w:space="0" w:color="auto"/>
          </w:divBdr>
        </w:div>
      </w:divsChild>
    </w:div>
    <w:div w:id="1902985496">
      <w:marLeft w:val="0"/>
      <w:marRight w:val="0"/>
      <w:marTop w:val="0"/>
      <w:marBottom w:val="0"/>
      <w:divBdr>
        <w:top w:val="none" w:sz="0" w:space="0" w:color="auto"/>
        <w:left w:val="none" w:sz="0" w:space="0" w:color="auto"/>
        <w:bottom w:val="none" w:sz="0" w:space="0" w:color="auto"/>
        <w:right w:val="none" w:sz="0" w:space="0" w:color="auto"/>
      </w:divBdr>
      <w:divsChild>
        <w:div w:id="338626743">
          <w:marLeft w:val="0"/>
          <w:marRight w:val="0"/>
          <w:marTop w:val="0"/>
          <w:marBottom w:val="0"/>
          <w:divBdr>
            <w:top w:val="none" w:sz="0" w:space="0" w:color="auto"/>
            <w:left w:val="none" w:sz="0" w:space="0" w:color="auto"/>
            <w:bottom w:val="none" w:sz="0" w:space="0" w:color="auto"/>
            <w:right w:val="none" w:sz="0" w:space="0" w:color="auto"/>
          </w:divBdr>
        </w:div>
      </w:divsChild>
    </w:div>
    <w:div w:id="1907297056">
      <w:marLeft w:val="0"/>
      <w:marRight w:val="0"/>
      <w:marTop w:val="100"/>
      <w:marBottom w:val="0"/>
      <w:divBdr>
        <w:top w:val="none" w:sz="0" w:space="0" w:color="auto"/>
        <w:left w:val="none" w:sz="0" w:space="0" w:color="auto"/>
        <w:bottom w:val="none" w:sz="0" w:space="0" w:color="auto"/>
        <w:right w:val="none" w:sz="0" w:space="0" w:color="auto"/>
      </w:divBdr>
    </w:div>
    <w:div w:id="1915822756">
      <w:marLeft w:val="0"/>
      <w:marRight w:val="0"/>
      <w:marTop w:val="60"/>
      <w:marBottom w:val="60"/>
      <w:divBdr>
        <w:top w:val="none" w:sz="0" w:space="0" w:color="auto"/>
        <w:left w:val="none" w:sz="0" w:space="0" w:color="auto"/>
        <w:bottom w:val="none" w:sz="0" w:space="0" w:color="auto"/>
        <w:right w:val="none" w:sz="0" w:space="0" w:color="auto"/>
      </w:divBdr>
    </w:div>
    <w:div w:id="1918242210">
      <w:marLeft w:val="0"/>
      <w:marRight w:val="0"/>
      <w:marTop w:val="0"/>
      <w:marBottom w:val="0"/>
      <w:divBdr>
        <w:top w:val="none" w:sz="0" w:space="0" w:color="auto"/>
        <w:left w:val="none" w:sz="0" w:space="0" w:color="auto"/>
        <w:bottom w:val="none" w:sz="0" w:space="0" w:color="auto"/>
        <w:right w:val="none" w:sz="0" w:space="0" w:color="auto"/>
      </w:divBdr>
      <w:divsChild>
        <w:div w:id="695422417">
          <w:marLeft w:val="0"/>
          <w:marRight w:val="0"/>
          <w:marTop w:val="0"/>
          <w:marBottom w:val="0"/>
          <w:divBdr>
            <w:top w:val="none" w:sz="0" w:space="0" w:color="auto"/>
            <w:left w:val="none" w:sz="0" w:space="0" w:color="auto"/>
            <w:bottom w:val="none" w:sz="0" w:space="0" w:color="auto"/>
            <w:right w:val="none" w:sz="0" w:space="0" w:color="auto"/>
          </w:divBdr>
        </w:div>
      </w:divsChild>
    </w:div>
    <w:div w:id="1925676353">
      <w:marLeft w:val="0"/>
      <w:marRight w:val="0"/>
      <w:marTop w:val="0"/>
      <w:marBottom w:val="0"/>
      <w:divBdr>
        <w:top w:val="none" w:sz="0" w:space="0" w:color="auto"/>
        <w:left w:val="none" w:sz="0" w:space="0" w:color="auto"/>
        <w:bottom w:val="none" w:sz="0" w:space="0" w:color="auto"/>
        <w:right w:val="none" w:sz="0" w:space="0" w:color="auto"/>
      </w:divBdr>
    </w:div>
    <w:div w:id="1926180361">
      <w:marLeft w:val="0"/>
      <w:marRight w:val="0"/>
      <w:marTop w:val="0"/>
      <w:marBottom w:val="0"/>
      <w:divBdr>
        <w:top w:val="none" w:sz="0" w:space="0" w:color="auto"/>
        <w:left w:val="none" w:sz="0" w:space="0" w:color="auto"/>
        <w:bottom w:val="none" w:sz="0" w:space="0" w:color="auto"/>
        <w:right w:val="none" w:sz="0" w:space="0" w:color="auto"/>
      </w:divBdr>
    </w:div>
    <w:div w:id="1930001957">
      <w:marLeft w:val="0"/>
      <w:marRight w:val="0"/>
      <w:marTop w:val="0"/>
      <w:marBottom w:val="0"/>
      <w:divBdr>
        <w:top w:val="none" w:sz="0" w:space="0" w:color="auto"/>
        <w:left w:val="none" w:sz="0" w:space="0" w:color="auto"/>
        <w:bottom w:val="none" w:sz="0" w:space="0" w:color="auto"/>
        <w:right w:val="none" w:sz="0" w:space="0" w:color="auto"/>
      </w:divBdr>
    </w:div>
    <w:div w:id="1930457981">
      <w:marLeft w:val="0"/>
      <w:marRight w:val="0"/>
      <w:marTop w:val="100"/>
      <w:marBottom w:val="0"/>
      <w:divBdr>
        <w:top w:val="none" w:sz="0" w:space="0" w:color="auto"/>
        <w:left w:val="none" w:sz="0" w:space="0" w:color="auto"/>
        <w:bottom w:val="none" w:sz="0" w:space="0" w:color="auto"/>
        <w:right w:val="none" w:sz="0" w:space="0" w:color="auto"/>
      </w:divBdr>
    </w:div>
    <w:div w:id="1930851570">
      <w:marLeft w:val="0"/>
      <w:marRight w:val="0"/>
      <w:marTop w:val="0"/>
      <w:marBottom w:val="160"/>
      <w:divBdr>
        <w:top w:val="none" w:sz="0" w:space="0" w:color="auto"/>
        <w:left w:val="none" w:sz="0" w:space="0" w:color="auto"/>
        <w:bottom w:val="none" w:sz="0" w:space="0" w:color="auto"/>
        <w:right w:val="none" w:sz="0" w:space="0" w:color="auto"/>
      </w:divBdr>
    </w:div>
    <w:div w:id="1930918861">
      <w:marLeft w:val="0"/>
      <w:marRight w:val="0"/>
      <w:marTop w:val="180"/>
      <w:marBottom w:val="0"/>
      <w:divBdr>
        <w:top w:val="none" w:sz="0" w:space="0" w:color="auto"/>
        <w:left w:val="none" w:sz="0" w:space="0" w:color="auto"/>
        <w:bottom w:val="none" w:sz="0" w:space="0" w:color="auto"/>
        <w:right w:val="none" w:sz="0" w:space="0" w:color="auto"/>
      </w:divBdr>
    </w:div>
    <w:div w:id="1940020413">
      <w:marLeft w:val="0"/>
      <w:marRight w:val="0"/>
      <w:marTop w:val="0"/>
      <w:marBottom w:val="0"/>
      <w:divBdr>
        <w:top w:val="none" w:sz="0" w:space="0" w:color="auto"/>
        <w:left w:val="none" w:sz="0" w:space="0" w:color="auto"/>
        <w:bottom w:val="none" w:sz="0" w:space="0" w:color="auto"/>
        <w:right w:val="none" w:sz="0" w:space="0" w:color="auto"/>
      </w:divBdr>
    </w:div>
    <w:div w:id="1943956628">
      <w:marLeft w:val="0"/>
      <w:marRight w:val="0"/>
      <w:marTop w:val="0"/>
      <w:marBottom w:val="0"/>
      <w:divBdr>
        <w:top w:val="none" w:sz="0" w:space="0" w:color="auto"/>
        <w:left w:val="none" w:sz="0" w:space="0" w:color="auto"/>
        <w:bottom w:val="none" w:sz="0" w:space="0" w:color="auto"/>
        <w:right w:val="none" w:sz="0" w:space="0" w:color="auto"/>
      </w:divBdr>
      <w:divsChild>
        <w:div w:id="1131167054">
          <w:marLeft w:val="0"/>
          <w:marRight w:val="0"/>
          <w:marTop w:val="0"/>
          <w:marBottom w:val="0"/>
          <w:divBdr>
            <w:top w:val="none" w:sz="0" w:space="0" w:color="auto"/>
            <w:left w:val="none" w:sz="0" w:space="0" w:color="auto"/>
            <w:bottom w:val="none" w:sz="0" w:space="0" w:color="auto"/>
            <w:right w:val="none" w:sz="0" w:space="0" w:color="auto"/>
          </w:divBdr>
        </w:div>
      </w:divsChild>
    </w:div>
    <w:div w:id="1945839417">
      <w:marLeft w:val="0"/>
      <w:marRight w:val="0"/>
      <w:marTop w:val="0"/>
      <w:marBottom w:val="0"/>
      <w:divBdr>
        <w:top w:val="none" w:sz="0" w:space="0" w:color="auto"/>
        <w:left w:val="none" w:sz="0" w:space="0" w:color="auto"/>
        <w:bottom w:val="none" w:sz="0" w:space="0" w:color="auto"/>
        <w:right w:val="none" w:sz="0" w:space="0" w:color="auto"/>
      </w:divBdr>
      <w:divsChild>
        <w:div w:id="1892767433">
          <w:marLeft w:val="0"/>
          <w:marRight w:val="0"/>
          <w:marTop w:val="0"/>
          <w:marBottom w:val="0"/>
          <w:divBdr>
            <w:top w:val="none" w:sz="0" w:space="0" w:color="auto"/>
            <w:left w:val="none" w:sz="0" w:space="0" w:color="auto"/>
            <w:bottom w:val="none" w:sz="0" w:space="0" w:color="auto"/>
            <w:right w:val="none" w:sz="0" w:space="0" w:color="auto"/>
          </w:divBdr>
        </w:div>
      </w:divsChild>
    </w:div>
    <w:div w:id="1949508089">
      <w:marLeft w:val="0"/>
      <w:marRight w:val="0"/>
      <w:marTop w:val="0"/>
      <w:marBottom w:val="0"/>
      <w:divBdr>
        <w:top w:val="none" w:sz="0" w:space="0" w:color="auto"/>
        <w:left w:val="none" w:sz="0" w:space="0" w:color="auto"/>
        <w:bottom w:val="none" w:sz="0" w:space="0" w:color="auto"/>
        <w:right w:val="none" w:sz="0" w:space="0" w:color="auto"/>
      </w:divBdr>
    </w:div>
    <w:div w:id="1956056439">
      <w:marLeft w:val="0"/>
      <w:marRight w:val="0"/>
      <w:marTop w:val="0"/>
      <w:marBottom w:val="0"/>
      <w:divBdr>
        <w:top w:val="none" w:sz="0" w:space="0" w:color="auto"/>
        <w:left w:val="none" w:sz="0" w:space="0" w:color="auto"/>
        <w:bottom w:val="none" w:sz="0" w:space="0" w:color="auto"/>
        <w:right w:val="none" w:sz="0" w:space="0" w:color="auto"/>
      </w:divBdr>
    </w:div>
    <w:div w:id="1964143526">
      <w:marLeft w:val="0"/>
      <w:marRight w:val="0"/>
      <w:marTop w:val="100"/>
      <w:marBottom w:val="0"/>
      <w:divBdr>
        <w:top w:val="none" w:sz="0" w:space="0" w:color="auto"/>
        <w:left w:val="none" w:sz="0" w:space="0" w:color="auto"/>
        <w:bottom w:val="none" w:sz="0" w:space="0" w:color="auto"/>
        <w:right w:val="none" w:sz="0" w:space="0" w:color="auto"/>
      </w:divBdr>
    </w:div>
    <w:div w:id="1980526787">
      <w:marLeft w:val="0"/>
      <w:marRight w:val="0"/>
      <w:marTop w:val="0"/>
      <w:marBottom w:val="0"/>
      <w:divBdr>
        <w:top w:val="none" w:sz="0" w:space="0" w:color="auto"/>
        <w:left w:val="none" w:sz="0" w:space="0" w:color="auto"/>
        <w:bottom w:val="none" w:sz="0" w:space="0" w:color="auto"/>
        <w:right w:val="none" w:sz="0" w:space="0" w:color="auto"/>
      </w:divBdr>
    </w:div>
    <w:div w:id="1981300973">
      <w:marLeft w:val="0"/>
      <w:marRight w:val="0"/>
      <w:marTop w:val="0"/>
      <w:marBottom w:val="0"/>
      <w:divBdr>
        <w:top w:val="none" w:sz="0" w:space="0" w:color="auto"/>
        <w:left w:val="none" w:sz="0" w:space="0" w:color="auto"/>
        <w:bottom w:val="none" w:sz="0" w:space="0" w:color="auto"/>
        <w:right w:val="none" w:sz="0" w:space="0" w:color="auto"/>
      </w:divBdr>
      <w:divsChild>
        <w:div w:id="270279809">
          <w:marLeft w:val="0"/>
          <w:marRight w:val="0"/>
          <w:marTop w:val="0"/>
          <w:marBottom w:val="0"/>
          <w:divBdr>
            <w:top w:val="none" w:sz="0" w:space="0" w:color="auto"/>
            <w:left w:val="none" w:sz="0" w:space="0" w:color="auto"/>
            <w:bottom w:val="none" w:sz="0" w:space="0" w:color="auto"/>
            <w:right w:val="none" w:sz="0" w:space="0" w:color="auto"/>
          </w:divBdr>
        </w:div>
      </w:divsChild>
    </w:div>
    <w:div w:id="1989094306">
      <w:marLeft w:val="0"/>
      <w:marRight w:val="0"/>
      <w:marTop w:val="0"/>
      <w:marBottom w:val="0"/>
      <w:divBdr>
        <w:top w:val="none" w:sz="0" w:space="0" w:color="auto"/>
        <w:left w:val="none" w:sz="0" w:space="0" w:color="auto"/>
        <w:bottom w:val="none" w:sz="0" w:space="0" w:color="auto"/>
        <w:right w:val="none" w:sz="0" w:space="0" w:color="auto"/>
      </w:divBdr>
      <w:divsChild>
        <w:div w:id="472984135">
          <w:marLeft w:val="0"/>
          <w:marRight w:val="0"/>
          <w:marTop w:val="0"/>
          <w:marBottom w:val="0"/>
          <w:divBdr>
            <w:top w:val="none" w:sz="0" w:space="0" w:color="auto"/>
            <w:left w:val="none" w:sz="0" w:space="0" w:color="auto"/>
            <w:bottom w:val="none" w:sz="0" w:space="0" w:color="auto"/>
            <w:right w:val="none" w:sz="0" w:space="0" w:color="auto"/>
          </w:divBdr>
        </w:div>
      </w:divsChild>
    </w:div>
    <w:div w:id="1989702090">
      <w:marLeft w:val="0"/>
      <w:marRight w:val="0"/>
      <w:marTop w:val="0"/>
      <w:marBottom w:val="0"/>
      <w:divBdr>
        <w:top w:val="none" w:sz="0" w:space="0" w:color="auto"/>
        <w:left w:val="none" w:sz="0" w:space="0" w:color="auto"/>
        <w:bottom w:val="none" w:sz="0" w:space="0" w:color="auto"/>
        <w:right w:val="none" w:sz="0" w:space="0" w:color="auto"/>
      </w:divBdr>
    </w:div>
    <w:div w:id="1992442305">
      <w:marLeft w:val="0"/>
      <w:marRight w:val="0"/>
      <w:marTop w:val="180"/>
      <w:marBottom w:val="0"/>
      <w:divBdr>
        <w:top w:val="none" w:sz="0" w:space="0" w:color="auto"/>
        <w:left w:val="none" w:sz="0" w:space="0" w:color="auto"/>
        <w:bottom w:val="none" w:sz="0" w:space="0" w:color="auto"/>
        <w:right w:val="none" w:sz="0" w:space="0" w:color="auto"/>
      </w:divBdr>
    </w:div>
    <w:div w:id="1998872456">
      <w:marLeft w:val="0"/>
      <w:marRight w:val="0"/>
      <w:marTop w:val="0"/>
      <w:marBottom w:val="0"/>
      <w:divBdr>
        <w:top w:val="none" w:sz="0" w:space="0" w:color="auto"/>
        <w:left w:val="none" w:sz="0" w:space="0" w:color="auto"/>
        <w:bottom w:val="none" w:sz="0" w:space="0" w:color="auto"/>
        <w:right w:val="none" w:sz="0" w:space="0" w:color="auto"/>
      </w:divBdr>
      <w:divsChild>
        <w:div w:id="1693452495">
          <w:marLeft w:val="0"/>
          <w:marRight w:val="0"/>
          <w:marTop w:val="0"/>
          <w:marBottom w:val="0"/>
          <w:divBdr>
            <w:top w:val="none" w:sz="0" w:space="0" w:color="auto"/>
            <w:left w:val="none" w:sz="0" w:space="0" w:color="auto"/>
            <w:bottom w:val="none" w:sz="0" w:space="0" w:color="auto"/>
            <w:right w:val="none" w:sz="0" w:space="0" w:color="auto"/>
          </w:divBdr>
        </w:div>
      </w:divsChild>
    </w:div>
    <w:div w:id="2000648363">
      <w:marLeft w:val="0"/>
      <w:marRight w:val="0"/>
      <w:marTop w:val="0"/>
      <w:marBottom w:val="0"/>
      <w:divBdr>
        <w:top w:val="none" w:sz="0" w:space="0" w:color="auto"/>
        <w:left w:val="none" w:sz="0" w:space="0" w:color="auto"/>
        <w:bottom w:val="none" w:sz="0" w:space="0" w:color="auto"/>
        <w:right w:val="none" w:sz="0" w:space="0" w:color="auto"/>
      </w:divBdr>
    </w:div>
    <w:div w:id="2001081546">
      <w:marLeft w:val="0"/>
      <w:marRight w:val="0"/>
      <w:marTop w:val="0"/>
      <w:marBottom w:val="0"/>
      <w:divBdr>
        <w:top w:val="none" w:sz="0" w:space="0" w:color="auto"/>
        <w:left w:val="none" w:sz="0" w:space="0" w:color="auto"/>
        <w:bottom w:val="none" w:sz="0" w:space="0" w:color="auto"/>
        <w:right w:val="none" w:sz="0" w:space="0" w:color="auto"/>
      </w:divBdr>
      <w:divsChild>
        <w:div w:id="1751348405">
          <w:marLeft w:val="0"/>
          <w:marRight w:val="0"/>
          <w:marTop w:val="0"/>
          <w:marBottom w:val="0"/>
          <w:divBdr>
            <w:top w:val="none" w:sz="0" w:space="0" w:color="auto"/>
            <w:left w:val="none" w:sz="0" w:space="0" w:color="auto"/>
            <w:bottom w:val="none" w:sz="0" w:space="0" w:color="auto"/>
            <w:right w:val="none" w:sz="0" w:space="0" w:color="auto"/>
          </w:divBdr>
        </w:div>
      </w:divsChild>
    </w:div>
    <w:div w:id="2001538081">
      <w:marLeft w:val="0"/>
      <w:marRight w:val="0"/>
      <w:marTop w:val="0"/>
      <w:marBottom w:val="0"/>
      <w:divBdr>
        <w:top w:val="none" w:sz="0" w:space="0" w:color="auto"/>
        <w:left w:val="none" w:sz="0" w:space="0" w:color="auto"/>
        <w:bottom w:val="none" w:sz="0" w:space="0" w:color="auto"/>
        <w:right w:val="none" w:sz="0" w:space="0" w:color="auto"/>
      </w:divBdr>
      <w:divsChild>
        <w:div w:id="2083330738">
          <w:marLeft w:val="0"/>
          <w:marRight w:val="0"/>
          <w:marTop w:val="0"/>
          <w:marBottom w:val="0"/>
          <w:divBdr>
            <w:top w:val="none" w:sz="0" w:space="0" w:color="auto"/>
            <w:left w:val="none" w:sz="0" w:space="0" w:color="auto"/>
            <w:bottom w:val="none" w:sz="0" w:space="0" w:color="auto"/>
            <w:right w:val="none" w:sz="0" w:space="0" w:color="auto"/>
          </w:divBdr>
        </w:div>
      </w:divsChild>
    </w:div>
    <w:div w:id="2008047957">
      <w:marLeft w:val="0"/>
      <w:marRight w:val="0"/>
      <w:marTop w:val="0"/>
      <w:marBottom w:val="160"/>
      <w:divBdr>
        <w:top w:val="none" w:sz="0" w:space="0" w:color="auto"/>
        <w:left w:val="none" w:sz="0" w:space="0" w:color="auto"/>
        <w:bottom w:val="none" w:sz="0" w:space="0" w:color="auto"/>
        <w:right w:val="none" w:sz="0" w:space="0" w:color="auto"/>
      </w:divBdr>
    </w:div>
    <w:div w:id="2018341947">
      <w:marLeft w:val="0"/>
      <w:marRight w:val="0"/>
      <w:marTop w:val="100"/>
      <w:marBottom w:val="0"/>
      <w:divBdr>
        <w:top w:val="none" w:sz="0" w:space="0" w:color="auto"/>
        <w:left w:val="none" w:sz="0" w:space="0" w:color="auto"/>
        <w:bottom w:val="none" w:sz="0" w:space="0" w:color="auto"/>
        <w:right w:val="none" w:sz="0" w:space="0" w:color="auto"/>
      </w:divBdr>
    </w:div>
    <w:div w:id="2021007126">
      <w:marLeft w:val="0"/>
      <w:marRight w:val="0"/>
      <w:marTop w:val="0"/>
      <w:marBottom w:val="0"/>
      <w:divBdr>
        <w:top w:val="none" w:sz="0" w:space="0" w:color="auto"/>
        <w:left w:val="none" w:sz="0" w:space="0" w:color="auto"/>
        <w:bottom w:val="none" w:sz="0" w:space="0" w:color="auto"/>
        <w:right w:val="none" w:sz="0" w:space="0" w:color="auto"/>
      </w:divBdr>
      <w:divsChild>
        <w:div w:id="1419211800">
          <w:marLeft w:val="0"/>
          <w:marRight w:val="0"/>
          <w:marTop w:val="0"/>
          <w:marBottom w:val="0"/>
          <w:divBdr>
            <w:top w:val="none" w:sz="0" w:space="0" w:color="auto"/>
            <w:left w:val="none" w:sz="0" w:space="0" w:color="auto"/>
            <w:bottom w:val="none" w:sz="0" w:space="0" w:color="auto"/>
            <w:right w:val="none" w:sz="0" w:space="0" w:color="auto"/>
          </w:divBdr>
        </w:div>
      </w:divsChild>
    </w:div>
    <w:div w:id="2022589591">
      <w:marLeft w:val="0"/>
      <w:marRight w:val="0"/>
      <w:marTop w:val="0"/>
      <w:marBottom w:val="0"/>
      <w:divBdr>
        <w:top w:val="none" w:sz="0" w:space="0" w:color="auto"/>
        <w:left w:val="none" w:sz="0" w:space="0" w:color="auto"/>
        <w:bottom w:val="none" w:sz="0" w:space="0" w:color="auto"/>
        <w:right w:val="none" w:sz="0" w:space="0" w:color="auto"/>
      </w:divBdr>
    </w:div>
    <w:div w:id="2043819061">
      <w:marLeft w:val="0"/>
      <w:marRight w:val="0"/>
      <w:marTop w:val="0"/>
      <w:marBottom w:val="0"/>
      <w:divBdr>
        <w:top w:val="none" w:sz="0" w:space="0" w:color="auto"/>
        <w:left w:val="none" w:sz="0" w:space="0" w:color="auto"/>
        <w:bottom w:val="none" w:sz="0" w:space="0" w:color="auto"/>
        <w:right w:val="none" w:sz="0" w:space="0" w:color="auto"/>
      </w:divBdr>
    </w:div>
    <w:div w:id="2044018680">
      <w:marLeft w:val="0"/>
      <w:marRight w:val="0"/>
      <w:marTop w:val="0"/>
      <w:marBottom w:val="0"/>
      <w:divBdr>
        <w:top w:val="none" w:sz="0" w:space="0" w:color="auto"/>
        <w:left w:val="none" w:sz="0" w:space="0" w:color="auto"/>
        <w:bottom w:val="none" w:sz="0" w:space="0" w:color="auto"/>
        <w:right w:val="none" w:sz="0" w:space="0" w:color="auto"/>
      </w:divBdr>
    </w:div>
    <w:div w:id="2045055644">
      <w:marLeft w:val="0"/>
      <w:marRight w:val="0"/>
      <w:marTop w:val="0"/>
      <w:marBottom w:val="0"/>
      <w:divBdr>
        <w:top w:val="none" w:sz="0" w:space="0" w:color="auto"/>
        <w:left w:val="none" w:sz="0" w:space="0" w:color="auto"/>
        <w:bottom w:val="none" w:sz="0" w:space="0" w:color="auto"/>
        <w:right w:val="none" w:sz="0" w:space="0" w:color="auto"/>
      </w:divBdr>
      <w:divsChild>
        <w:div w:id="2118868618">
          <w:marLeft w:val="0"/>
          <w:marRight w:val="0"/>
          <w:marTop w:val="0"/>
          <w:marBottom w:val="0"/>
          <w:divBdr>
            <w:top w:val="none" w:sz="0" w:space="0" w:color="auto"/>
            <w:left w:val="none" w:sz="0" w:space="0" w:color="auto"/>
            <w:bottom w:val="none" w:sz="0" w:space="0" w:color="auto"/>
            <w:right w:val="none" w:sz="0" w:space="0" w:color="auto"/>
          </w:divBdr>
        </w:div>
      </w:divsChild>
    </w:div>
    <w:div w:id="2045522918">
      <w:marLeft w:val="0"/>
      <w:marRight w:val="0"/>
      <w:marTop w:val="80"/>
      <w:marBottom w:val="0"/>
      <w:divBdr>
        <w:top w:val="none" w:sz="0" w:space="0" w:color="auto"/>
        <w:left w:val="none" w:sz="0" w:space="0" w:color="auto"/>
        <w:bottom w:val="none" w:sz="0" w:space="0" w:color="auto"/>
        <w:right w:val="none" w:sz="0" w:space="0" w:color="auto"/>
      </w:divBdr>
    </w:div>
    <w:div w:id="2055688037">
      <w:marLeft w:val="0"/>
      <w:marRight w:val="0"/>
      <w:marTop w:val="100"/>
      <w:marBottom w:val="0"/>
      <w:divBdr>
        <w:top w:val="none" w:sz="0" w:space="0" w:color="auto"/>
        <w:left w:val="none" w:sz="0" w:space="0" w:color="auto"/>
        <w:bottom w:val="none" w:sz="0" w:space="0" w:color="auto"/>
        <w:right w:val="none" w:sz="0" w:space="0" w:color="auto"/>
      </w:divBdr>
    </w:div>
    <w:div w:id="2057658024">
      <w:marLeft w:val="0"/>
      <w:marRight w:val="0"/>
      <w:marTop w:val="0"/>
      <w:marBottom w:val="0"/>
      <w:divBdr>
        <w:top w:val="none" w:sz="0" w:space="0" w:color="auto"/>
        <w:left w:val="none" w:sz="0" w:space="0" w:color="auto"/>
        <w:bottom w:val="none" w:sz="0" w:space="0" w:color="auto"/>
        <w:right w:val="none" w:sz="0" w:space="0" w:color="auto"/>
      </w:divBdr>
    </w:div>
    <w:div w:id="2064982323">
      <w:marLeft w:val="0"/>
      <w:marRight w:val="0"/>
      <w:marTop w:val="100"/>
      <w:marBottom w:val="0"/>
      <w:divBdr>
        <w:top w:val="none" w:sz="0" w:space="0" w:color="auto"/>
        <w:left w:val="none" w:sz="0" w:space="0" w:color="auto"/>
        <w:bottom w:val="none" w:sz="0" w:space="0" w:color="auto"/>
        <w:right w:val="none" w:sz="0" w:space="0" w:color="auto"/>
      </w:divBdr>
      <w:divsChild>
        <w:div w:id="1719819465">
          <w:marLeft w:val="0"/>
          <w:marRight w:val="0"/>
          <w:marTop w:val="0"/>
          <w:marBottom w:val="0"/>
          <w:divBdr>
            <w:top w:val="none" w:sz="0" w:space="0" w:color="auto"/>
            <w:left w:val="none" w:sz="0" w:space="0" w:color="auto"/>
            <w:bottom w:val="none" w:sz="0" w:space="0" w:color="auto"/>
            <w:right w:val="none" w:sz="0" w:space="0" w:color="auto"/>
          </w:divBdr>
        </w:div>
        <w:div w:id="753015026">
          <w:marLeft w:val="0"/>
          <w:marRight w:val="0"/>
          <w:marTop w:val="0"/>
          <w:marBottom w:val="0"/>
          <w:divBdr>
            <w:top w:val="none" w:sz="0" w:space="0" w:color="auto"/>
            <w:left w:val="none" w:sz="0" w:space="0" w:color="auto"/>
            <w:bottom w:val="none" w:sz="0" w:space="0" w:color="auto"/>
            <w:right w:val="none" w:sz="0" w:space="0" w:color="auto"/>
          </w:divBdr>
        </w:div>
        <w:div w:id="299530720">
          <w:marLeft w:val="0"/>
          <w:marRight w:val="0"/>
          <w:marTop w:val="0"/>
          <w:marBottom w:val="0"/>
          <w:divBdr>
            <w:top w:val="none" w:sz="0" w:space="0" w:color="auto"/>
            <w:left w:val="none" w:sz="0" w:space="0" w:color="auto"/>
            <w:bottom w:val="none" w:sz="0" w:space="0" w:color="auto"/>
            <w:right w:val="none" w:sz="0" w:space="0" w:color="auto"/>
          </w:divBdr>
        </w:div>
        <w:div w:id="813303068">
          <w:marLeft w:val="0"/>
          <w:marRight w:val="0"/>
          <w:marTop w:val="0"/>
          <w:marBottom w:val="0"/>
          <w:divBdr>
            <w:top w:val="none" w:sz="0" w:space="0" w:color="auto"/>
            <w:left w:val="none" w:sz="0" w:space="0" w:color="auto"/>
            <w:bottom w:val="none" w:sz="0" w:space="0" w:color="auto"/>
            <w:right w:val="none" w:sz="0" w:space="0" w:color="auto"/>
          </w:divBdr>
        </w:div>
        <w:div w:id="259602135">
          <w:marLeft w:val="0"/>
          <w:marRight w:val="0"/>
          <w:marTop w:val="0"/>
          <w:marBottom w:val="0"/>
          <w:divBdr>
            <w:top w:val="none" w:sz="0" w:space="0" w:color="auto"/>
            <w:left w:val="none" w:sz="0" w:space="0" w:color="auto"/>
            <w:bottom w:val="none" w:sz="0" w:space="0" w:color="auto"/>
            <w:right w:val="none" w:sz="0" w:space="0" w:color="auto"/>
          </w:divBdr>
        </w:div>
        <w:div w:id="2084251810">
          <w:marLeft w:val="0"/>
          <w:marRight w:val="0"/>
          <w:marTop w:val="0"/>
          <w:marBottom w:val="0"/>
          <w:divBdr>
            <w:top w:val="none" w:sz="0" w:space="0" w:color="auto"/>
            <w:left w:val="none" w:sz="0" w:space="0" w:color="auto"/>
            <w:bottom w:val="none" w:sz="0" w:space="0" w:color="auto"/>
            <w:right w:val="none" w:sz="0" w:space="0" w:color="auto"/>
          </w:divBdr>
        </w:div>
        <w:div w:id="1709059990">
          <w:marLeft w:val="0"/>
          <w:marRight w:val="0"/>
          <w:marTop w:val="0"/>
          <w:marBottom w:val="0"/>
          <w:divBdr>
            <w:top w:val="none" w:sz="0" w:space="0" w:color="auto"/>
            <w:left w:val="none" w:sz="0" w:space="0" w:color="auto"/>
            <w:bottom w:val="none" w:sz="0" w:space="0" w:color="auto"/>
            <w:right w:val="none" w:sz="0" w:space="0" w:color="auto"/>
          </w:divBdr>
        </w:div>
        <w:div w:id="793712509">
          <w:marLeft w:val="0"/>
          <w:marRight w:val="0"/>
          <w:marTop w:val="0"/>
          <w:marBottom w:val="0"/>
          <w:divBdr>
            <w:top w:val="none" w:sz="0" w:space="0" w:color="auto"/>
            <w:left w:val="none" w:sz="0" w:space="0" w:color="auto"/>
            <w:bottom w:val="none" w:sz="0" w:space="0" w:color="auto"/>
            <w:right w:val="none" w:sz="0" w:space="0" w:color="auto"/>
          </w:divBdr>
        </w:div>
        <w:div w:id="891505069">
          <w:marLeft w:val="0"/>
          <w:marRight w:val="0"/>
          <w:marTop w:val="0"/>
          <w:marBottom w:val="0"/>
          <w:divBdr>
            <w:top w:val="none" w:sz="0" w:space="0" w:color="auto"/>
            <w:left w:val="none" w:sz="0" w:space="0" w:color="auto"/>
            <w:bottom w:val="none" w:sz="0" w:space="0" w:color="auto"/>
            <w:right w:val="none" w:sz="0" w:space="0" w:color="auto"/>
          </w:divBdr>
        </w:div>
        <w:div w:id="113910517">
          <w:marLeft w:val="0"/>
          <w:marRight w:val="0"/>
          <w:marTop w:val="0"/>
          <w:marBottom w:val="0"/>
          <w:divBdr>
            <w:top w:val="none" w:sz="0" w:space="0" w:color="auto"/>
            <w:left w:val="none" w:sz="0" w:space="0" w:color="auto"/>
            <w:bottom w:val="none" w:sz="0" w:space="0" w:color="auto"/>
            <w:right w:val="none" w:sz="0" w:space="0" w:color="auto"/>
          </w:divBdr>
        </w:div>
        <w:div w:id="350500356">
          <w:marLeft w:val="0"/>
          <w:marRight w:val="0"/>
          <w:marTop w:val="0"/>
          <w:marBottom w:val="0"/>
          <w:divBdr>
            <w:top w:val="none" w:sz="0" w:space="0" w:color="auto"/>
            <w:left w:val="none" w:sz="0" w:space="0" w:color="auto"/>
            <w:bottom w:val="none" w:sz="0" w:space="0" w:color="auto"/>
            <w:right w:val="none" w:sz="0" w:space="0" w:color="auto"/>
          </w:divBdr>
        </w:div>
        <w:div w:id="1242174364">
          <w:marLeft w:val="0"/>
          <w:marRight w:val="0"/>
          <w:marTop w:val="0"/>
          <w:marBottom w:val="0"/>
          <w:divBdr>
            <w:top w:val="none" w:sz="0" w:space="0" w:color="auto"/>
            <w:left w:val="none" w:sz="0" w:space="0" w:color="auto"/>
            <w:bottom w:val="none" w:sz="0" w:space="0" w:color="auto"/>
            <w:right w:val="none" w:sz="0" w:space="0" w:color="auto"/>
          </w:divBdr>
        </w:div>
        <w:div w:id="1375228854">
          <w:marLeft w:val="0"/>
          <w:marRight w:val="0"/>
          <w:marTop w:val="0"/>
          <w:marBottom w:val="0"/>
          <w:divBdr>
            <w:top w:val="none" w:sz="0" w:space="0" w:color="auto"/>
            <w:left w:val="none" w:sz="0" w:space="0" w:color="auto"/>
            <w:bottom w:val="none" w:sz="0" w:space="0" w:color="auto"/>
            <w:right w:val="none" w:sz="0" w:space="0" w:color="auto"/>
          </w:divBdr>
        </w:div>
        <w:div w:id="392238432">
          <w:marLeft w:val="0"/>
          <w:marRight w:val="0"/>
          <w:marTop w:val="0"/>
          <w:marBottom w:val="0"/>
          <w:divBdr>
            <w:top w:val="none" w:sz="0" w:space="0" w:color="auto"/>
            <w:left w:val="none" w:sz="0" w:space="0" w:color="auto"/>
            <w:bottom w:val="none" w:sz="0" w:space="0" w:color="auto"/>
            <w:right w:val="none" w:sz="0" w:space="0" w:color="auto"/>
          </w:divBdr>
        </w:div>
        <w:div w:id="418066442">
          <w:marLeft w:val="0"/>
          <w:marRight w:val="0"/>
          <w:marTop w:val="0"/>
          <w:marBottom w:val="0"/>
          <w:divBdr>
            <w:top w:val="none" w:sz="0" w:space="0" w:color="auto"/>
            <w:left w:val="none" w:sz="0" w:space="0" w:color="auto"/>
            <w:bottom w:val="none" w:sz="0" w:space="0" w:color="auto"/>
            <w:right w:val="none" w:sz="0" w:space="0" w:color="auto"/>
          </w:divBdr>
        </w:div>
        <w:div w:id="2005669010">
          <w:marLeft w:val="0"/>
          <w:marRight w:val="0"/>
          <w:marTop w:val="0"/>
          <w:marBottom w:val="0"/>
          <w:divBdr>
            <w:top w:val="none" w:sz="0" w:space="0" w:color="auto"/>
            <w:left w:val="none" w:sz="0" w:space="0" w:color="auto"/>
            <w:bottom w:val="none" w:sz="0" w:space="0" w:color="auto"/>
            <w:right w:val="none" w:sz="0" w:space="0" w:color="auto"/>
          </w:divBdr>
        </w:div>
      </w:divsChild>
    </w:div>
    <w:div w:id="2085225886">
      <w:marLeft w:val="0"/>
      <w:marRight w:val="0"/>
      <w:marTop w:val="80"/>
      <w:marBottom w:val="0"/>
      <w:divBdr>
        <w:top w:val="none" w:sz="0" w:space="0" w:color="auto"/>
        <w:left w:val="none" w:sz="0" w:space="0" w:color="auto"/>
        <w:bottom w:val="none" w:sz="0" w:space="0" w:color="auto"/>
        <w:right w:val="none" w:sz="0" w:space="0" w:color="auto"/>
      </w:divBdr>
    </w:div>
    <w:div w:id="2086998600">
      <w:marLeft w:val="0"/>
      <w:marRight w:val="0"/>
      <w:marTop w:val="0"/>
      <w:marBottom w:val="0"/>
      <w:divBdr>
        <w:top w:val="none" w:sz="0" w:space="0" w:color="auto"/>
        <w:left w:val="none" w:sz="0" w:space="0" w:color="auto"/>
        <w:bottom w:val="none" w:sz="0" w:space="0" w:color="auto"/>
        <w:right w:val="none" w:sz="0" w:space="0" w:color="auto"/>
      </w:divBdr>
      <w:divsChild>
        <w:div w:id="574170618">
          <w:marLeft w:val="0"/>
          <w:marRight w:val="0"/>
          <w:marTop w:val="0"/>
          <w:marBottom w:val="0"/>
          <w:divBdr>
            <w:top w:val="none" w:sz="0" w:space="0" w:color="auto"/>
            <w:left w:val="none" w:sz="0" w:space="0" w:color="auto"/>
            <w:bottom w:val="none" w:sz="0" w:space="0" w:color="auto"/>
            <w:right w:val="none" w:sz="0" w:space="0" w:color="auto"/>
          </w:divBdr>
        </w:div>
      </w:divsChild>
    </w:div>
    <w:div w:id="2090342989">
      <w:marLeft w:val="0"/>
      <w:marRight w:val="0"/>
      <w:marTop w:val="100"/>
      <w:marBottom w:val="0"/>
      <w:divBdr>
        <w:top w:val="none" w:sz="0" w:space="0" w:color="auto"/>
        <w:left w:val="none" w:sz="0" w:space="0" w:color="auto"/>
        <w:bottom w:val="none" w:sz="0" w:space="0" w:color="auto"/>
        <w:right w:val="none" w:sz="0" w:space="0" w:color="auto"/>
      </w:divBdr>
    </w:div>
    <w:div w:id="2091196809">
      <w:marLeft w:val="0"/>
      <w:marRight w:val="0"/>
      <w:marTop w:val="100"/>
      <w:marBottom w:val="0"/>
      <w:divBdr>
        <w:top w:val="none" w:sz="0" w:space="0" w:color="auto"/>
        <w:left w:val="none" w:sz="0" w:space="0" w:color="auto"/>
        <w:bottom w:val="none" w:sz="0" w:space="0" w:color="auto"/>
        <w:right w:val="none" w:sz="0" w:space="0" w:color="auto"/>
      </w:divBdr>
    </w:div>
    <w:div w:id="2100367282">
      <w:marLeft w:val="0"/>
      <w:marRight w:val="0"/>
      <w:marTop w:val="0"/>
      <w:marBottom w:val="0"/>
      <w:divBdr>
        <w:top w:val="none" w:sz="0" w:space="0" w:color="auto"/>
        <w:left w:val="none" w:sz="0" w:space="0" w:color="auto"/>
        <w:bottom w:val="none" w:sz="0" w:space="0" w:color="auto"/>
        <w:right w:val="none" w:sz="0" w:space="0" w:color="auto"/>
      </w:divBdr>
      <w:divsChild>
        <w:div w:id="669868579">
          <w:marLeft w:val="0"/>
          <w:marRight w:val="0"/>
          <w:marTop w:val="0"/>
          <w:marBottom w:val="0"/>
          <w:divBdr>
            <w:top w:val="none" w:sz="0" w:space="0" w:color="auto"/>
            <w:left w:val="none" w:sz="0" w:space="0" w:color="auto"/>
            <w:bottom w:val="none" w:sz="0" w:space="0" w:color="auto"/>
            <w:right w:val="none" w:sz="0" w:space="0" w:color="auto"/>
          </w:divBdr>
        </w:div>
      </w:divsChild>
    </w:div>
    <w:div w:id="2102215245">
      <w:marLeft w:val="0"/>
      <w:marRight w:val="0"/>
      <w:marTop w:val="100"/>
      <w:marBottom w:val="0"/>
      <w:divBdr>
        <w:top w:val="none" w:sz="0" w:space="0" w:color="auto"/>
        <w:left w:val="none" w:sz="0" w:space="0" w:color="auto"/>
        <w:bottom w:val="none" w:sz="0" w:space="0" w:color="auto"/>
        <w:right w:val="none" w:sz="0" w:space="0" w:color="auto"/>
      </w:divBdr>
    </w:div>
    <w:div w:id="2103602589">
      <w:marLeft w:val="0"/>
      <w:marRight w:val="0"/>
      <w:marTop w:val="100"/>
      <w:marBottom w:val="0"/>
      <w:divBdr>
        <w:top w:val="none" w:sz="0" w:space="0" w:color="auto"/>
        <w:left w:val="none" w:sz="0" w:space="0" w:color="auto"/>
        <w:bottom w:val="none" w:sz="0" w:space="0" w:color="auto"/>
        <w:right w:val="none" w:sz="0" w:space="0" w:color="auto"/>
      </w:divBdr>
    </w:div>
    <w:div w:id="2111269362">
      <w:marLeft w:val="0"/>
      <w:marRight w:val="0"/>
      <w:marTop w:val="0"/>
      <w:marBottom w:val="0"/>
      <w:divBdr>
        <w:top w:val="none" w:sz="0" w:space="0" w:color="auto"/>
        <w:left w:val="none" w:sz="0" w:space="0" w:color="auto"/>
        <w:bottom w:val="none" w:sz="0" w:space="0" w:color="auto"/>
        <w:right w:val="none" w:sz="0" w:space="0" w:color="auto"/>
      </w:divBdr>
    </w:div>
    <w:div w:id="2113237451">
      <w:marLeft w:val="0"/>
      <w:marRight w:val="0"/>
      <w:marTop w:val="0"/>
      <w:marBottom w:val="0"/>
      <w:divBdr>
        <w:top w:val="none" w:sz="0" w:space="0" w:color="auto"/>
        <w:left w:val="none" w:sz="0" w:space="0" w:color="auto"/>
        <w:bottom w:val="none" w:sz="0" w:space="0" w:color="auto"/>
        <w:right w:val="none" w:sz="0" w:space="0" w:color="auto"/>
      </w:divBdr>
    </w:div>
    <w:div w:id="2114085611">
      <w:marLeft w:val="0"/>
      <w:marRight w:val="0"/>
      <w:marTop w:val="100"/>
      <w:marBottom w:val="0"/>
      <w:divBdr>
        <w:top w:val="none" w:sz="0" w:space="0" w:color="auto"/>
        <w:left w:val="none" w:sz="0" w:space="0" w:color="auto"/>
        <w:bottom w:val="none" w:sz="0" w:space="0" w:color="auto"/>
        <w:right w:val="none" w:sz="0" w:space="0" w:color="auto"/>
      </w:divBdr>
    </w:div>
    <w:div w:id="2115782751">
      <w:marLeft w:val="0"/>
      <w:marRight w:val="0"/>
      <w:marTop w:val="0"/>
      <w:marBottom w:val="0"/>
      <w:divBdr>
        <w:top w:val="none" w:sz="0" w:space="0" w:color="auto"/>
        <w:left w:val="none" w:sz="0" w:space="0" w:color="auto"/>
        <w:bottom w:val="none" w:sz="0" w:space="0" w:color="auto"/>
        <w:right w:val="none" w:sz="0" w:space="0" w:color="auto"/>
      </w:divBdr>
    </w:div>
    <w:div w:id="2125884755">
      <w:marLeft w:val="0"/>
      <w:marRight w:val="0"/>
      <w:marTop w:val="0"/>
      <w:marBottom w:val="0"/>
      <w:divBdr>
        <w:top w:val="none" w:sz="0" w:space="0" w:color="auto"/>
        <w:left w:val="none" w:sz="0" w:space="0" w:color="auto"/>
        <w:bottom w:val="none" w:sz="0" w:space="0" w:color="auto"/>
        <w:right w:val="none" w:sz="0" w:space="0" w:color="auto"/>
      </w:divBdr>
    </w:div>
    <w:div w:id="2127583272">
      <w:marLeft w:val="0"/>
      <w:marRight w:val="0"/>
      <w:marTop w:val="0"/>
      <w:marBottom w:val="0"/>
      <w:divBdr>
        <w:top w:val="none" w:sz="0" w:space="0" w:color="auto"/>
        <w:left w:val="none" w:sz="0" w:space="0" w:color="auto"/>
        <w:bottom w:val="none" w:sz="0" w:space="0" w:color="auto"/>
        <w:right w:val="none" w:sz="0" w:space="0" w:color="auto"/>
      </w:divBdr>
    </w:div>
    <w:div w:id="2138721679">
      <w:marLeft w:val="0"/>
      <w:marRight w:val="0"/>
      <w:marTop w:val="0"/>
      <w:marBottom w:val="0"/>
      <w:divBdr>
        <w:top w:val="none" w:sz="0" w:space="0" w:color="auto"/>
        <w:left w:val="none" w:sz="0" w:space="0" w:color="auto"/>
        <w:bottom w:val="none" w:sz="0" w:space="0" w:color="auto"/>
        <w:right w:val="none" w:sz="0" w:space="0" w:color="auto"/>
      </w:divBdr>
      <w:divsChild>
        <w:div w:id="1460875257">
          <w:marLeft w:val="0"/>
          <w:marRight w:val="0"/>
          <w:marTop w:val="0"/>
          <w:marBottom w:val="0"/>
          <w:divBdr>
            <w:top w:val="none" w:sz="0" w:space="0" w:color="auto"/>
            <w:left w:val="none" w:sz="0" w:space="0" w:color="auto"/>
            <w:bottom w:val="none" w:sz="0" w:space="0" w:color="auto"/>
            <w:right w:val="none" w:sz="0" w:space="0" w:color="auto"/>
          </w:divBdr>
        </w:div>
      </w:divsChild>
    </w:div>
    <w:div w:id="2140150863">
      <w:marLeft w:val="0"/>
      <w:marRight w:val="0"/>
      <w:marTop w:val="0"/>
      <w:marBottom w:val="0"/>
      <w:divBdr>
        <w:top w:val="none" w:sz="0" w:space="0" w:color="auto"/>
        <w:left w:val="none" w:sz="0" w:space="0" w:color="auto"/>
        <w:bottom w:val="none" w:sz="0" w:space="0" w:color="auto"/>
        <w:right w:val="none" w:sz="0" w:space="0" w:color="auto"/>
      </w:divBdr>
    </w:div>
    <w:div w:id="214604199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32sec906ceoandcfoce.htm" TargetMode="External"/><Relationship Id="rId3" Type="http://schemas.openxmlformats.org/officeDocument/2006/relationships/webSettings" Target="webSettings.xml"/><Relationship Id="rId7" Type="http://schemas.openxmlformats.org/officeDocument/2006/relationships/hyperlink" Target="exhibit312sec302cfocert-63.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311sec302ceocert-63.htm" TargetMode="External"/><Relationship Id="rId5" Type="http://schemas.openxmlformats.org/officeDocument/2006/relationships/hyperlink" Target="http://www.sec.gov/ix?doc=/Archives/edgar/data/0000070866/000119312522140291/d353188d8k.htm" TargetMode="External"/><Relationship Id="rId10" Type="http://schemas.openxmlformats.org/officeDocument/2006/relationships/theme" Target="theme/theme1.xml"/><Relationship Id="rId4" Type="http://schemas.openxmlformats.org/officeDocument/2006/relationships/image" Target="file:///E:\projects\LLMs\new_data_collection\data_new\htm\NCR%20VOYIX%20Corp\ncr-20220630_g1.jp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38846</Words>
  <Characters>221425</Characters>
  <Application>Microsoft Office Word</Application>
  <DocSecurity>0</DocSecurity>
  <Lines>1845</Lines>
  <Paragraphs>519</Paragraphs>
  <ScaleCrop>false</ScaleCrop>
  <Company/>
  <LinksUpToDate>false</LinksUpToDate>
  <CharactersWithSpaces>259752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ncr-20220630</dc:title>
  <dc:subject/>
  <dc:creator>Chongjian.Yue</dc:creator>
  <cp:keywords/>
  <dc:description/>
  <cp:lastModifiedBy>Yue Chongjian</cp:lastModifiedBy>
  <cp:revision>1</cp:revision>
  <dcterms:created xsi:type="dcterms:W3CDTF">2024-01-04T15:55:00Z</dcterms:created>
  <dcterms:modified xsi:type="dcterms:W3CDTF">2024-01-04T15:55:00Z</dcterms:modified>
</cp:coreProperties>
</file>