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214AA">
      <w:pPr>
        <w:divId w:val="1768312347"/>
        <w:rPr>
          <w:rFonts w:eastAsia="Times New Roman"/>
          <w:vanish/>
        </w:rPr>
      </w:pPr>
      <w:r>
        <w:rPr>
          <w:rFonts w:eastAsia="Times New Roman"/>
          <w:vanish/>
        </w:rPr>
        <w:t>000007086612/312022Q3FALSEhttp://fasb.org/us-gaap/2022#RestrictedCashhttp://fasb.org/us-gaap/2022#RestrictedCash75http://fasb.org/us-gaap/2022#OtherAssetsCurrent</w:t>
      </w:r>
      <w:r>
        <w:rPr>
          <w:rFonts w:eastAsia="Times New Roman"/>
          <w:vanish/>
        </w:rPr>
        <w:t>http://fasb.org/us-gaap/2022#OtherLiabilitiesCurrenthttp://fasb.org/us-gaap/2022#OtherAssetsNoncurrenthttp://fasb.org/us-gaap/2022#OtherLiabilitiesNoncurrenthttp://fasb.org/us-gaap/2022#OtherAssetsCurrenthttp://fasb.org/us-gaap/2022#OtherLiabilitiesCurrent</w:t>
      </w:r>
      <w:r>
        <w:rPr>
          <w:rFonts w:eastAsia="Times New Roman"/>
          <w:vanish/>
        </w:rPr>
        <w:t>http://fasb.org/us-gaap/2022#OtherAssetsNoncurrenthttp://fasb.org/us-gaap/2022#OtherLiabilitiesNoncurrenthttp://fasb.org/us-gaap/2022#OtherAssetsCurrenthttp://fasb.org/us-gaap/2022#OtherLiabilitiesCurrent00000708662022-01-012022-09-3000000708662022-10-14xb</w:t>
      </w:r>
      <w:r>
        <w:rPr>
          <w:rFonts w:eastAsia="Times New Roman"/>
          <w:vanish/>
        </w:rPr>
        <w:t>rli:shares0000070866us-gaap:ProductMember2022-07-012022-09-30iso4217:USD0000070866us-gaap:ProductMember2021-07-012021-09-300000070866us-gaap:ProductMember2022-01-012022-09-300000070866us-gaap:ProductMember2021-01-012021-09-300000070866us-gaap:ServiceMember</w:t>
      </w:r>
      <w:r>
        <w:rPr>
          <w:rFonts w:eastAsia="Times New Roman"/>
          <w:vanish/>
        </w:rPr>
        <w:t>2022-07-012022-09-300000070866us-gaap:ServiceMember2021-07-012021-09-300000070866us-gaap:ServiceMember2022-01-012022-09-300000070866us-gaap:ServiceMember2021-01-012021-09-3000000708662022-07-012022-09-3000000708662021-07-012021-09-3000000708662021-01-01202</w:t>
      </w:r>
      <w:r>
        <w:rPr>
          <w:rFonts w:eastAsia="Times New Roman"/>
          <w:vanish/>
        </w:rPr>
        <w:t>1-09-30iso4217:USDxbrli:shares00000708662022-09-3000000708662021-12-3100000708662020-12-3100000708662021-09-300000070866ncr:LibertyXMember2022-01-012022-06-300000070866us-gaap:CommonStockMember2021-12-310000070866us-gaap:AdditionalPaidInCapitalMember2021-1</w:t>
      </w:r>
      <w:r>
        <w:rPr>
          <w:rFonts w:eastAsia="Times New Roman"/>
          <w:vanish/>
        </w:rPr>
        <w:t>2-310000070866us-gaap:RetainedEarningsMember2021-12-310000070866us-gaap:AccumulatedOtherComprehensiveIncomeMember2021-12-310000070866us-gaap:NoncontrollingInterestMember2021-12-310000070866ncr:TotalStockholdersEquityMember2021-12-310000070866us-gaap:Retain</w:t>
      </w:r>
      <w:r>
        <w:rPr>
          <w:rFonts w:eastAsia="Times New Roman"/>
          <w:vanish/>
        </w:rPr>
        <w:t>edEarningsMember2022-01-012022-03-310000070866us-gaap:NoncontrollingInterestMember2022-01-012022-03-310000070866ncr:TotalStockholdersEquityMember2022-01-012022-03-310000070866us-gaap:AccumulatedOtherComprehensiveIncomeMember2022-01-012022-03-310000070866us</w:t>
      </w:r>
      <w:r>
        <w:rPr>
          <w:rFonts w:eastAsia="Times New Roman"/>
          <w:vanish/>
        </w:rPr>
        <w:t>-gaap:CommonStockMember2022-01-012022-03-310000070866us-gaap:AdditionalPaidInCapitalMember2022-01-012022-03-310000070866us-gaap:CommonStockMember2022-03-310000070866us-gaap:AdditionalPaidInCapitalMember2022-03-310000070866us-gaap:RetainedEarningsMember2022</w:t>
      </w:r>
      <w:r>
        <w:rPr>
          <w:rFonts w:eastAsia="Times New Roman"/>
          <w:vanish/>
        </w:rPr>
        <w:t>-03-310000070866us-gaap:AccumulatedOtherComprehensiveIncomeMember2022-03-310000070866us-gaap:NoncontrollingInterestMember2022-03-310000070866ncr:TotalStockholdersEquityMember2022-03-310000070866us-gaap:RetainedEarningsMember2022-04-012022-06-300000070866us</w:t>
      </w:r>
      <w:r>
        <w:rPr>
          <w:rFonts w:eastAsia="Times New Roman"/>
          <w:vanish/>
        </w:rPr>
        <w:t>-gaap:NoncontrollingInterestMember2022-04-012022-06-300000070866ncr:TotalStockholdersEquityMember2022-04-012022-06-300000070866us-gaap:AccumulatedOtherComprehensiveIncomeMember2022-04-012022-06-300000070866us-gaap:CommonStockMember2022-04-012022-06-3000000</w:t>
      </w:r>
      <w:r>
        <w:rPr>
          <w:rFonts w:eastAsia="Times New Roman"/>
          <w:vanish/>
        </w:rPr>
        <w:t>70866us-gaap:AdditionalPaidInCapitalMember2022-04-012022-06-300000070866us-gaap:CommonStockMember2022-06-300000070866us-gaap:AdditionalPaidInCapitalMember2022-06-300000070866us-gaap:RetainedEarningsMember2022-06-300000070866us-gaap:AccumulatedOtherComprehe</w:t>
      </w:r>
      <w:r>
        <w:rPr>
          <w:rFonts w:eastAsia="Times New Roman"/>
          <w:vanish/>
        </w:rPr>
        <w:t>nsiveIncomeMember2022-06-300000070866us-gaap:NoncontrollingInterestMember2022-06-300000070866ncr:TotalStockholdersEquityMember2022-06-300000070866us-gaap:RetainedEarningsMember2022-07-012022-09-300000070866ncr:TotalStockholdersEquityMember2022-07-012022-09</w:t>
      </w:r>
      <w:r>
        <w:rPr>
          <w:rFonts w:eastAsia="Times New Roman"/>
          <w:vanish/>
        </w:rPr>
        <w:t>-300000070866us-gaap:AccumulatedOtherComprehensiveIncomeMember2022-07-012022-09-300000070866us-gaap:NoncontrollingInterestMember2022-07-012022-09-300000070866us-gaap:AdditionalPaidInCapitalMember2022-07-012022-09-300000070866us-gaap:CommonStockMember2022-0</w:t>
      </w:r>
      <w:r>
        <w:rPr>
          <w:rFonts w:eastAsia="Times New Roman"/>
          <w:vanish/>
        </w:rPr>
        <w:t>9-300000070866us-gaap:AdditionalPaidInCapitalMember2022-09-300000070866us-gaap:RetainedEarningsMember2022-09-300000070866us-gaap:AccumulatedOtherComprehensiveIncomeMember2022-09-300000070866us-gaap:NoncontrollingInterestMember2022-09-300000070866ncr:TotalS</w:t>
      </w:r>
      <w:r>
        <w:rPr>
          <w:rFonts w:eastAsia="Times New Roman"/>
          <w:vanish/>
        </w:rPr>
        <w:t>tockholdersEquityMember2022-09-300000070866us-gaap:CommonStockMember2020-12-310000070866us-gaap:AdditionalPaidInCapitalMember2020-12-310000070866us-gaap:RetainedEarningsMember2020-12-310000070866us-gaap:AccumulatedOtherComprehensiveIncomeMember2020-12-3100</w:t>
      </w:r>
      <w:r>
        <w:rPr>
          <w:rFonts w:eastAsia="Times New Roman"/>
          <w:vanish/>
        </w:rPr>
        <w:t>00070866us-gaap:NoncontrollingInterestMember2020-12-310000070866ncr:TotalStockholdersEquityMember2020-12-310000070866us-gaap:RetainedEarningsMember2021-01-012021-03-310000070866us-gaap:NoncontrollingInterestMember2021-01-012021-03-310000070866ncr:TotalStoc</w:t>
      </w:r>
      <w:r>
        <w:rPr>
          <w:rFonts w:eastAsia="Times New Roman"/>
          <w:vanish/>
        </w:rPr>
        <w:t>kholdersEquityMember2021-01-012021-03-310000070866us-gaap:AccumulatedOtherComprehensiveIncomeMember2021-01-012021-03-310000070866us-gaap:CommonStockMember2021-01-012021-03-310000070866us-gaap:AdditionalPaidInCapitalMember2021-01-012021-03-310000070866us-ga</w:t>
      </w:r>
      <w:r>
        <w:rPr>
          <w:rFonts w:eastAsia="Times New Roman"/>
          <w:vanish/>
        </w:rPr>
        <w:t>ap:CommonStockMember2021-03-310000070866us-gaap:AdditionalPaidInCapitalMember2021-03-310000070866us-gaap:RetainedEarningsMember2021-03-310000070866us-gaap:AccumulatedOtherComprehensiveIncomeMember2021-03-310000070866us-gaap:NoncontrollingInterestMember2021</w:t>
      </w:r>
      <w:r>
        <w:rPr>
          <w:rFonts w:eastAsia="Times New Roman"/>
          <w:vanish/>
        </w:rPr>
        <w:t>-03-310000070866ncr:TotalStockholdersEquityMember2021-03-310000070866us-gaap:RetainedEarningsMember2021-04-012021-06-300000070866ncr:TotalStockholdersEquityMember2021-04-012021-06-300000070866us-gaap:AccumulatedOtherComprehensiveIncomeMember2021-04-012021-</w:t>
      </w:r>
      <w:r>
        <w:rPr>
          <w:rFonts w:eastAsia="Times New Roman"/>
          <w:vanish/>
        </w:rPr>
        <w:t>06-300000070866us-gaap:AdditionalPaidInCapitalMember2021-04-012021-06-300000070866us-gaap:CommonStockMember2021-06-300000070866us-gaap:AdditionalPaidInCapitalMember2021-06-300000070866us-gaap:RetainedEarningsMember2021-06-300000070866us-gaap:AccumulatedOth</w:t>
      </w:r>
      <w:r>
        <w:rPr>
          <w:rFonts w:eastAsia="Times New Roman"/>
          <w:vanish/>
        </w:rPr>
        <w:t>erComprehensiveIncomeMember2021-06-300000070866us-gaap:NoncontrollingInterestMember2021-06-300000070866ncr:TotalStockholdersEquityMember2021-06-300000070866us-gaap:RetainedEarningsMember2021-07-012021-09-300000070866us-gaap:NoncontrollingInterestMember2021</w:t>
      </w:r>
      <w:r>
        <w:rPr>
          <w:rFonts w:eastAsia="Times New Roman"/>
          <w:vanish/>
        </w:rPr>
        <w:t>-07-012021-09-300000070866ncr:TotalStockholdersEquityMember2021-07-012021-09-300000070866us-gaap:AccumulatedOtherComprehensiveIncomeMember2021-07-012021-09-300000070866us-gaap:CommonStockMember2021-07-012021-09-300000070866us-gaap:AdditionalPaidInCapitalMe</w:t>
      </w:r>
      <w:r>
        <w:rPr>
          <w:rFonts w:eastAsia="Times New Roman"/>
          <w:vanish/>
        </w:rPr>
        <w:t>mber2021-07-012021-09-300000070866us-gaap:CommonStockMember2021-09-300000070866us-gaap:AdditionalPaidInCapitalMember2021-09-300000070866us-gaap:RetainedEarningsMember2021-09-300000070866us-gaap:AccumulatedOtherComprehensiveIncomeMember2021-09-300000070866u</w:t>
      </w:r>
      <w:r>
        <w:rPr>
          <w:rFonts w:eastAsia="Times New Roman"/>
          <w:vanish/>
        </w:rPr>
        <w:t>s-gaap:NoncontrollingInterestMember2021-09-300000070866ncr:TotalStockholdersEquityMember2021-09-3000000708662022-10-012022-09-30xbrli:pure0000070866ncr:LibertyXMember2022-01-050000070866ncr:LibertyXMember2022-01-052022-01-050000070866us-gaap:CustomerRelati</w:t>
      </w:r>
      <w:r>
        <w:rPr>
          <w:rFonts w:eastAsia="Times New Roman"/>
          <w:vanish/>
        </w:rPr>
        <w:t>onshipsMemberncr:LibertyXMember2022-01-050000070866us-gaap:CustomerRelationshipsMemberncr:LibertyXMember2022-01-052022-01-050000070866ncr:LibertyXMemberus-gaap:PatentedTechnologyMember2022-01-050000070866ncr:LibertyXMemberus-gaap:PatentedTechnologyMember20</w:t>
      </w:r>
      <w:r>
        <w:rPr>
          <w:rFonts w:eastAsia="Times New Roman"/>
          <w:vanish/>
        </w:rPr>
        <w:t>22-01-052022-01-050000070866us-gaap:NoncompeteAgreementsMemberncr:LibertyXMember2022-01-050000070866us-gaap:NoncompeteAgreementsMemberncr:LibertyXMember2022-01-052022-01-050000070866us-gaap:TradeNamesMemberncr:LibertyXMember2022-01-050000070866us-gaap:Trad</w:t>
      </w:r>
      <w:r>
        <w:rPr>
          <w:rFonts w:eastAsia="Times New Roman"/>
          <w:vanish/>
        </w:rPr>
        <w:t>eNamesMemberncr:LibertyXMember2022-01-052022-01-050000070866ncr:FISPaymentSolutionsServicesPrivateLimitedMember2022-07-012022-07-010000070866ncr:FISPaymentSolutionsServicesPrivateLimitedMember2022-07-012022-09-300000070866ncr:CardtronicsMember2021-06-21000</w:t>
      </w:r>
      <w:r>
        <w:rPr>
          <w:rFonts w:eastAsia="Times New Roman"/>
          <w:vanish/>
        </w:rPr>
        <w:t>0070866ncr:CardtronicsMember2021-07-012021-09-300000070866ncr:CardtronicsMember2021-01-012021-09-300000070866ncr:RetailSegmentMember2021-12-310000070866ncr:RetailSegmentMember2022-01-012022-09-300000070866ncr:RetailSegmentMember2022-09-300000070866ncr:Hosp</w:t>
      </w:r>
      <w:r>
        <w:rPr>
          <w:rFonts w:eastAsia="Times New Roman"/>
          <w:vanish/>
        </w:rPr>
        <w:t>italitySegmentMember2021-12-310000070866ncr:HospitalitySegmentMember2022-01-012022-09-300000070866ncr:HospitalitySegmentMember2022-09-300000070866ncr:DigitalBankingMember2021-12-310000070866ncr:DigitalBankingMember2022-01-012022-09-300000070866ncr:DigitalB</w:t>
      </w:r>
      <w:r>
        <w:rPr>
          <w:rFonts w:eastAsia="Times New Roman"/>
          <w:vanish/>
        </w:rPr>
        <w:t>ankingMember2022-09-300000070866ncr:PaymentsNetworkSegmentMember2021-12-310000070866ncr:PaymentsNetworkSegmentMember2022-01-012022-09-300000070866ncr:PaymentsNetworkSegmentMember2022-09-300000070866ncr:SelfServiceBankingSegmentsMember2021-12-310000070866nc</w:t>
      </w:r>
      <w:r>
        <w:rPr>
          <w:rFonts w:eastAsia="Times New Roman"/>
          <w:vanish/>
        </w:rPr>
        <w:t>r:SelfServiceBankingSegmentsMember2022-01-012022-09-300000070866ncr:SelfServiceBankingSegmentsMember2022-09-300000070866us-gaap:AllOtherSegmentsMember2021-12-310000070866us-gaap:AllOtherSegmentsMember2022-01-012022-09-300000070866us-gaap:AllOtherSegmentsMe</w:t>
      </w:r>
      <w:r>
        <w:rPr>
          <w:rFonts w:eastAsia="Times New Roman"/>
          <w:vanish/>
        </w:rPr>
        <w:t>mber2022-09-300000070866srt:MinimumMemberus-gaap:CustomerRelationshipsMember2022-01-012022-09-300000070866us-gaap:CustomerRelationshipsMembersrt:MaximumMember2022-01-012022-09-300000070866us-gaap:CustomerRelationshipsMember2022-09-300000070866us-gaap:Custo</w:t>
      </w:r>
      <w:r>
        <w:rPr>
          <w:rFonts w:eastAsia="Times New Roman"/>
          <w:vanish/>
        </w:rPr>
        <w:t>merRelationshipsMember2021-12-310000070866srt:MinimumMemberus-gaap:IntellectualPropertyMember2022-01-012022-09-300000070866srt:MaximumMemberus-gaap:IntellectualPropertyMember2022-01-012022-09-300000070866us-gaap:IntellectualPropertyMember2022-09-3000000708</w:t>
      </w:r>
      <w:r>
        <w:rPr>
          <w:rFonts w:eastAsia="Times New Roman"/>
          <w:vanish/>
        </w:rPr>
        <w:t>66us-gaap:IntellectualPropertyMember2021-12-310000070866us-gaap:CustomerContractsMember2022-01-012022-09-300000070866us-gaap:CustomerContractsMember2022-09-300000070866us-gaap:CustomerContractsMember2021-12-310000070866srt:MinimumMemberus-gaap:TradeNamesMe</w:t>
      </w:r>
      <w:r>
        <w:rPr>
          <w:rFonts w:eastAsia="Times New Roman"/>
          <w:vanish/>
        </w:rPr>
        <w:t>mber2022-01-012022-09-300000070866us-gaap:TradeNamesMembersrt:MaximumMember2022-01-012022-09-300000070866us-gaap:TradeNamesMember2022-09-300000070866us-gaap:TradeNamesMember2021-12-310000070866ncr:RetailSegmentsMemberus-gaap:OperatingSegmentsMember2022-07-</w:t>
      </w:r>
      <w:r>
        <w:rPr>
          <w:rFonts w:eastAsia="Times New Roman"/>
          <w:vanish/>
        </w:rPr>
        <w:t>012022-09-300000070866ncr:RetailSegmentsMemberus-gaap:OperatingSegmentsMember2021-07-012021-09-300000070866ncr:RetailSegmentsMemberus-gaap:OperatingSegmentsMember2022-01-012022-09-300000070866ncr:RetailSegmentsMemberus-gaap:OperatingSegmentsMember2021-01-0</w:t>
      </w:r>
      <w:r>
        <w:rPr>
          <w:rFonts w:eastAsia="Times New Roman"/>
          <w:vanish/>
        </w:rPr>
        <w:t>12021-09-300000070866ncr:HospitalitySegmentMemberus-gaap:OperatingSegmentsMember2022-07-012022-09-300000070866ncr:HospitalitySegmentMemberus-gaap:OperatingSegmentsMember2021-07-012021-09-300000070866ncr:HospitalitySegmentMemberus-gaap:OperatingSegmentsMemb</w:t>
      </w:r>
      <w:r>
        <w:rPr>
          <w:rFonts w:eastAsia="Times New Roman"/>
          <w:vanish/>
        </w:rPr>
        <w:t>er2022-01-012022-09-300000070866ncr:HospitalitySegmentMemberus-gaap:OperatingSegmentsMember2021-01-012021-09-300000070866ncr:DigitalBankingMemberus-gaap:OperatingSegmentsMember2022-07-012022-09-300000070866ncr:DigitalBankingMemberus-gaap:OperatingSegmentsM</w:t>
      </w:r>
      <w:r>
        <w:rPr>
          <w:rFonts w:eastAsia="Times New Roman"/>
          <w:vanish/>
        </w:rPr>
        <w:t>ember2021-07-012021-09-300000070866ncr:DigitalBankingMemberus-gaap:OperatingSegmentsMember2022-01-012022-09-300000070866ncr:DigitalBankingMemberus-gaap:OperatingSegmentsMember2021-01-012021-09-300000070866ncr:PaymentsNetworkSegmentMemberus-gaap:OperatingSe</w:t>
      </w:r>
      <w:r>
        <w:rPr>
          <w:rFonts w:eastAsia="Times New Roman"/>
          <w:vanish/>
        </w:rPr>
        <w:t>gmentsMember2022-07-012022-09-300000070866ncr:PaymentsNetworkSegmentMemberus-gaap:OperatingSegmentsMember2021-07-012021-09-300000070866ncr:PaymentsNetworkSegmentMemberus-gaap:OperatingSegmentsMember2022-01-012022-09-300000070866ncr:PaymentsNetworkSegmentMe</w:t>
      </w:r>
      <w:r>
        <w:rPr>
          <w:rFonts w:eastAsia="Times New Roman"/>
          <w:vanish/>
        </w:rPr>
        <w:t>mberus-gaap:OperatingSegmentsMember2021-01-012021-09-300000070866ncr:SelfServiceBankingSegmentsMemberus-gaap:OperatingSegmentsMember2022-07-012022-09-300000070866ncr:SelfServiceBankingSegmentsMemberus-gaap:OperatingSegmentsMember2021-07-012021-09-300000070</w:t>
      </w:r>
      <w:r>
        <w:rPr>
          <w:rFonts w:eastAsia="Times New Roman"/>
          <w:vanish/>
        </w:rPr>
        <w:t>866ncr:SelfServiceBankingSegmentsMemberus-gaap:OperatingSegmentsMember2022-01-012022-09-300000070866ncr:SelfServiceBankingSegmentsMemberus-gaap:OperatingSegmentsMember2021-01-012021-09-300000070866us-gaap:AllOtherSegmentsMemberus-gaap:OperatingSegmentsMemb</w:t>
      </w:r>
      <w:r>
        <w:rPr>
          <w:rFonts w:eastAsia="Times New Roman"/>
          <w:vanish/>
        </w:rPr>
        <w:t>er2022-07-012022-09-300000070866us-gaap:AllOtherSegmentsMemberus-gaap:OperatingSegmentsMember2021-07-012021-09-300000070866us-gaap:AllOtherSegmentsMemberus-gaap:OperatingSegmentsMember2022-01-012022-09-300000070866us-gaap:AllOtherSegmentsMemberus-gaap:Oper</w:t>
      </w:r>
      <w:r>
        <w:rPr>
          <w:rFonts w:eastAsia="Times New Roman"/>
          <w:vanish/>
        </w:rPr>
        <w:t>atingSegmentsMember2021-01-012021-09-300000070866ncr:EliminationsMemberus-gaap:OperatingSegmentsMember2022-07-012022-09-300000070866ncr:EliminationsMemberus-gaap:OperatingSegmentsMember2021-07-012021-09-300000070866ncr:EliminationsMemberus-gaap:OperatingSe</w:t>
      </w:r>
      <w:r>
        <w:rPr>
          <w:rFonts w:eastAsia="Times New Roman"/>
          <w:vanish/>
        </w:rPr>
        <w:t>gmentsMember2022-01-012022-09-300000070866ncr:EliminationsMemberus-gaap:OperatingSegmentsMember2021-01-012021-09-300000070866us-gaap:OperatingSegmentsMember2022-07-012022-09-300000070866us-gaap:OperatingSegmentsMember2021-07-012021-09-300000070866us-gaap:O</w:t>
      </w:r>
      <w:r>
        <w:rPr>
          <w:rFonts w:eastAsia="Times New Roman"/>
          <w:vanish/>
        </w:rPr>
        <w:t>peratingSegmentsMember2022-01-012022-09-300000070866us-gaap:OperatingSegmentsMember2021-01-012021-09-300000070866ncr:RussiaConflictMember2022-07-012022-09-300000070866ncr:RussiaConflictMember2021-07-012021-09-300000070866ncr:RussiaConflictMember2022-01-012</w:t>
      </w:r>
      <w:r>
        <w:rPr>
          <w:rFonts w:eastAsia="Times New Roman"/>
          <w:vanish/>
        </w:rPr>
        <w:t>022-09-300000070866ncr:RussiaConflictMember2021-01-012021-09-300000070866srt:AmericasMember2022-07-012022-09-300000070866srt:AmericasMember2021-07-012021-09-300000070866srt:AmericasMember2022-01-012022-09-300000070866srt:AmericasMember2021-01-012021-09-300</w:t>
      </w:r>
      <w:r>
        <w:rPr>
          <w:rFonts w:eastAsia="Times New Roman"/>
          <w:vanish/>
        </w:rPr>
        <w:t>000070866us-gaap:EMEAMember2022-07-012022-09-300000070866us-gaap:EMEAMember2021-07-012021-09-300000070866us-gaap:EMEAMember2022-01-012022-09-300000070866us-gaap:EMEAMember2021-01-012021-09-300000070866srt:AsiaPacificMember2022-07-012022-09-300000070866srt:</w:t>
      </w:r>
      <w:r>
        <w:rPr>
          <w:rFonts w:eastAsia="Times New Roman"/>
          <w:vanish/>
        </w:rPr>
        <w:t>AsiaPacificMember2021-07-012021-09-300000070866srt:AsiaPacificMember2022-01-012022-09-300000070866srt:AsiaPacificMember2021-01-012021-09-300000070866ncr:RecurringRevenueMember2022-07-012022-09-300000070866ncr:RecurringRevenueMember2021-07-012021-09-3000000</w:t>
      </w:r>
      <w:r>
        <w:rPr>
          <w:rFonts w:eastAsia="Times New Roman"/>
          <w:vanish/>
        </w:rPr>
        <w:t>70866ncr:RecurringRevenueMember2022-01-012022-09-300000070866ncr:RecurringRevenueMember2021-01-012021-09-300000070866ncr:AllOtherProductsAndServicesMember2022-07-012022-09-300000070866ncr:AllOtherProductsAndServicesMember2021-07-012021-09-300000070866ncr:A</w:t>
      </w:r>
      <w:r>
        <w:rPr>
          <w:rFonts w:eastAsia="Times New Roman"/>
          <w:vanish/>
        </w:rPr>
        <w:t>llOtherProductsAndServicesMember2022-01-012022-09-300000070866ncr:AllOtherProductsAndServicesMember2021-01-012021-09-300000070866ncr:TermLoanMember2022-09-300000070866ncr:TermLoanMember2021-12-310000070866ncr:OtherDebtMember2022-09-300000070866ncr:OtherDeb</w:t>
      </w:r>
      <w:r>
        <w:rPr>
          <w:rFonts w:eastAsia="Times New Roman"/>
          <w:vanish/>
        </w:rPr>
        <w:t>tMember2021-12-310000070866ncr:TermLoanMember2022-09-300000070866ncr:TermLoanMember2021-12-310000070866us-gaap:RevolvingCreditFacilityMember2022-09-300000070866us-gaap:RevolvingCreditFacilityMember2021-12-310000070866ncr:A5.750SeniorNotesdue2027Member2022-</w:t>
      </w:r>
      <w:r>
        <w:rPr>
          <w:rFonts w:eastAsia="Times New Roman"/>
          <w:vanish/>
        </w:rPr>
        <w:t>09-300000070866ncr:A5.750SeniorNotesdue2027Member2021-12-310000070866ncr:A5000SeniorNotesDue2028Member2022-09-300000070866ncr:A5000SeniorNotesDue2028Member2021-12-310000070866ncr:A5125NotesDue2029Member2022-09-300000070866ncr:A5125NotesDue2029Member2021-12</w:t>
      </w:r>
      <w:r>
        <w:rPr>
          <w:rFonts w:eastAsia="Times New Roman"/>
          <w:vanish/>
        </w:rPr>
        <w:t>-310000070866ncr:A6.125SeniorNotesdue2029Member2022-09-300000070866ncr:A6.125SeniorNotesdue2029Member2021-12-310000070866ncr:A5250SeniorNotesDue2030Member2022-09-300000070866ncr:A5250SeniorNotesDue2030Member2021-12-310000070866ncr:OtherDebtMember2022-09-30</w:t>
      </w:r>
      <w:r>
        <w:rPr>
          <w:rFonts w:eastAsia="Times New Roman"/>
          <w:vanish/>
        </w:rPr>
        <w:t>0000070866ncr:OtherDebtMember2021-12-310000070866ncr:RevolvingMemberus-gaap:SecuredDebtMember2022-09-300000070866ncr:PeriodOneMember2022-09-300000070866ncr:PeriodTwoMember2022-09-300000070866ncr:PeriodThreeMember2022-09-3000000708662021-01-012021-12-310000</w:t>
      </w:r>
      <w:r>
        <w:rPr>
          <w:rFonts w:eastAsia="Times New Roman"/>
          <w:vanish/>
        </w:rPr>
        <w:t>070866srt:MinimumMember2022-09-300000070866srt:MaximumMember2022-09-300000070866us-gaap:ShareBasedCompensationAwardTrancheOneMember2022-01-012022-09-300000070866ncr:RestrictedStockUnitsGrantedFebruary232021Memberus-gaap:PerformanceSharesMember2022-09-30000</w:t>
      </w:r>
      <w:r>
        <w:rPr>
          <w:rFonts w:eastAsia="Times New Roman"/>
          <w:vanish/>
        </w:rPr>
        <w:t>0070866ncr:RestrictedStockUnitsGrantedFebruary232021Memberus-gaap:PerformanceSharesMember2022-01-012022-09-300000070866us-gaap:PerformanceSharesMember2022-01-012022-09-300000070866us-gaap:RestrictedStockUnitsRSUMember2022-09-300000070866us-gaap:RestrictedS</w:t>
      </w:r>
      <w:r>
        <w:rPr>
          <w:rFonts w:eastAsia="Times New Roman"/>
          <w:vanish/>
        </w:rPr>
        <w:t>tockUnitsRSUMember2022-01-012022-09-300000070866us-gaap:EmployeeStockOptionMember2022-09-300000070866us-gaap:EmployeeStockOptionMember2022-01-012022-09-300000070866ncr:EmployeeStockPurchasePlanMember2022-01-012022-09-300000070866ncr:EmployeeStockPurchasePl</w:t>
      </w:r>
      <w:r>
        <w:rPr>
          <w:rFonts w:eastAsia="Times New Roman"/>
          <w:vanish/>
        </w:rPr>
        <w:t>anMember2022-09-300000070866ncr:EmployeeStockPurchasePlanMember2022-07-012022-09-300000070866ncr:EmployeeStockPurchasePlanMember2021-07-012021-09-300000070866country:USus-gaap:PensionPlansDefinedBenefitMember2022-07-012022-09-300000070866country:USus-gaap:</w:t>
      </w:r>
      <w:r>
        <w:rPr>
          <w:rFonts w:eastAsia="Times New Roman"/>
          <w:vanish/>
        </w:rPr>
        <w:t>PensionPlansDefinedBenefitMember2021-07-012021-09-300000070866us-gaap:ForeignPlanMemberus-gaap:PensionPlansDefinedBenefitMember2022-07-012022-09-300000070866us-gaap:ForeignPlanMemberus-gaap:PensionPlansDefinedBenefitMember2021-07-012021-09-300000070866us-g</w:t>
      </w:r>
      <w:r>
        <w:rPr>
          <w:rFonts w:eastAsia="Times New Roman"/>
          <w:vanish/>
        </w:rPr>
        <w:t>aap:PensionPlansDefinedBenefitMember2022-07-012022-09-300000070866us-gaap:PensionPlansDefinedBenefitMember2021-07-012021-09-300000070866country:USus-gaap:PensionPlansDefinedBenefitMember2022-01-012022-09-300000070866country:USus-gaap:PensionPlansDefinedBen</w:t>
      </w:r>
      <w:r>
        <w:rPr>
          <w:rFonts w:eastAsia="Times New Roman"/>
          <w:vanish/>
        </w:rPr>
        <w:t>efitMember2021-01-012021-09-300000070866us-gaap:ForeignPlanMemberus-gaap:PensionPlansDefinedBenefitMember2022-01-012022-09-300000070866us-gaap:ForeignPlanMemberus-gaap:PensionPlansDefinedBenefitMember2021-01-012021-09-300000070866us-gaap:PensionPlansDefine</w:t>
      </w:r>
      <w:r>
        <w:rPr>
          <w:rFonts w:eastAsia="Times New Roman"/>
          <w:vanish/>
        </w:rPr>
        <w:t>dBenefitMember2022-01-012022-09-300000070866us-gaap:PensionPlansDefinedBenefitMember2021-01-012021-09-300000070866us-gaap:OtherPostretirementBenefitPlansDefinedBenefitMember2022-07-012022-09-300000070866us-gaap:OtherPostretirementBenefitPlansDefinedBenefit</w:t>
      </w:r>
      <w:r>
        <w:rPr>
          <w:rFonts w:eastAsia="Times New Roman"/>
          <w:vanish/>
        </w:rPr>
        <w:t>Member2021-07-012021-09-300000070866us-gaap:OtherPostretirementBenefitPlansDefinedBenefitMember2022-01-012022-09-300000070866us-gaap:OtherPostretirementBenefitPlansDefinedBenefitMember2021-01-012021-09-300000070866us-gaap:PostemploymentRetirementBenefitsMe</w:t>
      </w:r>
      <w:r>
        <w:rPr>
          <w:rFonts w:eastAsia="Times New Roman"/>
          <w:vanish/>
        </w:rPr>
        <w:t>mber2022-07-012022-09-300000070866us-gaap:PostemploymentRetirementBenefitsMember2021-07-012021-09-300000070866us-gaap:PostemploymentRetirementBenefitsMember2022-01-012022-09-300000070866us-gaap:PostemploymentRetirementBenefitsMember2021-01-012021-09-300000</w:t>
      </w:r>
      <w:r>
        <w:rPr>
          <w:rFonts w:eastAsia="Times New Roman"/>
          <w:vanish/>
        </w:rPr>
        <w:t>070866us-gaap:ForeignPlanMemberus-gaap:PensionPlansDefinedBenefitMember2022-09-300000070866country:USus-gaap:PensionPlansDefinedBenefitMember2022-09-300000070866us-gaap:PostemploymentRetirementBenefitsMember2022-09-300000070866ncr:CloudOfChangeLLCMemberus-</w:t>
      </w:r>
      <w:r>
        <w:rPr>
          <w:rFonts w:eastAsia="Times New Roman"/>
          <w:vanish/>
        </w:rPr>
        <w:t>gaap:SubsequentEventMember2022-10-272022-10-270000070866ncr:CloudOfChangeLLCMemberus-gaap:SubsequentEventMember2022-10-310000070866ncr:FoxRiverSiteMember2022-09-30ncr:entity0000070866ncr:FoxRiverSiteMember2022-09-300000070866ncr:FoxRiverSiteMember2021-12-3</w:t>
      </w:r>
      <w:r>
        <w:rPr>
          <w:rFonts w:eastAsia="Times New Roman"/>
          <w:vanish/>
        </w:rPr>
        <w:t>10000070866ncr:FoxRiverSiteMemberncr:FoxRiverLlcMember2021-12-310000070866ncr:FoxRiverSiteMemberncr:FoxRiverLlcMember2022-09-300000070866ncr:KalamazooRiverSiteMember2022-09-30ncr:company0000070866ncr:KalamazooRiverSiteMember2010-12-31ncr:defendantncr:affil</w:t>
      </w:r>
      <w:r>
        <w:rPr>
          <w:rFonts w:eastAsia="Times New Roman"/>
          <w:vanish/>
        </w:rPr>
        <w:t>iateCorporation0000070866ncr:KalamazooRiverSiteMember2013-12-310000070866ncr:KalamazooRiverSiteMember2018-03-292018-03-290000070866ncr:KalamazooRiverSiteMember2018-03-290000070866ncr:KalamazooRiverSiteMemberncr:CompanyOneMember2018-03-292018-03-29000007086</w:t>
      </w:r>
      <w:r>
        <w:rPr>
          <w:rFonts w:eastAsia="Times New Roman"/>
          <w:vanish/>
        </w:rPr>
        <w:t>6ncr:KalamazooRiverSiteMemberncr:CompanyTwoMember2018-03-292018-03-290000070866ncr:KalamazooRiverSiteMember2021-12-310000070866srt:MinimumMemberncr:KalamazooRiverSiteMember2022-09-300000070866ncr:KalamazooRiverSiteMembersrt:MaximumMember2022-09-30000007086</w:t>
      </w:r>
      <w:r>
        <w:rPr>
          <w:rFonts w:eastAsia="Times New Roman"/>
          <w:vanish/>
        </w:rPr>
        <w:t>6ncr:EbinaMember2022-09-300000070866ncr:EbinaMember2021-12-3100000708662021-12-012021-12-310000070866us-gaap:ConvertiblePreferredStockMember2022-09-30utr:Rate0000070866us-gaap:ConvertiblePreferredStockMember2022-07-012022-09-300000070866us-gaap:Convertible</w:t>
      </w:r>
      <w:r>
        <w:rPr>
          <w:rFonts w:eastAsia="Times New Roman"/>
          <w:vanish/>
        </w:rPr>
        <w:t>PreferredStockMember2021-07-012021-09-300000070866us-gaap:ConvertiblePreferredStockMember2021-01-012021-09-300000070866us-gaap:ConvertiblePreferredStockMember2022-01-012022-09-300000070866us-gaap:ConvertiblePreferredStockMember2021-12-310000070866us-gaap:C</w:t>
      </w:r>
      <w:r>
        <w:rPr>
          <w:rFonts w:eastAsia="Times New Roman"/>
          <w:vanish/>
        </w:rPr>
        <w:t>onvertiblePreferredStockMember2022-07-012022-09-300000070866ncr:RestrictedStockUnitsRSUsandStockOptionsMember2022-07-012022-09-300000070866us-gaap:ConvertiblePreferredStockMember2021-07-012021-09-300000070866ncr:RestrictedStockUnitsRSUsandStockOptionsMembe</w:t>
      </w:r>
      <w:r>
        <w:rPr>
          <w:rFonts w:eastAsia="Times New Roman"/>
          <w:vanish/>
        </w:rPr>
        <w:t>r2021-07-012021-09-300000070866us-gaap:ConvertiblePreferredStockMember2022-01-012022-09-300000070866ncr:RestrictedStockUnitsRSUsandStockOptionsMember2022-01-012022-09-300000070866us-gaap:ConvertiblePreferredStockMember2021-01-012021-09-300000070866ncr:Rest</w:t>
      </w:r>
      <w:r>
        <w:rPr>
          <w:rFonts w:eastAsia="Times New Roman"/>
          <w:vanish/>
        </w:rPr>
        <w:t>rictedStockUnitsRSUsandStockOptionsMember2021-01-012021-09-30ncr:currency0000070866us-gaap:AccumulatedGainLossCashFlowHedgeIncludingNoncontrollingInterestMemberus-gaap:ForeignExchangeContractMember2022-09-300000070866us-gaap:AccumulatedGainLossCashFlowHedg</w:t>
      </w:r>
      <w:r>
        <w:rPr>
          <w:rFonts w:eastAsia="Times New Roman"/>
          <w:vanish/>
        </w:rPr>
        <w:t>eIncludingNoncontrollingInterestMemberus-gaap:ForeignExchangeContractMember2021-12-310000070866us-gaap:SwapMember2022-01-3100000708662022-01-310000070866ncr:TerminatedInterestRateCapMember2022-03-3100000708662022-03-012022-03-3100000708662022-03-3100000708</w:t>
      </w:r>
      <w:r>
        <w:rPr>
          <w:rFonts w:eastAsia="Times New Roman"/>
          <w:vanish/>
        </w:rPr>
        <w:t>66srt:MinimumMember2022-03-310000070866srt:MaximumMember2022-03-310000070866ncr:TerminatedInterestRateCapMember2022-06-3000000708662022-06-012022-06-3000000708662022-06-300000070866srt:MinimumMember2022-06-300000070866srt:MaximumMember2022-06-300000070866n</w:t>
      </w:r>
      <w:r>
        <w:rPr>
          <w:rFonts w:eastAsia="Times New Roman"/>
          <w:vanish/>
        </w:rPr>
        <w:t>cr:AOCIAttributableToInterestRateDerivativesMember2022-09-300000070866ncr:AOCIAttributableToInterestRateDerivativesMember2021-12-310000070866us-gaap:InterestRateCapMemberus-gaap:OtherCurrentAssetsMemberus-gaap:DesignatedAsHedgingInstrumentMember2022-09-300</w:t>
      </w:r>
      <w:r>
        <w:rPr>
          <w:rFonts w:eastAsia="Times New Roman"/>
          <w:vanish/>
        </w:rPr>
        <w:t>000070866us-gaap:InterestRateCapMemberus-gaap:OtherCurrentLiabilitiesMemberus-gaap:DesignatedAsHedgingInstrumentMember2022-09-300000070866us-gaap:InterestRateCapMemberus-gaap:OtherAssetsMemberus-gaap:DesignatedAsHedgingInstrumentMember2022-09-300000070866u</w:t>
      </w:r>
      <w:r>
        <w:rPr>
          <w:rFonts w:eastAsia="Times New Roman"/>
          <w:vanish/>
        </w:rPr>
        <w:t>s-gaap:OtherLiabilitiesMemberus-gaap:InterestRateCapMemberus-gaap:DesignatedAsHedgingInstrumentMember2022-09-300000070866us-gaap:DesignatedAsHedgingInstrumentMember2022-09-300000070866us-gaap:ForeignExchangeContractMemberus-gaap:NondesignatedMember2022-09-</w:t>
      </w:r>
      <w:r>
        <w:rPr>
          <w:rFonts w:eastAsia="Times New Roman"/>
          <w:vanish/>
        </w:rPr>
        <w:t>300000070866us-gaap:NondesignatedMember2022-09-300000070866us-gaap:InterestRateCapMemberus-gaap:DesignatedAsHedgingInstrumentMember2021-12-310000070866us-gaap:DesignatedAsHedgingInstrumentMember2021-12-310000070866us-gaap:ForeignExchangeContractMemberus-ga</w:t>
      </w:r>
      <w:r>
        <w:rPr>
          <w:rFonts w:eastAsia="Times New Roman"/>
          <w:vanish/>
        </w:rPr>
        <w:t>ap:NondesignatedMember2021-12-310000070866us-gaap:NondesignatedMember2021-12-310000070866us-gaap:InterestRateContractMemberus-gaap:CashFlowHedgingMemberus-gaap:CostOfSalesMember2022-07-012022-09-300000070866us-gaap:InterestRateContractMemberus-gaap:CashFlo</w:t>
      </w:r>
      <w:r>
        <w:rPr>
          <w:rFonts w:eastAsia="Times New Roman"/>
          <w:vanish/>
        </w:rPr>
        <w:t>wHedgingMemberus-gaap:CostOfSalesMember2021-07-012021-09-300000070866us-gaap:InterestRateContractMemberus-gaap:InterestExpenseMemberus-gaap:CashFlowHedgingMember2022-07-012022-09-300000070866us-gaap:InterestRateContractMemberus-gaap:InterestExpenseMemberus</w:t>
      </w:r>
      <w:r>
        <w:rPr>
          <w:rFonts w:eastAsia="Times New Roman"/>
          <w:vanish/>
        </w:rPr>
        <w:t>-gaap:CashFlowHedgingMember2021-07-012021-09-300000070866us-gaap:InterestRateContractMemberus-gaap:CashFlowHedgingMemberus-gaap:CostOfSalesMember2022-01-012022-09-300000070866us-gaap:InterestRateContractMemberus-gaap:CashFlowHedgingMemberus-gaap:CostOfSale</w:t>
      </w:r>
      <w:r>
        <w:rPr>
          <w:rFonts w:eastAsia="Times New Roman"/>
          <w:vanish/>
        </w:rPr>
        <w:t>sMember2021-01-012021-09-300000070866us-gaap:InterestRateContractMemberus-gaap:InterestExpenseMemberus-gaap:CashFlowHedgingMember2022-01-012022-09-300000070866us-gaap:InterestRateContractMemberus-gaap:InterestExpenseMemberus-gaap:CashFlowHedgingMember2021-</w:t>
      </w:r>
      <w:r>
        <w:rPr>
          <w:rFonts w:eastAsia="Times New Roman"/>
          <w:vanish/>
        </w:rPr>
        <w:t>01-012021-09-300000070866us-gaap:ForeignExchangeContractMemberus-gaap:OtherExpenseMember2022-07-012022-09-300000070866us-gaap:ForeignExchangeContractMemberus-gaap:OtherExpenseMember2021-07-012021-09-300000070866us-gaap:ForeignExchangeContractMemberus-gaap:</w:t>
      </w:r>
      <w:r>
        <w:rPr>
          <w:rFonts w:eastAsia="Times New Roman"/>
          <w:vanish/>
        </w:rPr>
        <w:t>OtherExpenseMember2022-01-012022-09-300000070866us-gaap:ForeignExchangeContractMemberus-gaap:OtherExpenseMember2021-01-012021-09-300000070866us-gaap:EstimateOfFairValueFairValueDisclosureMemberus-gaap:FairValueMeasurementsRecurringMember2022-09-30000007086</w:t>
      </w:r>
      <w:r>
        <w:rPr>
          <w:rFonts w:eastAsia="Times New Roman"/>
          <w:vanish/>
        </w:rPr>
        <w:t>6us-gaap:FairValueInputsLevel1Memberus-gaap:FairValueMeasurementsRecurringMember2022-09-300000070866us-gaap:FairValueMeasurementsRecurringMemberus-gaap:FairValueInputsLevel2Member2022-09-300000070866us-gaap:FairValueInputsLevel3Memberus-gaap:FairValueMeasu</w:t>
      </w:r>
      <w:r>
        <w:rPr>
          <w:rFonts w:eastAsia="Times New Roman"/>
          <w:vanish/>
        </w:rPr>
        <w:t>rementsRecurringMember2022-09-300000070866us-gaap:EstimateOfFairValueFairValueDisclosureMemberus-gaap:FairValueMeasurementsRecurringMember2021-12-310000070866us-gaap:FairValueInputsLevel1Memberus-gaap:FairValueMeasurementsRecurringMember2021-12-31000007086</w:t>
      </w:r>
      <w:r>
        <w:rPr>
          <w:rFonts w:eastAsia="Times New Roman"/>
          <w:vanish/>
        </w:rPr>
        <w:t>6us-gaap:FairValueMeasurementsRecurringMemberus-gaap:FairValueInputsLevel2Member2021-12-310000070866us-gaap:FairValueInputsLevel3Memberus-gaap:FairValueMeasurementsRecurringMember2021-12-310000070866us-gaap:InterestRateCapMemberus-gaap:EstimateOfFairValueF</w:t>
      </w:r>
      <w:r>
        <w:rPr>
          <w:rFonts w:eastAsia="Times New Roman"/>
          <w:vanish/>
        </w:rPr>
        <w:t>airValueDisclosureMemberus-gaap:FairValueMeasurementsRecurringMember2021-12-310000070866us-gaap:InterestRateCapMemberus-gaap:FairValueInputsLevel1Memberus-gaap:FairValueMeasurementsRecurringMember2021-12-310000070866us-gaap:InterestRateCapMemberus-gaap:Fai</w:t>
      </w:r>
      <w:r>
        <w:rPr>
          <w:rFonts w:eastAsia="Times New Roman"/>
          <w:vanish/>
        </w:rPr>
        <w:t>rValueMeasurementsRecurringMemberus-gaap:FairValueInputsLevel2Member2021-12-310000070866us-gaap:InterestRateCapMemberus-gaap:FairValueInputsLevel3Memberus-gaap:FairValueMeasurementsRecurringMember2021-12-310000070866us-gaap:AccumulatedTranslationAdjustment</w:t>
      </w:r>
      <w:r>
        <w:rPr>
          <w:rFonts w:eastAsia="Times New Roman"/>
          <w:vanish/>
        </w:rPr>
        <w:t>Member2021-12-310000070866us-gaap:AccumulatedDefinedBenefitPlansAdjustmentMember2021-12-310000070866us-gaap:AccumulatedNetGainLossFromDesignatedOrQualifyingCashFlowHedgesMember2021-12-310000070866us-gaap:AccumulatedTranslationAdjustmentMember2022-01-012022</w:t>
      </w:r>
      <w:r>
        <w:rPr>
          <w:rFonts w:eastAsia="Times New Roman"/>
          <w:vanish/>
        </w:rPr>
        <w:t>-09-300000070866us-gaap:AccumulatedDefinedBenefitPlansAdjustmentMember2022-01-012022-09-300000070866us-gaap:AccumulatedNetGainLossFromDesignatedOrQualifyingCashFlowHedgesMember2022-01-012022-09-300000070866us-gaap:AccumulatedTranslationAdjustmentMember2022</w:t>
      </w:r>
      <w:r>
        <w:rPr>
          <w:rFonts w:eastAsia="Times New Roman"/>
          <w:vanish/>
        </w:rPr>
        <w:t>-09-300000070866us-gaap:AccumulatedDefinedBenefitPlansAdjustmentMember2022-09-300000070866us-gaap:AccumulatedNetGainLossFromDesignatedOrQualifyingCashFlowHedgesMember2022-09-300000070866us-gaap:AccumulatedDefinedBenefitPlansAdjustmentNetUnamortizedGainLoss</w:t>
      </w:r>
      <w:r>
        <w:rPr>
          <w:rFonts w:eastAsia="Times New Roman"/>
          <w:vanish/>
        </w:rPr>
        <w:t>Memberus-gaap:ReclassificationOutOfAccumulatedOtherComprehensiveIncomeMemberus-gaap:ProductMember2022-07-012022-09-300000070866us-gaap:ReclassificationOutOfAccumulatedOtherComprehensiveIncomeMemberus-gaap:AccumulatedDefinedBenefitPlansAdjustmentNetPriorSer</w:t>
      </w:r>
      <w:r>
        <w:rPr>
          <w:rFonts w:eastAsia="Times New Roman"/>
          <w:vanish/>
        </w:rPr>
        <w:t>viceCostCreditMemberus-gaap:ProductMember2022-07-012022-09-300000070866us-gaap:AccumulatedNetGainLossFromDesignatedOrQualifyingCashFlowHedgesMemberus-gaap:ReclassificationOutOfAccumulatedOtherComprehensiveIncomeMemberus-gaap:ProductMember2022-07-012022-09-</w:t>
      </w:r>
      <w:r>
        <w:rPr>
          <w:rFonts w:eastAsia="Times New Roman"/>
          <w:vanish/>
        </w:rPr>
        <w:t>300000070866us-gaap:ReclassificationOutOfAccumulatedOtherComprehensiveIncomeMemberus-gaap:ProductMember2022-07-012022-09-300000070866us-gaap:AccumulatedDefinedBenefitPlansAdjustmentNetUnamortizedGainLossMemberus-gaap:ReclassificationOutOfAccumulatedOtherCo</w:t>
      </w:r>
      <w:r>
        <w:rPr>
          <w:rFonts w:eastAsia="Times New Roman"/>
          <w:vanish/>
        </w:rPr>
        <w:t>mprehensiveIncomeMemberus-gaap:ServiceMember2022-07-012022-09-300000070866us-gaap:ReclassificationOutOfAccumulatedOtherComprehensiveIncomeMemberus-gaap:AccumulatedDefinedBenefitPlansAdjustmentNetPriorServiceCostCreditMemberus-gaap:ServiceMember2022-07-0120</w:t>
      </w:r>
      <w:r>
        <w:rPr>
          <w:rFonts w:eastAsia="Times New Roman"/>
          <w:vanish/>
        </w:rPr>
        <w:t>22-09-300000070866us-gaap:AccumulatedNetGainLossFromDesignatedOrQualifyingCashFlowHedgesMemberus-gaap:ReclassificationOutOfAccumulatedOtherComprehensiveIncomeMemberus-gaap:ServiceMember2022-07-012022-09-300000070866us-gaap:ReclassificationOutOfAccumulatedO</w:t>
      </w:r>
      <w:r>
        <w:rPr>
          <w:rFonts w:eastAsia="Times New Roman"/>
          <w:vanish/>
        </w:rPr>
        <w:t>therComprehensiveIncomeMemberus-gaap:ServiceMember2022-07-012022-09-300000070866us-gaap:AccumulatedDefinedBenefitPlansAdjustmentNetUnamortizedGainLossMemberus-gaap:ReclassificationOutOfAccumulatedOtherComprehensiveIncomeMember2022-07-012022-09-300000070866</w:t>
      </w:r>
      <w:r>
        <w:rPr>
          <w:rFonts w:eastAsia="Times New Roman"/>
          <w:vanish/>
        </w:rPr>
        <w:t>us-gaap:ReclassificationOutOfAccumulatedOtherComprehensiveIncomeMemberus-gaap:AccumulatedDefinedBenefitPlansAdjustmentNetPriorServiceCostCreditMember2022-07-012022-09-300000070866us-gaap:AccumulatedNetGainLossFromDesignatedOrQualifyingCashFlowHedgesMemberu</w:t>
      </w:r>
      <w:r>
        <w:rPr>
          <w:rFonts w:eastAsia="Times New Roman"/>
          <w:vanish/>
        </w:rPr>
        <w:t>s-gaap:ReclassificationOutOfAccumulatedOtherComprehensiveIncomeMember2022-07-012022-09-300000070866us-gaap:ReclassificationOutOfAccumulatedOtherComprehensiveIncomeMember2022-07-012022-09-300000070866us-gaap:AccumulatedDefinedBenefitPlansAdjustmentNetUnamor</w:t>
      </w:r>
      <w:r>
        <w:rPr>
          <w:rFonts w:eastAsia="Times New Roman"/>
          <w:vanish/>
        </w:rPr>
        <w:t>tizedGainLossMemberus-gaap:ReclassificationOutOfAccumulatedOtherComprehensiveIncomeMemberus-gaap:ProductMember2021-07-012021-09-300000070866us-gaap:ReclassificationOutOfAccumulatedOtherComprehensiveIncomeMemberus-gaap:AccumulatedDefinedBenefitPlansAdjustme</w:t>
      </w:r>
      <w:r>
        <w:rPr>
          <w:rFonts w:eastAsia="Times New Roman"/>
          <w:vanish/>
        </w:rPr>
        <w:t>ntNetPriorServiceCostCreditMemberus-gaap:ProductMember2021-07-012021-09-300000070866us-gaap:AccumulatedNetGainLossFromDesignatedOrQualifyingCashFlowHedgesMemberus-gaap:ReclassificationOutOfAccumulatedOtherComprehensiveIncomeMemberus-gaap:ProductMember2021-</w:t>
      </w:r>
      <w:r>
        <w:rPr>
          <w:rFonts w:eastAsia="Times New Roman"/>
          <w:vanish/>
        </w:rPr>
        <w:t>07-012021-09-300000070866us-gaap:ReclassificationOutOfAccumulatedOtherComprehensiveIncomeMemberus-gaap:ProductMember2021-07-012021-09-300000070866us-gaap:AccumulatedDefinedBenefitPlansAdjustmentNetUnamortizedGainLossMemberus-gaap:ReclassificationOutOfAccum</w:t>
      </w:r>
      <w:r>
        <w:rPr>
          <w:rFonts w:eastAsia="Times New Roman"/>
          <w:vanish/>
        </w:rPr>
        <w:t>ulatedOtherComprehensiveIncomeMemberus-gaap:ServiceMember2021-07-012021-09-300000070866us-gaap:ReclassificationOutOfAccumulatedOtherComprehensiveIncomeMemberus-gaap:AccumulatedDefinedBenefitPlansAdjustmentNetPriorServiceCostCreditMemberus-gaap:ServiceMembe</w:t>
      </w:r>
      <w:r>
        <w:rPr>
          <w:rFonts w:eastAsia="Times New Roman"/>
          <w:vanish/>
        </w:rPr>
        <w:t>r2021-07-012021-09-300000070866us-gaap:AccumulatedNetGainLossFromDesignatedOrQualifyingCashFlowHedgesMemberus-gaap:ReclassificationOutOfAccumulatedOtherComprehensiveIncomeMemberus-gaap:ServiceMember2021-07-012021-09-300000070866us-gaap:ReclassificationOutO</w:t>
      </w:r>
      <w:r>
        <w:rPr>
          <w:rFonts w:eastAsia="Times New Roman"/>
          <w:vanish/>
        </w:rPr>
        <w:t>fAccumulatedOtherComprehensiveIncomeMemberus-gaap:ServiceMember2021-07-012021-09-300000070866us-gaap:AccumulatedDefinedBenefitPlansAdjustmentNetUnamortizedGainLossMemberus-gaap:ReclassificationOutOfAccumulatedOtherComprehensiveIncomeMember2021-07-012021-09</w:t>
      </w:r>
      <w:r>
        <w:rPr>
          <w:rFonts w:eastAsia="Times New Roman"/>
          <w:vanish/>
        </w:rPr>
        <w:t>-300000070866us-gaap:ReclassificationOutOfAccumulatedOtherComprehensiveIncomeMemberus-gaap:AccumulatedDefinedBenefitPlansAdjustmentNetPriorServiceCostCreditMember2021-07-012021-09-300000070866us-gaap:AccumulatedNetGainLossFromDesignatedOrQualifyingCashFlow</w:t>
      </w:r>
      <w:r>
        <w:rPr>
          <w:rFonts w:eastAsia="Times New Roman"/>
          <w:vanish/>
        </w:rPr>
        <w:t>HedgesMemberus-gaap:ReclassificationOutOfAccumulatedOtherComprehensiveIncomeMember2021-07-012021-09-300000070866us-gaap:ReclassificationOutOfAccumulatedOtherComprehensiveIncomeMember2021-07-012021-09-300000070866us-gaap:AccumulatedDefinedBenefitPlansAdjust</w:t>
      </w:r>
      <w:r>
        <w:rPr>
          <w:rFonts w:eastAsia="Times New Roman"/>
          <w:vanish/>
        </w:rPr>
        <w:t>mentNetUnamortizedGainLossMemberus-gaap:ReclassificationOutOfAccumulatedOtherComprehensiveIncomeMemberus-gaap:ProductMember2022-01-012022-09-300000070866us-gaap:ReclassificationOutOfAccumulatedOtherComprehensiveIncomeMemberus-gaap:AccumulatedDefinedBenefit</w:t>
      </w:r>
      <w:r>
        <w:rPr>
          <w:rFonts w:eastAsia="Times New Roman"/>
          <w:vanish/>
        </w:rPr>
        <w:t>PlansAdjustmentNetPriorServiceCostCreditMemberus-gaap:ProductMember2022-01-012022-09-300000070866us-gaap:AccumulatedNetGainLossFromDesignatedOrQualifyingCashFlowHedgesMemberus-gaap:ReclassificationOutOfAccumulatedOtherComprehensiveIncomeMemberus-gaap:Produ</w:t>
      </w:r>
      <w:r>
        <w:rPr>
          <w:rFonts w:eastAsia="Times New Roman"/>
          <w:vanish/>
        </w:rPr>
        <w:t>ctMember2022-01-012022-09-300000070866us-gaap:ReclassificationOutOfAccumulatedOtherComprehensiveIncomeMemberus-gaap:ProductMember2022-01-012022-09-300000070866us-gaap:AccumulatedDefinedBenefitPlansAdjustmentNetUnamortizedGainLossMemberus-gaap:Reclassificat</w:t>
      </w:r>
      <w:r>
        <w:rPr>
          <w:rFonts w:eastAsia="Times New Roman"/>
          <w:vanish/>
        </w:rPr>
        <w:t>ionOutOfAccumulatedOtherComprehensiveIncomeMemberus-gaap:ServiceMember2022-01-012022-09-300000070866us-gaap:ReclassificationOutOfAccumulatedOtherComprehensiveIncomeMemberus-gaap:AccumulatedDefinedBenefitPlansAdjustmentNetPriorServiceCostCreditMemberus-gaap</w:t>
      </w:r>
      <w:r>
        <w:rPr>
          <w:rFonts w:eastAsia="Times New Roman"/>
          <w:vanish/>
        </w:rPr>
        <w:t>:ServiceMember2022-01-012022-09-300000070866us-gaap:AccumulatedNetGainLossFromDesignatedOrQualifyingCashFlowHedgesMemberus-gaap:ReclassificationOutOfAccumulatedOtherComprehensiveIncomeMemberus-gaap:ServiceMember2022-01-012022-09-300000070866us-gaap:Reclass</w:t>
      </w:r>
      <w:r>
        <w:rPr>
          <w:rFonts w:eastAsia="Times New Roman"/>
          <w:vanish/>
        </w:rPr>
        <w:t>ificationOutOfAccumulatedOtherComprehensiveIncomeMemberus-gaap:ServiceMember2022-01-012022-09-300000070866us-gaap:AccumulatedDefinedBenefitPlansAdjustmentNetUnamortizedGainLossMemberus-gaap:ReclassificationOutOfAccumulatedOtherComprehensiveIncomeMember2022</w:t>
      </w:r>
      <w:r>
        <w:rPr>
          <w:rFonts w:eastAsia="Times New Roman"/>
          <w:vanish/>
        </w:rPr>
        <w:t>-01-012022-09-300000070866us-gaap:ReclassificationOutOfAccumulatedOtherComprehensiveIncomeMemberus-gaap:AccumulatedDefinedBenefitPlansAdjustmentNetPriorServiceCostCreditMember2022-01-012022-09-300000070866us-gaap:AccumulatedNetGainLossFromDesignatedOrQuali</w:t>
      </w:r>
      <w:r>
        <w:rPr>
          <w:rFonts w:eastAsia="Times New Roman"/>
          <w:vanish/>
        </w:rPr>
        <w:t>fyingCashFlowHedgesMemberus-gaap:ReclassificationOutOfAccumulatedOtherComprehensiveIncomeMember2022-01-012022-09-300000070866us-gaap:ReclassificationOutOfAccumulatedOtherComprehensiveIncomeMember2022-01-012022-09-300000070866us-gaap:AccumulatedDefinedBenef</w:t>
      </w:r>
      <w:r>
        <w:rPr>
          <w:rFonts w:eastAsia="Times New Roman"/>
          <w:vanish/>
        </w:rPr>
        <w:t>itPlansAdjustmentNetUnamortizedGainLossMemberus-gaap:ReclassificationOutOfAccumulatedOtherComprehensiveIncomeMemberus-gaap:ProductMember2021-01-012021-09-300000070866us-gaap:ReclassificationOutOfAccumulatedOtherComprehensiveIncomeMemberus-gaap:AccumulatedD</w:t>
      </w:r>
      <w:r>
        <w:rPr>
          <w:rFonts w:eastAsia="Times New Roman"/>
          <w:vanish/>
        </w:rPr>
        <w:t>efinedBenefitPlansAdjustmentNetPriorServiceCostCreditMemberus-gaap:ProductMember2021-01-012021-09-300000070866us-gaap:AccumulatedNetGainLossFromDesignatedOrQualifyingCashFlowHedgesMemberus-gaap:ReclassificationOutOfAccumulatedOtherComprehensiveIncomeMember</w:t>
      </w:r>
      <w:r>
        <w:rPr>
          <w:rFonts w:eastAsia="Times New Roman"/>
          <w:vanish/>
        </w:rPr>
        <w:t>us-gaap:ProductMember2021-01-012021-09-300000070866us-gaap:ReclassificationOutOfAccumulatedOtherComprehensiveIncomeMemberus-gaap:ProductMember2021-01-012021-09-300000070866us-gaap:AccumulatedDefinedBenefitPlansAdjustmentNetUnamortizedGainLossMemberus-gaap:</w:t>
      </w:r>
      <w:r>
        <w:rPr>
          <w:rFonts w:eastAsia="Times New Roman"/>
          <w:vanish/>
        </w:rPr>
        <w:t>ReclassificationOutOfAccumulatedOtherComprehensiveIncomeMemberus-gaap:ServiceMember2021-01-012021-09-300000070866us-gaap:ReclassificationOutOfAccumulatedOtherComprehensiveIncomeMemberus-gaap:AccumulatedDefinedBenefitPlansAdjustmentNetPriorServiceCostCredit</w:t>
      </w:r>
      <w:r>
        <w:rPr>
          <w:rFonts w:eastAsia="Times New Roman"/>
          <w:vanish/>
        </w:rPr>
        <w:t>Memberus-gaap:ServiceMember2021-01-012021-09-300000070866us-gaap:AccumulatedNetGainLossFromDesignatedOrQualifyingCashFlowHedgesMemberus-gaap:ReclassificationOutOfAccumulatedOtherComprehensiveIncomeMemberus-gaap:ServiceMember2021-01-012021-09-300000070866us</w:t>
      </w:r>
      <w:r>
        <w:rPr>
          <w:rFonts w:eastAsia="Times New Roman"/>
          <w:vanish/>
        </w:rPr>
        <w:t>-gaap:ReclassificationOutOfAccumulatedOtherComprehensiveIncomeMemberus-gaap:ServiceMember2021-01-012021-09-300000070866us-gaap:AccumulatedDefinedBenefitPlansAdjustmentNetUnamortizedGainLossMemberus-gaap:ReclassificationOutOfAccumulatedOtherComprehensiveInc</w:t>
      </w:r>
      <w:r>
        <w:rPr>
          <w:rFonts w:eastAsia="Times New Roman"/>
          <w:vanish/>
        </w:rPr>
        <w:t>omeMember2021-01-012021-09-300000070866us-gaap:ReclassificationOutOfAccumulatedOtherComprehensiveIncomeMemberus-gaap:AccumulatedDefinedBenefitPlansAdjustmentNetPriorServiceCostCreditMember2021-01-012021-09-300000070866us-gaap:AccumulatedNetGainLossFromDesi</w:t>
      </w:r>
      <w:r>
        <w:rPr>
          <w:rFonts w:eastAsia="Times New Roman"/>
          <w:vanish/>
        </w:rPr>
        <w:t>gnatedOrQualifyingCashFlowHedgesMemberus-gaap:ReclassificationOutOfAccumulatedOtherComprehensiveIncomeMember2021-01-012021-09-300000070866us-gaap:ReclassificationOutOfAccumulatedOtherComprehensiveIncomeMember2021-01-012021-09-300000070866us-gaap:TradeAccou</w:t>
      </w:r>
      <w:r>
        <w:rPr>
          <w:rFonts w:eastAsia="Times New Roman"/>
          <w:vanish/>
        </w:rPr>
        <w:t>ntsReceivableMember2022-09-300000070866us-gaap:TradeAccountsReceivableMember2021-12-310000070866ncr:OtherReceivablesMember2022-09-300000070866ncr:OtherReceivablesMember2021-12-31</w:t>
      </w:r>
    </w:p>
    <w:p w:rsidR="00000000" w:rsidRDefault="008214AA">
      <w:pPr>
        <w:divId w:val="1909538108"/>
        <w:rPr>
          <w:rFonts w:eastAsia="Times New Roman"/>
        </w:rPr>
      </w:pPr>
      <w:hyperlink w:anchor="if25b96f30cf14ee1a436e117fec2c043_7" w:history="1">
        <w:r>
          <w:rPr>
            <w:rStyle w:val="a3"/>
            <w:rFonts w:eastAsia="Times New Roman"/>
            <w:sz w:val="16"/>
            <w:szCs w:val="16"/>
          </w:rPr>
          <w:t>Table of Contents</w:t>
        </w:r>
      </w:hyperlink>
    </w:p>
    <w:tbl>
      <w:tblPr>
        <w:tblW w:w="4446" w:type="pct"/>
        <w:jc w:val="center"/>
        <w:tblCellMar>
          <w:top w:w="15" w:type="dxa"/>
          <w:left w:w="15" w:type="dxa"/>
          <w:bottom w:w="15" w:type="dxa"/>
          <w:right w:w="15" w:type="dxa"/>
        </w:tblCellMar>
        <w:tblLook w:val="04A0" w:firstRow="1" w:lastRow="0" w:firstColumn="1" w:lastColumn="0" w:noHBand="0" w:noVBand="1"/>
      </w:tblPr>
      <w:tblGrid>
        <w:gridCol w:w="59"/>
        <w:gridCol w:w="7291"/>
        <w:gridCol w:w="36"/>
      </w:tblGrid>
      <w:tr w:rsidR="00000000">
        <w:trPr>
          <w:jc w:val="center"/>
        </w:trPr>
        <w:tc>
          <w:tcPr>
            <w:tcW w:w="50" w:type="pct"/>
            <w:vAlign w:val="center"/>
            <w:hideMark/>
          </w:tcPr>
          <w:p w:rsidR="00000000" w:rsidRDefault="008214AA">
            <w:pPr>
              <w:rPr>
                <w:rFonts w:eastAsia="Times New Roman"/>
              </w:rPr>
            </w:pPr>
          </w:p>
        </w:tc>
        <w:tc>
          <w:tcPr>
            <w:tcW w:w="494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bl>
    <w:p w:rsidR="00000000" w:rsidRDefault="008214AA">
      <w:pPr>
        <w:jc w:val="center"/>
        <w:rPr>
          <w:rFonts w:eastAsia="Times New Roman"/>
        </w:rPr>
      </w:pPr>
      <w:r>
        <w:rPr>
          <w:rFonts w:eastAsia="Times New Roman"/>
          <w:b/>
          <w:bCs/>
          <w:color w:val="000000"/>
          <w:sz w:val="36"/>
          <w:szCs w:val="36"/>
        </w:rPr>
        <w:t>UNITED STATES</w:t>
      </w:r>
    </w:p>
    <w:p w:rsidR="00000000" w:rsidRDefault="008214AA">
      <w:pPr>
        <w:jc w:val="center"/>
        <w:rPr>
          <w:rFonts w:eastAsia="Times New Roman"/>
        </w:rPr>
      </w:pPr>
      <w:r>
        <w:rPr>
          <w:rFonts w:eastAsia="Times New Roman"/>
          <w:b/>
          <w:bCs/>
          <w:color w:val="000000"/>
          <w:sz w:val="36"/>
          <w:szCs w:val="36"/>
        </w:rPr>
        <w:t>SECURITIES AND EXCHANGE COMMISSION</w:t>
      </w:r>
    </w:p>
    <w:p w:rsidR="00000000" w:rsidRDefault="008214AA">
      <w:pPr>
        <w:jc w:val="center"/>
        <w:rPr>
          <w:rFonts w:eastAsia="Times New Roman"/>
        </w:rPr>
      </w:pPr>
      <w:r>
        <w:rPr>
          <w:rFonts w:eastAsia="Times New Roman"/>
          <w:b/>
          <w:bCs/>
          <w:color w:val="000000"/>
        </w:rPr>
        <w:t>Washington, D.C. 20549</w:t>
      </w:r>
    </w:p>
    <w:p w:rsidR="00000000" w:rsidRDefault="008214AA">
      <w:pPr>
        <w:jc w:val="center"/>
        <w:divId w:val="1409159621"/>
        <w:rPr>
          <w:rFonts w:eastAsia="Times New Roman"/>
        </w:rPr>
      </w:pPr>
      <w:r>
        <w:rPr>
          <w:rFonts w:eastAsia="Times New Roman"/>
          <w:color w:val="000000"/>
          <w:sz w:val="20"/>
          <w:szCs w:val="20"/>
        </w:rPr>
        <w:t>________________________</w:t>
      </w:r>
    </w:p>
    <w:p w:rsidR="00000000" w:rsidRDefault="008214AA">
      <w:pPr>
        <w:jc w:val="center"/>
        <w:divId w:val="952446888"/>
        <w:rPr>
          <w:rFonts w:eastAsia="Times New Roman"/>
        </w:rPr>
      </w:pPr>
      <w:r>
        <w:rPr>
          <w:rFonts w:eastAsia="Times New Roman"/>
          <w:b/>
          <w:bCs/>
          <w:color w:val="000000"/>
          <w:sz w:val="36"/>
          <w:szCs w:val="36"/>
        </w:rPr>
        <w:t xml:space="preserve">FORM 10-Q </w:t>
      </w:r>
    </w:p>
    <w:p w:rsidR="00000000" w:rsidRDefault="008214AA">
      <w:pPr>
        <w:jc w:val="center"/>
        <w:divId w:val="1462840103"/>
        <w:rPr>
          <w:rFonts w:eastAsia="Times New Roman"/>
        </w:rPr>
      </w:pPr>
      <w:r>
        <w:rPr>
          <w:rFonts w:eastAsia="Times New Roman"/>
          <w:color w:val="000000"/>
          <w:sz w:val="20"/>
          <w:szCs w:val="20"/>
        </w:rPr>
        <w:t>________________________</w:t>
      </w:r>
    </w:p>
    <w:p w:rsidR="00000000" w:rsidRDefault="008214AA">
      <w:pPr>
        <w:divId w:val="473565752"/>
        <w:rPr>
          <w:rFonts w:eastAsia="Times New Roman"/>
        </w:rPr>
      </w:pPr>
      <w:r>
        <w:rPr>
          <w:rFonts w:eastAsia="Times New Roman"/>
          <w:b/>
          <w:bCs/>
          <w:color w:val="000000"/>
          <w:sz w:val="20"/>
          <w:szCs w:val="20"/>
        </w:rPr>
        <w:t>(Mark One)</w:t>
      </w:r>
    </w:p>
    <w:tbl>
      <w:tblPr>
        <w:tblW w:w="11460" w:type="dxa"/>
        <w:tblCellMar>
          <w:top w:w="15" w:type="dxa"/>
          <w:left w:w="15" w:type="dxa"/>
          <w:bottom w:w="15" w:type="dxa"/>
          <w:right w:w="15" w:type="dxa"/>
        </w:tblCellMar>
        <w:tblLook w:val="04A0" w:firstRow="1" w:lastRow="0" w:firstColumn="1" w:lastColumn="0" w:noHBand="0" w:noVBand="1"/>
      </w:tblPr>
      <w:tblGrid>
        <w:gridCol w:w="58"/>
        <w:gridCol w:w="215"/>
        <w:gridCol w:w="57"/>
        <w:gridCol w:w="36"/>
        <w:gridCol w:w="11058"/>
        <w:gridCol w:w="36"/>
      </w:tblGrid>
      <w:tr w:rsidR="00000000">
        <w:trPr>
          <w:divId w:val="755906138"/>
        </w:trPr>
        <w:tc>
          <w:tcPr>
            <w:tcW w:w="20" w:type="dxa"/>
            <w:vAlign w:val="center"/>
            <w:hideMark/>
          </w:tcPr>
          <w:p w:rsidR="00000000" w:rsidRDefault="008214AA">
            <w:pPr>
              <w:rPr>
                <w:rFonts w:eastAsia="Times New Roman"/>
              </w:rPr>
            </w:pPr>
          </w:p>
        </w:tc>
        <w:tc>
          <w:tcPr>
            <w:tcW w:w="215" w:type="dxa"/>
            <w:vAlign w:val="center"/>
            <w:hideMark/>
          </w:tcPr>
          <w:p w:rsidR="00000000" w:rsidRDefault="008214AA">
            <w:pPr>
              <w:spacing w:after="100"/>
              <w:rPr>
                <w:rFonts w:eastAsia="Times New Roman"/>
                <w:sz w:val="20"/>
                <w:szCs w:val="20"/>
              </w:rPr>
            </w:pPr>
          </w:p>
        </w:tc>
        <w:tc>
          <w:tcPr>
            <w:tcW w:w="20" w:type="dxa"/>
            <w:vAlign w:val="center"/>
            <w:hideMark/>
          </w:tcPr>
          <w:p w:rsidR="00000000" w:rsidRDefault="008214AA">
            <w:pPr>
              <w:spacing w:after="100"/>
              <w:rPr>
                <w:rFonts w:eastAsia="Times New Roman"/>
                <w:sz w:val="20"/>
                <w:szCs w:val="20"/>
              </w:rPr>
            </w:pPr>
          </w:p>
        </w:tc>
        <w:tc>
          <w:tcPr>
            <w:tcW w:w="20" w:type="dxa"/>
            <w:vAlign w:val="center"/>
            <w:hideMark/>
          </w:tcPr>
          <w:p w:rsidR="00000000" w:rsidRDefault="008214AA">
            <w:pPr>
              <w:spacing w:after="100"/>
              <w:rPr>
                <w:rFonts w:eastAsia="Times New Roman"/>
                <w:sz w:val="20"/>
                <w:szCs w:val="20"/>
              </w:rPr>
            </w:pPr>
          </w:p>
        </w:tc>
        <w:tc>
          <w:tcPr>
            <w:tcW w:w="11165" w:type="dxa"/>
            <w:vAlign w:val="center"/>
            <w:hideMark/>
          </w:tcPr>
          <w:p w:rsidR="00000000" w:rsidRDefault="008214AA">
            <w:pPr>
              <w:spacing w:after="100"/>
              <w:rPr>
                <w:rFonts w:eastAsia="Times New Roman"/>
                <w:sz w:val="20"/>
                <w:szCs w:val="20"/>
              </w:rPr>
            </w:pPr>
          </w:p>
        </w:tc>
        <w:tc>
          <w:tcPr>
            <w:tcW w:w="20" w:type="dxa"/>
            <w:vAlign w:val="center"/>
            <w:hideMark/>
          </w:tcPr>
          <w:p w:rsidR="00000000" w:rsidRDefault="008214AA">
            <w:pPr>
              <w:spacing w:after="100"/>
              <w:rPr>
                <w:rFonts w:eastAsia="Times New Roman"/>
                <w:sz w:val="20"/>
                <w:szCs w:val="20"/>
              </w:rPr>
            </w:pPr>
          </w:p>
        </w:tc>
      </w:tr>
      <w:tr w:rsidR="00000000">
        <w:trPr>
          <w:divId w:val="755906138"/>
          <w:trHeight w:val="300"/>
        </w:trPr>
        <w:tc>
          <w:tcPr>
            <w:tcW w:w="0" w:type="auto"/>
            <w:gridSpan w:val="3"/>
            <w:tcMar>
              <w:top w:w="30" w:type="dxa"/>
              <w:left w:w="20" w:type="dxa"/>
              <w:bottom w:w="30" w:type="dxa"/>
              <w:right w:w="20" w:type="dxa"/>
            </w:tcMar>
            <w:vAlign w:val="center"/>
            <w:hideMark/>
          </w:tcPr>
          <w:p w:rsidR="00000000" w:rsidRDefault="008214AA">
            <w:pPr>
              <w:spacing w:after="100"/>
              <w:divId w:val="189344275"/>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QUARTERLY REPORT PURSUANT TO SECTION </w:t>
            </w:r>
            <w:r>
              <w:rPr>
                <w:rFonts w:eastAsia="Times New Roman"/>
                <w:b/>
                <w:bCs/>
                <w:color w:val="000000"/>
                <w:sz w:val="20"/>
                <w:szCs w:val="20"/>
              </w:rPr>
              <w:t>13 OR 15(d) OF THE SECURITIES EXCHANGE ACT OF 1934</w:t>
            </w:r>
          </w:p>
        </w:tc>
      </w:tr>
    </w:tbl>
    <w:tbl>
      <w:tblPr>
        <w:tblW w:w="4973" w:type="pct"/>
        <w:tblCellMar>
          <w:top w:w="15" w:type="dxa"/>
          <w:left w:w="15" w:type="dxa"/>
          <w:bottom w:w="15" w:type="dxa"/>
          <w:right w:w="15" w:type="dxa"/>
        </w:tblCellMar>
        <w:tblLook w:val="04A0" w:firstRow="1" w:lastRow="0" w:firstColumn="1" w:lastColumn="0" w:noHBand="0" w:noVBand="1"/>
      </w:tblPr>
      <w:tblGrid>
        <w:gridCol w:w="36"/>
        <w:gridCol w:w="139"/>
        <w:gridCol w:w="36"/>
        <w:gridCol w:w="55"/>
        <w:gridCol w:w="7959"/>
        <w:gridCol w:w="36"/>
      </w:tblGrid>
      <w:tr w:rsidR="00000000">
        <w:tc>
          <w:tcPr>
            <w:tcW w:w="5" w:type="pct"/>
            <w:vAlign w:val="center"/>
            <w:hideMark/>
          </w:tcPr>
          <w:p w:rsidR="00000000" w:rsidRDefault="008214AA">
            <w:pPr>
              <w:rPr>
                <w:rFonts w:eastAsia="Times New Roman"/>
              </w:rPr>
            </w:pPr>
          </w:p>
        </w:tc>
        <w:tc>
          <w:tcPr>
            <w:tcW w:w="10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3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divId w:val="1046219773"/>
              <w:rPr>
                <w:rFonts w:eastAsia="Times New Roman"/>
              </w:rPr>
            </w:pPr>
            <w:r>
              <w:rPr>
                <w:rFonts w:eastAsia="Times New Roman"/>
                <w:b/>
                <w:bCs/>
                <w:color w:val="000000"/>
                <w:sz w:val="20"/>
                <w:szCs w:val="20"/>
              </w:rPr>
              <w:t>For the quarterly period ended September 30, 2022</w:t>
            </w:r>
          </w:p>
        </w:tc>
      </w:tr>
    </w:tbl>
    <w:p w:rsidR="00000000" w:rsidRDefault="008214AA">
      <w:pPr>
        <w:ind w:firstLine="720"/>
        <w:divId w:val="979192943"/>
        <w:rPr>
          <w:rFonts w:eastAsia="Times New Roman"/>
          <w:vanish/>
        </w:rPr>
      </w:pPr>
    </w:p>
    <w:tbl>
      <w:tblPr>
        <w:tblW w:w="4973" w:type="pct"/>
        <w:tblCellMar>
          <w:top w:w="15" w:type="dxa"/>
          <w:left w:w="15" w:type="dxa"/>
          <w:bottom w:w="15" w:type="dxa"/>
          <w:right w:w="15" w:type="dxa"/>
        </w:tblCellMar>
        <w:tblLook w:val="04A0" w:firstRow="1" w:lastRow="0" w:firstColumn="1" w:lastColumn="0" w:noHBand="0" w:noVBand="1"/>
      </w:tblPr>
      <w:tblGrid>
        <w:gridCol w:w="37"/>
        <w:gridCol w:w="138"/>
        <w:gridCol w:w="36"/>
        <w:gridCol w:w="55"/>
        <w:gridCol w:w="7959"/>
        <w:gridCol w:w="36"/>
      </w:tblGrid>
      <w:tr w:rsidR="00000000">
        <w:trPr>
          <w:divId w:val="979192943"/>
        </w:trPr>
        <w:tc>
          <w:tcPr>
            <w:tcW w:w="5" w:type="pct"/>
            <w:vAlign w:val="center"/>
            <w:hideMark/>
          </w:tcPr>
          <w:p w:rsidR="00000000" w:rsidRDefault="008214AA">
            <w:pPr>
              <w:ind w:firstLine="720"/>
              <w:rPr>
                <w:rFonts w:eastAsia="Times New Roman"/>
              </w:rPr>
            </w:pPr>
          </w:p>
        </w:tc>
        <w:tc>
          <w:tcPr>
            <w:tcW w:w="10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3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979192943"/>
        </w:trPr>
        <w:tc>
          <w:tcPr>
            <w:tcW w:w="0" w:type="auto"/>
            <w:gridSpan w:val="6"/>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20"/>
                <w:szCs w:val="20"/>
              </w:rPr>
              <w:t>or</w:t>
            </w:r>
          </w:p>
        </w:tc>
      </w:tr>
    </w:tbl>
    <w:tbl>
      <w:tblPr>
        <w:tblW w:w="11460" w:type="dxa"/>
        <w:tblCellMar>
          <w:top w:w="15" w:type="dxa"/>
          <w:left w:w="15" w:type="dxa"/>
          <w:bottom w:w="15" w:type="dxa"/>
          <w:right w:w="15" w:type="dxa"/>
        </w:tblCellMar>
        <w:tblLook w:val="04A0" w:firstRow="1" w:lastRow="0" w:firstColumn="1" w:lastColumn="0" w:noHBand="0" w:noVBand="1"/>
      </w:tblPr>
      <w:tblGrid>
        <w:gridCol w:w="36"/>
        <w:gridCol w:w="215"/>
        <w:gridCol w:w="36"/>
        <w:gridCol w:w="36"/>
        <w:gridCol w:w="11101"/>
        <w:gridCol w:w="36"/>
      </w:tblGrid>
      <w:tr w:rsidR="00000000">
        <w:tc>
          <w:tcPr>
            <w:tcW w:w="20" w:type="dxa"/>
            <w:vAlign w:val="center"/>
            <w:hideMark/>
          </w:tcPr>
          <w:p w:rsidR="00000000" w:rsidRDefault="008214AA">
            <w:pPr>
              <w:ind w:firstLine="720"/>
              <w:rPr>
                <w:rFonts w:eastAsia="Times New Roman"/>
              </w:rPr>
            </w:pPr>
          </w:p>
        </w:tc>
        <w:tc>
          <w:tcPr>
            <w:tcW w:w="215" w:type="dxa"/>
            <w:vAlign w:val="center"/>
            <w:hideMark/>
          </w:tcPr>
          <w:p w:rsidR="00000000" w:rsidRDefault="008214AA">
            <w:pPr>
              <w:spacing w:after="100"/>
              <w:rPr>
                <w:rFonts w:eastAsia="Times New Roman"/>
                <w:sz w:val="20"/>
                <w:szCs w:val="20"/>
              </w:rPr>
            </w:pPr>
          </w:p>
        </w:tc>
        <w:tc>
          <w:tcPr>
            <w:tcW w:w="20" w:type="dxa"/>
            <w:vAlign w:val="center"/>
            <w:hideMark/>
          </w:tcPr>
          <w:p w:rsidR="00000000" w:rsidRDefault="008214AA">
            <w:pPr>
              <w:spacing w:after="100"/>
              <w:rPr>
                <w:rFonts w:eastAsia="Times New Roman"/>
                <w:sz w:val="20"/>
                <w:szCs w:val="20"/>
              </w:rPr>
            </w:pPr>
          </w:p>
        </w:tc>
        <w:tc>
          <w:tcPr>
            <w:tcW w:w="20" w:type="dxa"/>
            <w:vAlign w:val="center"/>
            <w:hideMark/>
          </w:tcPr>
          <w:p w:rsidR="00000000" w:rsidRDefault="008214AA">
            <w:pPr>
              <w:spacing w:after="100"/>
              <w:rPr>
                <w:rFonts w:eastAsia="Times New Roman"/>
                <w:sz w:val="20"/>
                <w:szCs w:val="20"/>
              </w:rPr>
            </w:pPr>
          </w:p>
        </w:tc>
        <w:tc>
          <w:tcPr>
            <w:tcW w:w="11165" w:type="dxa"/>
            <w:vAlign w:val="center"/>
            <w:hideMark/>
          </w:tcPr>
          <w:p w:rsidR="00000000" w:rsidRDefault="008214AA">
            <w:pPr>
              <w:spacing w:after="100"/>
              <w:rPr>
                <w:rFonts w:eastAsia="Times New Roman"/>
                <w:sz w:val="20"/>
                <w:szCs w:val="20"/>
              </w:rPr>
            </w:pPr>
          </w:p>
        </w:tc>
        <w:tc>
          <w:tcPr>
            <w:tcW w:w="20" w:type="dxa"/>
            <w:vAlign w:val="center"/>
            <w:hideMark/>
          </w:tcPr>
          <w:p w:rsidR="00000000" w:rsidRDefault="008214AA">
            <w:pPr>
              <w:spacing w:after="100"/>
              <w:rPr>
                <w:rFonts w:eastAsia="Times New Roman"/>
                <w:sz w:val="20"/>
                <w:szCs w:val="20"/>
              </w:rPr>
            </w:pPr>
          </w:p>
        </w:tc>
      </w:tr>
      <w:tr w:rsidR="00000000">
        <w:trPr>
          <w:trHeight w:val="720"/>
        </w:trPr>
        <w:tc>
          <w:tcPr>
            <w:tcW w:w="0" w:type="auto"/>
            <w:gridSpan w:val="3"/>
            <w:tcMar>
              <w:top w:w="30" w:type="dxa"/>
              <w:left w:w="20" w:type="dxa"/>
              <w:bottom w:w="30" w:type="dxa"/>
              <w:right w:w="20" w:type="dxa"/>
            </w:tcMar>
            <w:hideMark/>
          </w:tcPr>
          <w:p w:rsidR="00000000" w:rsidRDefault="008214AA">
            <w:pPr>
              <w:spacing w:after="100"/>
              <w:divId w:val="1614239693"/>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TRANSITION REPORT PURSUANT TO SECTION 13 OR 15(d) OF THE SECURITIES EXCHANGE ACT OF 1934</w:t>
            </w:r>
            <w:r>
              <w:rPr>
                <w:rFonts w:eastAsia="Times New Roman"/>
                <w:b/>
                <w:bCs/>
                <w:color w:val="000000"/>
                <w:sz w:val="20"/>
                <w:szCs w:val="20"/>
              </w:rPr>
              <w:br/>
            </w:r>
            <w:r>
              <w:rPr>
                <w:rFonts w:eastAsia="Times New Roman"/>
                <w:b/>
                <w:bCs/>
                <w:color w:val="000000"/>
                <w:sz w:val="20"/>
                <w:szCs w:val="20"/>
              </w:rPr>
              <w:br/>
              <w:t>For the transition period from ____________ to ____________</w:t>
            </w:r>
          </w:p>
        </w:tc>
      </w:tr>
    </w:tbl>
    <w:p w:rsidR="00000000" w:rsidRDefault="008214AA">
      <w:pPr>
        <w:divId w:val="1599213590"/>
        <w:rPr>
          <w:rFonts w:eastAsia="Times New Roman"/>
        </w:rPr>
      </w:pPr>
    </w:p>
    <w:tbl>
      <w:tblPr>
        <w:tblW w:w="4973" w:type="pct"/>
        <w:tblCellMar>
          <w:top w:w="15" w:type="dxa"/>
          <w:left w:w="15" w:type="dxa"/>
          <w:bottom w:w="15" w:type="dxa"/>
          <w:right w:w="15" w:type="dxa"/>
        </w:tblCellMar>
        <w:tblLook w:val="04A0" w:firstRow="1" w:lastRow="0" w:firstColumn="1" w:lastColumn="0" w:noHBand="0" w:noVBand="1"/>
      </w:tblPr>
      <w:tblGrid>
        <w:gridCol w:w="36"/>
        <w:gridCol w:w="139"/>
        <w:gridCol w:w="36"/>
        <w:gridCol w:w="55"/>
        <w:gridCol w:w="7959"/>
        <w:gridCol w:w="36"/>
      </w:tblGrid>
      <w:tr w:rsidR="00000000">
        <w:trPr>
          <w:divId w:val="310988740"/>
        </w:trPr>
        <w:tc>
          <w:tcPr>
            <w:tcW w:w="5" w:type="pct"/>
            <w:vAlign w:val="center"/>
            <w:hideMark/>
          </w:tcPr>
          <w:p w:rsidR="00000000" w:rsidRDefault="008214AA">
            <w:pPr>
              <w:rPr>
                <w:rFonts w:eastAsia="Times New Roman"/>
              </w:rPr>
            </w:pPr>
          </w:p>
        </w:tc>
        <w:tc>
          <w:tcPr>
            <w:tcW w:w="10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3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31098874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divId w:val="616253551"/>
              <w:rPr>
                <w:rFonts w:eastAsia="Times New Roman"/>
              </w:rPr>
            </w:pPr>
            <w:r>
              <w:rPr>
                <w:rFonts w:eastAsia="Times New Roman"/>
                <w:b/>
                <w:bCs/>
                <w:color w:val="000000"/>
                <w:sz w:val="20"/>
                <w:szCs w:val="20"/>
              </w:rPr>
              <w:t>Commission File Number: 001-00395</w:t>
            </w:r>
          </w:p>
        </w:tc>
      </w:tr>
    </w:tbl>
    <w:p w:rsidR="00000000" w:rsidRDefault="008214AA">
      <w:pPr>
        <w:jc w:val="center"/>
        <w:rPr>
          <w:rFonts w:eastAsia="Times New Roman"/>
        </w:rPr>
      </w:pPr>
      <w:r>
        <w:rPr>
          <w:rFonts w:eastAsia="Times New Roman"/>
          <w:color w:val="000000"/>
          <w:sz w:val="20"/>
          <w:szCs w:val="20"/>
        </w:rPr>
        <w:t> ________________________</w:t>
      </w:r>
    </w:p>
    <w:p w:rsidR="00000000" w:rsidRDefault="008214AA">
      <w:pPr>
        <w:jc w:val="center"/>
        <w:divId w:val="602617262"/>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214AA">
      <w:pPr>
        <w:jc w:val="center"/>
        <w:divId w:val="1706055624"/>
        <w:rPr>
          <w:rFonts w:eastAsia="Times New Roman"/>
        </w:rPr>
      </w:pPr>
      <w:r>
        <w:rPr>
          <w:rFonts w:eastAsia="Times New Roman"/>
          <w:b/>
          <w:bCs/>
          <w:color w:val="54B948"/>
          <w:sz w:val="28"/>
          <w:szCs w:val="28"/>
        </w:rPr>
        <w:t>NCR CORPORATION</w:t>
      </w:r>
    </w:p>
    <w:p w:rsidR="00000000" w:rsidRDefault="008214AA">
      <w:pPr>
        <w:jc w:val="center"/>
        <w:rPr>
          <w:rFonts w:eastAsia="Times New Roman"/>
        </w:rPr>
      </w:pPr>
      <w:r>
        <w:rPr>
          <w:rFonts w:eastAsia="Times New Roman"/>
          <w:b/>
          <w:bCs/>
          <w:color w:val="000000"/>
          <w:sz w:val="20"/>
          <w:szCs w:val="20"/>
        </w:rPr>
        <w:t>(Exact name of registrant as specified in its charter)</w:t>
      </w:r>
    </w:p>
    <w:p w:rsidR="00000000" w:rsidRDefault="008214AA">
      <w:pPr>
        <w:jc w:val="center"/>
        <w:divId w:val="659432431"/>
        <w:rPr>
          <w:rFonts w:eastAsia="Times New Roman"/>
        </w:rPr>
      </w:pPr>
      <w:r>
        <w:rPr>
          <w:rFonts w:eastAsia="Times New Roman"/>
          <w:color w:val="000000"/>
          <w:sz w:val="20"/>
          <w:szCs w:val="20"/>
        </w:rPr>
        <w:t>________________________</w:t>
      </w:r>
    </w:p>
    <w:p w:rsidR="00000000" w:rsidRDefault="008214AA">
      <w:pPr>
        <w:jc w:val="center"/>
        <w:divId w:val="472335125"/>
        <w:rPr>
          <w:rFonts w:eastAsia="Times New Roman"/>
        </w:rPr>
      </w:pPr>
      <w:r>
        <w:rPr>
          <w:rFonts w:eastAsia="Times New Roman"/>
          <w:color w:val="000000"/>
          <w:sz w:val="20"/>
          <w:szCs w:val="20"/>
        </w:rPr>
        <w:t> </w:t>
      </w:r>
    </w:p>
    <w:tbl>
      <w:tblPr>
        <w:tblW w:w="4759" w:type="pct"/>
        <w:jc w:val="center"/>
        <w:tblCellMar>
          <w:top w:w="15" w:type="dxa"/>
          <w:left w:w="15" w:type="dxa"/>
          <w:bottom w:w="15" w:type="dxa"/>
          <w:right w:w="15" w:type="dxa"/>
        </w:tblCellMar>
        <w:tblLook w:val="04A0" w:firstRow="1" w:lastRow="0" w:firstColumn="1" w:lastColumn="0" w:noHBand="0" w:noVBand="1"/>
      </w:tblPr>
      <w:tblGrid>
        <w:gridCol w:w="64"/>
        <w:gridCol w:w="3836"/>
        <w:gridCol w:w="36"/>
        <w:gridCol w:w="65"/>
        <w:gridCol w:w="190"/>
        <w:gridCol w:w="36"/>
        <w:gridCol w:w="65"/>
        <w:gridCol w:w="3577"/>
        <w:gridCol w:w="37"/>
      </w:tblGrid>
      <w:tr w:rsidR="00000000">
        <w:trPr>
          <w:divId w:val="1002270930"/>
          <w:jc w:val="center"/>
        </w:trPr>
        <w:tc>
          <w:tcPr>
            <w:tcW w:w="50" w:type="pct"/>
            <w:vAlign w:val="center"/>
            <w:hideMark/>
          </w:tcPr>
          <w:p w:rsidR="00000000" w:rsidRDefault="008214AA">
            <w:pPr>
              <w:jc w:val="center"/>
              <w:rPr>
                <w:rFonts w:eastAsia="Times New Roman"/>
              </w:rPr>
            </w:pPr>
          </w:p>
        </w:tc>
        <w:tc>
          <w:tcPr>
            <w:tcW w:w="243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27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002270930"/>
          <w:jc w:val="center"/>
        </w:trPr>
        <w:tc>
          <w:tcPr>
            <w:tcW w:w="0" w:type="auto"/>
            <w:gridSpan w:val="3"/>
            <w:tcMar>
              <w:top w:w="30" w:type="dxa"/>
              <w:left w:w="20" w:type="dxa"/>
              <w:bottom w:w="30" w:type="dxa"/>
              <w:right w:w="20" w:type="dxa"/>
            </w:tcMar>
            <w:hideMark/>
          </w:tcPr>
          <w:p w:rsidR="00000000" w:rsidRDefault="008214AA">
            <w:pPr>
              <w:spacing w:after="100"/>
              <w:jc w:val="center"/>
              <w:rPr>
                <w:rFonts w:eastAsia="Times New Roman"/>
              </w:rPr>
            </w:pPr>
            <w:r>
              <w:rPr>
                <w:rFonts w:eastAsia="Times New Roman"/>
                <w:b/>
                <w:bCs/>
                <w:color w:val="000000"/>
                <w:sz w:val="20"/>
                <w:szCs w:val="20"/>
              </w:rPr>
              <w:t>Maryland</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8214AA">
            <w:pPr>
              <w:spacing w:after="100"/>
              <w:jc w:val="center"/>
              <w:rPr>
                <w:rFonts w:eastAsia="Times New Roman"/>
              </w:rPr>
            </w:pPr>
            <w:r>
              <w:rPr>
                <w:rFonts w:eastAsia="Times New Roman"/>
                <w:b/>
                <w:bCs/>
                <w:color w:val="000000"/>
                <w:sz w:val="20"/>
                <w:szCs w:val="20"/>
              </w:rPr>
              <w:t>31-0387920</w:t>
            </w:r>
          </w:p>
        </w:tc>
      </w:tr>
      <w:tr w:rsidR="00000000">
        <w:trPr>
          <w:divId w:val="1002270930"/>
          <w:jc w:val="center"/>
        </w:trPr>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8214AA">
      <w:pPr>
        <w:jc w:val="center"/>
        <w:divId w:val="1404599861"/>
        <w:rPr>
          <w:rFonts w:eastAsia="Times New Roman"/>
        </w:rPr>
      </w:pPr>
      <w:r>
        <w:rPr>
          <w:rFonts w:eastAsia="Times New Roman"/>
          <w:b/>
          <w:bCs/>
          <w:color w:val="000000"/>
          <w:sz w:val="20"/>
          <w:szCs w:val="20"/>
        </w:rPr>
        <w:t xml:space="preserve">864 Spring Street NW </w:t>
      </w:r>
    </w:p>
    <w:p w:rsidR="00000000" w:rsidRDefault="008214AA">
      <w:pPr>
        <w:jc w:val="center"/>
        <w:rPr>
          <w:rFonts w:eastAsia="Times New Roman"/>
        </w:rPr>
      </w:pPr>
      <w:r>
        <w:rPr>
          <w:rFonts w:eastAsia="Times New Roman"/>
          <w:b/>
          <w:bCs/>
          <w:color w:val="000000"/>
          <w:sz w:val="20"/>
          <w:szCs w:val="20"/>
        </w:rPr>
        <w:t xml:space="preserve">Atlanta, GA 30308 </w:t>
      </w:r>
    </w:p>
    <w:p w:rsidR="00000000" w:rsidRDefault="008214AA">
      <w:pPr>
        <w:jc w:val="center"/>
        <w:rPr>
          <w:rFonts w:eastAsia="Times New Roman"/>
        </w:rPr>
      </w:pPr>
      <w:r>
        <w:rPr>
          <w:rFonts w:eastAsia="Times New Roman"/>
          <w:b/>
          <w:bCs/>
          <w:color w:val="000000"/>
          <w:sz w:val="16"/>
          <w:szCs w:val="16"/>
        </w:rPr>
        <w:t>(Address of principal executive offices) (Zip Code)</w:t>
      </w:r>
    </w:p>
    <w:p w:rsidR="00000000" w:rsidRDefault="008214AA">
      <w:pPr>
        <w:jc w:val="center"/>
        <w:divId w:val="1642149764"/>
        <w:rPr>
          <w:rFonts w:eastAsia="Times New Roman"/>
        </w:rPr>
      </w:pPr>
      <w:r>
        <w:rPr>
          <w:rFonts w:eastAsia="Times New Roman"/>
          <w:b/>
          <w:bCs/>
          <w:color w:val="000000"/>
          <w:sz w:val="20"/>
          <w:szCs w:val="20"/>
        </w:rPr>
        <w:t>Registrant’</w:t>
      </w:r>
      <w:r>
        <w:rPr>
          <w:rFonts w:eastAsia="Times New Roman"/>
          <w:b/>
          <w:bCs/>
          <w:color w:val="000000"/>
          <w:sz w:val="20"/>
          <w:szCs w:val="20"/>
        </w:rPr>
        <w:t xml:space="preserve">s telephone number, including area code: (937) 445-1936 </w:t>
      </w:r>
    </w:p>
    <w:p w:rsidR="00000000" w:rsidRDefault="008214AA">
      <w:pPr>
        <w:divId w:val="1678264099"/>
        <w:rPr>
          <w:rFonts w:eastAsia="Times New Roman"/>
        </w:rPr>
      </w:pPr>
      <w:r>
        <w:rPr>
          <w:rFonts w:eastAsia="Times New Roman"/>
          <w:color w:val="000000"/>
          <w:sz w:val="20"/>
          <w:szCs w:val="20"/>
        </w:rPr>
        <w:t>Securities registered pursuant to Section 12(b) of the Act:</w:t>
      </w:r>
    </w:p>
    <w:tbl>
      <w:tblPr>
        <w:tblW w:w="4713" w:type="pct"/>
        <w:jc w:val="center"/>
        <w:tblCellMar>
          <w:top w:w="15" w:type="dxa"/>
          <w:left w:w="15" w:type="dxa"/>
          <w:bottom w:w="15" w:type="dxa"/>
          <w:right w:w="15" w:type="dxa"/>
        </w:tblCellMar>
        <w:tblLook w:val="04A0" w:firstRow="1" w:lastRow="0" w:firstColumn="1" w:lastColumn="0" w:noHBand="0" w:noVBand="1"/>
      </w:tblPr>
      <w:tblGrid>
        <w:gridCol w:w="64"/>
        <w:gridCol w:w="2538"/>
        <w:gridCol w:w="37"/>
        <w:gridCol w:w="64"/>
        <w:gridCol w:w="2267"/>
        <w:gridCol w:w="36"/>
        <w:gridCol w:w="65"/>
        <w:gridCol w:w="2722"/>
        <w:gridCol w:w="36"/>
      </w:tblGrid>
      <w:tr w:rsidR="00000000">
        <w:trPr>
          <w:divId w:val="1075205404"/>
          <w:jc w:val="center"/>
        </w:trPr>
        <w:tc>
          <w:tcPr>
            <w:tcW w:w="50" w:type="pct"/>
            <w:vAlign w:val="center"/>
            <w:hideMark/>
          </w:tcPr>
          <w:p w:rsidR="00000000" w:rsidRDefault="008214AA">
            <w:pPr>
              <w:rPr>
                <w:rFonts w:eastAsia="Times New Roman"/>
              </w:rPr>
            </w:pPr>
          </w:p>
        </w:tc>
        <w:tc>
          <w:tcPr>
            <w:tcW w:w="16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45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74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075205404"/>
          <w:jc w:val="center"/>
        </w:trPr>
        <w:tc>
          <w:tcPr>
            <w:tcW w:w="0" w:type="auto"/>
            <w:gridSpan w:val="3"/>
            <w:tcMar>
              <w:top w:w="30" w:type="dxa"/>
              <w:left w:w="20" w:type="dxa"/>
              <w:bottom w:w="30" w:type="dxa"/>
              <w:right w:w="20" w:type="dxa"/>
            </w:tcMar>
            <w:vAlign w:val="center"/>
            <w:hideMark/>
          </w:tcPr>
          <w:p w:rsidR="00000000" w:rsidRDefault="008214AA">
            <w:pPr>
              <w:spacing w:after="100"/>
              <w:jc w:val="center"/>
              <w:divId w:val="844825609"/>
              <w:rPr>
                <w:rFonts w:eastAsia="Times New Roman"/>
              </w:rPr>
            </w:pPr>
            <w:r>
              <w:rPr>
                <w:rFonts w:eastAsia="Times New Roman"/>
                <w:b/>
                <w:bCs/>
                <w:color w:val="000000"/>
                <w:sz w:val="20"/>
                <w:szCs w:val="20"/>
              </w:rPr>
              <w:t xml:space="preserve">Title of each class </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20"/>
                <w:szCs w:val="20"/>
              </w:rPr>
              <w:t>Trading Symbol(s)</w:t>
            </w:r>
          </w:p>
        </w:tc>
        <w:tc>
          <w:tcPr>
            <w:tcW w:w="0" w:type="auto"/>
            <w:gridSpan w:val="3"/>
            <w:tcMar>
              <w:top w:w="30" w:type="dxa"/>
              <w:left w:w="20" w:type="dxa"/>
              <w:bottom w:w="30" w:type="dxa"/>
              <w:right w:w="20" w:type="dxa"/>
            </w:tcMar>
            <w:vAlign w:val="center"/>
            <w:hideMark/>
          </w:tcPr>
          <w:p w:rsidR="00000000" w:rsidRDefault="008214AA">
            <w:pPr>
              <w:spacing w:after="100"/>
              <w:jc w:val="center"/>
              <w:divId w:val="1746143240"/>
              <w:rPr>
                <w:rFonts w:eastAsia="Times New Roman"/>
              </w:rPr>
            </w:pPr>
            <w:r>
              <w:rPr>
                <w:rFonts w:eastAsia="Times New Roman"/>
                <w:b/>
                <w:bCs/>
                <w:color w:val="000000"/>
                <w:sz w:val="20"/>
                <w:szCs w:val="20"/>
              </w:rPr>
              <w:t>Name of each exchange on which registered</w:t>
            </w:r>
          </w:p>
        </w:tc>
      </w:tr>
      <w:tr w:rsidR="00000000">
        <w:trPr>
          <w:divId w:val="1075205404"/>
          <w:jc w:val="center"/>
        </w:trPr>
        <w:tc>
          <w:tcPr>
            <w:tcW w:w="0" w:type="auto"/>
            <w:gridSpan w:val="3"/>
            <w:tcMar>
              <w:top w:w="30" w:type="dxa"/>
              <w:left w:w="20" w:type="dxa"/>
              <w:bottom w:w="30" w:type="dxa"/>
              <w:right w:w="20" w:type="dxa"/>
            </w:tcMar>
            <w:hideMark/>
          </w:tcPr>
          <w:p w:rsidR="00000000" w:rsidRDefault="008214AA">
            <w:pPr>
              <w:spacing w:after="100"/>
              <w:jc w:val="center"/>
              <w:divId w:val="939146815"/>
              <w:rPr>
                <w:rFonts w:eastAsia="Times New Roman"/>
              </w:rPr>
            </w:pPr>
            <w:r>
              <w:rPr>
                <w:rFonts w:eastAsia="Times New Roman"/>
                <w:color w:val="000000"/>
                <w:sz w:val="20"/>
                <w:szCs w:val="20"/>
              </w:rPr>
              <w:t>Common Stock, par value $0.01 per share</w:t>
            </w:r>
          </w:p>
        </w:tc>
        <w:tc>
          <w:tcPr>
            <w:tcW w:w="0" w:type="auto"/>
            <w:gridSpan w:val="3"/>
            <w:tcMar>
              <w:top w:w="30" w:type="dxa"/>
              <w:left w:w="20" w:type="dxa"/>
              <w:bottom w:w="30" w:type="dxa"/>
              <w:right w:w="20" w:type="dxa"/>
            </w:tcMar>
            <w:hideMark/>
          </w:tcPr>
          <w:p w:rsidR="00000000" w:rsidRDefault="008214AA">
            <w:pPr>
              <w:spacing w:after="100"/>
              <w:jc w:val="center"/>
              <w:divId w:val="253897849"/>
              <w:rPr>
                <w:rFonts w:eastAsia="Times New Roman"/>
              </w:rPr>
            </w:pPr>
            <w:r>
              <w:rPr>
                <w:rFonts w:eastAsia="Times New Roman"/>
                <w:color w:val="000000"/>
                <w:sz w:val="20"/>
                <w:szCs w:val="20"/>
              </w:rPr>
              <w:t>NCR</w:t>
            </w:r>
          </w:p>
        </w:tc>
        <w:tc>
          <w:tcPr>
            <w:tcW w:w="0" w:type="auto"/>
            <w:gridSpan w:val="3"/>
            <w:tcMar>
              <w:top w:w="30" w:type="dxa"/>
              <w:left w:w="20" w:type="dxa"/>
              <w:bottom w:w="30" w:type="dxa"/>
              <w:right w:w="20" w:type="dxa"/>
            </w:tcMar>
            <w:hideMark/>
          </w:tcPr>
          <w:p w:rsidR="00000000" w:rsidRDefault="008214AA">
            <w:pPr>
              <w:spacing w:after="100"/>
              <w:jc w:val="center"/>
              <w:divId w:val="1104032880"/>
              <w:rPr>
                <w:rFonts w:eastAsia="Times New Roman"/>
              </w:rPr>
            </w:pPr>
            <w:r>
              <w:rPr>
                <w:rFonts w:eastAsia="Times New Roman"/>
                <w:color w:val="000000"/>
                <w:sz w:val="20"/>
                <w:szCs w:val="20"/>
              </w:rPr>
              <w:t>New York Stock Exchange</w:t>
            </w:r>
          </w:p>
        </w:tc>
      </w:tr>
    </w:tbl>
    <w:p w:rsidR="00000000" w:rsidRDefault="008214AA">
      <w:pPr>
        <w:jc w:val="both"/>
        <w:divId w:val="635258171"/>
        <w:rPr>
          <w:rFonts w:eastAsia="Times New Roman"/>
        </w:rPr>
      </w:pPr>
      <w:r>
        <w:rPr>
          <w:rFonts w:eastAsia="Times New Roman"/>
          <w:color w:val="000000"/>
          <w:sz w:val="20"/>
          <w:szCs w:val="20"/>
        </w:rPr>
        <w:t>    Indicate by check mark whether the registrant (1) has filed all reports required to be filed by Section </w:t>
      </w:r>
      <w:r>
        <w:rPr>
          <w:rFonts w:eastAsia="Times New Roman"/>
          <w:color w:val="000000"/>
          <w:sz w:val="20"/>
          <w:szCs w:val="20"/>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8214AA">
      <w:pPr>
        <w:jc w:val="both"/>
        <w:divId w:val="401367258"/>
        <w:rPr>
          <w:rFonts w:eastAsia="Times New Roman"/>
        </w:rPr>
      </w:pPr>
      <w:r>
        <w:rPr>
          <w:rFonts w:eastAsia="Times New Roman"/>
          <w:color w:val="000000"/>
          <w:sz w:val="20"/>
          <w:szCs w:val="20"/>
        </w:rPr>
        <w:lastRenderedPageBreak/>
        <w:t>    </w:t>
      </w: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    Yes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8214AA">
      <w:pPr>
        <w:jc w:val="both"/>
        <w:divId w:val="556428637"/>
        <w:rPr>
          <w:rFonts w:eastAsia="Times New Roman"/>
        </w:rPr>
      </w:pPr>
      <w:r>
        <w:rPr>
          <w:rFonts w:eastAsia="Times New Roman"/>
          <w:color w:val="000000"/>
          <w:sz w:val="20"/>
          <w:szCs w:val="20"/>
        </w:rPr>
        <w:t>    Indicate by check mark whether the registrant is a large accelerated filer, an accelerated filer, a non-accelerated filer, a smaller reporting company, or an emerging growth compan</w:t>
      </w:r>
      <w:r>
        <w:rPr>
          <w:rFonts w:eastAsia="Times New Roman"/>
          <w:color w:val="000000"/>
          <w:sz w:val="20"/>
          <w:szCs w:val="20"/>
        </w:rPr>
        <w:t>y. See the definitions of “large accelerated filer,” “accelerated filer,” “smaller reporting company,” and “emerging growth company” in Rule 12b-2 of the Exchange Act.</w:t>
      </w:r>
    </w:p>
    <w:p w:rsidR="00000000" w:rsidRDefault="008214AA">
      <w:pPr>
        <w:divId w:val="1039016543"/>
        <w:rPr>
          <w:rFonts w:eastAsia="Times New Roman"/>
        </w:rPr>
      </w:pPr>
    </w:p>
    <w:p w:rsidR="00000000" w:rsidRDefault="008214AA">
      <w:pPr>
        <w:divId w:val="433327291"/>
        <w:rPr>
          <w:rFonts w:eastAsia="Times New Roman"/>
        </w:rPr>
      </w:pPr>
    </w:p>
    <w:p w:rsidR="00000000" w:rsidRDefault="008214AA">
      <w:pPr>
        <w:divId w:val="1820610529"/>
        <w:rPr>
          <w:rFonts w:eastAsia="Times New Roman"/>
        </w:rPr>
      </w:pPr>
    </w:p>
    <w:tbl>
      <w:tblPr>
        <w:tblW w:w="4042" w:type="pct"/>
        <w:jc w:val="center"/>
        <w:tblCellMar>
          <w:top w:w="15" w:type="dxa"/>
          <w:left w:w="15" w:type="dxa"/>
          <w:bottom w:w="15" w:type="dxa"/>
          <w:right w:w="15" w:type="dxa"/>
        </w:tblCellMar>
        <w:tblLook w:val="04A0" w:firstRow="1" w:lastRow="0" w:firstColumn="1" w:lastColumn="0" w:noHBand="0" w:noVBand="1"/>
      </w:tblPr>
      <w:tblGrid>
        <w:gridCol w:w="49"/>
        <w:gridCol w:w="1324"/>
        <w:gridCol w:w="36"/>
        <w:gridCol w:w="60"/>
        <w:gridCol w:w="154"/>
        <w:gridCol w:w="36"/>
        <w:gridCol w:w="41"/>
        <w:gridCol w:w="2753"/>
        <w:gridCol w:w="36"/>
        <w:gridCol w:w="49"/>
        <w:gridCol w:w="124"/>
        <w:gridCol w:w="36"/>
        <w:gridCol w:w="49"/>
        <w:gridCol w:w="1683"/>
        <w:gridCol w:w="36"/>
        <w:gridCol w:w="69"/>
        <w:gridCol w:w="144"/>
        <w:gridCol w:w="36"/>
      </w:tblGrid>
      <w:tr w:rsidR="00000000">
        <w:trPr>
          <w:divId w:val="2018262073"/>
          <w:jc w:val="center"/>
        </w:trPr>
        <w:tc>
          <w:tcPr>
            <w:tcW w:w="50" w:type="pct"/>
            <w:vAlign w:val="center"/>
            <w:hideMark/>
          </w:tcPr>
          <w:p w:rsidR="00000000" w:rsidRDefault="008214AA">
            <w:pPr>
              <w:rPr>
                <w:rFonts w:eastAsia="Times New Roman"/>
              </w:rPr>
            </w:pPr>
          </w:p>
        </w:tc>
        <w:tc>
          <w:tcPr>
            <w:tcW w:w="99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06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0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26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0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2018262073"/>
          <w:jc w:val="center"/>
        </w:trPr>
        <w:tc>
          <w:tcPr>
            <w:tcW w:w="0" w:type="auto"/>
            <w:gridSpan w:val="3"/>
            <w:tcMar>
              <w:top w:w="30" w:type="dxa"/>
              <w:left w:w="20" w:type="dxa"/>
              <w:bottom w:w="30" w:type="dxa"/>
              <w:right w:w="20" w:type="dxa"/>
            </w:tcMar>
            <w:vAlign w:val="center"/>
            <w:hideMark/>
          </w:tcPr>
          <w:p w:rsidR="00000000" w:rsidRDefault="008214AA">
            <w:pPr>
              <w:spacing w:after="100"/>
              <w:jc w:val="right"/>
              <w:divId w:val="213845438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8214AA">
            <w:pPr>
              <w:spacing w:after="100"/>
              <w:divId w:val="1835105675"/>
              <w:rPr>
                <w:rFonts w:eastAsia="Times New Roman"/>
              </w:rPr>
            </w:pPr>
            <w:r>
              <w:rPr>
                <w:rFonts w:ascii="Wingdings" w:eastAsia="Times New Roman" w:hAnsi="Wingdings"/>
                <w:color w:val="000000"/>
                <w:sz w:val="20"/>
                <w:szCs w:val="20"/>
              </w:rPr>
              <w:t>þ</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214AA">
            <w:pPr>
              <w:spacing w:after="100"/>
              <w:jc w:val="right"/>
              <w:divId w:val="1926064647"/>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8214AA">
            <w:pPr>
              <w:spacing w:after="100"/>
              <w:divId w:val="1145898245"/>
              <w:rPr>
                <w:rFonts w:eastAsia="Times New Roman"/>
              </w:rPr>
            </w:pPr>
            <w:r>
              <w:rPr>
                <w:rFonts w:ascii="Wingdings" w:eastAsia="Times New Roman" w:hAnsi="Wingdings"/>
                <w:color w:val="000000"/>
                <w:sz w:val="20"/>
                <w:szCs w:val="20"/>
              </w:rPr>
              <w:t>o</w:t>
            </w:r>
          </w:p>
        </w:tc>
      </w:tr>
      <w:tr w:rsidR="00000000">
        <w:trPr>
          <w:divId w:val="2018262073"/>
          <w:jc w:val="center"/>
        </w:trPr>
        <w:tc>
          <w:tcPr>
            <w:tcW w:w="0" w:type="auto"/>
            <w:gridSpan w:val="3"/>
            <w:tcMar>
              <w:top w:w="30" w:type="dxa"/>
              <w:left w:w="20" w:type="dxa"/>
              <w:bottom w:w="30" w:type="dxa"/>
              <w:right w:w="20" w:type="dxa"/>
            </w:tcMar>
            <w:hideMark/>
          </w:tcPr>
          <w:p w:rsidR="00000000" w:rsidRDefault="008214AA">
            <w:pPr>
              <w:spacing w:after="100"/>
              <w:jc w:val="right"/>
              <w:divId w:val="416441998"/>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8214AA">
            <w:pPr>
              <w:spacing w:after="100"/>
              <w:divId w:val="122965534"/>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214AA">
            <w:pPr>
              <w:spacing w:after="100"/>
              <w:jc w:val="right"/>
              <w:divId w:val="63067591"/>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8214AA">
            <w:pPr>
              <w:spacing w:after="100"/>
              <w:divId w:val="1355882184"/>
              <w:rPr>
                <w:rFonts w:eastAsia="Times New Roman"/>
              </w:rPr>
            </w:pPr>
            <w:r>
              <w:rPr>
                <w:rFonts w:ascii="Segoe UI Symbol" w:eastAsia="Times New Roman" w:hAnsi="Segoe UI Symbol" w:cs="Segoe UI Symbol"/>
                <w:color w:val="000000"/>
                <w:sz w:val="20"/>
                <w:szCs w:val="20"/>
              </w:rPr>
              <w:t>☐</w:t>
            </w:r>
          </w:p>
        </w:tc>
      </w:tr>
      <w:tr w:rsidR="00000000">
        <w:trPr>
          <w:divId w:val="2018262073"/>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214AA">
            <w:pPr>
              <w:spacing w:after="100"/>
              <w:jc w:val="right"/>
              <w:divId w:val="206556832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8214AA">
            <w:pPr>
              <w:spacing w:after="100"/>
              <w:divId w:val="677467595"/>
              <w:rPr>
                <w:rFonts w:eastAsia="Times New Roman"/>
              </w:rPr>
            </w:pPr>
            <w:r>
              <w:rPr>
                <w:rFonts w:ascii="Segoe UI Symbol" w:eastAsia="Times New Roman" w:hAnsi="Segoe UI Symbol" w:cs="Segoe UI Symbol"/>
                <w:color w:val="000000"/>
                <w:sz w:val="20"/>
                <w:szCs w:val="20"/>
              </w:rPr>
              <w:t>☐</w:t>
            </w:r>
          </w:p>
        </w:tc>
      </w:tr>
    </w:tbl>
    <w:p w:rsidR="00000000" w:rsidRDefault="008214AA">
      <w:pPr>
        <w:divId w:val="1706448048"/>
        <w:rPr>
          <w:rFonts w:eastAsia="Times New Roman"/>
        </w:rPr>
      </w:pPr>
      <w:r>
        <w:rPr>
          <w:rFonts w:eastAsia="Times New Roman"/>
          <w:color w:val="000000"/>
          <w:sz w:val="20"/>
          <w:szCs w:val="20"/>
        </w:rPr>
        <w:t>    </w:t>
      </w: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r>
        <w:rPr>
          <w:rFonts w:eastAsia="Times New Roman"/>
          <w:color w:val="000000"/>
          <w:sz w:val="20"/>
          <w:szCs w:val="20"/>
        </w:rPr>
        <w:t> </w:t>
      </w:r>
    </w:p>
    <w:p w:rsidR="00000000" w:rsidRDefault="008214AA">
      <w:pPr>
        <w:divId w:val="2027250460"/>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Emoji" w:eastAsia="Times New Roman" w:hAnsi="Segoe UI Emoji" w:cs="Segoe UI Emoji"/>
          <w:color w:val="000000"/>
          <w:sz w:val="20"/>
          <w:szCs w:val="20"/>
        </w:rPr>
        <w:t>☑</w:t>
      </w:r>
    </w:p>
    <w:p w:rsidR="00000000" w:rsidRDefault="008214AA">
      <w:pPr>
        <w:divId w:val="1589540679"/>
        <w:rPr>
          <w:rFonts w:eastAsia="Times New Roman"/>
        </w:rPr>
      </w:pPr>
      <w:r>
        <w:rPr>
          <w:rFonts w:eastAsia="Times New Roman"/>
          <w:color w:val="000000"/>
          <w:sz w:val="20"/>
          <w:szCs w:val="20"/>
        </w:rPr>
        <w:t>As of October 14, 2022, there were approximately 137.4 million shares of the registrant's common stock issued and outstanding.</w:t>
      </w:r>
    </w:p>
    <w:tbl>
      <w:tblPr>
        <w:tblW w:w="4446" w:type="pct"/>
        <w:jc w:val="center"/>
        <w:tblCellMar>
          <w:top w:w="15" w:type="dxa"/>
          <w:left w:w="15" w:type="dxa"/>
          <w:bottom w:w="15" w:type="dxa"/>
          <w:right w:w="15" w:type="dxa"/>
        </w:tblCellMar>
        <w:tblLook w:val="04A0" w:firstRow="1" w:lastRow="0" w:firstColumn="1" w:lastColumn="0" w:noHBand="0" w:noVBand="1"/>
      </w:tblPr>
      <w:tblGrid>
        <w:gridCol w:w="59"/>
        <w:gridCol w:w="7291"/>
        <w:gridCol w:w="36"/>
      </w:tblGrid>
      <w:tr w:rsidR="00000000">
        <w:trPr>
          <w:divId w:val="500506606"/>
          <w:jc w:val="center"/>
        </w:trPr>
        <w:tc>
          <w:tcPr>
            <w:tcW w:w="50" w:type="pct"/>
            <w:vAlign w:val="center"/>
            <w:hideMark/>
          </w:tcPr>
          <w:p w:rsidR="00000000" w:rsidRDefault="008214AA">
            <w:pPr>
              <w:rPr>
                <w:rFonts w:eastAsia="Times New Roman"/>
              </w:rPr>
            </w:pPr>
          </w:p>
        </w:tc>
        <w:tc>
          <w:tcPr>
            <w:tcW w:w="494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500506606"/>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bl>
    <w:p w:rsidR="00000000" w:rsidRDefault="008214AA">
      <w:pPr>
        <w:divId w:val="2123261261"/>
        <w:rPr>
          <w:rFonts w:eastAsia="Times New Roman"/>
        </w:rPr>
      </w:pPr>
    </w:p>
    <w:p w:rsidR="00000000" w:rsidRDefault="008214AA">
      <w:pPr>
        <w:rPr>
          <w:rFonts w:eastAsia="Times New Roman"/>
        </w:rPr>
      </w:pPr>
      <w:r>
        <w:rPr>
          <w:rFonts w:eastAsia="Times New Roman"/>
        </w:rPr>
        <w:pict>
          <v:rect id="_x0000_i1026" style="width:0;height:1.5pt" o:hralign="center" o:hrstd="t" o:hr="t" fillcolor="#a0a0a0" stroked="f"/>
        </w:pict>
      </w:r>
    </w:p>
    <w:p w:rsidR="00000000" w:rsidRDefault="008214AA">
      <w:pPr>
        <w:divId w:val="289015745"/>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center"/>
        <w:rPr>
          <w:rFonts w:eastAsia="Times New Roman"/>
        </w:rPr>
      </w:pPr>
    </w:p>
    <w:p w:rsidR="00000000" w:rsidRDefault="008214AA">
      <w:pPr>
        <w:jc w:val="center"/>
        <w:rPr>
          <w:rFonts w:eastAsia="Times New Roman"/>
        </w:rPr>
      </w:pPr>
      <w:r>
        <w:rPr>
          <w:rFonts w:eastAsia="Times New Roman"/>
          <w:b/>
          <w:bCs/>
          <w:color w:val="000000"/>
          <w:sz w:val="20"/>
          <w:szCs w:val="20"/>
        </w:rPr>
        <w:t>TABLE OF CONTENTS    </w:t>
      </w:r>
    </w:p>
    <w:p w:rsidR="00000000" w:rsidRDefault="008214AA">
      <w:pPr>
        <w:divId w:val="1123159649"/>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92"/>
        <w:gridCol w:w="650"/>
        <w:gridCol w:w="36"/>
        <w:gridCol w:w="43"/>
        <w:gridCol w:w="7000"/>
        <w:gridCol w:w="38"/>
        <w:gridCol w:w="64"/>
        <w:gridCol w:w="334"/>
        <w:gridCol w:w="36"/>
      </w:tblGrid>
      <w:tr w:rsidR="00000000">
        <w:trPr>
          <w:divId w:val="1125780232"/>
        </w:trPr>
        <w:tc>
          <w:tcPr>
            <w:tcW w:w="50" w:type="pct"/>
            <w:vAlign w:val="center"/>
            <w:hideMark/>
          </w:tcPr>
          <w:p w:rsidR="00000000" w:rsidRDefault="008214AA">
            <w:pPr>
              <w:rPr>
                <w:rFonts w:eastAsia="Times New Roman"/>
              </w:rPr>
            </w:pPr>
          </w:p>
        </w:tc>
        <w:tc>
          <w:tcPr>
            <w:tcW w:w="35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2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125780232"/>
        </w:trPr>
        <w:tc>
          <w:tcPr>
            <w:tcW w:w="0" w:type="auto"/>
            <w:gridSpan w:val="6"/>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PART I. Financial Information</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r>
      <w:tr w:rsidR="00000000">
        <w:trPr>
          <w:divId w:val="1125780232"/>
          <w:trHeight w:val="30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Page</w:t>
            </w:r>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8214AA">
            <w:pPr>
              <w:spacing w:after="100"/>
              <w:divId w:val="699008837"/>
              <w:rPr>
                <w:rFonts w:eastAsia="Times New Roman"/>
              </w:rPr>
            </w:pPr>
            <w:hyperlink w:anchor="if25b96f30cf14ee1a436e117fec2c043_13"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3" w:history="1">
              <w:r>
                <w:rPr>
                  <w:rStyle w:val="a3"/>
                  <w:rFonts w:eastAsia="Times New Roman"/>
                  <w:sz w:val="20"/>
                  <w:szCs w:val="20"/>
                </w:rPr>
                <w:t>3</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divId w:val="1917783643"/>
              <w:rPr>
                <w:rFonts w:eastAsia="Times New Roman"/>
              </w:rPr>
            </w:pPr>
            <w:hyperlink w:anchor="if25b96f30cf14ee1a436e117fec2c043_16" w:history="1">
              <w:r>
                <w:rPr>
                  <w:rStyle w:val="a3"/>
                  <w:rFonts w:eastAsia="Times New Roman"/>
                  <w:sz w:val="20"/>
                  <w:szCs w:val="20"/>
                </w:rPr>
                <w:t xml:space="preserve">Condensed Consolidated Statements of Operations (Unaudited) Three and </w:t>
              </w:r>
            </w:hyperlink>
            <w:hyperlink w:anchor="if25b96f30cf14ee1a436e117fec2c043_16" w:history="1">
              <w:r>
                <w:rPr>
                  <w:rStyle w:val="a3"/>
                  <w:rFonts w:eastAsia="Times New Roman"/>
                  <w:sz w:val="20"/>
                  <w:szCs w:val="20"/>
                </w:rPr>
                <w:t>Nine</w:t>
              </w:r>
            </w:hyperlink>
            <w:hyperlink w:anchor="if25b96f30cf14ee1a436e117fec2c043_16" w:history="1">
              <w:r>
                <w:rPr>
                  <w:rStyle w:val="a3"/>
                  <w:rFonts w:eastAsia="Times New Roman"/>
                  <w:sz w:val="20"/>
                  <w:szCs w:val="20"/>
                </w:rPr>
                <w:t xml:space="preserve"> Mont</w:t>
              </w:r>
              <w:r>
                <w:rPr>
                  <w:rStyle w:val="a3"/>
                  <w:rFonts w:eastAsia="Times New Roman"/>
                  <w:sz w:val="20"/>
                  <w:szCs w:val="20"/>
                </w:rPr>
                <w:t xml:space="preserve">hs Ended </w:t>
              </w:r>
            </w:hyperlink>
            <w:hyperlink w:anchor="if25b96f30cf14ee1a436e117fec2c043_16" w:history="1">
              <w:r>
                <w:rPr>
                  <w:rStyle w:val="a3"/>
                  <w:rFonts w:eastAsia="Times New Roman"/>
                  <w:sz w:val="20"/>
                  <w:szCs w:val="20"/>
                </w:rPr>
                <w:t xml:space="preserve">September </w:t>
              </w:r>
            </w:hyperlink>
            <w:hyperlink w:anchor="if25b96f30cf14ee1a436e117fec2c043_16" w:history="1">
              <w:r>
                <w:rPr>
                  <w:rStyle w:val="a3"/>
                  <w:rFonts w:eastAsia="Times New Roman"/>
                  <w:sz w:val="20"/>
                  <w:szCs w:val="20"/>
                </w:rPr>
                <w:t>30, 2022 and 2021</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6" w:history="1">
              <w:r>
                <w:rPr>
                  <w:rStyle w:val="a3"/>
                  <w:rFonts w:eastAsia="Times New Roman"/>
                  <w:sz w:val="20"/>
                  <w:szCs w:val="20"/>
                </w:rPr>
                <w:t>3</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divId w:val="1275987967"/>
              <w:rPr>
                <w:rFonts w:eastAsia="Times New Roman"/>
              </w:rPr>
            </w:pPr>
            <w:hyperlink w:anchor="if25b96f30cf14ee1a436e117fec2c043_19" w:history="1">
              <w:r>
                <w:rPr>
                  <w:rStyle w:val="a3"/>
                  <w:rFonts w:eastAsia="Times New Roman"/>
                  <w:sz w:val="20"/>
                  <w:szCs w:val="20"/>
                </w:rPr>
                <w:t xml:space="preserve">Condensed Consolidated Statements of Comprehensive Income (Unaudited) Three and </w:t>
              </w:r>
            </w:hyperlink>
            <w:hyperlink w:anchor="if25b96f30cf14ee1a436e117fec2c043_19" w:history="1">
              <w:r>
                <w:rPr>
                  <w:rStyle w:val="a3"/>
                  <w:rFonts w:eastAsia="Times New Roman"/>
                  <w:sz w:val="20"/>
                  <w:szCs w:val="20"/>
                </w:rPr>
                <w:t>Nine</w:t>
              </w:r>
            </w:hyperlink>
            <w:hyperlink w:anchor="if25b96f30cf14ee1a436e117fec2c043_19" w:history="1">
              <w:r>
                <w:rPr>
                  <w:rStyle w:val="a3"/>
                  <w:rFonts w:eastAsia="Times New Roman"/>
                  <w:sz w:val="20"/>
                  <w:szCs w:val="20"/>
                </w:rPr>
                <w:t xml:space="preserve"> Months Ended </w:t>
              </w:r>
            </w:hyperlink>
            <w:hyperlink w:anchor="if25b96f30cf14ee1a436e117fec2c043_19" w:history="1">
              <w:r>
                <w:rPr>
                  <w:rStyle w:val="a3"/>
                  <w:rFonts w:eastAsia="Times New Roman"/>
                  <w:sz w:val="20"/>
                  <w:szCs w:val="20"/>
                </w:rPr>
                <w:t>September</w:t>
              </w:r>
            </w:hyperlink>
            <w:hyperlink w:anchor="if25b96f30cf14ee1a436e117fec2c043_19" w:history="1">
              <w:r>
                <w:rPr>
                  <w:rStyle w:val="a3"/>
                  <w:rFonts w:eastAsia="Times New Roman"/>
                  <w:sz w:val="20"/>
                  <w:szCs w:val="20"/>
                </w:rPr>
                <w:t xml:space="preserve"> 30, 2022 and 2021</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9" w:history="1">
              <w:r>
                <w:rPr>
                  <w:rStyle w:val="a3"/>
                  <w:rFonts w:eastAsia="Times New Roman"/>
                  <w:sz w:val="20"/>
                  <w:szCs w:val="20"/>
                </w:rPr>
                <w:t>4</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divId w:val="1138065131"/>
              <w:rPr>
                <w:rFonts w:eastAsia="Times New Roman"/>
              </w:rPr>
            </w:pPr>
            <w:hyperlink w:anchor="if25b96f30cf14ee1a436e117fec2c043_22" w:history="1">
              <w:r>
                <w:rPr>
                  <w:rStyle w:val="a3"/>
                  <w:rFonts w:eastAsia="Times New Roman"/>
                  <w:sz w:val="20"/>
                  <w:szCs w:val="20"/>
                </w:rPr>
                <w:t xml:space="preserve">Condensed Consolidated Balance Sheets (Unaudited) </w:t>
              </w:r>
            </w:hyperlink>
            <w:hyperlink w:anchor="if25b96f30cf14ee1a436e117fec2c043_22" w:history="1">
              <w:r>
                <w:rPr>
                  <w:rStyle w:val="a3"/>
                  <w:rFonts w:eastAsia="Times New Roman"/>
                  <w:sz w:val="20"/>
                  <w:szCs w:val="20"/>
                </w:rPr>
                <w:t>September</w:t>
              </w:r>
            </w:hyperlink>
            <w:hyperlink w:anchor="if25b96f30cf14ee1a436e117fec2c043_22" w:history="1">
              <w:r>
                <w:rPr>
                  <w:rStyle w:val="a3"/>
                  <w:rFonts w:eastAsia="Times New Roman"/>
                  <w:sz w:val="20"/>
                  <w:szCs w:val="20"/>
                </w:rPr>
                <w:t xml:space="preserve"> 30, 2022 and Decemb</w:t>
              </w:r>
              <w:r>
                <w:rPr>
                  <w:rStyle w:val="a3"/>
                  <w:rFonts w:eastAsia="Times New Roman"/>
                  <w:sz w:val="20"/>
                  <w:szCs w:val="20"/>
                </w:rPr>
                <w:t>er 31, 2021</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22" w:history="1">
              <w:r>
                <w:rPr>
                  <w:rStyle w:val="a3"/>
                  <w:rFonts w:eastAsia="Times New Roman"/>
                  <w:sz w:val="20"/>
                  <w:szCs w:val="20"/>
                </w:rPr>
                <w:t>5</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divId w:val="805052516"/>
              <w:rPr>
                <w:rFonts w:eastAsia="Times New Roman"/>
              </w:rPr>
            </w:pPr>
            <w:hyperlink w:anchor="if25b96f30cf14ee1a436e117fec2c043_25" w:history="1">
              <w:r>
                <w:rPr>
                  <w:rStyle w:val="a3"/>
                  <w:rFonts w:eastAsia="Times New Roman"/>
                  <w:sz w:val="20"/>
                  <w:szCs w:val="20"/>
                </w:rPr>
                <w:t xml:space="preserve">Condensed Consolidated Statements of Cash Flows (Unaudited) </w:t>
              </w:r>
            </w:hyperlink>
            <w:hyperlink w:anchor="if25b96f30cf14ee1a436e117fec2c043_25" w:history="1">
              <w:r>
                <w:rPr>
                  <w:rStyle w:val="a3"/>
                  <w:rFonts w:eastAsia="Times New Roman"/>
                  <w:sz w:val="20"/>
                  <w:szCs w:val="20"/>
                </w:rPr>
                <w:t>Nine</w:t>
              </w:r>
            </w:hyperlink>
            <w:hyperlink w:anchor="if25b96f30cf14ee1a436e117fec2c043_25" w:history="1">
              <w:r>
                <w:rPr>
                  <w:rStyle w:val="a3"/>
                  <w:rFonts w:eastAsia="Times New Roman"/>
                  <w:sz w:val="20"/>
                  <w:szCs w:val="20"/>
                </w:rPr>
                <w:t xml:space="preserve"> Months Ended </w:t>
              </w:r>
            </w:hyperlink>
            <w:hyperlink w:anchor="if25b96f30cf14ee1a436e117fec2c043_25" w:history="1">
              <w:r>
                <w:rPr>
                  <w:rStyle w:val="a3"/>
                  <w:rFonts w:eastAsia="Times New Roman"/>
                  <w:sz w:val="20"/>
                  <w:szCs w:val="20"/>
                </w:rPr>
                <w:t>S</w:t>
              </w:r>
              <w:r>
                <w:rPr>
                  <w:rStyle w:val="a3"/>
                  <w:rFonts w:eastAsia="Times New Roman"/>
                  <w:sz w:val="20"/>
                  <w:szCs w:val="20"/>
                </w:rPr>
                <w:t>eptember</w:t>
              </w:r>
            </w:hyperlink>
            <w:hyperlink w:anchor="if25b96f30cf14ee1a436e117fec2c043_25" w:history="1">
              <w:r>
                <w:rPr>
                  <w:rStyle w:val="a3"/>
                  <w:rFonts w:eastAsia="Times New Roman"/>
                  <w:sz w:val="20"/>
                  <w:szCs w:val="20"/>
                </w:rPr>
                <w:t xml:space="preserve"> 30, 2022 and 2021</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25" w:history="1">
              <w:r>
                <w:rPr>
                  <w:rStyle w:val="a3"/>
                  <w:rFonts w:eastAsia="Times New Roman"/>
                  <w:sz w:val="20"/>
                  <w:szCs w:val="20"/>
                </w:rPr>
                <w:t>6</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divId w:val="963926860"/>
              <w:rPr>
                <w:rFonts w:eastAsia="Times New Roman"/>
              </w:rPr>
            </w:pPr>
            <w:hyperlink w:anchor="if25b96f30cf14ee1a436e117fec2c043_28" w:history="1">
              <w:r>
                <w:rPr>
                  <w:rStyle w:val="a3"/>
                  <w:rFonts w:eastAsia="Times New Roman"/>
                  <w:sz w:val="20"/>
                  <w:szCs w:val="20"/>
                </w:rPr>
                <w:t xml:space="preserve">Condensed Consolidated Statements of Changes in Stockholder's Equity (Unaudited) Three and </w:t>
              </w:r>
            </w:hyperlink>
            <w:hyperlink w:anchor="if25b96f30cf14ee1a436e117fec2c043_28" w:history="1">
              <w:r>
                <w:rPr>
                  <w:rStyle w:val="a3"/>
                  <w:rFonts w:eastAsia="Times New Roman"/>
                  <w:sz w:val="20"/>
                  <w:szCs w:val="20"/>
                </w:rPr>
                <w:t>Nine</w:t>
              </w:r>
            </w:hyperlink>
            <w:hyperlink w:anchor="if25b96f30cf14ee1a436e117fec2c043_28" w:history="1">
              <w:r>
                <w:rPr>
                  <w:rStyle w:val="a3"/>
                  <w:rFonts w:eastAsia="Times New Roman"/>
                  <w:sz w:val="20"/>
                  <w:szCs w:val="20"/>
                </w:rPr>
                <w:t xml:space="preserve"> Months Ended </w:t>
              </w:r>
            </w:hyperlink>
            <w:hyperlink w:anchor="if25b96f30cf14ee1a436e117fec2c043_28" w:history="1">
              <w:r>
                <w:rPr>
                  <w:rStyle w:val="a3"/>
                  <w:rFonts w:eastAsia="Times New Roman"/>
                  <w:sz w:val="20"/>
                  <w:szCs w:val="20"/>
                </w:rPr>
                <w:t xml:space="preserve">September </w:t>
              </w:r>
            </w:hyperlink>
            <w:hyperlink w:anchor="if25b96f30cf14ee1a436e117fec2c043_28" w:history="1">
              <w:r>
                <w:rPr>
                  <w:rStyle w:val="a3"/>
                  <w:rFonts w:eastAsia="Times New Roman"/>
                  <w:sz w:val="20"/>
                  <w:szCs w:val="20"/>
                </w:rPr>
                <w:t>30, 2022 and 2021</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28" w:history="1">
              <w:r>
                <w:rPr>
                  <w:rStyle w:val="a3"/>
                  <w:rFonts w:eastAsia="Times New Roman"/>
                  <w:sz w:val="20"/>
                  <w:szCs w:val="20"/>
                </w:rPr>
                <w:t>7</w:t>
              </w:r>
            </w:hyperlink>
          </w:p>
          <w:p w:rsidR="00000000" w:rsidRDefault="008214AA">
            <w:pPr>
              <w:spacing w:after="100"/>
              <w:divId w:val="316035800"/>
              <w:rPr>
                <w:rFonts w:eastAsia="Times New Roman"/>
              </w:rPr>
            </w:pPr>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divId w:val="1153372753"/>
              <w:rPr>
                <w:rFonts w:eastAsia="Times New Roman"/>
              </w:rPr>
            </w:pPr>
            <w:hyperlink w:anchor="if25b96f30cf14ee1a436e117fec2c043_31" w:history="1">
              <w:r>
                <w:rPr>
                  <w:rStyle w:val="a3"/>
                  <w:rFonts w:eastAsia="Times New Roman"/>
                  <w:sz w:val="20"/>
                  <w:szCs w:val="20"/>
                </w:rPr>
                <w:t>Notes to Condensed Consolidated Financial Statements (Unaudited)</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31" w:history="1">
              <w:r>
                <w:rPr>
                  <w:rStyle w:val="a3"/>
                  <w:rFonts w:eastAsia="Times New Roman"/>
                  <w:sz w:val="20"/>
                  <w:szCs w:val="20"/>
                </w:rPr>
                <w:t>9</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8214AA">
            <w:pPr>
              <w:spacing w:after="100"/>
              <w:divId w:val="836963735"/>
              <w:rPr>
                <w:rFonts w:eastAsia="Times New Roman"/>
              </w:rPr>
            </w:pPr>
            <w:hyperlink w:anchor="if25b96f30cf14ee1a436e117fec2c043_100" w:history="1">
              <w:r>
                <w:rPr>
                  <w:rStyle w:val="a3"/>
                  <w:rFonts w:eastAsia="Times New Roman"/>
                  <w:sz w:val="20"/>
                  <w:szCs w:val="20"/>
                </w:rPr>
                <w:t>Management’s Discussion and Analysis of Finan</w:t>
              </w:r>
              <w:r>
                <w:rPr>
                  <w:rStyle w:val="a3"/>
                  <w:rFonts w:eastAsia="Times New Roman"/>
                  <w:sz w:val="20"/>
                  <w:szCs w:val="20"/>
                </w:rPr>
                <w:t>cial Condition and Results of Operations</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00" w:history="1">
              <w:r>
                <w:rPr>
                  <w:rStyle w:val="a3"/>
                  <w:rFonts w:eastAsia="Times New Roman"/>
                  <w:sz w:val="20"/>
                  <w:szCs w:val="20"/>
                </w:rPr>
                <w:t>39</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8214AA">
            <w:pPr>
              <w:spacing w:after="100"/>
              <w:divId w:val="1755858491"/>
              <w:rPr>
                <w:rFonts w:eastAsia="Times New Roman"/>
              </w:rPr>
            </w:pPr>
            <w:hyperlink w:anchor="if25b96f30cf14ee1a436e117fec2c043_169"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69" w:history="1">
              <w:r>
                <w:rPr>
                  <w:rStyle w:val="a3"/>
                  <w:rFonts w:eastAsia="Times New Roman"/>
                  <w:sz w:val="20"/>
                  <w:szCs w:val="20"/>
                </w:rPr>
                <w:t>57</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8214AA">
            <w:pPr>
              <w:spacing w:after="100"/>
              <w:divId w:val="1472598585"/>
              <w:rPr>
                <w:rFonts w:eastAsia="Times New Roman"/>
              </w:rPr>
            </w:pPr>
            <w:hyperlink w:anchor="if25b96f30cf14ee1a436e117fec2c043_172"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72" w:history="1">
              <w:r>
                <w:rPr>
                  <w:rStyle w:val="a3"/>
                  <w:rFonts w:eastAsia="Times New Roman"/>
                  <w:sz w:val="20"/>
                  <w:szCs w:val="20"/>
                </w:rPr>
                <w:t>58</w:t>
              </w:r>
            </w:hyperlink>
          </w:p>
        </w:tc>
      </w:tr>
      <w:tr w:rsidR="00000000">
        <w:trPr>
          <w:divId w:val="1125780232"/>
          <w:trHeight w:val="300"/>
        </w:trPr>
        <w:tc>
          <w:tcPr>
            <w:tcW w:w="0" w:type="auto"/>
            <w:gridSpan w:val="6"/>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6"/>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PART II. Other Information</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r>
      <w:tr w:rsidR="00000000">
        <w:trPr>
          <w:divId w:val="1125780232"/>
          <w:trHeight w:val="30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Page</w:t>
            </w:r>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8214AA">
            <w:pPr>
              <w:spacing w:after="100"/>
              <w:divId w:val="824979521"/>
              <w:rPr>
                <w:rFonts w:eastAsia="Times New Roman"/>
              </w:rPr>
            </w:pPr>
            <w:hyperlink w:anchor="if25b96f30cf14ee1a436e117fec2c043_178"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78" w:history="1">
              <w:r>
                <w:rPr>
                  <w:rStyle w:val="a3"/>
                  <w:rFonts w:eastAsia="Times New Roman"/>
                  <w:sz w:val="20"/>
                  <w:szCs w:val="20"/>
                </w:rPr>
                <w:t>59</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8214AA">
            <w:pPr>
              <w:spacing w:after="100"/>
              <w:divId w:val="1224296883"/>
              <w:rPr>
                <w:rFonts w:eastAsia="Times New Roman"/>
              </w:rPr>
            </w:pPr>
            <w:hyperlink w:anchor="if25b96f30cf14ee1a436e117fec2c043_181"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81" w:history="1">
              <w:r>
                <w:rPr>
                  <w:rStyle w:val="a3"/>
                  <w:rFonts w:eastAsia="Times New Roman"/>
                  <w:sz w:val="20"/>
                  <w:szCs w:val="20"/>
                </w:rPr>
                <w:t>59</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8214AA">
            <w:pPr>
              <w:spacing w:after="100"/>
              <w:divId w:val="1895965616"/>
              <w:rPr>
                <w:rFonts w:eastAsia="Times New Roman"/>
              </w:rPr>
            </w:pPr>
            <w:hyperlink w:anchor="if25b96f30cf14ee1a436e117fec2c043_184"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84" w:history="1">
              <w:r>
                <w:rPr>
                  <w:rStyle w:val="a3"/>
                  <w:rFonts w:eastAsia="Times New Roman"/>
                  <w:sz w:val="20"/>
                  <w:szCs w:val="20"/>
                </w:rPr>
                <w:t>60</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8214AA">
            <w:pPr>
              <w:spacing w:after="100"/>
              <w:divId w:val="938294132"/>
              <w:rPr>
                <w:rFonts w:eastAsia="Times New Roman"/>
              </w:rPr>
            </w:pPr>
            <w:hyperlink w:anchor="if25b96f30cf14ee1a436e117fec2c043_187"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87" w:history="1">
              <w:r>
                <w:rPr>
                  <w:rStyle w:val="a3"/>
                  <w:rFonts w:eastAsia="Times New Roman"/>
                  <w:sz w:val="20"/>
                  <w:szCs w:val="20"/>
                </w:rPr>
                <w:t>62</w:t>
              </w:r>
            </w:hyperlink>
          </w:p>
        </w:tc>
      </w:tr>
      <w:tr w:rsidR="00000000">
        <w:trPr>
          <w:divId w:val="1125780232"/>
          <w:trHeight w:val="1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5780232"/>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divId w:val="1880437482"/>
              <w:rPr>
                <w:rFonts w:eastAsia="Times New Roman"/>
              </w:rPr>
            </w:pPr>
            <w:hyperlink w:anchor="if25b96f30cf14ee1a436e117fec2c043_190"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8214AA">
            <w:pPr>
              <w:spacing w:after="100"/>
              <w:jc w:val="right"/>
              <w:rPr>
                <w:rFonts w:eastAsia="Times New Roman"/>
              </w:rPr>
            </w:pPr>
            <w:hyperlink w:anchor="if25b96f30cf14ee1a436e117fec2c043_190" w:history="1">
              <w:r>
                <w:rPr>
                  <w:rStyle w:val="a3"/>
                  <w:rFonts w:eastAsia="Times New Roman"/>
                  <w:sz w:val="20"/>
                  <w:szCs w:val="20"/>
                </w:rPr>
                <w:t>63</w:t>
              </w:r>
            </w:hyperlink>
          </w:p>
        </w:tc>
      </w:tr>
    </w:tbl>
    <w:p w:rsidR="00000000" w:rsidRDefault="008214AA">
      <w:pPr>
        <w:divId w:val="714088578"/>
        <w:rPr>
          <w:rFonts w:eastAsia="Times New Roman"/>
        </w:rPr>
      </w:pPr>
    </w:p>
    <w:p w:rsidR="00000000" w:rsidRDefault="008214AA">
      <w:pPr>
        <w:divId w:val="994575157"/>
        <w:rPr>
          <w:rFonts w:eastAsia="Times New Roman"/>
        </w:rPr>
      </w:pPr>
    </w:p>
    <w:p w:rsidR="00000000" w:rsidRDefault="008214AA">
      <w:pPr>
        <w:jc w:val="center"/>
        <w:divId w:val="269438490"/>
        <w:rPr>
          <w:rFonts w:eastAsia="Times New Roman"/>
        </w:rPr>
      </w:pPr>
      <w:r>
        <w:rPr>
          <w:rFonts w:eastAsia="Times New Roman"/>
          <w:color w:val="000000"/>
          <w:sz w:val="20"/>
          <w:szCs w:val="20"/>
        </w:rPr>
        <w:t>2</w:t>
      </w:r>
    </w:p>
    <w:p w:rsidR="00000000" w:rsidRDefault="008214AA">
      <w:pPr>
        <w:rPr>
          <w:rFonts w:eastAsia="Times New Roman"/>
        </w:rPr>
      </w:pPr>
      <w:r>
        <w:rPr>
          <w:rFonts w:eastAsia="Times New Roman"/>
        </w:rPr>
        <w:pict>
          <v:rect id="_x0000_i1027" style="width:0;height:1.5pt" o:hralign="center" o:hrstd="t" o:hr="t" fillcolor="#a0a0a0" stroked="f"/>
        </w:pict>
      </w:r>
    </w:p>
    <w:p w:rsidR="00000000" w:rsidRDefault="008214AA">
      <w:pPr>
        <w:divId w:val="486015731"/>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divId w:val="579097094"/>
        <w:rPr>
          <w:rFonts w:eastAsia="Times New Roman"/>
        </w:rPr>
      </w:pPr>
      <w:r>
        <w:rPr>
          <w:rFonts w:eastAsia="Times New Roman"/>
          <w:b/>
          <w:bCs/>
          <w:color w:val="000000"/>
          <w:sz w:val="20"/>
          <w:szCs w:val="20"/>
        </w:rPr>
        <w:t>Part I. Financial Information</w:t>
      </w:r>
    </w:p>
    <w:p w:rsidR="00000000" w:rsidRDefault="008214AA">
      <w:pPr>
        <w:divId w:val="1460877843"/>
        <w:rPr>
          <w:rFonts w:eastAsia="Times New Roman"/>
        </w:rPr>
      </w:pPr>
      <w:r>
        <w:rPr>
          <w:rFonts w:eastAsia="Times New Roman"/>
          <w:color w:val="000000"/>
          <w:sz w:val="18"/>
          <w:szCs w:val="18"/>
        </w:rPr>
        <w:t> </w:t>
      </w:r>
    </w:p>
    <w:p w:rsidR="00000000" w:rsidRDefault="008214AA">
      <w:pPr>
        <w:ind w:hanging="1170"/>
        <w:divId w:val="231814205"/>
        <w:rPr>
          <w:rFonts w:eastAsia="Times New Roman"/>
        </w:rPr>
      </w:pPr>
      <w:r>
        <w:rPr>
          <w:rFonts w:eastAsia="Times New Roman"/>
          <w:b/>
          <w:bCs/>
          <w:color w:val="000000"/>
          <w:sz w:val="20"/>
          <w:szCs w:val="20"/>
        </w:rPr>
        <w:t>Item 1.    FINANCIAL STATEMENTS</w:t>
      </w:r>
    </w:p>
    <w:p w:rsidR="00000000" w:rsidRDefault="008214AA">
      <w:pPr>
        <w:ind w:firstLine="720"/>
        <w:jc w:val="center"/>
        <w:rPr>
          <w:rFonts w:eastAsia="Times New Roman"/>
        </w:rPr>
      </w:pPr>
      <w:r>
        <w:rPr>
          <w:rFonts w:eastAsia="Times New Roman"/>
          <w:b/>
          <w:bCs/>
          <w:color w:val="000000"/>
          <w:sz w:val="20"/>
          <w:szCs w:val="20"/>
        </w:rPr>
        <w:t>NCR Corporation</w:t>
      </w:r>
    </w:p>
    <w:p w:rsidR="00000000" w:rsidRDefault="008214AA">
      <w:pPr>
        <w:jc w:val="center"/>
        <w:rPr>
          <w:rFonts w:eastAsia="Times New Roman"/>
        </w:rPr>
      </w:pPr>
      <w:r>
        <w:rPr>
          <w:rFonts w:eastAsia="Times New Roman"/>
          <w:b/>
          <w:bCs/>
          <w:color w:val="000000"/>
          <w:sz w:val="20"/>
          <w:szCs w:val="20"/>
        </w:rPr>
        <w:t>Condensed Consolidated Statements of Operations (Unaudited)</w:t>
      </w:r>
      <w:r>
        <w:rPr>
          <w:rFonts w:eastAsia="Times New Roman"/>
          <w:color w:val="000000"/>
          <w:sz w:val="18"/>
          <w:szCs w:val="18"/>
        </w:rPr>
        <w:t> </w:t>
      </w:r>
    </w:p>
    <w:tbl>
      <w:tblPr>
        <w:tblW w:w="4692" w:type="pct"/>
        <w:jc w:val="center"/>
        <w:tblCellMar>
          <w:top w:w="15" w:type="dxa"/>
          <w:left w:w="15" w:type="dxa"/>
          <w:bottom w:w="15" w:type="dxa"/>
          <w:right w:w="15" w:type="dxa"/>
        </w:tblCellMar>
        <w:tblLook w:val="04A0" w:firstRow="1" w:lastRow="0" w:firstColumn="1" w:lastColumn="0" w:noHBand="0" w:noVBand="1"/>
      </w:tblPr>
      <w:tblGrid>
        <w:gridCol w:w="41"/>
        <w:gridCol w:w="3815"/>
        <w:gridCol w:w="40"/>
        <w:gridCol w:w="120"/>
        <w:gridCol w:w="746"/>
        <w:gridCol w:w="36"/>
        <w:gridCol w:w="36"/>
        <w:gridCol w:w="36"/>
        <w:gridCol w:w="36"/>
        <w:gridCol w:w="120"/>
        <w:gridCol w:w="725"/>
        <w:gridCol w:w="36"/>
        <w:gridCol w:w="36"/>
        <w:gridCol w:w="36"/>
        <w:gridCol w:w="36"/>
        <w:gridCol w:w="120"/>
        <w:gridCol w:w="727"/>
        <w:gridCol w:w="36"/>
        <w:gridCol w:w="36"/>
        <w:gridCol w:w="36"/>
        <w:gridCol w:w="36"/>
        <w:gridCol w:w="120"/>
        <w:gridCol w:w="752"/>
        <w:gridCol w:w="36"/>
      </w:tblGrid>
      <w:tr w:rsidR="00000000">
        <w:trPr>
          <w:divId w:val="2122987761"/>
          <w:jc w:val="center"/>
        </w:trPr>
        <w:tc>
          <w:tcPr>
            <w:tcW w:w="50" w:type="pct"/>
            <w:vAlign w:val="center"/>
            <w:hideMark/>
          </w:tcPr>
          <w:p w:rsidR="00000000" w:rsidRDefault="008214AA">
            <w:pPr>
              <w:jc w:val="center"/>
              <w:rPr>
                <w:rFonts w:eastAsia="Times New Roman"/>
              </w:rPr>
            </w:pPr>
          </w:p>
        </w:tc>
        <w:tc>
          <w:tcPr>
            <w:tcW w:w="249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1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1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1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2122987761"/>
          <w:trHeight w:val="42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 except per share amounts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2122987761"/>
          <w:trHeight w:val="24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revenue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3,569 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Cost of products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952 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2,442 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lastRenderedPageBreak/>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835 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5,512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4,771 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Income (loss)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 xml:space="preserve">Loss on extinguishment of debt </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(68)</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Other income (expense), net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Income (loss)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Income (loss)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(loss) from discontinued operations, net of tax</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Net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Net income (loss) attributable to NCR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Amounts attributable to NCR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(loss) from continuing operations</w:t>
            </w: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Series A convertible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(loss) from continuing operations attributable to NCR common stockholders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(loss) from discontinued operations, net of tax</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income (loss) attributable to NCR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Income (loss) per share attributable to NCR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Income (loss) per common share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122987761"/>
          <w:jc w:val="center"/>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0.16 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0.06 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0.15 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Net income (loss)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122987761"/>
          <w:jc w:val="center"/>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0.16 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0.06 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0.45</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0.15 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Weighted average common shares outstanding</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122987761"/>
          <w:jc w:val="center"/>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lastRenderedPageBreak/>
              <w:t>Basic</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131.5 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130.8 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22987761"/>
          <w:jc w:val="center"/>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137.8 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137.1 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rPr>
          <w:rFonts w:eastAsia="Times New Roman"/>
        </w:rPr>
      </w:pPr>
      <w:r>
        <w:rPr>
          <w:rFonts w:eastAsia="Times New Roman"/>
          <w:color w:val="000000"/>
          <w:sz w:val="20"/>
          <w:szCs w:val="20"/>
        </w:rPr>
        <w:t>See Notes to Condensed Consolidated Financial Statements.</w:t>
      </w:r>
    </w:p>
    <w:p w:rsidR="00000000" w:rsidRDefault="008214AA">
      <w:pPr>
        <w:jc w:val="center"/>
        <w:divId w:val="109515892"/>
        <w:rPr>
          <w:rFonts w:eastAsia="Times New Roman"/>
        </w:rPr>
      </w:pPr>
      <w:r>
        <w:rPr>
          <w:rFonts w:eastAsia="Times New Roman"/>
          <w:color w:val="000000"/>
          <w:sz w:val="20"/>
          <w:szCs w:val="20"/>
        </w:rPr>
        <w:t>3</w:t>
      </w:r>
    </w:p>
    <w:p w:rsidR="00000000" w:rsidRDefault="008214AA">
      <w:pPr>
        <w:rPr>
          <w:rFonts w:eastAsia="Times New Roman"/>
        </w:rPr>
      </w:pPr>
      <w:r>
        <w:rPr>
          <w:rFonts w:eastAsia="Times New Roman"/>
        </w:rPr>
        <w:pict>
          <v:rect id="_x0000_i1028" style="width:0;height:1.5pt" o:hralign="center" o:hrstd="t" o:hr="t" fillcolor="#a0a0a0" stroked="f"/>
        </w:pict>
      </w:r>
    </w:p>
    <w:p w:rsidR="00000000" w:rsidRDefault="008214AA">
      <w:pPr>
        <w:divId w:val="2029719449"/>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center"/>
        <w:rPr>
          <w:rFonts w:eastAsia="Times New Roman"/>
        </w:rPr>
      </w:pPr>
      <w:r>
        <w:rPr>
          <w:rFonts w:eastAsia="Times New Roman"/>
          <w:b/>
          <w:bCs/>
          <w:color w:val="000000"/>
          <w:sz w:val="20"/>
          <w:szCs w:val="20"/>
        </w:rPr>
        <w:t>NCR Corporation</w:t>
      </w:r>
    </w:p>
    <w:p w:rsidR="00000000" w:rsidRDefault="008214AA">
      <w:pPr>
        <w:jc w:val="center"/>
        <w:rPr>
          <w:rFonts w:eastAsia="Times New Roman"/>
        </w:rPr>
      </w:pPr>
      <w:r>
        <w:rPr>
          <w:rFonts w:eastAsia="Times New Roman"/>
          <w:b/>
          <w:bCs/>
          <w:color w:val="000000"/>
          <w:sz w:val="20"/>
          <w:szCs w:val="20"/>
        </w:rPr>
        <w:t>Condensed Consolidated Statements of Comprehensive Income (Unaudited)</w:t>
      </w:r>
    </w:p>
    <w:p w:rsidR="00000000" w:rsidRDefault="008214AA">
      <w:pPr>
        <w:divId w:val="1928077683"/>
        <w:rPr>
          <w:rFonts w:eastAsia="Times New Roman"/>
        </w:rPr>
      </w:pPr>
      <w:r>
        <w:rPr>
          <w:rFonts w:eastAsia="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906"/>
        <w:gridCol w:w="39"/>
        <w:gridCol w:w="120"/>
        <w:gridCol w:w="853"/>
        <w:gridCol w:w="36"/>
        <w:gridCol w:w="36"/>
        <w:gridCol w:w="36"/>
        <w:gridCol w:w="36"/>
        <w:gridCol w:w="120"/>
        <w:gridCol w:w="840"/>
        <w:gridCol w:w="36"/>
        <w:gridCol w:w="36"/>
        <w:gridCol w:w="36"/>
        <w:gridCol w:w="36"/>
        <w:gridCol w:w="121"/>
        <w:gridCol w:w="853"/>
        <w:gridCol w:w="36"/>
        <w:gridCol w:w="36"/>
        <w:gridCol w:w="36"/>
        <w:gridCol w:w="36"/>
        <w:gridCol w:w="120"/>
        <w:gridCol w:w="826"/>
        <w:gridCol w:w="36"/>
      </w:tblGrid>
      <w:tr w:rsidR="00000000">
        <w:trPr>
          <w:divId w:val="502354453"/>
          <w:jc w:val="center"/>
        </w:trPr>
        <w:tc>
          <w:tcPr>
            <w:tcW w:w="50" w:type="pct"/>
            <w:vAlign w:val="center"/>
            <w:hideMark/>
          </w:tcPr>
          <w:p w:rsidR="00000000" w:rsidRDefault="008214AA">
            <w:pPr>
              <w:rPr>
                <w:rFonts w:eastAsia="Times New Roman"/>
              </w:rPr>
            </w:pPr>
          </w:p>
        </w:tc>
        <w:tc>
          <w:tcPr>
            <w:tcW w:w="239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4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4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4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4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502354453"/>
          <w:trHeight w:val="40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502354453"/>
          <w:trHeight w:val="24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50235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50235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502354453"/>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Currency translation gains (loss)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502354453"/>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Unrealized gains (loss) on derivatives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w:t>
            </w:r>
            <w:r>
              <w:rPr>
                <w:rFonts w:eastAsia="Times New Roman"/>
                <w:color w:val="000000"/>
                <w:sz w:val="20"/>
                <w:szCs w:val="20"/>
              </w:rPr>
              <w:t>Loss (gains) on derivatives recognized during the period</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Less income tax</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Employee benefit plans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50235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w:t>
            </w:r>
            <w:r>
              <w:rPr>
                <w:rFonts w:eastAsia="Times New Roman"/>
                <w:color w:val="000000"/>
                <w:sz w:val="20"/>
                <w:szCs w:val="20"/>
              </w:rPr>
              <w:t>Amortization of prior service cost (benefit)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502354453"/>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50235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Less income tax</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Other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Less comprehensive income (loss) attributable to 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50235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Net income (loss)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w:t>
            </w:r>
            <w:r>
              <w:rPr>
                <w:rFonts w:eastAsia="Times New Roman"/>
                <w:color w:val="000000"/>
                <w:sz w:val="20"/>
                <w:szCs w:val="20"/>
              </w:rPr>
              <w:t>Currency translation losses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Amounts attributable to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50235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Comprehensive income (loss) attributable to NCR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divId w:val="199057912"/>
        <w:rPr>
          <w:rFonts w:eastAsia="Times New Roman"/>
        </w:rPr>
      </w:pPr>
      <w:r>
        <w:rPr>
          <w:rFonts w:eastAsia="Times New Roman"/>
          <w:color w:val="000000"/>
          <w:sz w:val="20"/>
          <w:szCs w:val="20"/>
        </w:rPr>
        <w:t>See Notes to Condensed Consolidated Financial Statements.</w:t>
      </w:r>
    </w:p>
    <w:p w:rsidR="00000000" w:rsidRDefault="008214AA">
      <w:pPr>
        <w:jc w:val="center"/>
        <w:divId w:val="2111464670"/>
        <w:rPr>
          <w:rFonts w:eastAsia="Times New Roman"/>
        </w:rPr>
      </w:pPr>
      <w:r>
        <w:rPr>
          <w:rFonts w:eastAsia="Times New Roman"/>
          <w:color w:val="000000"/>
          <w:sz w:val="20"/>
          <w:szCs w:val="20"/>
        </w:rPr>
        <w:t>4</w:t>
      </w:r>
    </w:p>
    <w:p w:rsidR="00000000" w:rsidRDefault="008214AA">
      <w:pPr>
        <w:rPr>
          <w:rFonts w:eastAsia="Times New Roman"/>
        </w:rPr>
      </w:pPr>
      <w:r>
        <w:rPr>
          <w:rFonts w:eastAsia="Times New Roman"/>
        </w:rPr>
        <w:pict>
          <v:rect id="_x0000_i1029" style="width:0;height:1.5pt" o:hralign="center" o:hrstd="t" o:hr="t" fillcolor="#a0a0a0" stroked="f"/>
        </w:pict>
      </w:r>
    </w:p>
    <w:p w:rsidR="00000000" w:rsidRDefault="008214AA">
      <w:pPr>
        <w:divId w:val="1380276992"/>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ind w:firstLine="720"/>
        <w:jc w:val="center"/>
        <w:rPr>
          <w:rFonts w:eastAsia="Times New Roman"/>
        </w:rPr>
      </w:pPr>
      <w:r>
        <w:rPr>
          <w:rFonts w:eastAsia="Times New Roman"/>
          <w:b/>
          <w:bCs/>
          <w:color w:val="000000"/>
          <w:sz w:val="20"/>
          <w:szCs w:val="20"/>
        </w:rPr>
        <w:t>NCR Corporation</w:t>
      </w:r>
    </w:p>
    <w:p w:rsidR="00000000" w:rsidRDefault="008214AA">
      <w:pPr>
        <w:jc w:val="center"/>
        <w:rPr>
          <w:rFonts w:eastAsia="Times New Roman"/>
        </w:rPr>
      </w:pPr>
      <w:r>
        <w:rPr>
          <w:rFonts w:eastAsia="Times New Roman"/>
          <w:b/>
          <w:bCs/>
          <w:color w:val="000000"/>
          <w:sz w:val="20"/>
          <w:szCs w:val="20"/>
        </w:rPr>
        <w:t>Condensed Consolidated Balance Sheets (Unaudited)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675"/>
        <w:gridCol w:w="39"/>
        <w:gridCol w:w="121"/>
        <w:gridCol w:w="1113"/>
        <w:gridCol w:w="36"/>
        <w:gridCol w:w="36"/>
        <w:gridCol w:w="37"/>
        <w:gridCol w:w="36"/>
        <w:gridCol w:w="120"/>
        <w:gridCol w:w="1017"/>
        <w:gridCol w:w="36"/>
      </w:tblGrid>
      <w:tr w:rsidR="00000000">
        <w:trPr>
          <w:divId w:val="1449085833"/>
        </w:trPr>
        <w:tc>
          <w:tcPr>
            <w:tcW w:w="50" w:type="pct"/>
            <w:vAlign w:val="center"/>
            <w:hideMark/>
          </w:tcPr>
          <w:p w:rsidR="00000000" w:rsidRDefault="008214AA">
            <w:pPr>
              <w:jc w:val="center"/>
              <w:rPr>
                <w:rFonts w:eastAsia="Times New Roman"/>
              </w:rPr>
            </w:pPr>
          </w:p>
        </w:tc>
        <w:tc>
          <w:tcPr>
            <w:tcW w:w="344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9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3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449085833"/>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December 31, 2021</w:t>
            </w: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lastRenderedPageBreak/>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449085833"/>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447 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divId w:val="1959330632"/>
              <w:rPr>
                <w:rFonts w:eastAsia="Times New Roman"/>
              </w:rPr>
            </w:pPr>
            <w:r>
              <w:rPr>
                <w:rFonts w:eastAsia="Times New Roman"/>
                <w:color w:val="000000"/>
                <w:sz w:val="20"/>
                <w:szCs w:val="20"/>
              </w:rPr>
              <w:t>Accounts receivable, net of allowances of $29 and $24 as of September 30,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754 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3,191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Property, plant and equipment,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4,572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4,519 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Intangibles, net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1,316 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Operating lease assets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419 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Prepaid pension cost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732 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776 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11,783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449085833"/>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Short-term borrowings</w:t>
            </w: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826 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Payroll and benefits liabilities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Settlement liabilities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757 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2,770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5,611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Pension and indemnity plan liabilities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789 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Postretirement and postemployment benefits liabilities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tax accruals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10,062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Commitments and Contingencies (Note 10)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449085833"/>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divId w:val="1981613497"/>
              <w:rPr>
                <w:rFonts w:eastAsia="Times New Roman"/>
              </w:rPr>
            </w:pPr>
            <w:r>
              <w:rPr>
                <w:rFonts w:eastAsia="Times New Roman"/>
                <w:color w:val="000000"/>
                <w:sz w:val="20"/>
                <w:szCs w:val="20"/>
              </w:rPr>
              <w:t xml:space="preserve">Series A convertible preferred stock: par value $0.01 per share, 3.0 shares authorized, 0.3 </w:t>
            </w:r>
            <w:r>
              <w:rPr>
                <w:rFonts w:eastAsia="Times New Roman"/>
                <w:color w:val="000000"/>
                <w:sz w:val="20"/>
                <w:szCs w:val="20"/>
              </w:rPr>
              <w:t>shares issued and outstanding as of September 30, 2022 and December 31, 2021, respectively; redemption amount and liquidation preference of $276 as of September 30,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NCR stockholders’ equity</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jc w:val="both"/>
              <w:rPr>
                <w:rFonts w:eastAsia="Times New Roman"/>
              </w:rPr>
            </w:pPr>
            <w:r>
              <w:rPr>
                <w:rFonts w:eastAsia="Times New Roman"/>
                <w:color w:val="000000"/>
                <w:sz w:val="20"/>
                <w:szCs w:val="20"/>
              </w:rPr>
              <w:t xml:space="preserve">Preferred stock: par value $0.01 per share, 100.0 shares authorized, no </w:t>
            </w:r>
            <w:r>
              <w:rPr>
                <w:rFonts w:eastAsia="Times New Roman"/>
                <w:color w:val="000000"/>
                <w:sz w:val="20"/>
                <w:szCs w:val="20"/>
              </w:rPr>
              <w:t>shares issued and outstanding as of September 30, 2022 and December 31, 2021, respectively</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jc w:val="both"/>
              <w:rPr>
                <w:rFonts w:eastAsia="Times New Roman"/>
              </w:rPr>
            </w:pPr>
            <w:r>
              <w:rPr>
                <w:rFonts w:eastAsia="Times New Roman"/>
                <w:color w:val="000000"/>
                <w:sz w:val="20"/>
                <w:szCs w:val="20"/>
              </w:rPr>
              <w:t xml:space="preserve">Common stock: par value $0.01 per share, 500.0 shares authorized, 137.0 and 132.2 </w:t>
            </w:r>
            <w:r>
              <w:rPr>
                <w:rFonts w:eastAsia="Times New Roman"/>
                <w:color w:val="000000"/>
                <w:sz w:val="20"/>
                <w:szCs w:val="20"/>
              </w:rPr>
              <w:t>shares issued and outstanding as of September 30,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Paid-in capital</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1,031 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(326)</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NCR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Noncontrolling interests in subsidiaries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1,446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4908583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11,783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11,641 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divId w:val="1715425791"/>
        <w:rPr>
          <w:rFonts w:eastAsia="Times New Roman"/>
        </w:rPr>
      </w:pPr>
      <w:r>
        <w:rPr>
          <w:rFonts w:eastAsia="Times New Roman"/>
          <w:color w:val="000000"/>
          <w:sz w:val="20"/>
          <w:szCs w:val="20"/>
        </w:rPr>
        <w:t>See Notes to Condensed Consolidated Financial Statements.</w:t>
      </w:r>
    </w:p>
    <w:p w:rsidR="00000000" w:rsidRDefault="008214AA">
      <w:pPr>
        <w:jc w:val="center"/>
        <w:divId w:val="915286691"/>
        <w:rPr>
          <w:rFonts w:eastAsia="Times New Roman"/>
        </w:rPr>
      </w:pPr>
      <w:r>
        <w:rPr>
          <w:rFonts w:eastAsia="Times New Roman"/>
          <w:color w:val="000000"/>
          <w:sz w:val="20"/>
          <w:szCs w:val="20"/>
        </w:rPr>
        <w:t>5</w:t>
      </w:r>
    </w:p>
    <w:p w:rsidR="00000000" w:rsidRDefault="008214AA">
      <w:pPr>
        <w:rPr>
          <w:rFonts w:eastAsia="Times New Roman"/>
        </w:rPr>
      </w:pPr>
      <w:r>
        <w:rPr>
          <w:rFonts w:eastAsia="Times New Roman"/>
        </w:rPr>
        <w:pict>
          <v:rect id="_x0000_i1030" style="width:0;height:1.5pt" o:hralign="center" o:hrstd="t" o:hr="t" fillcolor="#a0a0a0" stroked="f"/>
        </w:pict>
      </w:r>
    </w:p>
    <w:p w:rsidR="00000000" w:rsidRDefault="008214AA">
      <w:pPr>
        <w:divId w:val="259292846"/>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center"/>
        <w:rPr>
          <w:rFonts w:eastAsia="Times New Roman"/>
        </w:rPr>
      </w:pPr>
      <w:r>
        <w:rPr>
          <w:rFonts w:eastAsia="Times New Roman"/>
          <w:b/>
          <w:bCs/>
          <w:color w:val="000000"/>
          <w:sz w:val="18"/>
          <w:szCs w:val="18"/>
        </w:rPr>
        <w:t>NCR Corporation</w:t>
      </w:r>
    </w:p>
    <w:p w:rsidR="00000000" w:rsidRDefault="008214AA">
      <w:pPr>
        <w:jc w:val="center"/>
        <w:rPr>
          <w:rFonts w:eastAsia="Times New Roman"/>
        </w:rPr>
      </w:pPr>
      <w:r>
        <w:rPr>
          <w:rFonts w:eastAsia="Times New Roman"/>
          <w:b/>
          <w:bCs/>
          <w:color w:val="000000"/>
          <w:sz w:val="18"/>
          <w:szCs w:val="18"/>
        </w:rPr>
        <w:t>Condensed 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5652"/>
        <w:gridCol w:w="40"/>
        <w:gridCol w:w="115"/>
        <w:gridCol w:w="1075"/>
        <w:gridCol w:w="36"/>
        <w:gridCol w:w="36"/>
        <w:gridCol w:w="47"/>
        <w:gridCol w:w="36"/>
        <w:gridCol w:w="115"/>
        <w:gridCol w:w="1076"/>
        <w:gridCol w:w="36"/>
      </w:tblGrid>
      <w:tr w:rsidR="00000000">
        <w:trPr>
          <w:divId w:val="361175707"/>
        </w:trPr>
        <w:tc>
          <w:tcPr>
            <w:tcW w:w="50" w:type="pct"/>
            <w:vAlign w:val="center"/>
            <w:hideMark/>
          </w:tcPr>
          <w:p w:rsidR="00000000" w:rsidRDefault="008214AA">
            <w:pPr>
              <w:jc w:val="center"/>
              <w:rPr>
                <w:rFonts w:eastAsia="Times New Roman"/>
              </w:rPr>
            </w:pPr>
          </w:p>
        </w:tc>
        <w:tc>
          <w:tcPr>
            <w:tcW w:w="34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7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7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361175707"/>
          <w:trHeight w:val="240"/>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361175707"/>
          <w:trHeight w:val="220"/>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361175707"/>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19"/>
                <w:szCs w:val="19"/>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19"/>
                <w:szCs w:val="19"/>
              </w:rPr>
              <w:t>Net income (loss)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77</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35 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19"/>
                <w:szCs w:val="19"/>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19"/>
                <w:szCs w:val="19"/>
              </w:rPr>
              <w:t>     Loss (income)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19"/>
                <w:szCs w:val="19"/>
              </w:rPr>
              <w:t>     Loss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42 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451</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364 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97</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119 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24</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30 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Loss (gain) on disposal of property, plant and equipment and other assets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4</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Changes in assets and liabilities, net of effects of business acquired:</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shd w:val="clear" w:color="auto" w:fill="CCEEFF"/>
            <w:tcMar>
              <w:top w:w="30" w:type="dxa"/>
              <w:left w:w="605" w:type="dxa"/>
              <w:bottom w:w="30" w:type="dxa"/>
              <w:right w:w="20" w:type="dxa"/>
            </w:tcMar>
            <w:hideMark/>
          </w:tcPr>
          <w:p w:rsidR="00000000" w:rsidRDefault="008214AA">
            <w:pPr>
              <w:spacing w:after="100"/>
              <w:rPr>
                <w:rFonts w:eastAsia="Times New Roman"/>
              </w:rPr>
            </w:pPr>
            <w:r>
              <w:rPr>
                <w:rFonts w:eastAsia="Times New Roman"/>
                <w:color w:val="000000"/>
                <w:sz w:val="19"/>
                <w:szCs w:val="19"/>
              </w:rPr>
              <w:t>Receivables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(274)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240 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605" w:type="dxa"/>
              <w:bottom w:w="30" w:type="dxa"/>
              <w:right w:w="20" w:type="dxa"/>
            </w:tcMar>
            <w:hideMark/>
          </w:tcPr>
          <w:p w:rsidR="00000000" w:rsidRDefault="008214AA">
            <w:pPr>
              <w:spacing w:after="100"/>
              <w:rPr>
                <w:rFonts w:eastAsia="Times New Roman"/>
              </w:rPr>
            </w:pPr>
            <w:r>
              <w:rPr>
                <w:rFonts w:eastAsia="Times New Roman"/>
                <w:color w:val="000000"/>
                <w:sz w:val="19"/>
                <w:szCs w:val="19"/>
              </w:rPr>
              <w:t>Inventories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(220)</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(165)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605" w:type="dxa"/>
              <w:bottom w:w="30" w:type="dxa"/>
              <w:right w:w="20" w:type="dxa"/>
            </w:tcMar>
            <w:hideMark/>
          </w:tcPr>
          <w:p w:rsidR="00000000" w:rsidRDefault="008214AA">
            <w:pPr>
              <w:spacing w:after="100"/>
              <w:rPr>
                <w:rFonts w:eastAsia="Times New Roman"/>
              </w:rPr>
            </w:pPr>
            <w:r>
              <w:rPr>
                <w:rFonts w:eastAsia="Times New Roman"/>
                <w:color w:val="000000"/>
                <w:sz w:val="19"/>
                <w:szCs w:val="19"/>
              </w:rPr>
              <w:t>Current payables and accrued expenses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113</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210 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605" w:type="dxa"/>
              <w:bottom w:w="30" w:type="dxa"/>
              <w:right w:w="20" w:type="dxa"/>
            </w:tcMar>
            <w:hideMark/>
          </w:tcPr>
          <w:p w:rsidR="00000000" w:rsidRDefault="008214AA">
            <w:pPr>
              <w:spacing w:after="100"/>
              <w:rPr>
                <w:rFonts w:eastAsia="Times New Roman"/>
              </w:rPr>
            </w:pPr>
            <w:r>
              <w:rPr>
                <w:rFonts w:eastAsia="Times New Roman"/>
                <w:color w:val="000000"/>
                <w:sz w:val="19"/>
                <w:szCs w:val="19"/>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(24)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605" w:type="dxa"/>
              <w:bottom w:w="30" w:type="dxa"/>
              <w:right w:w="20" w:type="dxa"/>
            </w:tcMar>
            <w:hideMark/>
          </w:tcPr>
          <w:p w:rsidR="00000000" w:rsidRDefault="008214AA">
            <w:pPr>
              <w:spacing w:after="100"/>
              <w:rPr>
                <w:rFonts w:eastAsia="Times New Roman"/>
              </w:rPr>
            </w:pPr>
            <w:r>
              <w:rPr>
                <w:rFonts w:eastAsia="Times New Roman"/>
                <w:color w:val="000000"/>
                <w:sz w:val="19"/>
                <w:szCs w:val="19"/>
              </w:rPr>
              <w:t>Employee benefit plans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(30)</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605" w:type="dxa"/>
              <w:bottom w:w="30" w:type="dxa"/>
              <w:right w:w="20" w:type="dxa"/>
            </w:tcMar>
            <w:hideMark/>
          </w:tcPr>
          <w:p w:rsidR="00000000" w:rsidRDefault="008214AA">
            <w:pPr>
              <w:spacing w:after="100"/>
              <w:rPr>
                <w:rFonts w:eastAsia="Times New Roman"/>
              </w:rPr>
            </w:pPr>
            <w:r>
              <w:rPr>
                <w:rFonts w:eastAsia="Times New Roman"/>
                <w:color w:val="000000"/>
                <w:sz w:val="19"/>
                <w:szCs w:val="19"/>
              </w:rPr>
              <w:t>Other assets and liabilities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5</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(43)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19"/>
                <w:szCs w:val="19"/>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245</w:t>
            </w:r>
            <w:r>
              <w:rPr>
                <w:rFonts w:eastAsia="Times New Roman"/>
                <w:color w:val="000000"/>
                <w:sz w:val="19"/>
                <w:szCs w:val="19"/>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19"/>
                <w:szCs w:val="19"/>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Expenditures for property, plant and equipment</w:t>
            </w: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(72)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(68)</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Proceeds from sale of property, plant and equipment and other assets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8</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Additions to capitalized software</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(217)</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(174)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 xml:space="preserve">Business acquisitions, net of cash acquired </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(2,466)</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Purchases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Proceeds from sales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Other investing activities, net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(5)</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(6)</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19"/>
                <w:szCs w:val="19"/>
              </w:rPr>
              <w:t>Net cash used in investing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(298)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(2,712)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19"/>
                <w:szCs w:val="19"/>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Payments on term credit facilities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(31)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(106)</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Payments on revolving credit facilities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(846)</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(1,431)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Payments of senior unsecured notes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(400)</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Borrowings on term credit facilities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1,505 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Borrowings on revolving credit facilities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1,021</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1,541 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Proceeds from issuance of senior unsecured notes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1,200 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Debt issuance costs and bridge commitment fees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(52)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 xml:space="preserve">Call premium paid on debt extinguishment </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(37)</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 xml:space="preserve">Cash dividend paid for Series A preferred shares dividends </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(11)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Proceeds from employee stock plans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19</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33 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Tax withholding payments on behalf of employees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(38)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(28)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Net change in client funds obligations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(6)</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Principal payments for 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Other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9"/>
                <w:szCs w:val="19"/>
              </w:rPr>
              <w:t>Net cash provided by (used in) 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93</w:t>
            </w:r>
            <w:r>
              <w:rPr>
                <w:rFonts w:eastAsia="Times New Roman"/>
                <w:color w:val="000000"/>
                <w:sz w:val="19"/>
                <w:szCs w:val="19"/>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2,196 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9"/>
                <w:szCs w:val="19"/>
              </w:rPr>
              <w:t>Cash flows from discontinued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19"/>
                <w:szCs w:val="19"/>
              </w:rPr>
              <w:t>Net cash provided by (used in) operating activities of discontinued operations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(50)</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19"/>
                <w:szCs w:val="19"/>
              </w:rPr>
              <w:t>Effect of exchange rate changes on cash, cash equivalents and restricted cash</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(43)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(12)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19"/>
                <w:szCs w:val="19"/>
              </w:rPr>
              <w:t>Increase (decrease)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229 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19"/>
                <w:szCs w:val="19"/>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749</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406 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19"/>
                <w:szCs w:val="19"/>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9"/>
                <w:szCs w:val="19"/>
              </w:rPr>
              <w:t>745</w:t>
            </w:r>
            <w:r>
              <w:rPr>
                <w:rFonts w:eastAsia="Times New Roman"/>
                <w:color w:val="000000"/>
                <w:sz w:val="19"/>
                <w:szCs w:val="19"/>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9"/>
                <w:szCs w:val="19"/>
              </w:rPr>
              <w:t>635 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361175707"/>
          <w:trHeight w:val="6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361175707"/>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bl>
    <w:p w:rsidR="00000000" w:rsidRDefault="008214AA">
      <w:pPr>
        <w:jc w:val="both"/>
        <w:divId w:val="1013266450"/>
        <w:rPr>
          <w:rFonts w:eastAsia="Times New Roman"/>
        </w:rPr>
      </w:pPr>
      <w:r>
        <w:rPr>
          <w:rFonts w:eastAsia="Times New Roman"/>
          <w:b/>
          <w:bCs/>
          <w:i/>
          <w:iCs/>
          <w:color w:val="000000"/>
          <w:sz w:val="18"/>
          <w:szCs w:val="18"/>
        </w:rPr>
        <w:t>Supplemental disclosures of noncash investing and financing activities</w:t>
      </w:r>
      <w:r>
        <w:rPr>
          <w:rFonts w:eastAsia="Times New Roman"/>
          <w:color w:val="000000"/>
          <w:sz w:val="18"/>
          <w:szCs w:val="18"/>
        </w:rPr>
        <w:t xml:space="preserve"> </w:t>
      </w:r>
      <w:r>
        <w:rPr>
          <w:rFonts w:eastAsia="Times New Roman"/>
          <w:color w:val="000000"/>
          <w:sz w:val="18"/>
          <w:szCs w:val="18"/>
        </w:rPr>
        <w:t>During the nine months ended September 30, 2022, we issued shares of the Company's common stock and assumed unvested outstanding option awards in the acquisition of Moon Inc., dba LibertyX, for total non-cash consideration of $68 million. In connection wit</w:t>
      </w:r>
      <w:r>
        <w:rPr>
          <w:rFonts w:eastAsia="Times New Roman"/>
          <w:color w:val="000000"/>
          <w:sz w:val="18"/>
          <w:szCs w:val="18"/>
        </w:rPr>
        <w:t>h the acquisition, we also assumed debt of $2 million. Refer to Note 2, “Business Combinations”, for additional information on the LibertyX acquisition.</w:t>
      </w:r>
    </w:p>
    <w:p w:rsidR="00000000" w:rsidRDefault="008214AA">
      <w:pPr>
        <w:jc w:val="center"/>
        <w:divId w:val="403724094"/>
        <w:rPr>
          <w:rFonts w:eastAsia="Times New Roman"/>
        </w:rPr>
      </w:pPr>
      <w:r>
        <w:rPr>
          <w:rFonts w:eastAsia="Times New Roman"/>
          <w:color w:val="000000"/>
          <w:sz w:val="18"/>
          <w:szCs w:val="18"/>
        </w:rPr>
        <w:t>See Notes to Condensed Consolidated Financial Statements.</w:t>
      </w:r>
    </w:p>
    <w:p w:rsidR="00000000" w:rsidRDefault="008214AA">
      <w:pPr>
        <w:jc w:val="center"/>
        <w:divId w:val="246382398"/>
        <w:rPr>
          <w:rFonts w:eastAsia="Times New Roman"/>
        </w:rPr>
      </w:pPr>
      <w:r>
        <w:rPr>
          <w:rFonts w:eastAsia="Times New Roman"/>
          <w:color w:val="000000"/>
          <w:sz w:val="20"/>
          <w:szCs w:val="20"/>
        </w:rPr>
        <w:t>6</w:t>
      </w:r>
    </w:p>
    <w:p w:rsidR="00000000" w:rsidRDefault="008214AA">
      <w:pPr>
        <w:rPr>
          <w:rFonts w:eastAsia="Times New Roman"/>
        </w:rPr>
      </w:pPr>
      <w:r>
        <w:rPr>
          <w:rFonts w:eastAsia="Times New Roman"/>
        </w:rPr>
        <w:pict>
          <v:rect id="_x0000_i1031" style="width:0;height:1.5pt" o:hralign="center" o:hrstd="t" o:hr="t" fillcolor="#a0a0a0" stroked="f"/>
        </w:pict>
      </w:r>
    </w:p>
    <w:p w:rsidR="00000000" w:rsidRDefault="008214AA">
      <w:pPr>
        <w:divId w:val="71852085"/>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ind w:firstLine="720"/>
        <w:jc w:val="center"/>
        <w:rPr>
          <w:rFonts w:eastAsia="Times New Roman"/>
        </w:rPr>
      </w:pPr>
      <w:r>
        <w:rPr>
          <w:rFonts w:eastAsia="Times New Roman"/>
          <w:b/>
          <w:bCs/>
          <w:color w:val="000000"/>
          <w:sz w:val="20"/>
          <w:szCs w:val="20"/>
        </w:rPr>
        <w:t>NCR Corporation</w:t>
      </w:r>
    </w:p>
    <w:p w:rsidR="00000000" w:rsidRDefault="008214AA">
      <w:pPr>
        <w:jc w:val="center"/>
        <w:rPr>
          <w:rFonts w:eastAsia="Times New Roman"/>
        </w:rPr>
      </w:pPr>
      <w:r>
        <w:rPr>
          <w:rFonts w:eastAsia="Times New Roman"/>
          <w:b/>
          <w:bCs/>
          <w:color w:val="000000"/>
          <w:sz w:val="20"/>
          <w:szCs w:val="20"/>
        </w:rPr>
        <w:t>Condensed Consolidated Statements of Changes in Stockholder's Equity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206"/>
        <w:gridCol w:w="39"/>
        <w:gridCol w:w="36"/>
        <w:gridCol w:w="36"/>
        <w:gridCol w:w="36"/>
        <w:gridCol w:w="72"/>
        <w:gridCol w:w="424"/>
        <w:gridCol w:w="37"/>
        <w:gridCol w:w="37"/>
        <w:gridCol w:w="37"/>
        <w:gridCol w:w="36"/>
        <w:gridCol w:w="101"/>
        <w:gridCol w:w="509"/>
        <w:gridCol w:w="36"/>
        <w:gridCol w:w="36"/>
        <w:gridCol w:w="36"/>
        <w:gridCol w:w="36"/>
        <w:gridCol w:w="101"/>
        <w:gridCol w:w="456"/>
        <w:gridCol w:w="36"/>
        <w:gridCol w:w="36"/>
        <w:gridCol w:w="36"/>
        <w:gridCol w:w="36"/>
        <w:gridCol w:w="101"/>
        <w:gridCol w:w="566"/>
        <w:gridCol w:w="36"/>
        <w:gridCol w:w="36"/>
        <w:gridCol w:w="36"/>
        <w:gridCol w:w="36"/>
        <w:gridCol w:w="101"/>
        <w:gridCol w:w="1003"/>
        <w:gridCol w:w="36"/>
        <w:gridCol w:w="36"/>
        <w:gridCol w:w="36"/>
        <w:gridCol w:w="36"/>
        <w:gridCol w:w="101"/>
        <w:gridCol w:w="975"/>
        <w:gridCol w:w="36"/>
        <w:gridCol w:w="36"/>
        <w:gridCol w:w="36"/>
        <w:gridCol w:w="36"/>
        <w:gridCol w:w="100"/>
        <w:gridCol w:w="400"/>
        <w:gridCol w:w="36"/>
      </w:tblGrid>
      <w:tr w:rsidR="00000000">
        <w:trPr>
          <w:divId w:val="1699429002"/>
          <w:jc w:val="center"/>
        </w:trPr>
        <w:tc>
          <w:tcPr>
            <w:tcW w:w="50" w:type="pct"/>
            <w:vAlign w:val="center"/>
            <w:hideMark/>
          </w:tcPr>
          <w:p w:rsidR="00000000" w:rsidRDefault="008214AA">
            <w:pPr>
              <w:jc w:val="center"/>
              <w:rPr>
                <w:rFonts w:eastAsia="Times New Roman"/>
              </w:rPr>
            </w:pPr>
          </w:p>
        </w:tc>
        <w:tc>
          <w:tcPr>
            <w:tcW w:w="171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9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7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0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699429002"/>
          <w:trHeight w:val="240"/>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Non-Redeemable Noncontrolling Interests in Subsidiaries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699429002"/>
          <w:trHeight w:val="660"/>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vMerge/>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r>
      <w:tr w:rsidR="00000000">
        <w:trPr>
          <w:divId w:val="1699429002"/>
          <w:jc w:val="center"/>
        </w:trPr>
        <w:tc>
          <w:tcPr>
            <w:tcW w:w="0" w:type="auto"/>
            <w:gridSpan w:val="3"/>
            <w:vAlign w:val="center"/>
            <w:hideMark/>
          </w:tcPr>
          <w:p w:rsidR="00000000" w:rsidRDefault="008214AA">
            <w:pPr>
              <w:spacing w:after="100"/>
              <w:jc w:val="center"/>
              <w:rPr>
                <w:rFonts w:eastAsia="Times New Roman"/>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8214AA">
        <w:trPr>
          <w:divId w:val="1699429002"/>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132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515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1,031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1,259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shd w:val="clear" w:color="auto" w:fill="CCEEFF"/>
            <w:tcMar>
              <w:top w:w="30" w:type="dxa"/>
              <w:left w:w="39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(35)</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FFFFFF"/>
            <w:tcMar>
              <w:top w:w="30" w:type="dxa"/>
              <w:left w:w="39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Stock issued in acquisition of LibertyX</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8214AA">
        <w:trPr>
          <w:divId w:val="1699429002"/>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March 31, 2022</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136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602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993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(273)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1,325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shd w:val="clear" w:color="auto" w:fill="CCEEFF"/>
            <w:tcMar>
              <w:top w:w="30" w:type="dxa"/>
              <w:left w:w="39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FFFFFF"/>
            <w:tcMar>
              <w:top w:w="30" w:type="dxa"/>
              <w:left w:w="39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8214AA">
        <w:trPr>
          <w:divId w:val="1699429002"/>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June 30, 2022</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137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644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1,030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(305)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1,373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shd w:val="clear" w:color="auto" w:fill="FFFFFF"/>
            <w:tcMar>
              <w:top w:w="30" w:type="dxa"/>
              <w:left w:w="39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69 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69 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CCEEFF"/>
            <w:tcMar>
              <w:top w:w="30" w:type="dxa"/>
              <w:left w:w="39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9429002"/>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699429002"/>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8214AA">
        <w:trPr>
          <w:divId w:val="1699429002"/>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September 30, 2022</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137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675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1,095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(326)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1,446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rPr>
          <w:rFonts w:eastAsia="Times New Roman"/>
        </w:rPr>
      </w:pPr>
    </w:p>
    <w:p w:rsidR="00000000" w:rsidRDefault="008214AA">
      <w:pPr>
        <w:jc w:val="center"/>
        <w:rPr>
          <w:rFonts w:eastAsia="Times New Roman"/>
        </w:rPr>
      </w:pPr>
      <w:r>
        <w:rPr>
          <w:rFonts w:eastAsia="Times New Roman"/>
          <w:color w:val="000000"/>
          <w:sz w:val="20"/>
          <w:szCs w:val="20"/>
        </w:rPr>
        <w:t>See Notes to Condensed Con</w:t>
      </w:r>
      <w:r>
        <w:rPr>
          <w:rFonts w:eastAsia="Times New Roman"/>
          <w:color w:val="000000"/>
          <w:sz w:val="20"/>
          <w:szCs w:val="20"/>
        </w:rPr>
        <w:t>solidated Financial Statements.</w:t>
      </w:r>
    </w:p>
    <w:p w:rsidR="00000000" w:rsidRDefault="008214AA">
      <w:pPr>
        <w:jc w:val="center"/>
        <w:rPr>
          <w:rFonts w:eastAsia="Times New Roman"/>
        </w:rPr>
      </w:pPr>
    </w:p>
    <w:p w:rsidR="00000000" w:rsidRDefault="008214AA">
      <w:pPr>
        <w:jc w:val="center"/>
        <w:rPr>
          <w:rFonts w:eastAsia="Times New Roman"/>
        </w:rPr>
      </w:pPr>
    </w:p>
    <w:p w:rsidR="00000000" w:rsidRDefault="008214AA">
      <w:pPr>
        <w:jc w:val="center"/>
        <w:divId w:val="1255240577"/>
        <w:rPr>
          <w:rFonts w:eastAsia="Times New Roman"/>
        </w:rPr>
      </w:pPr>
      <w:r>
        <w:rPr>
          <w:rFonts w:eastAsia="Times New Roman"/>
          <w:color w:val="000000"/>
          <w:sz w:val="20"/>
          <w:szCs w:val="20"/>
        </w:rPr>
        <w:t>7</w:t>
      </w:r>
    </w:p>
    <w:p w:rsidR="00000000" w:rsidRDefault="008214AA">
      <w:pPr>
        <w:rPr>
          <w:rFonts w:eastAsia="Times New Roman"/>
        </w:rPr>
      </w:pPr>
      <w:r>
        <w:rPr>
          <w:rFonts w:eastAsia="Times New Roman"/>
        </w:rPr>
        <w:pict>
          <v:rect id="_x0000_i1032" style="width:0;height:1.5pt" o:hralign="center" o:hrstd="t" o:hr="t" fillcolor="#a0a0a0" stroked="f"/>
        </w:pict>
      </w:r>
    </w:p>
    <w:p w:rsidR="00000000" w:rsidRDefault="008214AA">
      <w:pPr>
        <w:divId w:val="1955408064"/>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center"/>
        <w:rPr>
          <w:rFonts w:eastAsia="Times New Roman"/>
        </w:rPr>
      </w:pPr>
    </w:p>
    <w:p w:rsidR="00000000" w:rsidRDefault="008214AA">
      <w:pPr>
        <w:jc w:val="center"/>
        <w:rPr>
          <w:rFonts w:eastAsia="Times New Roman"/>
        </w:rPr>
      </w:pPr>
    </w:p>
    <w:p w:rsidR="00000000" w:rsidRDefault="008214AA">
      <w:pPr>
        <w:jc w:val="center"/>
        <w:rPr>
          <w:rFonts w:eastAsia="Times New Roman"/>
        </w:rPr>
      </w:pPr>
      <w:r>
        <w:rPr>
          <w:rFonts w:eastAsia="Times New Roman"/>
          <w:b/>
          <w:bCs/>
          <w:color w:val="000000"/>
          <w:sz w:val="20"/>
          <w:szCs w:val="20"/>
        </w:rPr>
        <w:t>NCR Corporation</w:t>
      </w:r>
    </w:p>
    <w:p w:rsidR="00000000" w:rsidRDefault="008214AA">
      <w:pPr>
        <w:jc w:val="center"/>
        <w:rPr>
          <w:rFonts w:eastAsia="Times New Roman"/>
        </w:rPr>
      </w:pPr>
      <w:r>
        <w:rPr>
          <w:rFonts w:eastAsia="Times New Roman"/>
          <w:b/>
          <w:bCs/>
          <w:color w:val="000000"/>
          <w:sz w:val="20"/>
          <w:szCs w:val="20"/>
        </w:rPr>
        <w:t>Condensed Consolidated Statements of Changes in Stockholder's Equity (Unaudited) - (Co</w:t>
      </w:r>
      <w:r>
        <w:rPr>
          <w:rFonts w:eastAsia="Times New Roman"/>
          <w:b/>
          <w:bCs/>
          <w:color w:val="000000"/>
          <w:sz w:val="20"/>
          <w:szCs w:val="20"/>
        </w:rPr>
        <w:t>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204"/>
        <w:gridCol w:w="40"/>
        <w:gridCol w:w="36"/>
        <w:gridCol w:w="36"/>
        <w:gridCol w:w="36"/>
        <w:gridCol w:w="71"/>
        <w:gridCol w:w="425"/>
        <w:gridCol w:w="37"/>
        <w:gridCol w:w="37"/>
        <w:gridCol w:w="37"/>
        <w:gridCol w:w="36"/>
        <w:gridCol w:w="101"/>
        <w:gridCol w:w="509"/>
        <w:gridCol w:w="36"/>
        <w:gridCol w:w="36"/>
        <w:gridCol w:w="36"/>
        <w:gridCol w:w="36"/>
        <w:gridCol w:w="101"/>
        <w:gridCol w:w="456"/>
        <w:gridCol w:w="36"/>
        <w:gridCol w:w="36"/>
        <w:gridCol w:w="36"/>
        <w:gridCol w:w="36"/>
        <w:gridCol w:w="101"/>
        <w:gridCol w:w="566"/>
        <w:gridCol w:w="36"/>
        <w:gridCol w:w="36"/>
        <w:gridCol w:w="36"/>
        <w:gridCol w:w="36"/>
        <w:gridCol w:w="101"/>
        <w:gridCol w:w="1003"/>
        <w:gridCol w:w="36"/>
        <w:gridCol w:w="36"/>
        <w:gridCol w:w="36"/>
        <w:gridCol w:w="36"/>
        <w:gridCol w:w="101"/>
        <w:gridCol w:w="975"/>
        <w:gridCol w:w="36"/>
        <w:gridCol w:w="36"/>
        <w:gridCol w:w="36"/>
        <w:gridCol w:w="36"/>
        <w:gridCol w:w="100"/>
        <w:gridCol w:w="400"/>
        <w:gridCol w:w="36"/>
      </w:tblGrid>
      <w:tr w:rsidR="00000000">
        <w:trPr>
          <w:divId w:val="1068726885"/>
          <w:jc w:val="center"/>
        </w:trPr>
        <w:tc>
          <w:tcPr>
            <w:tcW w:w="50" w:type="pct"/>
            <w:vAlign w:val="center"/>
            <w:hideMark/>
          </w:tcPr>
          <w:p w:rsidR="00000000" w:rsidRDefault="008214AA">
            <w:pPr>
              <w:jc w:val="center"/>
              <w:rPr>
                <w:rFonts w:eastAsia="Times New Roman"/>
              </w:rPr>
            </w:pPr>
          </w:p>
        </w:tc>
        <w:tc>
          <w:tcPr>
            <w:tcW w:w="170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7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0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068726885"/>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068726885"/>
          <w:trHeight w:val="240"/>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Non-Redeemable Noncontrolling Interests in Subsidiaries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068726885"/>
          <w:trHeight w:val="660"/>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vMerge/>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r>
      <w:tr w:rsidR="008214AA">
        <w:trPr>
          <w:divId w:val="1068726885"/>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129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368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950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1,051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068726885"/>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Net income (loss)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xml:space="preserve">     Other comprehensive income (loss) </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xml:space="preserve">Total comprehensive income (loss) </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068726885"/>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8214AA">
        <w:trPr>
          <w:divId w:val="1068726885"/>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March 31, 2021</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131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398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976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(279)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1,100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068726885"/>
          <w:jc w:val="center"/>
        </w:trPr>
        <w:tc>
          <w:tcPr>
            <w:tcW w:w="0" w:type="auto"/>
            <w:gridSpan w:val="3"/>
            <w:shd w:val="clear" w:color="auto" w:fill="FFFFFF"/>
            <w:tcMar>
              <w:top w:w="30" w:type="dxa"/>
              <w:left w:w="39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CCEEFF"/>
            <w:tcMar>
              <w:top w:w="30" w:type="dxa"/>
              <w:left w:w="39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xml:space="preserve">Other comprehensive income (loss) </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xml:space="preserve">Total comprehensive income (loss) </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Fair value of converted Cardtronics awards attributable to pre-combination services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8214AA">
        <w:trPr>
          <w:divId w:val="1068726885"/>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June 30, 2021</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131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461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963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(271)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1,158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068726885"/>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xml:space="preserve">Other comprehensive income (loss) </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(29)</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(29)</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xml:space="preserve">Total comprehensive income (loss) </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CCEE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50 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50 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shd w:val="clear" w:color="auto" w:fill="FFFFFF"/>
            <w:tcMar>
              <w:top w:w="30" w:type="dxa"/>
              <w:left w:w="155"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68726885"/>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8214AA">
        <w:trPr>
          <w:divId w:val="1068726885"/>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September 30, 2021</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132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511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971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(300)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16"/>
                <w:szCs w:val="16"/>
              </w:rPr>
              <w:t>1,188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rPr>
          <w:rFonts w:eastAsia="Times New Roman"/>
        </w:rPr>
      </w:pPr>
    </w:p>
    <w:p w:rsidR="00000000" w:rsidRDefault="008214AA">
      <w:pPr>
        <w:jc w:val="center"/>
        <w:rPr>
          <w:rFonts w:eastAsia="Times New Roman"/>
        </w:rPr>
      </w:pPr>
      <w:r>
        <w:rPr>
          <w:rFonts w:eastAsia="Times New Roman"/>
          <w:color w:val="000000"/>
          <w:sz w:val="20"/>
          <w:szCs w:val="20"/>
        </w:rPr>
        <w:t>See Notes to Conden</w:t>
      </w:r>
      <w:r>
        <w:rPr>
          <w:rFonts w:eastAsia="Times New Roman"/>
          <w:color w:val="000000"/>
          <w:sz w:val="20"/>
          <w:szCs w:val="20"/>
        </w:rPr>
        <w:t>sed Consolidated Financial Statements.</w:t>
      </w:r>
    </w:p>
    <w:p w:rsidR="00000000" w:rsidRDefault="008214AA">
      <w:pPr>
        <w:jc w:val="center"/>
        <w:rPr>
          <w:rFonts w:eastAsia="Times New Roman"/>
        </w:rPr>
      </w:pPr>
    </w:p>
    <w:p w:rsidR="00000000" w:rsidRDefault="008214AA">
      <w:pPr>
        <w:divId w:val="460535906"/>
        <w:rPr>
          <w:rFonts w:eastAsia="Times New Roman"/>
        </w:rPr>
      </w:pPr>
    </w:p>
    <w:p w:rsidR="00000000" w:rsidRDefault="008214AA">
      <w:pPr>
        <w:jc w:val="center"/>
        <w:divId w:val="481696923"/>
        <w:rPr>
          <w:rFonts w:eastAsia="Times New Roman"/>
        </w:rPr>
      </w:pPr>
      <w:r>
        <w:rPr>
          <w:rFonts w:eastAsia="Times New Roman"/>
          <w:color w:val="000000"/>
          <w:sz w:val="20"/>
          <w:szCs w:val="20"/>
        </w:rPr>
        <w:t>8</w:t>
      </w:r>
    </w:p>
    <w:p w:rsidR="00000000" w:rsidRDefault="008214AA">
      <w:pPr>
        <w:rPr>
          <w:rFonts w:eastAsia="Times New Roman"/>
        </w:rPr>
      </w:pPr>
      <w:r>
        <w:rPr>
          <w:rFonts w:eastAsia="Times New Roman"/>
        </w:rPr>
        <w:pict>
          <v:rect id="_x0000_i1033" style="width:0;height:1.5pt" o:hralign="center" o:hrstd="t" o:hr="t" fillcolor="#a0a0a0" stroked="f"/>
        </w:pict>
      </w:r>
    </w:p>
    <w:p w:rsidR="00000000" w:rsidRDefault="008214AA">
      <w:pPr>
        <w:divId w:val="1426728032"/>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center"/>
        <w:rPr>
          <w:rFonts w:eastAsia="Times New Roman"/>
        </w:rPr>
      </w:pPr>
      <w:r>
        <w:rPr>
          <w:rFonts w:eastAsia="Times New Roman"/>
          <w:b/>
          <w:bCs/>
          <w:color w:val="000000"/>
          <w:sz w:val="20"/>
          <w:szCs w:val="20"/>
        </w:rPr>
        <w:t>NCR Corporation</w:t>
      </w:r>
    </w:p>
    <w:p w:rsidR="00000000" w:rsidRDefault="008214AA">
      <w:pPr>
        <w:jc w:val="center"/>
        <w:divId w:val="2019312073"/>
        <w:rPr>
          <w:rFonts w:eastAsia="Times New Roman"/>
        </w:rPr>
      </w:pPr>
      <w:r>
        <w:rPr>
          <w:rFonts w:eastAsia="Times New Roman"/>
          <w:b/>
          <w:bCs/>
          <w:color w:val="000000"/>
          <w:sz w:val="20"/>
          <w:szCs w:val="20"/>
        </w:rPr>
        <w:t>Notes to Condensed Consolidated Financial Statements (Unaudited)</w:t>
      </w:r>
    </w:p>
    <w:p w:rsidR="00000000" w:rsidRDefault="008214AA">
      <w:pPr>
        <w:jc w:val="center"/>
        <w:divId w:val="1591310542"/>
        <w:rPr>
          <w:rFonts w:eastAsia="Times New Roman"/>
        </w:rPr>
      </w:pPr>
    </w:p>
    <w:p w:rsidR="00000000" w:rsidRDefault="008214AA">
      <w:pPr>
        <w:jc w:val="center"/>
        <w:rPr>
          <w:rFonts w:eastAsia="Times New Roman"/>
        </w:rPr>
      </w:pPr>
      <w:r>
        <w:rPr>
          <w:rFonts w:eastAsia="Times New Roman"/>
          <w:b/>
          <w:bCs/>
          <w:color w:val="000000"/>
          <w:sz w:val="20"/>
          <w:szCs w:val="20"/>
        </w:rPr>
        <w:t>Index to Financial Statements and Supplemental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8200"/>
        <w:gridCol w:w="38"/>
      </w:tblGrid>
      <w:tr w:rsidR="00000000">
        <w:trPr>
          <w:divId w:val="29187622"/>
          <w:jc w:val="center"/>
        </w:trPr>
        <w:tc>
          <w:tcPr>
            <w:tcW w:w="50" w:type="pct"/>
            <w:vAlign w:val="center"/>
            <w:hideMark/>
          </w:tcPr>
          <w:p w:rsidR="00000000" w:rsidRDefault="008214AA">
            <w:pPr>
              <w:jc w:val="center"/>
              <w:rPr>
                <w:rFonts w:eastAsia="Times New Roman"/>
              </w:rPr>
            </w:pPr>
          </w:p>
        </w:tc>
        <w:tc>
          <w:tcPr>
            <w:tcW w:w="494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29187622"/>
          <w:trHeight w:val="300"/>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856845898"/>
              <w:rPr>
                <w:rFonts w:eastAsia="Times New Roman"/>
              </w:rPr>
            </w:pPr>
            <w:hyperlink w:anchor="if25b96f30cf14ee1a436e117fec2c043_34" w:history="1">
              <w:r>
                <w:rPr>
                  <w:rStyle w:val="a3"/>
                  <w:rFonts w:eastAsia="Times New Roman"/>
                  <w:sz w:val="20"/>
                  <w:szCs w:val="20"/>
                </w:rPr>
                <w:t>Note 1. Basis of Presentation and Summary of Significant Accounting Policies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590625230"/>
              <w:rPr>
                <w:rFonts w:eastAsia="Times New Roman"/>
              </w:rPr>
            </w:pPr>
            <w:hyperlink w:anchor="if25b96f30cf14ee1a436e117fec2c043_40" w:history="1">
              <w:r>
                <w:rPr>
                  <w:rStyle w:val="a3"/>
                  <w:rFonts w:eastAsia="Times New Roman"/>
                  <w:sz w:val="20"/>
                  <w:szCs w:val="20"/>
                </w:rPr>
                <w:t>Note 2. Business Combinations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1024475319"/>
              <w:rPr>
                <w:rFonts w:eastAsia="Times New Roman"/>
              </w:rPr>
            </w:pPr>
            <w:hyperlink w:anchor="if25b96f30cf14ee1a436e117fec2c043_43" w:history="1">
              <w:r>
                <w:rPr>
                  <w:rStyle w:val="a3"/>
                  <w:rFonts w:eastAsia="Times New Roman"/>
                  <w:sz w:val="20"/>
                  <w:szCs w:val="20"/>
                </w:rPr>
                <w:t>Note 3. Goodwill and Purc</w:t>
              </w:r>
              <w:r>
                <w:rPr>
                  <w:rStyle w:val="a3"/>
                  <w:rFonts w:eastAsia="Times New Roman"/>
                  <w:sz w:val="20"/>
                  <w:szCs w:val="20"/>
                </w:rPr>
                <w:t>hased Intangible Assets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925115021"/>
              <w:rPr>
                <w:rFonts w:eastAsia="Times New Roman"/>
              </w:rPr>
            </w:pPr>
            <w:hyperlink w:anchor="if25b96f30cf14ee1a436e117fec2c043_46" w:history="1">
              <w:r>
                <w:rPr>
                  <w:rStyle w:val="a3"/>
                  <w:rFonts w:eastAsia="Times New Roman"/>
                  <w:sz w:val="20"/>
                  <w:szCs w:val="20"/>
                </w:rPr>
                <w:t>Note 4. Segment Information and Concentrations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45877973"/>
              <w:rPr>
                <w:rFonts w:eastAsia="Times New Roman"/>
              </w:rPr>
            </w:pPr>
            <w:hyperlink w:anchor="if25b96f30cf14ee1a436e117fec2c043_49" w:history="1">
              <w:r>
                <w:rPr>
                  <w:rStyle w:val="a3"/>
                  <w:rFonts w:eastAsia="Times New Roman"/>
                  <w:sz w:val="20"/>
                  <w:szCs w:val="20"/>
                </w:rPr>
                <w:t>Note 5. Debt Obligations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510799182"/>
              <w:rPr>
                <w:rFonts w:eastAsia="Times New Roman"/>
              </w:rPr>
            </w:pPr>
            <w:hyperlink w:anchor="if25b96f30cf14ee1a436e117fec2c043_55" w:history="1">
              <w:r>
                <w:rPr>
                  <w:rStyle w:val="a3"/>
                  <w:rFonts w:eastAsia="Times New Roman"/>
                  <w:sz w:val="20"/>
                  <w:szCs w:val="20"/>
                </w:rPr>
                <w:t>Note 6. Trade Receivables Facility</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735395410"/>
              <w:rPr>
                <w:rFonts w:eastAsia="Times New Roman"/>
              </w:rPr>
            </w:pPr>
            <w:hyperlink w:anchor="if25b96f30cf14ee1a436e117fec2c043_58" w:history="1">
              <w:r>
                <w:rPr>
                  <w:rStyle w:val="a3"/>
                  <w:rFonts w:eastAsia="Times New Roman"/>
                  <w:sz w:val="20"/>
                  <w:szCs w:val="20"/>
                </w:rPr>
                <w:t>Note 7. Income Taxes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2071342607"/>
              <w:rPr>
                <w:rFonts w:eastAsia="Times New Roman"/>
              </w:rPr>
            </w:pPr>
            <w:hyperlink w:anchor="if25b96f30cf14ee1a436e117fec2c043_61" w:history="1">
              <w:r>
                <w:rPr>
                  <w:rStyle w:val="a3"/>
                  <w:rFonts w:eastAsia="Times New Roman"/>
                  <w:sz w:val="20"/>
                  <w:szCs w:val="20"/>
                </w:rPr>
                <w:t>Note 8. Stock Com</w:t>
              </w:r>
              <w:r>
                <w:rPr>
                  <w:rStyle w:val="a3"/>
                  <w:rFonts w:eastAsia="Times New Roman"/>
                  <w:sz w:val="20"/>
                  <w:szCs w:val="20"/>
                </w:rPr>
                <w:t>pensation Plans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308556575"/>
              <w:rPr>
                <w:rFonts w:eastAsia="Times New Roman"/>
              </w:rPr>
            </w:pPr>
            <w:hyperlink w:anchor="if25b96f30cf14ee1a436e117fec2c043_64" w:history="1">
              <w:r>
                <w:rPr>
                  <w:rStyle w:val="a3"/>
                  <w:rFonts w:eastAsia="Times New Roman"/>
                  <w:sz w:val="20"/>
                  <w:szCs w:val="20"/>
                </w:rPr>
                <w:t>Note 9. Employee Benefit Plans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1153183847"/>
              <w:rPr>
                <w:rFonts w:eastAsia="Times New Roman"/>
              </w:rPr>
            </w:pPr>
            <w:hyperlink w:anchor="if25b96f30cf14ee1a436e117fec2c043_67" w:history="1">
              <w:r>
                <w:rPr>
                  <w:rStyle w:val="a3"/>
                  <w:rFonts w:eastAsia="Times New Roman"/>
                  <w:sz w:val="20"/>
                  <w:szCs w:val="20"/>
                </w:rPr>
                <w:t>Note 10. Commitments and Contingencies</w:t>
              </w:r>
            </w:hyperlink>
          </w:p>
        </w:tc>
      </w:tr>
      <w:tr w:rsidR="00000000">
        <w:trPr>
          <w:divId w:val="29187622"/>
          <w:jc w:val="center"/>
        </w:trPr>
        <w:tc>
          <w:tcPr>
            <w:tcW w:w="0" w:type="auto"/>
            <w:gridSpan w:val="3"/>
            <w:vAlign w:val="center"/>
            <w:hideMark/>
          </w:tcPr>
          <w:p w:rsidR="00000000" w:rsidRDefault="008214AA">
            <w:pPr>
              <w:spacing w:after="100"/>
              <w:rPr>
                <w:rFonts w:eastAsia="Times New Roman"/>
              </w:rPr>
            </w:pPr>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1818304438"/>
              <w:rPr>
                <w:rFonts w:eastAsia="Times New Roman"/>
              </w:rPr>
            </w:pPr>
            <w:hyperlink w:anchor="if25b96f30cf14ee1a436e117fec2c043_73" w:history="1">
              <w:r>
                <w:rPr>
                  <w:rStyle w:val="a3"/>
                  <w:rFonts w:eastAsia="Times New Roman"/>
                  <w:sz w:val="20"/>
                  <w:szCs w:val="20"/>
                </w:rPr>
                <w:t>Note 11. Series A Convertible Preferred Stock</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236482314"/>
              <w:rPr>
                <w:rFonts w:eastAsia="Times New Roman"/>
              </w:rPr>
            </w:pPr>
            <w:hyperlink w:anchor="if25b96f30cf14ee1a436e117fec2c043_76" w:history="1">
              <w:r>
                <w:rPr>
                  <w:rStyle w:val="a3"/>
                  <w:rFonts w:eastAsia="Times New Roman"/>
                  <w:sz w:val="20"/>
                  <w:szCs w:val="20"/>
                </w:rPr>
                <w:t>Note 12. Earnings Per Share</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1863081741"/>
              <w:rPr>
                <w:rFonts w:eastAsia="Times New Roman"/>
              </w:rPr>
            </w:pPr>
            <w:hyperlink w:anchor="if25b96f30cf14ee1a436e117fec2c043_79" w:history="1">
              <w:r>
                <w:rPr>
                  <w:rStyle w:val="a3"/>
                  <w:rFonts w:eastAsia="Times New Roman"/>
                  <w:sz w:val="20"/>
                  <w:szCs w:val="20"/>
                </w:rPr>
                <w:t>Note 13. Derivatives and Hedging Instruments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179901675"/>
              <w:rPr>
                <w:rFonts w:eastAsia="Times New Roman"/>
              </w:rPr>
            </w:pPr>
            <w:hyperlink w:anchor="if25b96f30cf14ee1a436e117fec2c043_85" w:history="1">
              <w:r>
                <w:rPr>
                  <w:rStyle w:val="a3"/>
                  <w:rFonts w:eastAsia="Times New Roman"/>
                  <w:sz w:val="20"/>
                  <w:szCs w:val="20"/>
                </w:rPr>
                <w:t>Note 14. Fair Value of Assets and Liabilities</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408431575"/>
              <w:rPr>
                <w:rFonts w:eastAsia="Times New Roman"/>
              </w:rPr>
            </w:pPr>
            <w:hyperlink w:anchor="if25b96f30cf14ee1a436e117fec2c043_91" w:history="1">
              <w:r>
                <w:rPr>
                  <w:rStyle w:val="a3"/>
                  <w:rFonts w:eastAsia="Times New Roman"/>
                  <w:sz w:val="20"/>
                  <w:szCs w:val="20"/>
                </w:rPr>
                <w:t>Note 15. Accumulated Other Comprehensive Income (Loss) (AOCI)</w:t>
              </w:r>
            </w:hyperlink>
          </w:p>
        </w:tc>
      </w:tr>
      <w:tr w:rsidR="00000000">
        <w:trPr>
          <w:divId w:val="29187622"/>
          <w:jc w:val="center"/>
        </w:trPr>
        <w:tc>
          <w:tcPr>
            <w:tcW w:w="0" w:type="auto"/>
            <w:gridSpan w:val="3"/>
            <w:tcMar>
              <w:top w:w="30" w:type="dxa"/>
              <w:left w:w="20" w:type="dxa"/>
              <w:bottom w:w="30" w:type="dxa"/>
              <w:right w:w="20" w:type="dxa"/>
            </w:tcMar>
            <w:vAlign w:val="bottom"/>
            <w:hideMark/>
          </w:tcPr>
          <w:p w:rsidR="00000000" w:rsidRDefault="008214AA">
            <w:pPr>
              <w:spacing w:after="100"/>
              <w:divId w:val="1649166986"/>
              <w:rPr>
                <w:rFonts w:eastAsia="Times New Roman"/>
              </w:rPr>
            </w:pPr>
            <w:hyperlink w:anchor="if25b96f30cf14ee1a436e117fec2c043_94" w:history="1">
              <w:r>
                <w:rPr>
                  <w:rStyle w:val="a3"/>
                  <w:rFonts w:eastAsia="Times New Roman"/>
                  <w:sz w:val="20"/>
                  <w:szCs w:val="20"/>
                </w:rPr>
                <w:t>Note 16. Supplemental Financial Information</w:t>
              </w:r>
            </w:hyperlink>
          </w:p>
        </w:tc>
      </w:tr>
      <w:tr w:rsidR="00000000">
        <w:trPr>
          <w:divId w:val="29187622"/>
          <w:jc w:val="center"/>
        </w:trPr>
        <w:tc>
          <w:tcPr>
            <w:tcW w:w="0" w:type="auto"/>
            <w:gridSpan w:val="3"/>
            <w:vAlign w:val="center"/>
            <w:hideMark/>
          </w:tcPr>
          <w:p w:rsidR="00000000" w:rsidRDefault="008214AA">
            <w:pPr>
              <w:spacing w:after="100"/>
              <w:rPr>
                <w:rFonts w:eastAsia="Times New Roman"/>
              </w:rPr>
            </w:pPr>
          </w:p>
        </w:tc>
      </w:tr>
    </w:tbl>
    <w:p w:rsidR="00000000" w:rsidRDefault="008214AA">
      <w:pPr>
        <w:jc w:val="center"/>
        <w:rPr>
          <w:rFonts w:eastAsia="Times New Roman"/>
        </w:rPr>
      </w:pPr>
    </w:p>
    <w:p w:rsidR="00000000" w:rsidRDefault="008214AA">
      <w:pPr>
        <w:ind w:firstLine="720"/>
        <w:divId w:val="13115276"/>
        <w:rPr>
          <w:rFonts w:eastAsia="Times New Roman"/>
        </w:rPr>
      </w:pPr>
    </w:p>
    <w:p w:rsidR="00000000" w:rsidRDefault="008214AA">
      <w:pPr>
        <w:divId w:val="1489518725"/>
        <w:rPr>
          <w:rFonts w:eastAsia="Times New Roman"/>
        </w:rPr>
      </w:pPr>
      <w:r>
        <w:rPr>
          <w:rFonts w:eastAsia="Times New Roman"/>
          <w:b/>
          <w:bCs/>
          <w:color w:val="54B948"/>
          <w:sz w:val="20"/>
          <w:szCs w:val="20"/>
        </w:rPr>
        <w:t>1. BASIS OF PRESENTATION AND SUMMARY OF SIGNIFICANT ACCOUNTING POLICIES</w:t>
      </w:r>
      <w:r>
        <w:rPr>
          <w:rFonts w:eastAsia="Times New Roman"/>
          <w:b/>
          <w:bCs/>
          <w:color w:val="000000"/>
          <w:sz w:val="20"/>
          <w:szCs w:val="20"/>
        </w:rPr>
        <w:t xml:space="preserve"> </w:t>
      </w:r>
    </w:p>
    <w:p w:rsidR="00000000" w:rsidRDefault="008214AA">
      <w:pPr>
        <w:divId w:val="1304581962"/>
        <w:rPr>
          <w:rFonts w:eastAsia="Times New Roman"/>
        </w:rPr>
      </w:pPr>
    </w:p>
    <w:p w:rsidR="00000000" w:rsidRDefault="008214AA">
      <w:pPr>
        <w:jc w:val="both"/>
        <w:rPr>
          <w:rFonts w:eastAsia="Times New Roman"/>
        </w:rPr>
      </w:pPr>
      <w:r>
        <w:rPr>
          <w:rFonts w:eastAsia="Times New Roman"/>
          <w:color w:val="000000"/>
          <w:sz w:val="20"/>
          <w:szCs w:val="20"/>
        </w:rPr>
        <w:t>The accompanying Condensed Consolidated Financial Statements have been prepared by NCR Corporation (“NCR”, the “Company”, “we” or “us”) without audit pursuant to the rules and reg</w:t>
      </w:r>
      <w:r>
        <w:rPr>
          <w:rFonts w:eastAsia="Times New Roman"/>
          <w:color w:val="000000"/>
          <w:sz w:val="20"/>
          <w:szCs w:val="20"/>
        </w:rPr>
        <w:t>ulations of the U.S. Securities and Exchange Commission (“SEC”) and, in the opinion of management, include all adjustments (consisting of normal, recurring adjustments, unless otherwise disclosed) necessary for a fair statement of the condensed consolidate</w:t>
      </w:r>
      <w:r>
        <w:rPr>
          <w:rFonts w:eastAsia="Times New Roman"/>
          <w:color w:val="000000"/>
          <w:sz w:val="20"/>
          <w:szCs w:val="20"/>
        </w:rPr>
        <w:t>d results of operations, financial position, and cash flows for each period presented. The consolidated results for the interim periods are not necessarily indicative of results to be expected for the full year. The 2021 year-end Condensed Consolidated Bal</w:t>
      </w:r>
      <w:r>
        <w:rPr>
          <w:rFonts w:eastAsia="Times New Roman"/>
          <w:color w:val="000000"/>
          <w:sz w:val="20"/>
          <w:szCs w:val="20"/>
        </w:rPr>
        <w:t>ance Sheet was derived from audited financial statements, but does not include all disclosures required by accounting principles generally accepted in the United States (GAAP). These financial statements should be read in conjunction with NCR’s Form 10-K f</w:t>
      </w:r>
      <w:r>
        <w:rPr>
          <w:rFonts w:eastAsia="Times New Roman"/>
          <w:color w:val="000000"/>
          <w:sz w:val="20"/>
          <w:szCs w:val="20"/>
        </w:rPr>
        <w:t xml:space="preserve">or the year ended December 31, 2021.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Change in reportable segments</w:t>
      </w:r>
      <w:r>
        <w:rPr>
          <w:rFonts w:eastAsia="Times New Roman"/>
          <w:color w:val="000000"/>
          <w:sz w:val="20"/>
          <w:szCs w:val="20"/>
        </w:rPr>
        <w:t xml:space="preserve"> </w:t>
      </w:r>
      <w:r>
        <w:rPr>
          <w:rFonts w:eastAsia="Times New Roman"/>
          <w:color w:val="000000"/>
          <w:sz w:val="20"/>
          <w:szCs w:val="20"/>
        </w:rPr>
        <w:t>Effective January 1, 2022, the Company realigned its reportable segments to correspond with changes to its operating model, management structure and organizational responsibilities. The reportable segments effective January 1, 2022 include: Retail, Hospita</w:t>
      </w:r>
      <w:r>
        <w:rPr>
          <w:rFonts w:eastAsia="Times New Roman"/>
          <w:color w:val="000000"/>
          <w:sz w:val="20"/>
          <w:szCs w:val="20"/>
        </w:rPr>
        <w:t>lity, Digital Banking, Payments &amp; Network, and Self-Service Banking. Additionally, effective January 1, 2022, the Company manages Corporate &amp; Other, which includes income and expenses that are not specifically attributable to an individual reportable segme</w:t>
      </w:r>
      <w:r>
        <w:rPr>
          <w:rFonts w:eastAsia="Times New Roman"/>
          <w:color w:val="000000"/>
          <w:sz w:val="20"/>
          <w:szCs w:val="20"/>
        </w:rPr>
        <w:t xml:space="preserve">nt and thus will be reflected only in consolidated results, as well as our Telecommunications &amp; Technology business, an immaterial operating segment. We have reclassified prior period segment disclosures to conform to current period presentation. Refer to </w:t>
      </w:r>
      <w:r>
        <w:rPr>
          <w:rFonts w:eastAsia="Times New Roman"/>
          <w:color w:val="000000"/>
          <w:sz w:val="20"/>
          <w:szCs w:val="20"/>
        </w:rPr>
        <w:t>Note 4, “Segment Information and Concentrations”, for additional information on our reportable segments.</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Conflict in Eastern Europe</w:t>
      </w:r>
      <w:r>
        <w:rPr>
          <w:rFonts w:eastAsia="Times New Roman"/>
          <w:color w:val="000000"/>
          <w:sz w:val="20"/>
          <w:szCs w:val="20"/>
        </w:rPr>
        <w:t xml:space="preserve"> The war in Eastern Europe and related sanctions imposed on Russia and related actors by the United States and other jurisd</w:t>
      </w:r>
      <w:r>
        <w:rPr>
          <w:rFonts w:eastAsia="Times New Roman"/>
          <w:color w:val="000000"/>
          <w:sz w:val="20"/>
          <w:szCs w:val="20"/>
        </w:rPr>
        <w:t>ictions required us to commence the orderly wind down of our operations in Russia beginning in the first quarter of 2022. As of September 30, 2022, we have ceased operations in Russia and are in the process of dissolving our only subsidiary in Russia. As a</w:t>
      </w:r>
      <w:r>
        <w:rPr>
          <w:rFonts w:eastAsia="Times New Roman"/>
          <w:color w:val="000000"/>
          <w:sz w:val="20"/>
          <w:szCs w:val="20"/>
        </w:rPr>
        <w:t xml:space="preserve"> result of these actions, our results for the nine months ended September 30, 2022 reflect the impact of the impairment and write down of the assets and liabilities of the entity, severance charges, the assessment of collectability on revenue recognition, </w:t>
      </w:r>
      <w:r>
        <w:rPr>
          <w:rFonts w:eastAsia="Times New Roman"/>
          <w:color w:val="000000"/>
          <w:sz w:val="20"/>
          <w:szCs w:val="20"/>
        </w:rPr>
        <w:t xml:space="preserve">and the residual operations of the entity. We recognized a pre-tax net loss of $22 million for the nine months ended September 30, 2022 related to these actions, recognized primarily in Cost of products, Cost of </w:t>
      </w:r>
    </w:p>
    <w:p w:rsidR="00000000" w:rsidRDefault="008214AA">
      <w:pPr>
        <w:jc w:val="center"/>
        <w:divId w:val="1628703583"/>
        <w:rPr>
          <w:rFonts w:eastAsia="Times New Roman"/>
        </w:rPr>
      </w:pPr>
      <w:r>
        <w:rPr>
          <w:rFonts w:eastAsia="Times New Roman"/>
          <w:color w:val="000000"/>
          <w:sz w:val="20"/>
          <w:szCs w:val="20"/>
        </w:rPr>
        <w:t>9</w:t>
      </w:r>
    </w:p>
    <w:p w:rsidR="00000000" w:rsidRDefault="008214AA">
      <w:pPr>
        <w:rPr>
          <w:rFonts w:eastAsia="Times New Roman"/>
        </w:rPr>
      </w:pPr>
      <w:r>
        <w:rPr>
          <w:rFonts w:eastAsia="Times New Roman"/>
        </w:rPr>
        <w:pict>
          <v:rect id="_x0000_i1034" style="width:0;height:1.5pt" o:hralign="center" o:hrstd="t" o:hr="t" fillcolor="#a0a0a0" stroked="f"/>
        </w:pict>
      </w:r>
    </w:p>
    <w:p w:rsidR="00000000" w:rsidRDefault="008214AA">
      <w:pPr>
        <w:ind w:firstLine="720"/>
        <w:divId w:val="1040400776"/>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637801729"/>
        <w:rPr>
          <w:rFonts w:eastAsia="Times New Roman"/>
        </w:rPr>
      </w:pPr>
      <w:r>
        <w:rPr>
          <w:rFonts w:eastAsia="Times New Roman"/>
          <w:b/>
          <w:bCs/>
          <w:color w:val="000000"/>
          <w:sz w:val="20"/>
          <w:szCs w:val="20"/>
        </w:rPr>
        <w:t>NCR Corporation</w:t>
      </w:r>
    </w:p>
    <w:p w:rsidR="00000000" w:rsidRDefault="008214AA">
      <w:pPr>
        <w:jc w:val="center"/>
        <w:divId w:val="637801729"/>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r>
        <w:rPr>
          <w:rFonts w:eastAsia="Times New Roman"/>
          <w:color w:val="000000"/>
          <w:sz w:val="20"/>
          <w:szCs w:val="20"/>
        </w:rPr>
        <w:t>services and Selling, general and administrative expenses on the Condensed Consolidated Stat</w:t>
      </w:r>
      <w:r>
        <w:rPr>
          <w:rFonts w:eastAsia="Times New Roman"/>
          <w:color w:val="000000"/>
          <w:sz w:val="20"/>
          <w:szCs w:val="20"/>
        </w:rPr>
        <w:t xml:space="preserve">ement of Operations. No loss was recognized in the three months ended September 30, 2022 related to these actions.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 xml:space="preserve">Announcement of Planned Separation </w:t>
      </w:r>
      <w:r>
        <w:rPr>
          <w:rFonts w:eastAsia="Times New Roman"/>
          <w:color w:val="000000"/>
          <w:sz w:val="20"/>
          <w:szCs w:val="20"/>
        </w:rPr>
        <w:t>On September 15, 2022, NCR announced a plan to separate into two independent, publicly traded companies</w:t>
      </w:r>
      <w:r>
        <w:rPr>
          <w:rFonts w:eastAsia="Times New Roman"/>
          <w:color w:val="000000"/>
          <w:sz w:val="20"/>
          <w:szCs w:val="20"/>
        </w:rPr>
        <w:t xml:space="preserve"> – one focused on digital commerce, the other on ATMs. The separation is intended to be structured in a tax-free manner. The separation transaction will follow the satisfaction of customary conditions, including effectiveness of appropriate filings with th</w:t>
      </w:r>
      <w:r>
        <w:rPr>
          <w:rFonts w:eastAsia="Times New Roman"/>
          <w:color w:val="000000"/>
          <w:sz w:val="20"/>
          <w:szCs w:val="20"/>
        </w:rPr>
        <w:t>e U.S. Securities and Exchange Commission, and the completion of audited financial statements. The current target is to complete the separation by the end of 2023.</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Use of Estimates</w:t>
      </w:r>
      <w:r>
        <w:rPr>
          <w:rFonts w:eastAsia="Times New Roman"/>
          <w:color w:val="000000"/>
          <w:sz w:val="20"/>
          <w:szCs w:val="20"/>
        </w:rPr>
        <w:t xml:space="preserve"> The preparation of financial statements in accordance with GAAP requires </w:t>
      </w:r>
      <w:r>
        <w:rPr>
          <w:rFonts w:eastAsia="Times New Roman"/>
          <w:color w:val="000000"/>
          <w:sz w:val="20"/>
          <w:szCs w:val="20"/>
        </w:rPr>
        <w:t xml:space="preserve">management to make estimates and judgments that affect the reported amounts of assets and liabilities, the disclosure of contingent assets and liabilities at the date of the financial statements, and revenue and expenses during the period reported.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Alth</w:t>
      </w:r>
      <w:r>
        <w:rPr>
          <w:rFonts w:eastAsia="Times New Roman"/>
          <w:color w:val="000000"/>
          <w:sz w:val="20"/>
          <w:szCs w:val="20"/>
        </w:rPr>
        <w:t>ough our estimates contemplate current and expected future conditions, as applicable, it is reasonably possible that actual conditions could differ from our expectations, which could materially affect our results of operations and financial position. In pa</w:t>
      </w:r>
      <w:r>
        <w:rPr>
          <w:rFonts w:eastAsia="Times New Roman"/>
          <w:color w:val="000000"/>
          <w:sz w:val="20"/>
          <w:szCs w:val="20"/>
        </w:rPr>
        <w:t>rticular, a number of estimates have been and will continue to be affected by the ongoing variants of the coronavirus (COVID-19) pandemic, macroeconomic pressures and geopolitical challenges. The ultimate impact on our overall financial condition and opera</w:t>
      </w:r>
      <w:r>
        <w:rPr>
          <w:rFonts w:eastAsia="Times New Roman"/>
          <w:color w:val="000000"/>
          <w:sz w:val="20"/>
          <w:szCs w:val="20"/>
        </w:rPr>
        <w:t>ting results will depend on the currently unknowable duration and severity of the pandemic, supply chain challenges and cost escalations including materials, interest, labor and freight, and any additional governmental and public actions taken in response.</w:t>
      </w:r>
      <w:r>
        <w:rPr>
          <w:rFonts w:eastAsia="Times New Roman"/>
          <w:color w:val="000000"/>
          <w:sz w:val="20"/>
          <w:szCs w:val="20"/>
        </w:rPr>
        <w:t xml:space="preserve"> As a result, our accounting estimates and assumptions may change over time as a consequence of the effects of COVID-19 and other external factors. Such changes could result in future impairments of goodwill, intangible assets, long-lived assets, increment</w:t>
      </w:r>
      <w:r>
        <w:rPr>
          <w:rFonts w:eastAsia="Times New Roman"/>
          <w:color w:val="000000"/>
          <w:sz w:val="20"/>
          <w:szCs w:val="20"/>
        </w:rPr>
        <w:t>al credit losses on accounts receivable and decreases in the carrying amount of our tax assets.</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Evaluation of Subsequent Events</w:t>
      </w:r>
      <w:r>
        <w:rPr>
          <w:rFonts w:eastAsia="Times New Roman"/>
          <w:color w:val="000000"/>
          <w:sz w:val="20"/>
          <w:szCs w:val="20"/>
        </w:rPr>
        <w:t> </w:t>
      </w:r>
      <w:r>
        <w:rPr>
          <w:rFonts w:eastAsia="Times New Roman"/>
          <w:color w:val="000000"/>
          <w:sz w:val="20"/>
          <w:szCs w:val="20"/>
        </w:rPr>
        <w:t>The Company evaluated subsequent events through the date that our Condensed Consolidated Financial Statements were issued. Other than the items discussed within the Notes to Condensed Consolidated Financial Statements, no matters were identified that requi</w:t>
      </w:r>
      <w:r>
        <w:rPr>
          <w:rFonts w:eastAsia="Times New Roman"/>
          <w:color w:val="000000"/>
          <w:sz w:val="20"/>
          <w:szCs w:val="20"/>
        </w:rPr>
        <w:t>red adjustment to the Condensed Consolidated Financial Statements or additional disclosure.</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Reclassifications</w:t>
      </w:r>
      <w:r>
        <w:rPr>
          <w:rFonts w:eastAsia="Times New Roman"/>
          <w:color w:val="000000"/>
          <w:sz w:val="20"/>
          <w:szCs w:val="20"/>
        </w:rPr>
        <w:t xml:space="preserve"> Certain prior-period amounts have been reclassified in the accompanying Condensed Consolidated Financial Statements and Notes thereto in order t</w:t>
      </w:r>
      <w:r>
        <w:rPr>
          <w:rFonts w:eastAsia="Times New Roman"/>
          <w:color w:val="000000"/>
          <w:sz w:val="20"/>
          <w:szCs w:val="20"/>
        </w:rPr>
        <w:t>o conform to the current period presentation. Reclassifications had no effect on prior year net income or shareholders’ equity.</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 xml:space="preserve">Cash, Cash Equivalents, and Restricted Cash </w:t>
      </w:r>
      <w:r>
        <w:rPr>
          <w:rFonts w:eastAsia="Times New Roman"/>
          <w:color w:val="000000"/>
          <w:sz w:val="20"/>
          <w:szCs w:val="20"/>
        </w:rPr>
        <w:t xml:space="preserve">The reconciliation of cash, cash equivalents and restricted cash in the Condensed </w:t>
      </w:r>
      <w:r>
        <w:rPr>
          <w:rFonts w:eastAsia="Times New Roman"/>
          <w:color w:val="000000"/>
          <w:sz w:val="20"/>
          <w:szCs w:val="20"/>
        </w:rPr>
        <w:t>Consolidated Statements of Cash Flows is as follows:</w:t>
      </w:r>
    </w:p>
    <w:tbl>
      <w:tblPr>
        <w:tblW w:w="5000" w:type="pct"/>
        <w:tblCellMar>
          <w:top w:w="15" w:type="dxa"/>
          <w:left w:w="15" w:type="dxa"/>
          <w:bottom w:w="15" w:type="dxa"/>
          <w:right w:w="15" w:type="dxa"/>
        </w:tblCellMar>
        <w:tblLook w:val="04A0" w:firstRow="1" w:lastRow="0" w:firstColumn="1" w:lastColumn="0" w:noHBand="0" w:noVBand="1"/>
      </w:tblPr>
      <w:tblGrid>
        <w:gridCol w:w="44"/>
        <w:gridCol w:w="3549"/>
        <w:gridCol w:w="36"/>
        <w:gridCol w:w="36"/>
        <w:gridCol w:w="36"/>
        <w:gridCol w:w="36"/>
        <w:gridCol w:w="38"/>
        <w:gridCol w:w="2334"/>
        <w:gridCol w:w="37"/>
        <w:gridCol w:w="36"/>
        <w:gridCol w:w="36"/>
        <w:gridCol w:w="36"/>
        <w:gridCol w:w="120"/>
        <w:gridCol w:w="748"/>
        <w:gridCol w:w="36"/>
        <w:gridCol w:w="36"/>
        <w:gridCol w:w="36"/>
        <w:gridCol w:w="36"/>
        <w:gridCol w:w="120"/>
        <w:gridCol w:w="884"/>
        <w:gridCol w:w="36"/>
      </w:tblGrid>
      <w:tr w:rsidR="00000000">
        <w:tc>
          <w:tcPr>
            <w:tcW w:w="50" w:type="pct"/>
            <w:vAlign w:val="center"/>
            <w:hideMark/>
          </w:tcPr>
          <w:p w:rsidR="00000000" w:rsidRDefault="008214AA">
            <w:pPr>
              <w:jc w:val="both"/>
              <w:rPr>
                <w:rFonts w:eastAsia="Times New Roman"/>
              </w:rPr>
            </w:pPr>
          </w:p>
        </w:tc>
        <w:tc>
          <w:tcPr>
            <w:tcW w:w="21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42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7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trHeight w:val="240"/>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w:t>
            </w:r>
          </w:p>
        </w:tc>
      </w:tr>
      <w:tr w:rsidR="00000000">
        <w:trPr>
          <w:trHeight w:val="300"/>
        </w:trPr>
        <w:tc>
          <w:tcPr>
            <w:tcW w:w="0" w:type="auto"/>
            <w:gridSpan w:val="3"/>
            <w:vMerge/>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Balance Sheet Location</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8214AA">
            <w:pPr>
              <w:spacing w:after="100"/>
              <w:jc w:val="cente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Short term restricted cash</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Long term restricted cash</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Funds held for client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8214AA">
            <w:pPr>
              <w:spacing w:after="100"/>
              <w:jc w:val="center"/>
              <w:rPr>
                <w:rFonts w:eastAsia="Times New Roman"/>
              </w:rPr>
            </w:pPr>
            <w:r>
              <w:rPr>
                <w:rFonts w:eastAsia="Times New Roman"/>
                <w:color w:val="000000"/>
                <w:sz w:val="20"/>
                <w:szCs w:val="20"/>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Cash included in settlement processing assets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Restricted cash</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b/>
                <w:bCs/>
                <w:color w:val="000000"/>
                <w:sz w:val="20"/>
                <w:szCs w:val="20"/>
              </w:rPr>
              <w:t>Total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214AA">
            <w:pPr>
              <w:spacing w:after="100"/>
              <w:jc w:val="right"/>
              <w:rPr>
                <w:rFonts w:eastAsia="Times New Roman"/>
              </w:rPr>
            </w:pPr>
            <w:r>
              <w:rPr>
                <w:rFonts w:eastAsia="Times New Roman"/>
                <w:b/>
                <w:bCs/>
                <w:color w:val="000000"/>
                <w:sz w:val="20"/>
                <w:szCs w:val="20"/>
              </w:rPr>
              <w:t>745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214AA">
            <w:pPr>
              <w:spacing w:after="100"/>
              <w:jc w:val="right"/>
              <w:rPr>
                <w:rFonts w:eastAsia="Times New Roman"/>
              </w:rPr>
            </w:pPr>
            <w:r>
              <w:rPr>
                <w:rFonts w:eastAsia="Times New Roman"/>
                <w:color w:val="000000"/>
                <w:sz w:val="20"/>
                <w:szCs w:val="20"/>
              </w:rPr>
              <w:t>635 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 xml:space="preserve">Contract Assets and Liabilities </w:t>
      </w:r>
      <w:r>
        <w:rPr>
          <w:rFonts w:eastAsia="Times New Roman"/>
          <w:color w:val="000000"/>
          <w:sz w:val="20"/>
          <w:szCs w:val="20"/>
        </w:rPr>
        <w:t>The following table presents the net contract liability balances as of September 30, 2022 and December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2531"/>
        <w:gridCol w:w="36"/>
        <w:gridCol w:w="46"/>
        <w:gridCol w:w="3018"/>
        <w:gridCol w:w="36"/>
        <w:gridCol w:w="36"/>
        <w:gridCol w:w="36"/>
        <w:gridCol w:w="36"/>
        <w:gridCol w:w="121"/>
        <w:gridCol w:w="1019"/>
        <w:gridCol w:w="36"/>
        <w:gridCol w:w="36"/>
        <w:gridCol w:w="36"/>
        <w:gridCol w:w="36"/>
        <w:gridCol w:w="121"/>
        <w:gridCol w:w="1044"/>
        <w:gridCol w:w="36"/>
      </w:tblGrid>
      <w:tr w:rsidR="00000000">
        <w:trPr>
          <w:divId w:val="424375866"/>
          <w:jc w:val="center"/>
        </w:trPr>
        <w:tc>
          <w:tcPr>
            <w:tcW w:w="50" w:type="pct"/>
            <w:vAlign w:val="center"/>
            <w:hideMark/>
          </w:tcPr>
          <w:p w:rsidR="00000000" w:rsidRDefault="008214AA">
            <w:pPr>
              <w:jc w:val="both"/>
              <w:rPr>
                <w:rFonts w:eastAsia="Times New Roman"/>
              </w:rPr>
            </w:pPr>
          </w:p>
        </w:tc>
        <w:tc>
          <w:tcPr>
            <w:tcW w:w="154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83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5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6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424375866"/>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Location in the Condensed Consolidated Balance Sheet</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December 31, 2021</w:t>
            </w:r>
          </w:p>
        </w:tc>
      </w:tr>
      <w:tr w:rsidR="00000000">
        <w:trPr>
          <w:divId w:val="424375866"/>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Current portion of contract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Contract liabilities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424375866"/>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Non-current portion of contract liabilities</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During the nine months ended September 30, 2022, the Company recognized $365 </w:t>
      </w:r>
      <w:r>
        <w:rPr>
          <w:rFonts w:eastAsia="Times New Roman"/>
          <w:color w:val="000000"/>
          <w:sz w:val="20"/>
          <w:szCs w:val="20"/>
        </w:rPr>
        <w:t>million in revenue that was included in contract liabilities as of December 31, 2021. During the nine months ended September 30, 2021 the Company recognized</w:t>
      </w:r>
      <w:r>
        <w:rPr>
          <w:rFonts w:eastAsia="Times New Roman"/>
          <w:color w:val="000000"/>
          <w:sz w:val="20"/>
          <w:szCs w:val="20"/>
          <w:shd w:val="clear" w:color="auto" w:fill="FFFFFF"/>
        </w:rPr>
        <w:t xml:space="preserve"> $406 million </w:t>
      </w:r>
      <w:r>
        <w:rPr>
          <w:rFonts w:eastAsia="Times New Roman"/>
          <w:color w:val="000000"/>
          <w:sz w:val="20"/>
          <w:szCs w:val="20"/>
        </w:rPr>
        <w:t>in revenue that was included in contract liabilities as of December 31, 2020.</w:t>
      </w:r>
    </w:p>
    <w:p w:rsidR="00000000" w:rsidRDefault="008214AA">
      <w:pPr>
        <w:jc w:val="both"/>
        <w:rPr>
          <w:rFonts w:eastAsia="Times New Roman"/>
        </w:rPr>
      </w:pPr>
    </w:p>
    <w:p w:rsidR="00000000" w:rsidRDefault="008214AA">
      <w:pPr>
        <w:jc w:val="center"/>
        <w:divId w:val="1209680127"/>
        <w:rPr>
          <w:rFonts w:eastAsia="Times New Roman"/>
        </w:rPr>
      </w:pPr>
      <w:r>
        <w:rPr>
          <w:rFonts w:eastAsia="Times New Roman"/>
          <w:color w:val="000000"/>
          <w:sz w:val="20"/>
          <w:szCs w:val="20"/>
        </w:rPr>
        <w:t>10</w:t>
      </w:r>
    </w:p>
    <w:p w:rsidR="00000000" w:rsidRDefault="008214AA">
      <w:pPr>
        <w:rPr>
          <w:rFonts w:eastAsia="Times New Roman"/>
        </w:rPr>
      </w:pPr>
      <w:r>
        <w:rPr>
          <w:rFonts w:eastAsia="Times New Roman"/>
        </w:rPr>
        <w:pict>
          <v:rect id="_x0000_i1035" style="width:0;height:1.5pt" o:hralign="center" o:hrstd="t" o:hr="t" fillcolor="#a0a0a0" stroked="f"/>
        </w:pict>
      </w:r>
    </w:p>
    <w:p w:rsidR="00000000" w:rsidRDefault="008214AA">
      <w:pPr>
        <w:ind w:firstLine="720"/>
        <w:divId w:val="1237519531"/>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358047160"/>
        <w:rPr>
          <w:rFonts w:eastAsia="Times New Roman"/>
        </w:rPr>
      </w:pPr>
      <w:r>
        <w:rPr>
          <w:rFonts w:eastAsia="Times New Roman"/>
          <w:b/>
          <w:bCs/>
          <w:color w:val="000000"/>
          <w:sz w:val="20"/>
          <w:szCs w:val="20"/>
        </w:rPr>
        <w:t>NCR Corporation</w:t>
      </w:r>
    </w:p>
    <w:p w:rsidR="00000000" w:rsidRDefault="008214AA">
      <w:pPr>
        <w:jc w:val="center"/>
        <w:divId w:val="358047160"/>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r>
        <w:rPr>
          <w:rFonts w:eastAsia="Times New Roman"/>
          <w:b/>
          <w:bCs/>
          <w:color w:val="000000"/>
          <w:sz w:val="20"/>
          <w:szCs w:val="20"/>
        </w:rPr>
        <w:t xml:space="preserve">Remaining Performance Obligations </w:t>
      </w:r>
      <w:r>
        <w:rPr>
          <w:rFonts w:eastAsia="Times New Roman"/>
          <w:color w:val="000000"/>
          <w:sz w:val="20"/>
          <w:szCs w:val="20"/>
        </w:rPr>
        <w:t xml:space="preserve">Remaining performance obligations represent the transaction price of orders for which products have not been delivered or services have not been performed. As of September 30, 2022, the aggregate amount of the transaction </w:t>
      </w:r>
      <w:r>
        <w:rPr>
          <w:rFonts w:eastAsia="Times New Roman"/>
          <w:color w:val="000000"/>
          <w:sz w:val="20"/>
          <w:szCs w:val="20"/>
        </w:rPr>
        <w:t>price allocated to remaining performance obligations was approximately </w:t>
      </w:r>
      <w:r>
        <w:rPr>
          <w:rFonts w:eastAsia="Times New Roman"/>
          <w:color w:val="000000"/>
          <w:sz w:val="20"/>
          <w:szCs w:val="20"/>
          <w:shd w:val="clear" w:color="auto" w:fill="FFFFFF"/>
        </w:rPr>
        <w:t>$3.7 billion. </w:t>
      </w:r>
      <w:r>
        <w:rPr>
          <w:rFonts w:eastAsia="Times New Roman"/>
          <w:color w:val="000000"/>
          <w:sz w:val="20"/>
          <w:szCs w:val="20"/>
        </w:rPr>
        <w:t>The Company expects to recognize revenue on approximately three-quarters of the remaining performance obligations over the next 12 months, with the remainder recognized th</w:t>
      </w:r>
      <w:r>
        <w:rPr>
          <w:rFonts w:eastAsia="Times New Roman"/>
          <w:color w:val="000000"/>
          <w:sz w:val="20"/>
          <w:szCs w:val="20"/>
        </w:rPr>
        <w:t>ereafter. The majority of our professional services are expected to be recognized over the next 12 months but this is contingent upon a number of factors, including customers’ needs and schedules.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Company has made three elections that affect the valu</w:t>
      </w:r>
      <w:r>
        <w:rPr>
          <w:rFonts w:eastAsia="Times New Roman"/>
          <w:color w:val="000000"/>
          <w:sz w:val="20"/>
          <w:szCs w:val="20"/>
        </w:rPr>
        <w:t>e of remaining performance obligations described above. We do not disclose remaining performance obligations for contracts where variable consideration is directly allocated based on usage or when the original expected duration is one year or less. Additio</w:t>
      </w:r>
      <w:r>
        <w:rPr>
          <w:rFonts w:eastAsia="Times New Roman"/>
          <w:color w:val="000000"/>
          <w:sz w:val="20"/>
          <w:szCs w:val="20"/>
        </w:rPr>
        <w:t xml:space="preserve">nally, we do not disclose remaining performance obligations for contracts where we recognize revenue from the satisfaction of the performance obligation in accordance with the 'right to invoice' practical expedient. </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Recent Accounting Pronouncements</w:t>
      </w:r>
      <w:r>
        <w:rPr>
          <w:rFonts w:eastAsia="Times New Roman"/>
          <w:color w:val="000000"/>
          <w:sz w:val="20"/>
          <w:szCs w:val="20"/>
        </w:rPr>
        <w:t xml:space="preserve">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A</w:t>
      </w:r>
      <w:r>
        <w:rPr>
          <w:rFonts w:eastAsia="Times New Roman"/>
          <w:i/>
          <w:iCs/>
          <w:color w:val="000000"/>
          <w:sz w:val="20"/>
          <w:szCs w:val="20"/>
        </w:rPr>
        <w:t>doption of New Accounting Pronouncements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In August 2020, the Financial Accounting Standards Board (“FASB”) issued ASU 2020-06, </w:t>
      </w:r>
      <w:r>
        <w:rPr>
          <w:rFonts w:eastAsia="Times New Roman"/>
          <w:i/>
          <w:iCs/>
          <w:color w:val="000000"/>
          <w:sz w:val="20"/>
          <w:szCs w:val="20"/>
        </w:rPr>
        <w:t>Debt—Debt with Conversion and Other Options (Subtopic 470-20) and Derivatives and Hedging—Contracts in Entity’s Own Equity (Sub</w:t>
      </w:r>
      <w:r>
        <w:rPr>
          <w:rFonts w:eastAsia="Times New Roman"/>
          <w:i/>
          <w:iCs/>
          <w:color w:val="000000"/>
          <w:sz w:val="20"/>
          <w:szCs w:val="20"/>
        </w:rPr>
        <w:t>topic 815-40): Accounting for Convertible Instruments and Contracts in an Entity’s Own Equity</w:t>
      </w:r>
      <w:r>
        <w:rPr>
          <w:rFonts w:eastAsia="Times New Roman"/>
          <w:color w:val="000000"/>
          <w:sz w:val="20"/>
          <w:szCs w:val="20"/>
        </w:rPr>
        <w:t>, with new guidance for convertible preferred stock, which eliminates considerations related to the beneficial conversion feature model. The standard also requires</w:t>
      </w:r>
      <w:r>
        <w:rPr>
          <w:rFonts w:eastAsia="Times New Roman"/>
          <w:color w:val="000000"/>
          <w:sz w:val="20"/>
          <w:szCs w:val="20"/>
        </w:rPr>
        <w:t xml:space="preserve"> entities to use an average stock price when calculating the denominator for diluted earnings per share for stock units where the settlement of the number of shares is based on the stock price. The new standard is effective for fiscal years, and interim pe</w:t>
      </w:r>
      <w:r>
        <w:rPr>
          <w:rFonts w:eastAsia="Times New Roman"/>
          <w:color w:val="000000"/>
          <w:sz w:val="20"/>
          <w:szCs w:val="20"/>
        </w:rPr>
        <w:t xml:space="preserve">riods within those fiscal years, beginning after December 15, 2021. Early adoption was permitted no earlier than fiscal years beginning after December 15, 2020 and interim periods within those fiscal years. The adoption of this accounting standards update </w:t>
      </w:r>
      <w:r>
        <w:rPr>
          <w:rFonts w:eastAsia="Times New Roman"/>
          <w:color w:val="000000"/>
          <w:sz w:val="20"/>
          <w:szCs w:val="20"/>
        </w:rPr>
        <w:t>did not have a material effect on the Company's net income, cash flows, earnings per share or financial condition.</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In May 2021, the FASB issued ASU 2021-04, </w:t>
      </w:r>
      <w:r>
        <w:rPr>
          <w:rFonts w:eastAsia="Times New Roman"/>
          <w:i/>
          <w:iCs/>
          <w:color w:val="000000"/>
          <w:sz w:val="20"/>
          <w:szCs w:val="20"/>
        </w:rPr>
        <w:t>Earnings Per Share (Topic 260), Debt—Modifications and Extinguishments (Subtopic 470-50), Compens</w:t>
      </w:r>
      <w:r>
        <w:rPr>
          <w:rFonts w:eastAsia="Times New Roman"/>
          <w:i/>
          <w:iCs/>
          <w:color w:val="000000"/>
          <w:sz w:val="20"/>
          <w:szCs w:val="20"/>
        </w:rPr>
        <w:t>ation—Stock Compensation (Topic 718), and Derivatives and Hedging—Contracts in Entity’s Own Equity (Subtopic 815-40): Issuer’s Accounting for Certain Modifications or Exchanges of Freestanding Equity-Classified Written Call Options,</w:t>
      </w:r>
      <w:r>
        <w:rPr>
          <w:rFonts w:eastAsia="Times New Roman"/>
          <w:color w:val="000000"/>
          <w:sz w:val="20"/>
          <w:szCs w:val="20"/>
        </w:rPr>
        <w:t xml:space="preserve"> with new guidance for f</w:t>
      </w:r>
      <w:r>
        <w:rPr>
          <w:rFonts w:eastAsia="Times New Roman"/>
          <w:color w:val="000000"/>
          <w:sz w:val="20"/>
          <w:szCs w:val="20"/>
        </w:rPr>
        <w:t>reestanding equity-classified written call options. The new guidance requires issuers to account for modifications or exchanges of freestanding equity-classified written call options that remain equity classified after the modification or exchange based on</w:t>
      </w:r>
      <w:r>
        <w:rPr>
          <w:rFonts w:eastAsia="Times New Roman"/>
          <w:color w:val="000000"/>
          <w:sz w:val="20"/>
          <w:szCs w:val="20"/>
        </w:rPr>
        <w:t xml:space="preserve"> the economic substance of the modification or exchange. The new standard is effective for fiscal years, and interim periods within those fiscal years, beginning after December 15, 2021, with early adoption permitted. The adoption of this accounting standa</w:t>
      </w:r>
      <w:r>
        <w:rPr>
          <w:rFonts w:eastAsia="Times New Roman"/>
          <w:color w:val="000000"/>
          <w:sz w:val="20"/>
          <w:szCs w:val="20"/>
        </w:rPr>
        <w:t xml:space="preserve">rds update did not have a material effect on the Company's net income, cash flows, earnings per share or financial condition.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 March 2022, the SEC staff released Staff Accounting Bulletin No. 121 (“SAB 121”), which expressed the views of the SEC staff</w:t>
      </w:r>
      <w:r>
        <w:rPr>
          <w:rFonts w:eastAsia="Times New Roman"/>
          <w:color w:val="000000"/>
          <w:sz w:val="20"/>
          <w:szCs w:val="20"/>
        </w:rPr>
        <w:t xml:space="preserve"> regarding the accounting for obligations to safeguard crypto-assets an entity holds for users of its crypto platform. This guidance requires entities that hold crypto-assets on behalf of platform users to recognize a liability to reflect the entity’s obli</w:t>
      </w:r>
      <w:r>
        <w:rPr>
          <w:rFonts w:eastAsia="Times New Roman"/>
          <w:color w:val="000000"/>
          <w:sz w:val="20"/>
          <w:szCs w:val="20"/>
        </w:rPr>
        <w:t>gation to safeguard the crypto-assets held for its platform users. The liability should be measured at initial recognition and each reporting date at the fair value of the crypto-assets that the entity is responsible for holding for its platform users. The</w:t>
      </w:r>
      <w:r>
        <w:rPr>
          <w:rFonts w:eastAsia="Times New Roman"/>
          <w:color w:val="000000"/>
          <w:sz w:val="20"/>
          <w:szCs w:val="20"/>
        </w:rPr>
        <w:t xml:space="preserve"> entity should also recognize an asset at the same time that it recognizes the safeguarding liability, measured at initial recognition and each reporting date at the fair value of the crypto-assets held for its platform users. SAB 121 also includes guidanc</w:t>
      </w:r>
      <w:r>
        <w:rPr>
          <w:rFonts w:eastAsia="Times New Roman"/>
          <w:color w:val="000000"/>
          <w:sz w:val="20"/>
          <w:szCs w:val="20"/>
        </w:rPr>
        <w:t>e on disclosures related to the Company’s safeguarding of crypto-assets. This guidance is effective from the first interim or annual period after June 15, 2022 and should be applied retrospectively to the beginning of the fiscal year to which the interim o</w:t>
      </w:r>
      <w:r>
        <w:rPr>
          <w:rFonts w:eastAsia="Times New Roman"/>
          <w:color w:val="000000"/>
          <w:sz w:val="20"/>
          <w:szCs w:val="20"/>
        </w:rPr>
        <w:t>r annual period relates. The Company adopted this guidance in the interim period ending June 30, 2022; however, as the Company is not currently offering digital asset safeguarding services to its customers, the adoption of this guidance did not have an imp</w:t>
      </w:r>
      <w:r>
        <w:rPr>
          <w:rFonts w:eastAsia="Times New Roman"/>
          <w:color w:val="000000"/>
          <w:sz w:val="20"/>
          <w:szCs w:val="20"/>
        </w:rPr>
        <w:t>act on the Company’s net income, cash flows, earnings per share or financial condition.</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Although there are several other new accounting pronouncements issued by the FASB and adopted by or effective for the Company, the Company does not believe any of the</w:t>
      </w:r>
      <w:r>
        <w:rPr>
          <w:rFonts w:eastAsia="Times New Roman"/>
          <w:color w:val="000000"/>
          <w:sz w:val="20"/>
          <w:szCs w:val="20"/>
        </w:rPr>
        <w:t>se accounting pronouncements had a material impact on its consolidated financial statements.</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Accounting Pronouncements Issued But Not Yet Adopted</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In October 2021, the FASB issued accounting standards update (“ASU”) 2021-08, </w:t>
      </w:r>
      <w:r>
        <w:rPr>
          <w:rFonts w:eastAsia="Times New Roman"/>
          <w:i/>
          <w:iCs/>
          <w:color w:val="000000"/>
          <w:sz w:val="20"/>
          <w:szCs w:val="20"/>
        </w:rPr>
        <w:t>Business Combinations (Topic</w:t>
      </w:r>
      <w:r>
        <w:rPr>
          <w:rFonts w:eastAsia="Times New Roman"/>
          <w:i/>
          <w:iCs/>
          <w:color w:val="000000"/>
          <w:sz w:val="20"/>
          <w:szCs w:val="20"/>
        </w:rPr>
        <w:t xml:space="preserve"> 805): Accounting for Contract Assets and Contract Liabilities from Contracts with Customers</w:t>
      </w:r>
      <w:r>
        <w:rPr>
          <w:rFonts w:eastAsia="Times New Roman"/>
          <w:color w:val="000000"/>
          <w:sz w:val="20"/>
          <w:szCs w:val="20"/>
        </w:rPr>
        <w:t>, with new guidance for contract assets and contract liabilities acquired in a business combination. The new guidance requires contract assets and contract liabilit</w:t>
      </w:r>
      <w:r>
        <w:rPr>
          <w:rFonts w:eastAsia="Times New Roman"/>
          <w:color w:val="000000"/>
          <w:sz w:val="20"/>
          <w:szCs w:val="20"/>
        </w:rPr>
        <w:t xml:space="preserve">ies, such as deferred revenue, acquired in a business combination to be recognized and measured by the acquirer on the acquisition </w:t>
      </w:r>
    </w:p>
    <w:p w:rsidR="00000000" w:rsidRDefault="008214AA">
      <w:pPr>
        <w:jc w:val="center"/>
        <w:divId w:val="263618289"/>
        <w:rPr>
          <w:rFonts w:eastAsia="Times New Roman"/>
        </w:rPr>
      </w:pPr>
      <w:r>
        <w:rPr>
          <w:rFonts w:eastAsia="Times New Roman"/>
          <w:color w:val="000000"/>
          <w:sz w:val="20"/>
          <w:szCs w:val="20"/>
        </w:rPr>
        <w:t>11</w:t>
      </w:r>
    </w:p>
    <w:p w:rsidR="00000000" w:rsidRDefault="008214AA">
      <w:pPr>
        <w:rPr>
          <w:rFonts w:eastAsia="Times New Roman"/>
        </w:rPr>
      </w:pPr>
      <w:r>
        <w:rPr>
          <w:rFonts w:eastAsia="Times New Roman"/>
        </w:rPr>
        <w:pict>
          <v:rect id="_x0000_i1036" style="width:0;height:1.5pt" o:hralign="center" o:hrstd="t" o:hr="t" fillcolor="#a0a0a0" stroked="f"/>
        </w:pict>
      </w:r>
    </w:p>
    <w:p w:rsidR="00000000" w:rsidRDefault="008214AA">
      <w:pPr>
        <w:ind w:firstLine="720"/>
        <w:divId w:val="1412502888"/>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844786121"/>
        <w:rPr>
          <w:rFonts w:eastAsia="Times New Roman"/>
        </w:rPr>
      </w:pPr>
      <w:r>
        <w:rPr>
          <w:rFonts w:eastAsia="Times New Roman"/>
          <w:b/>
          <w:bCs/>
          <w:color w:val="000000"/>
          <w:sz w:val="20"/>
          <w:szCs w:val="20"/>
        </w:rPr>
        <w:t>NCR Corporation</w:t>
      </w:r>
    </w:p>
    <w:p w:rsidR="00000000" w:rsidRDefault="008214AA">
      <w:pPr>
        <w:jc w:val="center"/>
        <w:divId w:val="844786121"/>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r>
        <w:rPr>
          <w:rFonts w:eastAsia="Times New Roman"/>
          <w:color w:val="000000"/>
          <w:sz w:val="20"/>
          <w:szCs w:val="20"/>
        </w:rPr>
        <w:t>date in accordance with Accounting Standard Codifica</w:t>
      </w:r>
      <w:r>
        <w:rPr>
          <w:rFonts w:eastAsia="Times New Roman"/>
          <w:color w:val="000000"/>
          <w:sz w:val="20"/>
          <w:szCs w:val="20"/>
        </w:rPr>
        <w:t xml:space="preserve">tion (“ASC”) 606, </w:t>
      </w:r>
      <w:r>
        <w:rPr>
          <w:rFonts w:eastAsia="Times New Roman"/>
          <w:i/>
          <w:iCs/>
          <w:color w:val="000000"/>
          <w:sz w:val="20"/>
          <w:szCs w:val="20"/>
        </w:rPr>
        <w:t>Revenue from Contracts with Customers</w:t>
      </w:r>
      <w:r>
        <w:rPr>
          <w:rFonts w:eastAsia="Times New Roman"/>
          <w:color w:val="000000"/>
          <w:sz w:val="20"/>
          <w:szCs w:val="20"/>
        </w:rPr>
        <w:t>. Prior to the issuance of this guidance, contract assets and contract liabilities were recognized by the acquirer at fair value on the acquisition date. The accounting standards update is effective fo</w:t>
      </w:r>
      <w:r>
        <w:rPr>
          <w:rFonts w:eastAsia="Times New Roman"/>
          <w:color w:val="000000"/>
          <w:sz w:val="20"/>
          <w:szCs w:val="20"/>
        </w:rPr>
        <w:t>r fiscal years, and interim periods within those fiscal years, beginning after December 15, 2022, with early adoption permitted and should be applied prospectively to acquisitions occurring on or after the effective date. The Company does not expect to ear</w:t>
      </w:r>
      <w:r>
        <w:rPr>
          <w:rFonts w:eastAsia="Times New Roman"/>
          <w:color w:val="000000"/>
          <w:sz w:val="20"/>
          <w:szCs w:val="20"/>
        </w:rPr>
        <w:t xml:space="preserve">ly adopt the new accounting standards update. The adoption of this accounting standards update is not expected to have a material effect on the Company's net income, cash flows, earnings per share or financial condition.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Although there are several other</w:t>
      </w:r>
      <w:r>
        <w:rPr>
          <w:rFonts w:eastAsia="Times New Roman"/>
          <w:color w:val="000000"/>
          <w:sz w:val="20"/>
          <w:szCs w:val="20"/>
        </w:rPr>
        <w:t xml:space="preserve"> new accounting pronouncements issued by the FASB and not yet adopted by or effective for the Company, the Company does not believe any of these accounting pronouncements will have a material impact on its consolidated financial statements.</w:t>
      </w:r>
    </w:p>
    <w:p w:rsidR="00000000" w:rsidRDefault="008214AA">
      <w:pPr>
        <w:divId w:val="1583837524"/>
        <w:rPr>
          <w:rFonts w:eastAsia="Times New Roman"/>
        </w:rPr>
      </w:pPr>
    </w:p>
    <w:p w:rsidR="00000000" w:rsidRDefault="008214AA">
      <w:pPr>
        <w:divId w:val="1027170771"/>
        <w:rPr>
          <w:rFonts w:eastAsia="Times New Roman"/>
        </w:rPr>
      </w:pPr>
    </w:p>
    <w:p w:rsidR="00000000" w:rsidRDefault="008214AA">
      <w:pPr>
        <w:divId w:val="83691471"/>
        <w:rPr>
          <w:rFonts w:eastAsia="Times New Roman"/>
        </w:rPr>
      </w:pPr>
      <w:r>
        <w:rPr>
          <w:rFonts w:eastAsia="Times New Roman"/>
          <w:b/>
          <w:bCs/>
          <w:color w:val="54B948"/>
          <w:sz w:val="20"/>
          <w:szCs w:val="20"/>
        </w:rPr>
        <w:t>2. BUSINESS</w:t>
      </w:r>
      <w:r>
        <w:rPr>
          <w:rFonts w:eastAsia="Times New Roman"/>
          <w:b/>
          <w:bCs/>
          <w:color w:val="54B948"/>
          <w:sz w:val="20"/>
          <w:szCs w:val="20"/>
        </w:rPr>
        <w:t xml:space="preserve"> COMBINATIONS</w:t>
      </w:r>
    </w:p>
    <w:p w:rsidR="00000000" w:rsidRDefault="008214AA">
      <w:pPr>
        <w:divId w:val="471407285"/>
        <w:rPr>
          <w:rFonts w:eastAsia="Times New Roman"/>
        </w:rPr>
      </w:pPr>
    </w:p>
    <w:p w:rsidR="00000000" w:rsidRDefault="008214AA">
      <w:pPr>
        <w:divId w:val="879127729"/>
        <w:rPr>
          <w:rFonts w:eastAsia="Times New Roman"/>
        </w:rPr>
      </w:pPr>
      <w:r>
        <w:rPr>
          <w:rFonts w:eastAsia="Times New Roman"/>
          <w:b/>
          <w:bCs/>
          <w:color w:val="000000"/>
          <w:sz w:val="20"/>
          <w:szCs w:val="20"/>
        </w:rPr>
        <w:t>Acquisition of LibertyX (2022)</w:t>
      </w:r>
    </w:p>
    <w:p w:rsidR="00000000" w:rsidRDefault="008214AA">
      <w:pPr>
        <w:divId w:val="2053193365"/>
        <w:rPr>
          <w:rFonts w:eastAsia="Times New Roman"/>
        </w:rPr>
      </w:pPr>
    </w:p>
    <w:p w:rsidR="00000000" w:rsidRDefault="008214AA">
      <w:pPr>
        <w:jc w:val="both"/>
        <w:rPr>
          <w:rFonts w:eastAsia="Times New Roman"/>
        </w:rPr>
      </w:pPr>
      <w:r>
        <w:rPr>
          <w:rFonts w:eastAsia="Times New Roman"/>
          <w:color w:val="000000"/>
          <w:sz w:val="20"/>
          <w:szCs w:val="20"/>
        </w:rPr>
        <w:t>On January 5, 2022, NCR completed its acquisition of Moon Inc., dba LibertyX, a leading cryptocurrency software provider, with the goal of enabling NCR to provide a complete digital currency solution, including the ability to buy and sell cryptocurrency, c</w:t>
      </w:r>
      <w:r>
        <w:rPr>
          <w:rFonts w:eastAsia="Times New Roman"/>
          <w:color w:val="000000"/>
          <w:sz w:val="20"/>
          <w:szCs w:val="20"/>
        </w:rPr>
        <w:t>onduct cross-border remittance, and accept digital currency payments across digital and physical channels. The Company purchased all outstanding shares of LibertyX for $1 million cash consideration and approximately 1.4 million shares of the Company's comm</w:t>
      </w:r>
      <w:r>
        <w:rPr>
          <w:rFonts w:eastAsia="Times New Roman"/>
          <w:color w:val="000000"/>
          <w:sz w:val="20"/>
          <w:szCs w:val="20"/>
        </w:rPr>
        <w:t>on stock at a price of $42.13 per share. The Company also converted approximately 0.2 million outstanding unvested LibertyX option awards into NCR awards pursuant to an exchange ratio as defined in the acquisition agreement. LibertyX stock option awards we</w:t>
      </w:r>
      <w:r>
        <w:rPr>
          <w:rFonts w:eastAsia="Times New Roman"/>
          <w:color w:val="000000"/>
          <w:sz w:val="20"/>
          <w:szCs w:val="20"/>
        </w:rPr>
        <w:t>re converted into NCR stock option awards with an exercise price per share for option awards equal to the exercise price per share of such stock option award immediately prior to the completion of the acquisition divided by the exchange ratio, and vested i</w:t>
      </w:r>
      <w:r>
        <w:rPr>
          <w:rFonts w:eastAsia="Times New Roman"/>
          <w:color w:val="000000"/>
          <w:sz w:val="20"/>
          <w:szCs w:val="20"/>
        </w:rPr>
        <w:t>mmediately. The value of the option awards was deemed attributable to services already rendered and was included as a portion of the purchase price. Total purchase consideration for the LibertyX acquisition was approximately $69 million. As a result of the</w:t>
      </w:r>
      <w:r>
        <w:rPr>
          <w:rFonts w:eastAsia="Times New Roman"/>
          <w:color w:val="000000"/>
          <w:sz w:val="20"/>
          <w:szCs w:val="20"/>
        </w:rPr>
        <w:t xml:space="preserve"> acquisition, LibertyX became a wholly-owned subsidiary of NCR.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Recording of Assets Acquired and Liabilities Assumed</w:t>
      </w:r>
      <w:r>
        <w:rPr>
          <w:rFonts w:eastAsia="Times New Roman"/>
          <w:color w:val="000000"/>
          <w:sz w:val="20"/>
          <w:szCs w:val="20"/>
        </w:rPr>
        <w:t xml:space="preserve"> The fair value of consideration transferred was allocated to the identifiable assets acquired and liabilities assumed based upon their e</w:t>
      </w:r>
      <w:r>
        <w:rPr>
          <w:rFonts w:eastAsia="Times New Roman"/>
          <w:color w:val="000000"/>
          <w:sz w:val="20"/>
          <w:szCs w:val="20"/>
        </w:rPr>
        <w:t xml:space="preserve">stimated fair values as of the date of the acquisition as set forth below. The provisional amounts for intangible assets are based on third-party valuations performed. The allocation of the purchase price is provisional as of September 30, 2022 and may be </w:t>
      </w:r>
      <w:r>
        <w:rPr>
          <w:rFonts w:eastAsia="Times New Roman"/>
          <w:color w:val="000000"/>
          <w:sz w:val="20"/>
          <w:szCs w:val="20"/>
        </w:rPr>
        <w:t xml:space="preserve">subject to future adjustments, within the measurement period, as the Company obtains additional information to finalize the accounting for the business combination, including additional refinement to finalize valuations, among other items. The preliminary </w:t>
      </w:r>
      <w:r>
        <w:rPr>
          <w:rFonts w:eastAsia="Times New Roman"/>
          <w:color w:val="000000"/>
          <w:sz w:val="20"/>
          <w:szCs w:val="20"/>
        </w:rPr>
        <w:t>allocation of the purchase price is as follows:</w:t>
      </w:r>
    </w:p>
    <w:p w:rsidR="00000000" w:rsidRDefault="008214AA">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6956"/>
        <w:gridCol w:w="39"/>
        <w:gridCol w:w="121"/>
        <w:gridCol w:w="1054"/>
        <w:gridCol w:w="36"/>
      </w:tblGrid>
      <w:tr w:rsidR="00000000">
        <w:tc>
          <w:tcPr>
            <w:tcW w:w="50" w:type="pct"/>
            <w:vAlign w:val="center"/>
            <w:hideMark/>
          </w:tcPr>
          <w:p w:rsidR="00000000" w:rsidRDefault="008214AA">
            <w:pPr>
              <w:jc w:val="both"/>
              <w:rPr>
                <w:rFonts w:eastAsia="Times New Roman"/>
              </w:rPr>
            </w:pPr>
          </w:p>
        </w:tc>
        <w:tc>
          <w:tcPr>
            <w:tcW w:w="423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5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Fair Value</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Tangible assets acquired</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3</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Acquired intangible assets other than goodwill</w:t>
            </w: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38</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Acquired goodwill</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41</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(11)</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Liabilities assumed</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b/>
                <w:bCs/>
                <w:color w:val="000000"/>
                <w:sz w:val="20"/>
                <w:szCs w:val="20"/>
              </w:rPr>
              <w:t>Total purchase consideration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Goodwill represents the future economic benefits arising from other assets acquired that could not be individually separately recognized. The goodwill arising from the acquisition consists of revenue and cost synergies expected from combining the operation</w:t>
      </w:r>
      <w:r>
        <w:rPr>
          <w:rFonts w:eastAsia="Times New Roman"/>
          <w:color w:val="000000"/>
          <w:sz w:val="20"/>
          <w:szCs w:val="20"/>
        </w:rPr>
        <w:t xml:space="preserve">s of NCR and LibertyX and is not deductible for tax purposes. The goodwill arising from the LibertyX acquisition has been allocated to our Payments &amp; Network segment. Refer to Note 3, “Goodwill and Purchased Intangible Assets”, for the carrying amounts of </w:t>
      </w:r>
      <w:r>
        <w:rPr>
          <w:rFonts w:eastAsia="Times New Roman"/>
          <w:color w:val="000000"/>
          <w:sz w:val="20"/>
          <w:szCs w:val="20"/>
        </w:rPr>
        <w:t xml:space="preserve">goodwill by segment. </w:t>
      </w: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center"/>
        <w:divId w:val="2104951607"/>
        <w:rPr>
          <w:rFonts w:eastAsia="Times New Roman"/>
        </w:rPr>
      </w:pPr>
      <w:r>
        <w:rPr>
          <w:rFonts w:eastAsia="Times New Roman"/>
          <w:color w:val="000000"/>
          <w:sz w:val="20"/>
          <w:szCs w:val="20"/>
        </w:rPr>
        <w:t>12</w:t>
      </w:r>
    </w:p>
    <w:p w:rsidR="00000000" w:rsidRDefault="008214AA">
      <w:pPr>
        <w:rPr>
          <w:rFonts w:eastAsia="Times New Roman"/>
        </w:rPr>
      </w:pPr>
      <w:r>
        <w:rPr>
          <w:rFonts w:eastAsia="Times New Roman"/>
        </w:rPr>
        <w:pict>
          <v:rect id="_x0000_i1037" style="width:0;height:1.5pt" o:hralign="center" o:hrstd="t" o:hr="t" fillcolor="#a0a0a0" stroked="f"/>
        </w:pict>
      </w:r>
    </w:p>
    <w:p w:rsidR="00000000" w:rsidRDefault="008214AA">
      <w:pPr>
        <w:ind w:firstLine="720"/>
        <w:divId w:val="1766534612"/>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852645230"/>
        <w:rPr>
          <w:rFonts w:eastAsia="Times New Roman"/>
        </w:rPr>
      </w:pPr>
      <w:r>
        <w:rPr>
          <w:rFonts w:eastAsia="Times New Roman"/>
          <w:b/>
          <w:bCs/>
          <w:color w:val="000000"/>
          <w:sz w:val="20"/>
          <w:szCs w:val="20"/>
        </w:rPr>
        <w:t>NCR Corporation</w:t>
      </w:r>
    </w:p>
    <w:p w:rsidR="00000000" w:rsidRDefault="008214AA">
      <w:pPr>
        <w:jc w:val="center"/>
        <w:divId w:val="852645230"/>
        <w:rPr>
          <w:rFonts w:eastAsia="Times New Roman"/>
        </w:rPr>
      </w:pPr>
      <w:r>
        <w:rPr>
          <w:rFonts w:eastAsia="Times New Roman"/>
          <w:b/>
          <w:bCs/>
          <w:color w:val="000000"/>
          <w:sz w:val="20"/>
          <w:szCs w:val="20"/>
        </w:rPr>
        <w:t>Notes to Condensed Consolidated Financial Statements (Unaudited)—(Continued)</w:t>
      </w:r>
    </w:p>
    <w:p w:rsidR="00000000" w:rsidRDefault="008214AA">
      <w:pPr>
        <w:divId w:val="200945075"/>
        <w:rPr>
          <w:rFonts w:eastAsia="Times New Roman"/>
        </w:rPr>
      </w:pPr>
      <w:r>
        <w:rPr>
          <w:rFonts w:eastAsia="Times New Roman"/>
          <w:color w:val="000000"/>
          <w:sz w:val="20"/>
          <w:szCs w:val="20"/>
        </w:rPr>
        <w:t xml:space="preserve">The following table sets forth the components of the intangible assets acquired as of the acquisition date: </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trPr>
          <w:divId w:val="401567851"/>
          <w:jc w:val="center"/>
        </w:trPr>
        <w:tc>
          <w:tcPr>
            <w:tcW w:w="50" w:type="pct"/>
            <w:vAlign w:val="center"/>
            <w:hideMark/>
          </w:tcPr>
          <w:p w:rsidR="00000000" w:rsidRDefault="008214AA">
            <w:pPr>
              <w:rPr>
                <w:rFonts w:eastAsia="Times New Roman"/>
              </w:rPr>
            </w:pPr>
          </w:p>
        </w:tc>
        <w:tc>
          <w:tcPr>
            <w:tcW w:w="306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85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86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401567851"/>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401567851"/>
          <w:jc w:val="center"/>
        </w:trPr>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 years)</w:t>
            </w:r>
          </w:p>
        </w:tc>
      </w:tr>
      <w:tr w:rsidR="00000000">
        <w:trPr>
          <w:divId w:val="401567851"/>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center"/>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214AA">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10</w:t>
            </w:r>
          </w:p>
        </w:tc>
      </w:tr>
      <w:tr w:rsidR="00000000">
        <w:trPr>
          <w:divId w:val="401567851"/>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13</w:t>
            </w:r>
          </w:p>
        </w:tc>
      </w:tr>
      <w:tr w:rsidR="00000000">
        <w:trPr>
          <w:divId w:val="401567851"/>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xml:space="preserve">Non-compete </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r>
      <w:tr w:rsidR="00000000">
        <w:trPr>
          <w:divId w:val="401567851"/>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2</w:t>
            </w:r>
          </w:p>
        </w:tc>
      </w:tr>
      <w:tr w:rsidR="00000000">
        <w:trPr>
          <w:divId w:val="401567851"/>
          <w:jc w:val="center"/>
        </w:trPr>
        <w:tc>
          <w:tcPr>
            <w:tcW w:w="0" w:type="auto"/>
            <w:gridSpan w:val="3"/>
            <w:shd w:val="clear" w:color="auto" w:fill="CCEE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b/>
                <w:bCs/>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bl>
    <w:p w:rsidR="00000000" w:rsidRDefault="008214AA">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eastAsia="Times New Roman"/>
          <w:color w:val="000000"/>
          <w:sz w:val="18"/>
          <w:szCs w:val="18"/>
        </w:rPr>
        <w:t>ets with definite lives is recognized over the period of time the assets are expected to contribute to future cash flows.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operating results of LibertyX have been included within NCR's results since the closing date of the acquisition. Supplemental pr</w:t>
      </w:r>
      <w:r>
        <w:rPr>
          <w:rFonts w:eastAsia="Times New Roman"/>
          <w:color w:val="000000"/>
          <w:sz w:val="20"/>
          <w:szCs w:val="20"/>
        </w:rPr>
        <w:t xml:space="preserve">o forma information and actual revenue and earnings since the acquisition date have not been provided as the acquisition did not have a material impact on the Company's Condensed Consolidated Statements of Operations. </w:t>
      </w:r>
    </w:p>
    <w:p w:rsidR="00000000" w:rsidRDefault="008214AA">
      <w:pPr>
        <w:divId w:val="1923488480"/>
        <w:rPr>
          <w:rFonts w:eastAsia="Times New Roman"/>
        </w:rPr>
      </w:pPr>
    </w:p>
    <w:p w:rsidR="00000000" w:rsidRDefault="008214AA">
      <w:pPr>
        <w:divId w:val="366374872"/>
        <w:rPr>
          <w:rFonts w:eastAsia="Times New Roman"/>
        </w:rPr>
      </w:pPr>
      <w:r>
        <w:rPr>
          <w:rFonts w:eastAsia="Times New Roman"/>
          <w:b/>
          <w:bCs/>
          <w:color w:val="000000"/>
          <w:sz w:val="20"/>
          <w:szCs w:val="20"/>
        </w:rPr>
        <w:t>Other Acquisitions (2022)</w:t>
      </w:r>
    </w:p>
    <w:p w:rsidR="00000000" w:rsidRDefault="008214AA">
      <w:pPr>
        <w:jc w:val="both"/>
        <w:rPr>
          <w:rFonts w:eastAsia="Times New Roman"/>
        </w:rPr>
      </w:pPr>
      <w:r>
        <w:rPr>
          <w:rFonts w:eastAsia="Times New Roman"/>
          <w:color w:val="000000"/>
          <w:sz w:val="20"/>
          <w:szCs w:val="20"/>
        </w:rPr>
        <w:t>On July 1</w:t>
      </w:r>
      <w:r>
        <w:rPr>
          <w:rFonts w:eastAsia="Times New Roman"/>
          <w:color w:val="000000"/>
          <w:sz w:val="20"/>
          <w:szCs w:val="20"/>
        </w:rPr>
        <w:t>, 2022, NCR completed its acquisition of the India ATM business of FIS Payment Solutions &amp; Services Private Limited for consideration of $19 million, of which $12 million has been paid in cash as of September 30, 2022.</w:t>
      </w:r>
    </w:p>
    <w:p w:rsidR="00000000" w:rsidRDefault="008214AA">
      <w:pPr>
        <w:divId w:val="1795058508"/>
        <w:rPr>
          <w:rFonts w:eastAsia="Times New Roman"/>
        </w:rPr>
      </w:pPr>
    </w:p>
    <w:p w:rsidR="00000000" w:rsidRDefault="008214AA">
      <w:pPr>
        <w:divId w:val="1787195346"/>
        <w:rPr>
          <w:rFonts w:eastAsia="Times New Roman"/>
        </w:rPr>
      </w:pPr>
      <w:r>
        <w:rPr>
          <w:rFonts w:eastAsia="Times New Roman"/>
          <w:b/>
          <w:bCs/>
          <w:color w:val="000000"/>
          <w:sz w:val="20"/>
          <w:szCs w:val="20"/>
        </w:rPr>
        <w:t>Acquisition of Cardtronics plc (202</w:t>
      </w:r>
      <w:r>
        <w:rPr>
          <w:rFonts w:eastAsia="Times New Roman"/>
          <w:b/>
          <w:bCs/>
          <w:color w:val="000000"/>
          <w:sz w:val="20"/>
          <w:szCs w:val="20"/>
        </w:rPr>
        <w:t>1)</w:t>
      </w:r>
    </w:p>
    <w:p w:rsidR="00000000" w:rsidRDefault="008214AA">
      <w:pPr>
        <w:divId w:val="1792282800"/>
        <w:rPr>
          <w:rFonts w:eastAsia="Times New Roman"/>
        </w:rPr>
      </w:pPr>
    </w:p>
    <w:p w:rsidR="00000000" w:rsidRDefault="008214AA">
      <w:pPr>
        <w:jc w:val="both"/>
        <w:rPr>
          <w:rFonts w:eastAsia="Times New Roman"/>
        </w:rPr>
      </w:pPr>
      <w:r>
        <w:rPr>
          <w:rFonts w:eastAsia="Times New Roman"/>
          <w:color w:val="000000"/>
          <w:sz w:val="20"/>
          <w:szCs w:val="20"/>
        </w:rPr>
        <w:t>On June 21, 2021, NCR acquired all outstanding shares of Cardtronics plc (“Cardtronics”) for $39.00 per share (the “Cardtronics Transaction”</w:t>
      </w:r>
      <w:r>
        <w:rPr>
          <w:rFonts w:eastAsia="Times New Roman"/>
          <w:color w:val="000000"/>
          <w:sz w:val="20"/>
          <w:szCs w:val="20"/>
        </w:rPr>
        <w:t>). The fair value of consideration transferred to acquire Cardtronics was allocated to the identifiable assets acquired and liabilities assumed based upon their estimated fair values as of the date of the acquisition. The allocation of the purchase price w</w:t>
      </w:r>
      <w:r>
        <w:rPr>
          <w:rFonts w:eastAsia="Times New Roman"/>
          <w:color w:val="000000"/>
          <w:sz w:val="20"/>
          <w:szCs w:val="20"/>
        </w:rPr>
        <w:t xml:space="preserve">as finalized in June 2022. There have been no material adjustments to the allocation of purchase price since December 31, 2021.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Unaudited Pro forma Information</w:t>
      </w:r>
      <w:r>
        <w:rPr>
          <w:rFonts w:eastAsia="Times New Roman"/>
          <w:color w:val="000000"/>
          <w:sz w:val="20"/>
          <w:szCs w:val="20"/>
        </w:rPr>
        <w:t xml:space="preserve"> The following unaudited pro forma information presents the consolidated results of NCR and Ca</w:t>
      </w:r>
      <w:r>
        <w:rPr>
          <w:rFonts w:eastAsia="Times New Roman"/>
          <w:color w:val="000000"/>
          <w:sz w:val="20"/>
          <w:szCs w:val="20"/>
        </w:rPr>
        <w:t>rdtronics for the three and nine months ended September 30, 2021. The unaudited pro forma information is presented for illustrative purposes only. It is not necessarily indicative of the results of operations of future periods, or the results of operations</w:t>
      </w:r>
      <w:r>
        <w:rPr>
          <w:rFonts w:eastAsia="Times New Roman"/>
          <w:color w:val="000000"/>
          <w:sz w:val="20"/>
          <w:szCs w:val="20"/>
        </w:rPr>
        <w:t xml:space="preserve"> that actually would have been realized had the entities been a single company during the periods presented or the results that the combined company will experience after the acquisition. The unaudited pro forma information does not give effect to the pote</w:t>
      </w:r>
      <w:r>
        <w:rPr>
          <w:rFonts w:eastAsia="Times New Roman"/>
          <w:color w:val="000000"/>
          <w:sz w:val="20"/>
          <w:szCs w:val="20"/>
        </w:rPr>
        <w:t>ntial impact of current financial conditions, regulatory matters or any anticipated synergies, operating efficiencies or cost savings that may be associated with the acquisition. The unaudited pro forma information also does not include any integration cos</w:t>
      </w:r>
      <w:r>
        <w:rPr>
          <w:rFonts w:eastAsia="Times New Roman"/>
          <w:color w:val="000000"/>
          <w:sz w:val="20"/>
          <w:szCs w:val="20"/>
        </w:rPr>
        <w:t>ts or remaining future transaction costs that the companies may incur related to the acquisition as part of combining the operations of the companies.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unaudited pro forma consolidated results of operations, assuming the acquisition had occurred on Ja</w:t>
      </w:r>
      <w:r>
        <w:rPr>
          <w:rFonts w:eastAsia="Times New Roman"/>
          <w:color w:val="000000"/>
          <w:sz w:val="20"/>
          <w:szCs w:val="20"/>
        </w:rPr>
        <w:t>nuary 1, 2020, are as follows:</w:t>
      </w:r>
    </w:p>
    <w:p w:rsidR="00000000" w:rsidRDefault="008214AA">
      <w:pPr>
        <w:divId w:val="91851723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458"/>
        <w:gridCol w:w="37"/>
        <w:gridCol w:w="121"/>
        <w:gridCol w:w="1531"/>
        <w:gridCol w:w="36"/>
        <w:gridCol w:w="36"/>
        <w:gridCol w:w="36"/>
        <w:gridCol w:w="36"/>
        <w:gridCol w:w="36"/>
        <w:gridCol w:w="36"/>
        <w:gridCol w:w="121"/>
        <w:gridCol w:w="1531"/>
        <w:gridCol w:w="36"/>
        <w:gridCol w:w="36"/>
        <w:gridCol w:w="36"/>
        <w:gridCol w:w="36"/>
        <w:gridCol w:w="36"/>
        <w:gridCol w:w="36"/>
        <w:gridCol w:w="36"/>
      </w:tblGrid>
      <w:tr w:rsidR="00000000">
        <w:trPr>
          <w:divId w:val="1135413500"/>
        </w:trPr>
        <w:tc>
          <w:tcPr>
            <w:tcW w:w="50" w:type="pct"/>
            <w:vAlign w:val="center"/>
            <w:hideMark/>
          </w:tcPr>
          <w:p w:rsidR="00000000" w:rsidRDefault="008214AA">
            <w:pPr>
              <w:rPr>
                <w:rFonts w:eastAsia="Times New Roman"/>
              </w:rPr>
            </w:pPr>
          </w:p>
        </w:tc>
        <w:tc>
          <w:tcPr>
            <w:tcW w:w="28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99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99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135413500"/>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r>
      <w:tr w:rsidR="00000000">
        <w:trPr>
          <w:divId w:val="1135413500"/>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8214AA">
            <w:pPr>
              <w:spacing w:after="100"/>
              <w:jc w:val="center"/>
              <w:rPr>
                <w:rFonts w:eastAsia="Times New Roman"/>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135413500"/>
        </w:trPr>
        <w:tc>
          <w:tcPr>
            <w:tcW w:w="0" w:type="auto"/>
            <w:gridSpan w:val="3"/>
            <w:shd w:val="clear" w:color="auto" w:fill="FFFF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214AA">
            <w:pPr>
              <w:spacing w:after="100"/>
              <w:jc w:val="right"/>
              <w:rPr>
                <w:rFonts w:eastAsia="Times New Roman"/>
              </w:rPr>
            </w:pPr>
            <w:r>
              <w:rPr>
                <w:rFonts w:eastAsia="Times New Roman"/>
                <w:b/>
                <w:bCs/>
                <w:color w:val="000000"/>
                <w:sz w:val="20"/>
                <w:szCs w:val="20"/>
              </w:rPr>
              <w:t>1,901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214AA">
            <w:pPr>
              <w:spacing w:after="100"/>
              <w:jc w:val="right"/>
              <w:rPr>
                <w:rFonts w:eastAsia="Times New Roman"/>
              </w:rPr>
            </w:pPr>
            <w:r>
              <w:rPr>
                <w:rFonts w:eastAsia="Times New Roman"/>
                <w:b/>
                <w:bCs/>
                <w:color w:val="000000"/>
                <w:sz w:val="20"/>
                <w:szCs w:val="20"/>
              </w:rPr>
              <w:t>5,632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214AA">
            <w:pPr>
              <w:spacing w:after="100"/>
              <w:jc w:val="right"/>
              <w:rPr>
                <w:rFonts w:eastAsia="Times New Roman"/>
              </w:rPr>
            </w:pPr>
          </w:p>
        </w:tc>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135413500"/>
        </w:trPr>
        <w:tc>
          <w:tcPr>
            <w:tcW w:w="0" w:type="auto"/>
            <w:gridSpan w:val="3"/>
            <w:shd w:val="clear" w:color="auto" w:fill="CCEE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Net Income attributable to NCR</w:t>
            </w: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bl>
    <w:p w:rsidR="00000000" w:rsidRDefault="008214AA">
      <w:pPr>
        <w:divId w:val="699206457"/>
        <w:rPr>
          <w:rFonts w:eastAsia="Times New Roman"/>
        </w:rPr>
      </w:pPr>
    </w:p>
    <w:p w:rsidR="00000000" w:rsidRDefault="008214AA">
      <w:pPr>
        <w:jc w:val="both"/>
        <w:rPr>
          <w:rFonts w:eastAsia="Times New Roman"/>
        </w:rPr>
      </w:pPr>
      <w:r>
        <w:rPr>
          <w:rFonts w:eastAsia="Times New Roman"/>
          <w:color w:val="000000"/>
          <w:sz w:val="20"/>
          <w:szCs w:val="20"/>
        </w:rPr>
        <w:t>The unaudited pro forma results for the nine months ended September 30, 2021 include:</w:t>
      </w:r>
    </w:p>
    <w:p w:rsidR="00000000" w:rsidRDefault="008214AA">
      <w:pPr>
        <w:ind w:hanging="360"/>
        <w:jc w:val="both"/>
        <w:rPr>
          <w:rFonts w:eastAsia="Times New Roman"/>
        </w:rPr>
      </w:pPr>
      <w:r>
        <w:rPr>
          <w:rFonts w:eastAsia="Times New Roman"/>
          <w:color w:val="000000"/>
          <w:sz w:val="20"/>
          <w:szCs w:val="20"/>
        </w:rPr>
        <w:t xml:space="preserve">•$53 </w:t>
      </w:r>
      <w:r>
        <w:rPr>
          <w:rFonts w:eastAsia="Times New Roman"/>
          <w:color w:val="000000"/>
          <w:sz w:val="20"/>
          <w:szCs w:val="20"/>
        </w:rPr>
        <w:t>million in eliminated intercompany revenue and cost between NCR and Cardtronics;</w:t>
      </w:r>
    </w:p>
    <w:p w:rsidR="00000000" w:rsidRDefault="008214AA">
      <w:pPr>
        <w:ind w:hanging="360"/>
        <w:jc w:val="both"/>
        <w:rPr>
          <w:rFonts w:eastAsia="Times New Roman"/>
        </w:rPr>
      </w:pPr>
      <w:r>
        <w:rPr>
          <w:rFonts w:eastAsia="Times New Roman"/>
          <w:color w:val="000000"/>
          <w:sz w:val="20"/>
          <w:szCs w:val="20"/>
        </w:rPr>
        <w:t>•$25 million, net of tax, in additional amortization expense for acquired intangible assets;</w:t>
      </w:r>
    </w:p>
    <w:p w:rsidR="00000000" w:rsidRDefault="008214AA">
      <w:pPr>
        <w:ind w:hanging="360"/>
        <w:jc w:val="both"/>
        <w:rPr>
          <w:rFonts w:eastAsia="Times New Roman"/>
        </w:rPr>
      </w:pPr>
      <w:r>
        <w:rPr>
          <w:rFonts w:eastAsia="Times New Roman"/>
          <w:color w:val="000000"/>
          <w:sz w:val="20"/>
          <w:szCs w:val="20"/>
        </w:rPr>
        <w:t>•$87 million, net of tax, in eliminated transaction costs as if those costs were i</w:t>
      </w:r>
      <w:r>
        <w:rPr>
          <w:rFonts w:eastAsia="Times New Roman"/>
          <w:color w:val="000000"/>
          <w:sz w:val="20"/>
          <w:szCs w:val="20"/>
        </w:rPr>
        <w:t>ncurred in the prior year period; and</w:t>
      </w:r>
    </w:p>
    <w:p w:rsidR="00000000" w:rsidRDefault="008214AA">
      <w:pPr>
        <w:ind w:hanging="360"/>
        <w:jc w:val="both"/>
        <w:rPr>
          <w:rFonts w:eastAsia="Times New Roman"/>
        </w:rPr>
      </w:pPr>
      <w:r>
        <w:rPr>
          <w:rFonts w:eastAsia="Times New Roman"/>
          <w:color w:val="000000"/>
          <w:sz w:val="20"/>
          <w:szCs w:val="20"/>
          <w:shd w:val="clear" w:color="auto" w:fill="FFFFFF"/>
        </w:rPr>
        <w:t>•</w:t>
      </w:r>
      <w:r>
        <w:rPr>
          <w:rFonts w:eastAsia="Times New Roman"/>
          <w:color w:val="000000"/>
          <w:sz w:val="20"/>
          <w:szCs w:val="20"/>
        </w:rPr>
        <w:t>$35 million, net of tax, in additional interest expense from the incremental borrowings under the Senior Secured Credit Facility as well as the 5.125%</w:t>
      </w:r>
      <w:r>
        <w:rPr>
          <w:rFonts w:eastAsia="Times New Roman"/>
          <w:color w:val="000000"/>
          <w:sz w:val="20"/>
          <w:szCs w:val="20"/>
          <w:shd w:val="clear" w:color="auto" w:fill="FFFFFF"/>
        </w:rPr>
        <w:t xml:space="preserve"> senior notes</w:t>
      </w:r>
      <w:r>
        <w:rPr>
          <w:rFonts w:eastAsia="Times New Roman"/>
          <w:color w:val="000000"/>
          <w:sz w:val="20"/>
          <w:szCs w:val="20"/>
        </w:rPr>
        <w:t>.</w:t>
      </w:r>
    </w:p>
    <w:p w:rsidR="00000000" w:rsidRDefault="008214AA">
      <w:pPr>
        <w:jc w:val="both"/>
        <w:rPr>
          <w:rFonts w:eastAsia="Times New Roman"/>
        </w:rPr>
      </w:pPr>
    </w:p>
    <w:p w:rsidR="00000000" w:rsidRDefault="008214AA">
      <w:pPr>
        <w:jc w:val="center"/>
        <w:divId w:val="547760781"/>
        <w:rPr>
          <w:rFonts w:eastAsia="Times New Roman"/>
        </w:rPr>
      </w:pPr>
      <w:r>
        <w:rPr>
          <w:rFonts w:eastAsia="Times New Roman"/>
          <w:color w:val="000000"/>
          <w:sz w:val="20"/>
          <w:szCs w:val="20"/>
        </w:rPr>
        <w:t>13</w:t>
      </w:r>
    </w:p>
    <w:p w:rsidR="00000000" w:rsidRDefault="008214AA">
      <w:pPr>
        <w:rPr>
          <w:rFonts w:eastAsia="Times New Roman"/>
        </w:rPr>
      </w:pPr>
      <w:r>
        <w:rPr>
          <w:rFonts w:eastAsia="Times New Roman"/>
        </w:rPr>
        <w:pict>
          <v:rect id="_x0000_i1038" style="width:0;height:1.5pt" o:hralign="center" o:hrstd="t" o:hr="t" fillcolor="#a0a0a0" stroked="f"/>
        </w:pict>
      </w:r>
    </w:p>
    <w:p w:rsidR="00000000" w:rsidRDefault="008214AA">
      <w:pPr>
        <w:ind w:firstLine="720"/>
        <w:divId w:val="1768036646"/>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380979498"/>
        <w:rPr>
          <w:rFonts w:eastAsia="Times New Roman"/>
        </w:rPr>
      </w:pPr>
      <w:r>
        <w:rPr>
          <w:rFonts w:eastAsia="Times New Roman"/>
          <w:b/>
          <w:bCs/>
          <w:color w:val="000000"/>
          <w:sz w:val="20"/>
          <w:szCs w:val="20"/>
        </w:rPr>
        <w:t>NCR Corporation</w:t>
      </w:r>
    </w:p>
    <w:p w:rsidR="00000000" w:rsidRDefault="008214AA">
      <w:pPr>
        <w:jc w:val="center"/>
        <w:divId w:val="1380979498"/>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p>
    <w:p w:rsidR="00000000" w:rsidRDefault="008214AA">
      <w:pPr>
        <w:divId w:val="1307514180"/>
        <w:rPr>
          <w:rFonts w:eastAsia="Times New Roman"/>
        </w:rPr>
      </w:pPr>
      <w:r>
        <w:rPr>
          <w:rFonts w:eastAsia="Times New Roman"/>
          <w:b/>
          <w:bCs/>
          <w:color w:val="54B948"/>
          <w:sz w:val="20"/>
          <w:szCs w:val="20"/>
        </w:rPr>
        <w:t>3. GOODWILL AND PURCHASED INTANGIBLE ASSETS</w:t>
      </w:r>
      <w:r>
        <w:rPr>
          <w:rFonts w:eastAsia="Times New Roman"/>
          <w:b/>
          <w:bCs/>
          <w:color w:val="000000"/>
          <w:sz w:val="20"/>
          <w:szCs w:val="20"/>
        </w:rPr>
        <w:t xml:space="preserve"> </w:t>
      </w:r>
    </w:p>
    <w:p w:rsidR="00000000" w:rsidRDefault="008214AA">
      <w:pPr>
        <w:divId w:val="1761170981"/>
        <w:rPr>
          <w:rFonts w:eastAsia="Times New Roman"/>
        </w:rPr>
      </w:pPr>
    </w:p>
    <w:p w:rsidR="00000000" w:rsidRDefault="008214AA">
      <w:pPr>
        <w:jc w:val="both"/>
        <w:rPr>
          <w:rFonts w:eastAsia="Times New Roman"/>
        </w:rPr>
      </w:pPr>
      <w:r>
        <w:rPr>
          <w:rFonts w:eastAsia="Times New Roman"/>
          <w:i/>
          <w:iCs/>
          <w:color w:val="000000"/>
          <w:sz w:val="20"/>
          <w:szCs w:val="20"/>
        </w:rPr>
        <w:t xml:space="preserve">Goodwill by Segment </w:t>
      </w:r>
      <w:r>
        <w:rPr>
          <w:rFonts w:eastAsia="Times New Roman"/>
          <w:color w:val="000000"/>
          <w:sz w:val="20"/>
          <w:szCs w:val="20"/>
        </w:rPr>
        <w:t>As described in Note 1, “</w:t>
      </w:r>
      <w:r>
        <w:rPr>
          <w:rFonts w:eastAsia="Times New Roman"/>
          <w:color w:val="000000"/>
          <w:sz w:val="20"/>
          <w:szCs w:val="20"/>
        </w:rPr>
        <w:t xml:space="preserve">Basis of Presentation and Summary of Significant Accounting Policies”, effective January 1, 2022, the Company realigned its reportable segments to correspond with changes to its operating model, management structure and organizational responsibilities. In </w:t>
      </w:r>
      <w:r>
        <w:rPr>
          <w:rFonts w:eastAsia="Times New Roman"/>
          <w:color w:val="000000"/>
          <w:sz w:val="20"/>
          <w:szCs w:val="20"/>
        </w:rPr>
        <w:t>connection with the change in reportable segments, during the first quarter of 2022, the Company determined its reporting units and then assigned goodwill to the new reporting units based on the relative fair value allocation approach. We have reclassified</w:t>
      </w:r>
      <w:r>
        <w:rPr>
          <w:rFonts w:eastAsia="Times New Roman"/>
          <w:color w:val="000000"/>
          <w:sz w:val="20"/>
          <w:szCs w:val="20"/>
        </w:rPr>
        <w:t xml:space="preserve"> prior period goodwill disclosures to conform to the current period presentation.</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carrying amounts of goodwill by segment as of September 30, 2022 and December 31, 2021 are included in the table below. Foreign currency fluctuations are included withi</w:t>
      </w:r>
      <w:r>
        <w:rPr>
          <w:rFonts w:eastAsia="Times New Roman"/>
          <w:color w:val="000000"/>
          <w:sz w:val="20"/>
          <w:szCs w:val="20"/>
        </w:rPr>
        <w:t>n other adjustments</w:t>
      </w:r>
      <w:r>
        <w:rPr>
          <w:rFonts w:eastAsia="Times New Roman"/>
          <w:color w:val="000000"/>
          <w:sz w:val="16"/>
          <w:szCs w:val="16"/>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9"/>
        <w:gridCol w:w="876"/>
        <w:gridCol w:w="36"/>
        <w:gridCol w:w="121"/>
        <w:gridCol w:w="581"/>
        <w:gridCol w:w="36"/>
        <w:gridCol w:w="121"/>
        <w:gridCol w:w="846"/>
        <w:gridCol w:w="36"/>
        <w:gridCol w:w="120"/>
        <w:gridCol w:w="500"/>
        <w:gridCol w:w="36"/>
        <w:gridCol w:w="36"/>
        <w:gridCol w:w="36"/>
        <w:gridCol w:w="36"/>
        <w:gridCol w:w="36"/>
        <w:gridCol w:w="36"/>
        <w:gridCol w:w="121"/>
        <w:gridCol w:w="606"/>
        <w:gridCol w:w="36"/>
        <w:gridCol w:w="36"/>
        <w:gridCol w:w="36"/>
        <w:gridCol w:w="36"/>
        <w:gridCol w:w="121"/>
        <w:gridCol w:w="763"/>
        <w:gridCol w:w="36"/>
        <w:gridCol w:w="36"/>
        <w:gridCol w:w="36"/>
        <w:gridCol w:w="36"/>
        <w:gridCol w:w="120"/>
        <w:gridCol w:w="334"/>
        <w:gridCol w:w="36"/>
        <w:gridCol w:w="36"/>
        <w:gridCol w:w="36"/>
        <w:gridCol w:w="36"/>
        <w:gridCol w:w="121"/>
        <w:gridCol w:w="576"/>
        <w:gridCol w:w="36"/>
        <w:gridCol w:w="121"/>
        <w:gridCol w:w="846"/>
        <w:gridCol w:w="36"/>
        <w:gridCol w:w="120"/>
        <w:gridCol w:w="500"/>
        <w:gridCol w:w="36"/>
      </w:tblGrid>
      <w:tr w:rsidR="00000000">
        <w:trPr>
          <w:divId w:val="219634453"/>
          <w:jc w:val="center"/>
        </w:trPr>
        <w:tc>
          <w:tcPr>
            <w:tcW w:w="50" w:type="pct"/>
            <w:vAlign w:val="center"/>
            <w:hideMark/>
          </w:tcPr>
          <w:p w:rsidR="00000000" w:rsidRDefault="008214AA">
            <w:pPr>
              <w:jc w:val="both"/>
              <w:rPr>
                <w:rFonts w:eastAsia="Times New Roman"/>
              </w:rPr>
            </w:pPr>
          </w:p>
        </w:tc>
        <w:tc>
          <w:tcPr>
            <w:tcW w:w="9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9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6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9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3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0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6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6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219634453"/>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 2022</w:t>
            </w:r>
          </w:p>
        </w:tc>
      </w:tr>
      <w:tr w:rsidR="00000000">
        <w:trPr>
          <w:divId w:val="219634453"/>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Impairment</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r>
      <w:tr w:rsidR="00000000">
        <w:trPr>
          <w:divId w:val="219634453"/>
          <w:jc w:val="center"/>
        </w:trPr>
        <w:tc>
          <w:tcPr>
            <w:tcW w:w="0" w:type="auto"/>
            <w:gridSpan w:val="3"/>
            <w:vAlign w:val="center"/>
            <w:hideMark/>
          </w:tcPr>
          <w:p w:rsidR="00000000" w:rsidRDefault="008214AA">
            <w:pPr>
              <w:spacing w:after="100"/>
              <w:jc w:val="center"/>
              <w:rPr>
                <w:rFonts w:eastAsia="Times New Roman"/>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8214AA">
        <w:trPr>
          <w:divId w:val="21963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Retail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963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963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Digital Banking</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963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Payments &amp; Network</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963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Self-Service Banking</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19634453"/>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divId w:val="1810127307"/>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8214AA">
        <w:trPr>
          <w:divId w:val="219634453"/>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4,688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4,519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4,741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4,572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Other segment includes the goodwill associated with ou</w:t>
      </w:r>
      <w:r>
        <w:rPr>
          <w:rFonts w:eastAsia="Times New Roman"/>
          <w:color w:val="000000"/>
          <w:sz w:val="18"/>
          <w:szCs w:val="18"/>
        </w:rPr>
        <w:t>r Technology &amp; Telecommunications reporting unit.</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Additions during the nine months ended September 30, 2022 include immaterial purchase accounting adjustments related to the Cardtronics acquisition as well as the goodwill acquired through the LibertyX tr</w:t>
      </w:r>
      <w:r>
        <w:rPr>
          <w:rFonts w:eastAsia="Times New Roman"/>
          <w:color w:val="000000"/>
          <w:sz w:val="20"/>
          <w:szCs w:val="20"/>
        </w:rPr>
        <w:t>ansaction on January 5, 2022. For additional information on these business combinations, refer to Note 2, “Business Combinations”.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Due to the change in reportable segments, management performed an interim goodwill impairment analysis immediately before a</w:t>
      </w:r>
      <w:r>
        <w:rPr>
          <w:rFonts w:eastAsia="Times New Roman"/>
          <w:color w:val="000000"/>
          <w:sz w:val="20"/>
          <w:szCs w:val="20"/>
        </w:rPr>
        <w:t>nd as of the effective date of January 1, 2022. The assessment as of December 31, 2021 was performed based on a qualitative assessment of the historical Banking, Retail, Hospitality and Telecommunications &amp; Technology reporting units. No impairment was ide</w:t>
      </w:r>
      <w:r>
        <w:rPr>
          <w:rFonts w:eastAsia="Times New Roman"/>
          <w:color w:val="000000"/>
          <w:sz w:val="20"/>
          <w:szCs w:val="20"/>
        </w:rPr>
        <w:t>ntified. The assessment as of January 1, 2022 was performed using a weighted combination of both guideline public company and discounted cash flow valuation methods. This assessment included, but was not limited to, our consideration of the potential impac</w:t>
      </w:r>
      <w:r>
        <w:rPr>
          <w:rFonts w:eastAsia="Times New Roman"/>
          <w:color w:val="000000"/>
          <w:sz w:val="20"/>
          <w:szCs w:val="20"/>
        </w:rPr>
        <w:t>ts of the COVID-19 pandemic to the current and future cash flows, as well as macroeconomic conditions, industry and market considerations, and financial performance, including forecasted revenue, earnings and capital expenditures of each reporting unit. Ba</w:t>
      </w:r>
      <w:r>
        <w:rPr>
          <w:rFonts w:eastAsia="Times New Roman"/>
          <w:color w:val="000000"/>
          <w:sz w:val="20"/>
          <w:szCs w:val="20"/>
        </w:rPr>
        <w:t>sed on this analysis, it was determined that the fair value of all reporting units were substantially in excess of the carrying value. However, if the actual results differ from our expectations for any of our reporting units, there is a possibility we wou</w:t>
      </w:r>
      <w:r>
        <w:rPr>
          <w:rFonts w:eastAsia="Times New Roman"/>
          <w:color w:val="000000"/>
          <w:sz w:val="20"/>
          <w:szCs w:val="20"/>
        </w:rPr>
        <w:t>ld have to perform additional interim impairment tests, which could lead to an impairment of goodwill or other assets.</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 xml:space="preserve">Identifiable Intangible Assets </w:t>
      </w:r>
      <w:r>
        <w:rPr>
          <w:rFonts w:eastAsia="Times New Roman"/>
          <w:color w:val="000000"/>
          <w:sz w:val="20"/>
          <w:szCs w:val="20"/>
        </w:rPr>
        <w:t xml:space="preserve">NCR's purchased intangible assets, reported in Intangibles, net in the Condensed Consolidated Balance Sheets, were specifically identified when acquired, and are deemed to have finite lives. The gross carrying amount and accumulated amortization for NCR’s </w:t>
      </w:r>
      <w:r>
        <w:rPr>
          <w:rFonts w:eastAsia="Times New Roman"/>
          <w:color w:val="000000"/>
          <w:sz w:val="20"/>
          <w:szCs w:val="20"/>
        </w:rPr>
        <w:t xml:space="preserve">identifiable intangible assets were as set forth in the table below. </w:t>
      </w:r>
    </w:p>
    <w:p w:rsidR="00000000" w:rsidRDefault="008214AA">
      <w:pPr>
        <w:jc w:val="center"/>
        <w:divId w:val="1687292122"/>
        <w:rPr>
          <w:rFonts w:eastAsia="Times New Roman"/>
        </w:rPr>
      </w:pPr>
      <w:r>
        <w:rPr>
          <w:rFonts w:eastAsia="Times New Roman"/>
          <w:color w:val="000000"/>
          <w:sz w:val="20"/>
          <w:szCs w:val="20"/>
        </w:rPr>
        <w:t>14</w:t>
      </w:r>
    </w:p>
    <w:p w:rsidR="00000000" w:rsidRDefault="008214AA">
      <w:pPr>
        <w:rPr>
          <w:rFonts w:eastAsia="Times New Roman"/>
        </w:rPr>
      </w:pPr>
      <w:r>
        <w:rPr>
          <w:rFonts w:eastAsia="Times New Roman"/>
        </w:rPr>
        <w:pict>
          <v:rect id="_x0000_i1039" style="width:0;height:1.5pt" o:hralign="center" o:hrstd="t" o:hr="t" fillcolor="#a0a0a0" stroked="f"/>
        </w:pict>
      </w:r>
    </w:p>
    <w:p w:rsidR="00000000" w:rsidRDefault="008214AA">
      <w:pPr>
        <w:ind w:firstLine="720"/>
        <w:divId w:val="1637444276"/>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639310280"/>
        <w:rPr>
          <w:rFonts w:eastAsia="Times New Roman"/>
        </w:rPr>
      </w:pPr>
      <w:r>
        <w:rPr>
          <w:rFonts w:eastAsia="Times New Roman"/>
          <w:b/>
          <w:bCs/>
          <w:color w:val="000000"/>
          <w:sz w:val="20"/>
          <w:szCs w:val="20"/>
        </w:rPr>
        <w:t>NCR Corporation</w:t>
      </w:r>
    </w:p>
    <w:p w:rsidR="00000000" w:rsidRDefault="008214AA">
      <w:pPr>
        <w:jc w:val="center"/>
        <w:divId w:val="639310280"/>
        <w:rPr>
          <w:rFonts w:eastAsia="Times New Roman"/>
        </w:rPr>
      </w:pPr>
      <w:r>
        <w:rPr>
          <w:rFonts w:eastAsia="Times New Roman"/>
          <w:b/>
          <w:bCs/>
          <w:color w:val="000000"/>
          <w:sz w:val="20"/>
          <w:szCs w:val="20"/>
        </w:rPr>
        <w:t>Notes to Condensed Consolidated Financial Statements (U</w:t>
      </w:r>
      <w:r>
        <w:rPr>
          <w:rFonts w:eastAsia="Times New Roman"/>
          <w:b/>
          <w:bCs/>
          <w:color w:val="000000"/>
          <w:sz w:val="20"/>
          <w:szCs w:val="20"/>
        </w:rPr>
        <w:t>naudited)—(Continued)</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969"/>
        <w:gridCol w:w="36"/>
        <w:gridCol w:w="81"/>
        <w:gridCol w:w="867"/>
        <w:gridCol w:w="36"/>
        <w:gridCol w:w="36"/>
        <w:gridCol w:w="36"/>
        <w:gridCol w:w="36"/>
        <w:gridCol w:w="121"/>
        <w:gridCol w:w="742"/>
        <w:gridCol w:w="36"/>
        <w:gridCol w:w="36"/>
        <w:gridCol w:w="36"/>
        <w:gridCol w:w="36"/>
        <w:gridCol w:w="121"/>
        <w:gridCol w:w="867"/>
        <w:gridCol w:w="36"/>
        <w:gridCol w:w="36"/>
        <w:gridCol w:w="36"/>
        <w:gridCol w:w="36"/>
        <w:gridCol w:w="121"/>
        <w:gridCol w:w="701"/>
        <w:gridCol w:w="36"/>
        <w:gridCol w:w="36"/>
        <w:gridCol w:w="36"/>
        <w:gridCol w:w="36"/>
        <w:gridCol w:w="121"/>
        <w:gridCol w:w="872"/>
        <w:gridCol w:w="36"/>
      </w:tblGrid>
      <w:tr w:rsidR="00000000">
        <w:trPr>
          <w:jc w:val="center"/>
        </w:trPr>
        <w:tc>
          <w:tcPr>
            <w:tcW w:w="50" w:type="pct"/>
            <w:vAlign w:val="center"/>
            <w:hideMark/>
          </w:tcPr>
          <w:p w:rsidR="00000000" w:rsidRDefault="008214AA">
            <w:pPr>
              <w:jc w:val="center"/>
              <w:rPr>
                <w:rFonts w:eastAsia="Times New Roman"/>
              </w:rPr>
            </w:pPr>
          </w:p>
        </w:tc>
        <w:tc>
          <w:tcPr>
            <w:tcW w:w="182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6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 xml:space="preserve">Amortization </w:t>
            </w:r>
            <w:r>
              <w:rPr>
                <w:rFonts w:eastAsia="Times New Roman"/>
                <w:b/>
                <w:bCs/>
                <w:color w:val="000000"/>
                <w:sz w:val="16"/>
                <w:szCs w:val="16"/>
              </w:rPr>
              <w:br/>
              <w:t>Period</w:t>
            </w:r>
            <w:r>
              <w:rPr>
                <w:rFonts w:eastAsia="Times New Roman"/>
                <w:b/>
                <w:bCs/>
                <w:color w:val="000000"/>
                <w:sz w:val="16"/>
                <w:szCs w:val="16"/>
              </w:rPr>
              <w:br/>
              <w:t>(in Years)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December 31, 2021</w:t>
            </w:r>
          </w:p>
        </w:tc>
      </w:tr>
      <w:tr w:rsidR="00000000">
        <w:trPr>
          <w:trHeight w:val="580"/>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vMerge/>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Accumulated Amortization</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Accumulated Amortization</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Identifiable intangible assets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Reseller &amp; customer relationships</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1 - 20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(449)</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1,126 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Intellectual property</w:t>
            </w: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2 - 8</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(537)</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1,008 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(474)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Customer contracts</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8</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Tradenames</w:t>
            </w: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1 - 10</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(1,167)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2,353 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Amortization expense related to identifiable intangible assets for the following periods is:.</w:t>
      </w:r>
    </w:p>
    <w:tbl>
      <w:tblPr>
        <w:tblW w:w="5000" w:type="pct"/>
        <w:tblCellMar>
          <w:top w:w="15" w:type="dxa"/>
          <w:left w:w="15" w:type="dxa"/>
          <w:bottom w:w="15" w:type="dxa"/>
          <w:right w:w="15" w:type="dxa"/>
        </w:tblCellMar>
        <w:tblLook w:val="04A0" w:firstRow="1" w:lastRow="0" w:firstColumn="1" w:lastColumn="0" w:noHBand="0" w:noVBand="1"/>
      </w:tblPr>
      <w:tblGrid>
        <w:gridCol w:w="38"/>
        <w:gridCol w:w="2737"/>
        <w:gridCol w:w="36"/>
        <w:gridCol w:w="36"/>
        <w:gridCol w:w="36"/>
        <w:gridCol w:w="36"/>
        <w:gridCol w:w="120"/>
        <w:gridCol w:w="1126"/>
        <w:gridCol w:w="36"/>
        <w:gridCol w:w="36"/>
        <w:gridCol w:w="36"/>
        <w:gridCol w:w="36"/>
        <w:gridCol w:w="120"/>
        <w:gridCol w:w="1059"/>
        <w:gridCol w:w="36"/>
        <w:gridCol w:w="36"/>
        <w:gridCol w:w="36"/>
        <w:gridCol w:w="36"/>
        <w:gridCol w:w="120"/>
        <w:gridCol w:w="1127"/>
        <w:gridCol w:w="36"/>
        <w:gridCol w:w="36"/>
        <w:gridCol w:w="36"/>
        <w:gridCol w:w="36"/>
        <w:gridCol w:w="120"/>
        <w:gridCol w:w="1127"/>
        <w:gridCol w:w="36"/>
      </w:tblGrid>
      <w:tr w:rsidR="00000000">
        <w:tc>
          <w:tcPr>
            <w:tcW w:w="50" w:type="pct"/>
            <w:vAlign w:val="center"/>
            <w:hideMark/>
          </w:tcPr>
          <w:p w:rsidR="00000000" w:rsidRDefault="008214AA">
            <w:pPr>
              <w:jc w:val="both"/>
              <w:rPr>
                <w:rFonts w:eastAsia="Times New Roman"/>
              </w:rPr>
            </w:pPr>
          </w:p>
        </w:tc>
        <w:tc>
          <w:tcPr>
            <w:tcW w:w="17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Amortization expense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estimated aggregate amortization expense for identifiable intangible assets for the follow</w:t>
      </w:r>
      <w:r>
        <w:rPr>
          <w:rFonts w:eastAsia="Times New Roman"/>
          <w:color w:val="000000"/>
          <w:sz w:val="20"/>
          <w:szCs w:val="20"/>
        </w:rPr>
        <w:t xml:space="preserve">ing periods is: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374"/>
        <w:gridCol w:w="36"/>
        <w:gridCol w:w="121"/>
        <w:gridCol w:w="877"/>
        <w:gridCol w:w="36"/>
        <w:gridCol w:w="36"/>
        <w:gridCol w:w="36"/>
        <w:gridCol w:w="36"/>
        <w:gridCol w:w="120"/>
        <w:gridCol w:w="695"/>
        <w:gridCol w:w="36"/>
        <w:gridCol w:w="36"/>
        <w:gridCol w:w="36"/>
        <w:gridCol w:w="36"/>
        <w:gridCol w:w="120"/>
        <w:gridCol w:w="695"/>
        <w:gridCol w:w="36"/>
        <w:gridCol w:w="36"/>
        <w:gridCol w:w="36"/>
        <w:gridCol w:w="36"/>
        <w:gridCol w:w="120"/>
        <w:gridCol w:w="695"/>
        <w:gridCol w:w="36"/>
        <w:gridCol w:w="36"/>
        <w:gridCol w:w="36"/>
        <w:gridCol w:w="36"/>
        <w:gridCol w:w="120"/>
        <w:gridCol w:w="720"/>
        <w:gridCol w:w="36"/>
        <w:gridCol w:w="36"/>
        <w:gridCol w:w="36"/>
        <w:gridCol w:w="36"/>
        <w:gridCol w:w="120"/>
        <w:gridCol w:w="699"/>
        <w:gridCol w:w="36"/>
      </w:tblGrid>
      <w:tr w:rsidR="00000000">
        <w:trPr>
          <w:jc w:val="center"/>
        </w:trPr>
        <w:tc>
          <w:tcPr>
            <w:tcW w:w="50" w:type="pct"/>
            <w:vAlign w:val="center"/>
            <w:hideMark/>
          </w:tcPr>
          <w:p w:rsidR="00000000" w:rsidRDefault="008214AA">
            <w:pPr>
              <w:jc w:val="both"/>
              <w:rPr>
                <w:rFonts w:eastAsia="Times New Roman"/>
              </w:rPr>
            </w:pPr>
          </w:p>
        </w:tc>
        <w:tc>
          <w:tcPr>
            <w:tcW w:w="146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7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7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7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9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7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years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Remainder of 2022</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2027</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Amortization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rPr>
          <w:rFonts w:eastAsia="Times New Roman"/>
        </w:rPr>
      </w:pPr>
      <w:r>
        <w:rPr>
          <w:rFonts w:eastAsia="Times New Roman"/>
          <w:color w:val="000000"/>
          <w:sz w:val="20"/>
          <w:szCs w:val="20"/>
        </w:rPr>
        <w:t>    </w:t>
      </w:r>
    </w:p>
    <w:p w:rsidR="00000000" w:rsidRDefault="008214AA">
      <w:pPr>
        <w:divId w:val="382676739"/>
        <w:rPr>
          <w:rFonts w:eastAsia="Times New Roman"/>
        </w:rPr>
      </w:pPr>
    </w:p>
    <w:p w:rsidR="00000000" w:rsidRDefault="008214AA">
      <w:pPr>
        <w:divId w:val="555094983"/>
        <w:rPr>
          <w:rFonts w:eastAsia="Times New Roman"/>
        </w:rPr>
      </w:pPr>
      <w:r>
        <w:rPr>
          <w:rFonts w:eastAsia="Times New Roman"/>
          <w:b/>
          <w:bCs/>
          <w:color w:val="54B948"/>
          <w:sz w:val="20"/>
          <w:szCs w:val="20"/>
        </w:rPr>
        <w:t>4. SEGMENT INFORMATION AND CONCENTRATIONS</w:t>
      </w:r>
    </w:p>
    <w:p w:rsidR="00000000" w:rsidRDefault="008214AA">
      <w:pPr>
        <w:divId w:val="1176385167"/>
        <w:rPr>
          <w:rFonts w:eastAsia="Times New Roman"/>
        </w:rPr>
      </w:pPr>
    </w:p>
    <w:p w:rsidR="00000000" w:rsidRDefault="008214AA">
      <w:pPr>
        <w:jc w:val="both"/>
        <w:rPr>
          <w:rFonts w:eastAsia="Times New Roman"/>
        </w:rPr>
      </w:pPr>
      <w:r>
        <w:rPr>
          <w:rFonts w:eastAsia="Times New Roman"/>
          <w:color w:val="000000"/>
          <w:sz w:val="20"/>
          <w:szCs w:val="20"/>
        </w:rPr>
        <w:t>As described in Note 1, “</w:t>
      </w:r>
      <w:r>
        <w:rPr>
          <w:rFonts w:eastAsia="Times New Roman"/>
          <w:color w:val="000000"/>
          <w:sz w:val="20"/>
          <w:szCs w:val="20"/>
        </w:rPr>
        <w:t xml:space="preserve">Basis of Presentation and Summary of Significant Accounting Policies”, effective January 1, 2022, the Company realigned its reportable segments to correspond with changes to its operating model, management structure and organizational responsibilities. We </w:t>
      </w:r>
      <w:r>
        <w:rPr>
          <w:rFonts w:eastAsia="Times New Roman"/>
          <w:color w:val="000000"/>
          <w:sz w:val="20"/>
          <w:szCs w:val="20"/>
        </w:rPr>
        <w:t>have reclassified prior period segment disclosures to conform to the current period presentation. As a result of the change, the Company manages and reports the following segments:</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i/>
          <w:iCs/>
          <w:color w:val="000000"/>
          <w:sz w:val="20"/>
          <w:szCs w:val="20"/>
        </w:rPr>
        <w:t>•Retail</w:t>
      </w:r>
      <w:r>
        <w:rPr>
          <w:rFonts w:eastAsia="Times New Roman"/>
          <w:color w:val="000000"/>
          <w:sz w:val="20"/>
          <w:szCs w:val="20"/>
        </w:rPr>
        <w:t xml:space="preserve"> </w:t>
      </w:r>
      <w:r>
        <w:rPr>
          <w:rFonts w:eastAsia="Times New Roman"/>
          <w:color w:val="000000"/>
          <w:sz w:val="20"/>
          <w:szCs w:val="20"/>
        </w:rPr>
        <w:t>- We offer software-led solutions to customers in the retail industry, leading with digital to connect retail operations end to end to integrate all aspects of a customer’s operations in indoor and outdoor settings from POS, to payments, inventory manageme</w:t>
      </w:r>
      <w:r>
        <w:rPr>
          <w:rFonts w:eastAsia="Times New Roman"/>
          <w:color w:val="000000"/>
          <w:sz w:val="20"/>
          <w:szCs w:val="20"/>
        </w:rPr>
        <w:t>nt, fraud and loss prevention applications, loyalty and consumer engagement. These solutions include retail-oriented technologies such as comprehensive API-point of sale retail software platforms and applications, hardware terminals, self-service kiosks in</w:t>
      </w:r>
      <w:r>
        <w:rPr>
          <w:rFonts w:eastAsia="Times New Roman"/>
          <w:color w:val="000000"/>
          <w:sz w:val="20"/>
          <w:szCs w:val="20"/>
        </w:rPr>
        <w:t>cluding self-checkout ("SCO"), payment processing solutions, and bar-code scanners.</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i/>
          <w:iCs/>
          <w:color w:val="000000"/>
          <w:sz w:val="20"/>
          <w:szCs w:val="20"/>
        </w:rPr>
        <w:t>•Hospitality</w:t>
      </w:r>
      <w:r>
        <w:rPr>
          <w:rFonts w:eastAsia="Times New Roman"/>
          <w:color w:val="000000"/>
          <w:sz w:val="20"/>
          <w:szCs w:val="20"/>
        </w:rPr>
        <w:t xml:space="preserve"> - We offer technology solutions to customers in the hospitality industry, including table-service, quick-service and fast casual restaurants of all sizes, th</w:t>
      </w:r>
      <w:r>
        <w:rPr>
          <w:rFonts w:eastAsia="Times New Roman"/>
          <w:color w:val="000000"/>
          <w:sz w:val="20"/>
          <w:szCs w:val="20"/>
        </w:rPr>
        <w:t>at are designed to improve operational efficiency, increase customer satisfaction, streamline order and transaction processing and reduce operating costs. Our solutions include POS hardware and software solutions, installation, maintenance, managed and pro</w:t>
      </w:r>
      <w:r>
        <w:rPr>
          <w:rFonts w:eastAsia="Times New Roman"/>
          <w:color w:val="000000"/>
          <w:sz w:val="20"/>
          <w:szCs w:val="20"/>
        </w:rPr>
        <w:t>fessional services as well as payment processing solutions.</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i/>
          <w:iCs/>
          <w:color w:val="000000"/>
          <w:sz w:val="20"/>
          <w:szCs w:val="20"/>
        </w:rPr>
        <w:t>•Digital Banking</w:t>
      </w:r>
      <w:r>
        <w:rPr>
          <w:rFonts w:eastAsia="Times New Roman"/>
          <w:color w:val="000000"/>
          <w:sz w:val="20"/>
          <w:szCs w:val="20"/>
        </w:rPr>
        <w:t xml:space="preserve"> - NCR Digital Banking helps financial institutions implement their digital-first platform strategy by providing solutions for account opening, account management, transaction pr</w:t>
      </w:r>
      <w:r>
        <w:rPr>
          <w:rFonts w:eastAsia="Times New Roman"/>
          <w:color w:val="000000"/>
          <w:sz w:val="20"/>
          <w:szCs w:val="20"/>
        </w:rPr>
        <w:t xml:space="preserve">ocessing, imaging, and branch services to enable financial institutions to offer a compelling customer experience. </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i/>
          <w:iCs/>
          <w:color w:val="000000"/>
          <w:sz w:val="20"/>
          <w:szCs w:val="20"/>
        </w:rPr>
        <w:t>•Payments &amp; Network</w:t>
      </w:r>
      <w:r>
        <w:rPr>
          <w:rFonts w:eastAsia="Times New Roman"/>
          <w:color w:val="000000"/>
          <w:sz w:val="20"/>
          <w:szCs w:val="20"/>
        </w:rPr>
        <w:t xml:space="preserve"> - </w:t>
      </w:r>
      <w:r>
        <w:rPr>
          <w:rFonts w:eastAsia="Times New Roman"/>
          <w:color w:val="0E101A"/>
          <w:sz w:val="20"/>
          <w:szCs w:val="20"/>
        </w:rPr>
        <w:t>We provide a cost-effective way for financial institutions, fintechs, and neobanks to reach and serve their customer</w:t>
      </w:r>
      <w:r>
        <w:rPr>
          <w:rFonts w:eastAsia="Times New Roman"/>
          <w:color w:val="0E101A"/>
          <w:sz w:val="20"/>
          <w:szCs w:val="20"/>
        </w:rPr>
        <w:t xml:space="preserve">s through our network of automated teller machines ("ATMs") and multi-functioning financial services kiosks. </w:t>
      </w:r>
      <w:r>
        <w:rPr>
          <w:rFonts w:eastAsia="Times New Roman"/>
          <w:color w:val="000000"/>
          <w:sz w:val="20"/>
          <w:szCs w:val="20"/>
        </w:rPr>
        <w:t xml:space="preserve">We offer credit unions, banks, digital banks, fintechs, stored-value debit card issuers, and other consumer financial services providers access to </w:t>
      </w:r>
      <w:r>
        <w:rPr>
          <w:rFonts w:eastAsia="Times New Roman"/>
          <w:color w:val="000000"/>
          <w:sz w:val="20"/>
          <w:szCs w:val="20"/>
        </w:rPr>
        <w:t>our Allpoint retail-based ATM network, providing convenient and fee-free cash withdrawal and deposit access to their customers and cardholders as well as</w:t>
      </w:r>
      <w:r>
        <w:rPr>
          <w:rFonts w:eastAsia="Times New Roman"/>
          <w:color w:val="0E101A"/>
          <w:sz w:val="20"/>
          <w:szCs w:val="20"/>
        </w:rPr>
        <w:t xml:space="preserve"> the ability to convert a digital value to cash, or vice versa, via NCRPay360. We also provide ATM bran</w:t>
      </w:r>
      <w:r>
        <w:rPr>
          <w:rFonts w:eastAsia="Times New Roman"/>
          <w:color w:val="0E101A"/>
          <w:sz w:val="20"/>
          <w:szCs w:val="20"/>
        </w:rPr>
        <w:t xml:space="preserve">ding, management and services to financial institutions and businesses. </w:t>
      </w:r>
    </w:p>
    <w:p w:rsidR="00000000" w:rsidRDefault="008214AA">
      <w:pPr>
        <w:jc w:val="both"/>
        <w:rPr>
          <w:rFonts w:eastAsia="Times New Roman"/>
        </w:rPr>
      </w:pPr>
    </w:p>
    <w:p w:rsidR="00000000" w:rsidRDefault="008214AA">
      <w:pPr>
        <w:jc w:val="center"/>
        <w:divId w:val="873615663"/>
        <w:rPr>
          <w:rFonts w:eastAsia="Times New Roman"/>
        </w:rPr>
      </w:pPr>
      <w:r>
        <w:rPr>
          <w:rFonts w:eastAsia="Times New Roman"/>
          <w:color w:val="000000"/>
          <w:sz w:val="20"/>
          <w:szCs w:val="20"/>
        </w:rPr>
        <w:t>15</w:t>
      </w:r>
    </w:p>
    <w:p w:rsidR="00000000" w:rsidRDefault="008214AA">
      <w:pPr>
        <w:rPr>
          <w:rFonts w:eastAsia="Times New Roman"/>
        </w:rPr>
      </w:pPr>
      <w:r>
        <w:rPr>
          <w:rFonts w:eastAsia="Times New Roman"/>
        </w:rPr>
        <w:pict>
          <v:rect id="_x0000_i1040" style="width:0;height:1.5pt" o:hralign="center" o:hrstd="t" o:hr="t" fillcolor="#a0a0a0" stroked="f"/>
        </w:pict>
      </w:r>
    </w:p>
    <w:p w:rsidR="00000000" w:rsidRDefault="008214AA">
      <w:pPr>
        <w:ind w:firstLine="720"/>
        <w:divId w:val="1008405842"/>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92939834"/>
        <w:rPr>
          <w:rFonts w:eastAsia="Times New Roman"/>
        </w:rPr>
      </w:pPr>
      <w:r>
        <w:rPr>
          <w:rFonts w:eastAsia="Times New Roman"/>
          <w:b/>
          <w:bCs/>
          <w:color w:val="000000"/>
          <w:sz w:val="20"/>
          <w:szCs w:val="20"/>
        </w:rPr>
        <w:t>NCR Corporation</w:t>
      </w:r>
    </w:p>
    <w:p w:rsidR="00000000" w:rsidRDefault="008214AA">
      <w:pPr>
        <w:jc w:val="center"/>
        <w:divId w:val="92939834"/>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 (Unaudited)—(Continued)</w:t>
      </w:r>
    </w:p>
    <w:p w:rsidR="00000000" w:rsidRDefault="008214AA">
      <w:pPr>
        <w:ind w:hanging="360"/>
        <w:jc w:val="both"/>
        <w:rPr>
          <w:rFonts w:eastAsia="Times New Roman"/>
        </w:rPr>
      </w:pPr>
      <w:r>
        <w:rPr>
          <w:rFonts w:eastAsia="Times New Roman"/>
          <w:i/>
          <w:iCs/>
          <w:color w:val="000000"/>
          <w:sz w:val="20"/>
          <w:szCs w:val="20"/>
        </w:rPr>
        <w:t>•Self-Service Banking</w:t>
      </w:r>
      <w:r>
        <w:rPr>
          <w:rFonts w:eastAsia="Times New Roman"/>
          <w:color w:val="000000"/>
          <w:sz w:val="20"/>
          <w:szCs w:val="20"/>
        </w:rPr>
        <w:t xml:space="preserve"> - We offer solutions to enable customers in the financial services industry to reduce costs, generate new revenue streams and enhance customer loyalty. These solutions include a comprehensive line of ATM hard</w:t>
      </w:r>
      <w:r>
        <w:rPr>
          <w:rFonts w:eastAsia="Times New Roman"/>
          <w:color w:val="000000"/>
          <w:sz w:val="20"/>
          <w:szCs w:val="20"/>
        </w:rPr>
        <w:t xml:space="preserve">ware and software, and related installation, maintenance, and managed and professional services.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Corporate and Other includes income and expenses related to corporate functions that are not specifically attributable to an individual reportable segment a</w:t>
      </w:r>
      <w:r>
        <w:rPr>
          <w:rFonts w:eastAsia="Times New Roman"/>
          <w:color w:val="000000"/>
          <w:sz w:val="20"/>
          <w:szCs w:val="20"/>
        </w:rPr>
        <w:t>long with any immaterial operating segment(s).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Eliminations include revenues from contracts with customers and the related costs that are reported in the Payments &amp; Network segment as well as in the Retail or Hospitality segments, including merchant acqu</w:t>
      </w:r>
      <w:r>
        <w:rPr>
          <w:rFonts w:eastAsia="Times New Roman"/>
          <w:color w:val="000000"/>
          <w:sz w:val="20"/>
          <w:szCs w:val="20"/>
        </w:rPr>
        <w:t>iring services that are monetized via payments.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These segments represent components of the Company for which separate financial information is available that is utilized on a regular basis by the chief operating decision maker in assessing segment perfor</w:t>
      </w:r>
      <w:r>
        <w:rPr>
          <w:rFonts w:eastAsia="Times New Roman"/>
          <w:color w:val="000000"/>
          <w:sz w:val="20"/>
          <w:szCs w:val="20"/>
        </w:rPr>
        <w:t>mance and in allocating the Company's resources. Management evaluates the performance of the segments based on revenue and Adjusted EBITDA. Adjusted EBITDA is defined as GAAP net income (loss) from continuing operations attributable to NCR plus interest ex</w:t>
      </w:r>
      <w:r>
        <w:rPr>
          <w:rFonts w:eastAsia="Times New Roman"/>
          <w:color w:val="000000"/>
          <w:sz w:val="20"/>
          <w:szCs w:val="20"/>
        </w:rPr>
        <w:t>pense, net; plus income tax expense (benefit); plus depreciation and amortization; plus stock-based compensation expense; plus other income (expense); plus pension mark-to-market adjustments, pension settlements, pension curtailments and pension special te</w:t>
      </w:r>
      <w:r>
        <w:rPr>
          <w:rFonts w:eastAsia="Times New Roman"/>
          <w:color w:val="000000"/>
          <w:sz w:val="20"/>
          <w:szCs w:val="20"/>
        </w:rPr>
        <w:t>rmination benefits and other special items, including amortization of acquisition-related intangibles, restructuring charges, among others. The special items are considered non-operational so are excluded from the Adjusted EBITDA metric utilized by our chi</w:t>
      </w:r>
      <w:r>
        <w:rPr>
          <w:rFonts w:eastAsia="Times New Roman"/>
          <w:color w:val="000000"/>
          <w:sz w:val="20"/>
          <w:szCs w:val="20"/>
        </w:rPr>
        <w:t>ef operating decision maker in evaluating segment performance and are separately delineated to reconcile back to total reported GAAP net income (loss) from continuing operations attributable to NCR.</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The war in Eastern Europe and related sanctions imposed on Russia and related actors by the United States and other jurisdictions required us to commence the orderly wind down of our operations in Russia beginning in the firs</w:t>
      </w:r>
      <w:r>
        <w:rPr>
          <w:rFonts w:eastAsia="Times New Roman"/>
          <w:color w:val="000000"/>
          <w:sz w:val="20"/>
          <w:szCs w:val="20"/>
        </w:rPr>
        <w:t>t quarter of 2022. As of September 30, 2022, we have ceased operations in Russia and are in the process of dissolving our only subsidiary in Russia. As a result, for the three and nine months ending September 30, 2022, our presentation of segment revenue a</w:t>
      </w:r>
      <w:r>
        <w:rPr>
          <w:rFonts w:eastAsia="Times New Roman"/>
          <w:color w:val="000000"/>
          <w:sz w:val="20"/>
          <w:szCs w:val="20"/>
        </w:rPr>
        <w:t>nd Adjusted EBITDA exclude the immaterial impact of our operating results in Russia, as well as the impact of impairments taken to write down the carrying value of assets and liabilities, severance charges, and the assessment of collectability on revenue r</w:t>
      </w:r>
      <w:r>
        <w:rPr>
          <w:rFonts w:eastAsia="Times New Roman"/>
          <w:color w:val="000000"/>
          <w:sz w:val="20"/>
          <w:szCs w:val="20"/>
        </w:rPr>
        <w:t xml:space="preserve">ecognition. We consider this to be a non-recurring special item and management has reviewed the results of its business segments excluding these impacts. We have not adjusted the presentation of the prior year period due to the immaterial impact of Russia </w:t>
      </w:r>
      <w:r>
        <w:rPr>
          <w:rFonts w:eastAsia="Times New Roman"/>
          <w:color w:val="000000"/>
          <w:sz w:val="20"/>
          <w:szCs w:val="20"/>
        </w:rPr>
        <w:t>to revenue and income from continuing operations for the three and nine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Assets are not allocated to segments, and thus are not included in the assessment of segment performance. Consequently, we do not disclose total asse</w:t>
      </w:r>
      <w:r>
        <w:rPr>
          <w:rFonts w:eastAsia="Times New Roman"/>
          <w:color w:val="000000"/>
          <w:sz w:val="20"/>
          <w:szCs w:val="20"/>
        </w:rPr>
        <w:t>ts by reportable segment. The accounting policies used to determine the results of the operating segments are the same as those utilized for the condensed consolidated financial statements as a whole. Intersegment sales and transfers are not material.</w:t>
      </w:r>
    </w:p>
    <w:p w:rsidR="00000000" w:rsidRDefault="008214AA">
      <w:pPr>
        <w:jc w:val="both"/>
        <w:divId w:val="189145729"/>
        <w:rPr>
          <w:rFonts w:eastAsia="Times New Roman"/>
        </w:rPr>
      </w:pPr>
    </w:p>
    <w:p w:rsidR="00000000" w:rsidRDefault="008214AA">
      <w:pPr>
        <w:jc w:val="both"/>
        <w:divId w:val="918366005"/>
        <w:rPr>
          <w:rFonts w:eastAsia="Times New Roman"/>
        </w:rPr>
      </w:pPr>
    </w:p>
    <w:p w:rsidR="00000000" w:rsidRDefault="008214AA">
      <w:pPr>
        <w:jc w:val="both"/>
        <w:divId w:val="871041220"/>
        <w:rPr>
          <w:rFonts w:eastAsia="Times New Roman"/>
        </w:rPr>
      </w:pPr>
    </w:p>
    <w:p w:rsidR="00000000" w:rsidRDefault="008214AA">
      <w:pPr>
        <w:jc w:val="both"/>
        <w:divId w:val="1195195069"/>
        <w:rPr>
          <w:rFonts w:eastAsia="Times New Roman"/>
        </w:rPr>
      </w:pPr>
    </w:p>
    <w:p w:rsidR="00000000" w:rsidRDefault="008214AA">
      <w:pPr>
        <w:jc w:val="both"/>
        <w:divId w:val="1845363321"/>
        <w:rPr>
          <w:rFonts w:eastAsia="Times New Roman"/>
        </w:rPr>
      </w:pPr>
    </w:p>
    <w:p w:rsidR="00000000" w:rsidRDefault="008214AA">
      <w:pPr>
        <w:jc w:val="both"/>
        <w:divId w:val="1872066153"/>
        <w:rPr>
          <w:rFonts w:eastAsia="Times New Roman"/>
        </w:rPr>
      </w:pPr>
    </w:p>
    <w:p w:rsidR="00000000" w:rsidRDefault="008214AA">
      <w:pPr>
        <w:jc w:val="both"/>
        <w:divId w:val="1458793135"/>
        <w:rPr>
          <w:rFonts w:eastAsia="Times New Roman"/>
        </w:rPr>
      </w:pPr>
    </w:p>
    <w:p w:rsidR="00000000" w:rsidRDefault="008214AA">
      <w:pPr>
        <w:jc w:val="both"/>
        <w:divId w:val="1625112492"/>
        <w:rPr>
          <w:rFonts w:eastAsia="Times New Roman"/>
        </w:rPr>
      </w:pPr>
    </w:p>
    <w:p w:rsidR="00000000" w:rsidRDefault="008214AA">
      <w:pPr>
        <w:jc w:val="both"/>
        <w:divId w:val="1104377352"/>
        <w:rPr>
          <w:rFonts w:eastAsia="Times New Roman"/>
        </w:rPr>
      </w:pPr>
    </w:p>
    <w:p w:rsidR="00000000" w:rsidRDefault="008214AA">
      <w:pPr>
        <w:jc w:val="both"/>
        <w:divId w:val="1168055207"/>
        <w:rPr>
          <w:rFonts w:eastAsia="Times New Roman"/>
        </w:rPr>
      </w:pPr>
    </w:p>
    <w:p w:rsidR="00000000" w:rsidRDefault="008214AA">
      <w:pPr>
        <w:jc w:val="both"/>
        <w:divId w:val="1856379174"/>
        <w:rPr>
          <w:rFonts w:eastAsia="Times New Roman"/>
        </w:rPr>
      </w:pPr>
    </w:p>
    <w:p w:rsidR="00000000" w:rsidRDefault="008214AA">
      <w:pPr>
        <w:jc w:val="both"/>
        <w:divId w:val="1464738986"/>
        <w:rPr>
          <w:rFonts w:eastAsia="Times New Roman"/>
        </w:rPr>
      </w:pPr>
    </w:p>
    <w:p w:rsidR="00000000" w:rsidRDefault="008214AA">
      <w:pPr>
        <w:jc w:val="center"/>
        <w:divId w:val="346367612"/>
        <w:rPr>
          <w:rFonts w:eastAsia="Times New Roman"/>
        </w:rPr>
      </w:pPr>
      <w:r>
        <w:rPr>
          <w:rFonts w:eastAsia="Times New Roman"/>
          <w:color w:val="000000"/>
          <w:sz w:val="20"/>
          <w:szCs w:val="20"/>
        </w:rPr>
        <w:t>16</w:t>
      </w:r>
    </w:p>
    <w:p w:rsidR="00000000" w:rsidRDefault="008214AA">
      <w:pPr>
        <w:rPr>
          <w:rFonts w:eastAsia="Times New Roman"/>
        </w:rPr>
      </w:pPr>
      <w:r>
        <w:rPr>
          <w:rFonts w:eastAsia="Times New Roman"/>
        </w:rPr>
        <w:pict>
          <v:rect id="_x0000_i1041" style="width:0;height:1.5pt" o:hralign="center" o:hrstd="t" o:hr="t" fillcolor="#a0a0a0" stroked="f"/>
        </w:pict>
      </w:r>
    </w:p>
    <w:p w:rsidR="00000000" w:rsidRDefault="008214AA">
      <w:pPr>
        <w:ind w:firstLine="720"/>
        <w:divId w:val="1192381124"/>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510220314"/>
        <w:rPr>
          <w:rFonts w:eastAsia="Times New Roman"/>
        </w:rPr>
      </w:pPr>
      <w:r>
        <w:rPr>
          <w:rFonts w:eastAsia="Times New Roman"/>
          <w:b/>
          <w:bCs/>
          <w:color w:val="000000"/>
          <w:sz w:val="20"/>
          <w:szCs w:val="20"/>
        </w:rPr>
        <w:t>NCR Corporation</w:t>
      </w:r>
    </w:p>
    <w:p w:rsidR="00000000" w:rsidRDefault="008214AA">
      <w:pPr>
        <w:jc w:val="center"/>
        <w:divId w:val="1510220314"/>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divId w:val="1390692169"/>
        <w:rPr>
          <w:rFonts w:eastAsia="Times New Roman"/>
        </w:rPr>
      </w:pPr>
      <w:r>
        <w:rPr>
          <w:rFonts w:eastAsia="Times New Roman"/>
          <w:color w:val="000000"/>
          <w:sz w:val="20"/>
          <w:szCs w:val="20"/>
        </w:rPr>
        <w:t>The following table presents</w:t>
      </w:r>
      <w:r>
        <w:rPr>
          <w:rFonts w:eastAsia="Times New Roman"/>
          <w:color w:val="000000"/>
          <w:sz w:val="20"/>
          <w:szCs w:val="20"/>
        </w:rPr>
        <w:t xml:space="preserve"> revenue and Adjusted EBITDA by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050"/>
        <w:gridCol w:w="39"/>
        <w:gridCol w:w="120"/>
        <w:gridCol w:w="1057"/>
        <w:gridCol w:w="36"/>
        <w:gridCol w:w="36"/>
        <w:gridCol w:w="36"/>
        <w:gridCol w:w="36"/>
        <w:gridCol w:w="120"/>
        <w:gridCol w:w="1057"/>
        <w:gridCol w:w="36"/>
        <w:gridCol w:w="36"/>
        <w:gridCol w:w="36"/>
        <w:gridCol w:w="36"/>
        <w:gridCol w:w="120"/>
        <w:gridCol w:w="1057"/>
        <w:gridCol w:w="36"/>
        <w:gridCol w:w="36"/>
        <w:gridCol w:w="36"/>
        <w:gridCol w:w="36"/>
        <w:gridCol w:w="120"/>
        <w:gridCol w:w="1057"/>
        <w:gridCol w:w="37"/>
      </w:tblGrid>
      <w:tr w:rsidR="00000000">
        <w:trPr>
          <w:divId w:val="1164318343"/>
          <w:jc w:val="center"/>
        </w:trPr>
        <w:tc>
          <w:tcPr>
            <w:tcW w:w="50" w:type="pct"/>
            <w:vAlign w:val="center"/>
            <w:hideMark/>
          </w:tcPr>
          <w:p w:rsidR="00000000" w:rsidRDefault="008214AA">
            <w:pPr>
              <w:jc w:val="both"/>
              <w:rPr>
                <w:rFonts w:eastAsia="Times New Roman"/>
              </w:rPr>
            </w:pPr>
          </w:p>
        </w:tc>
        <w:tc>
          <w:tcPr>
            <w:tcW w:w="19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164318343"/>
          <w:trHeight w:val="24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1164318343"/>
          <w:trHeight w:val="24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1164318343"/>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Revenue by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64318343"/>
          <w:jc w:val="center"/>
        </w:trPr>
        <w:tc>
          <w:tcPr>
            <w:tcW w:w="0" w:type="auto"/>
            <w:gridSpan w:val="3"/>
            <w:shd w:val="clear" w:color="auto" w:fill="FFFF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Retail</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8214AA">
            <w:pPr>
              <w:spacing w:after="100"/>
              <w:jc w:val="right"/>
              <w:rPr>
                <w:rFonts w:eastAsia="Times New Roman"/>
              </w:rPr>
            </w:pPr>
            <w:r>
              <w:rPr>
                <w:rFonts w:eastAsia="Times New Roman"/>
                <w:color w:val="000000"/>
                <w:sz w:val="20"/>
                <w:szCs w:val="20"/>
              </w:rPr>
              <w:t>1,623</w:t>
            </w:r>
          </w:p>
        </w:tc>
      </w:tr>
      <w:tr w:rsidR="00000000">
        <w:trPr>
          <w:divId w:val="1164318343"/>
          <w:jc w:val="center"/>
        </w:trPr>
        <w:tc>
          <w:tcPr>
            <w:tcW w:w="0" w:type="auto"/>
            <w:gridSpan w:val="3"/>
            <w:shd w:val="clear" w:color="auto" w:fill="CCEE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8214AA">
            <w:pPr>
              <w:spacing w:after="100"/>
              <w:jc w:val="right"/>
              <w:rPr>
                <w:rFonts w:eastAsia="Times New Roman"/>
              </w:rPr>
            </w:pPr>
            <w:r>
              <w:rPr>
                <w:rFonts w:eastAsia="Times New Roman"/>
                <w:color w:val="000000"/>
                <w:sz w:val="20"/>
                <w:szCs w:val="20"/>
              </w:rPr>
              <w:t>618</w:t>
            </w:r>
          </w:p>
        </w:tc>
      </w:tr>
      <w:tr w:rsidR="00000000">
        <w:trPr>
          <w:divId w:val="1164318343"/>
          <w:jc w:val="center"/>
        </w:trPr>
        <w:tc>
          <w:tcPr>
            <w:tcW w:w="0" w:type="auto"/>
            <w:gridSpan w:val="3"/>
            <w:shd w:val="clear" w:color="auto" w:fill="FFFF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Digital Banking</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8214AA">
            <w:pPr>
              <w:spacing w:after="100"/>
              <w:jc w:val="right"/>
              <w:rPr>
                <w:rFonts w:eastAsia="Times New Roman"/>
              </w:rPr>
            </w:pPr>
            <w:r>
              <w:rPr>
                <w:rFonts w:eastAsia="Times New Roman"/>
                <w:color w:val="000000"/>
                <w:sz w:val="20"/>
                <w:szCs w:val="20"/>
              </w:rPr>
              <w:t>380</w:t>
            </w:r>
          </w:p>
        </w:tc>
      </w:tr>
      <w:tr w:rsidR="00000000">
        <w:trPr>
          <w:divId w:val="1164318343"/>
          <w:jc w:val="center"/>
        </w:trPr>
        <w:tc>
          <w:tcPr>
            <w:tcW w:w="0" w:type="auto"/>
            <w:gridSpan w:val="3"/>
            <w:shd w:val="clear" w:color="auto" w:fill="CCEE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Payments &amp; Network</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304 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8214AA">
            <w:pPr>
              <w:spacing w:after="100"/>
              <w:jc w:val="right"/>
              <w:rPr>
                <w:rFonts w:eastAsia="Times New Roman"/>
              </w:rPr>
            </w:pPr>
            <w:r>
              <w:rPr>
                <w:rFonts w:eastAsia="Times New Roman"/>
                <w:color w:val="000000"/>
                <w:sz w:val="20"/>
                <w:szCs w:val="20"/>
              </w:rPr>
              <w:t>380</w:t>
            </w:r>
          </w:p>
        </w:tc>
      </w:tr>
      <w:tr w:rsidR="00000000">
        <w:trPr>
          <w:divId w:val="1164318343"/>
          <w:jc w:val="center"/>
        </w:trPr>
        <w:tc>
          <w:tcPr>
            <w:tcW w:w="0" w:type="auto"/>
            <w:gridSpan w:val="3"/>
            <w:shd w:val="clear" w:color="auto" w:fill="FFFF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Self-Service Banking</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637 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8214AA">
            <w:pPr>
              <w:spacing w:after="100"/>
              <w:jc w:val="right"/>
              <w:rPr>
                <w:rFonts w:eastAsia="Times New Roman"/>
              </w:rPr>
            </w:pPr>
            <w:r>
              <w:rPr>
                <w:rFonts w:eastAsia="Times New Roman"/>
                <w:color w:val="000000"/>
                <w:sz w:val="20"/>
                <w:szCs w:val="20"/>
              </w:rPr>
              <w:t>1,910</w:t>
            </w:r>
          </w:p>
        </w:tc>
      </w:tr>
      <w:tr w:rsidR="00000000">
        <w:trPr>
          <w:divId w:val="1164318343"/>
          <w:jc w:val="center"/>
        </w:trPr>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8214AA">
            <w:pPr>
              <w:spacing w:after="100"/>
              <w:jc w:val="right"/>
              <w:rPr>
                <w:rFonts w:eastAsia="Times New Roman"/>
              </w:rPr>
            </w:pPr>
            <w:r>
              <w:rPr>
                <w:rFonts w:eastAsia="Times New Roman"/>
                <w:color w:val="000000"/>
                <w:sz w:val="20"/>
                <w:szCs w:val="20"/>
              </w:rPr>
              <w:t>229</w:t>
            </w:r>
          </w:p>
        </w:tc>
      </w:tr>
      <w:tr w:rsidR="00000000">
        <w:trPr>
          <w:divId w:val="1164318343"/>
          <w:jc w:val="center"/>
        </w:trPr>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Eliminations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8214AA">
            <w:pPr>
              <w:spacing w:after="100"/>
              <w:jc w:val="right"/>
              <w:rPr>
                <w:rFonts w:eastAsia="Times New Roman"/>
              </w:rPr>
            </w:pPr>
            <w:r>
              <w:rPr>
                <w:rFonts w:eastAsia="Times New Roman"/>
                <w:color w:val="000000"/>
                <w:sz w:val="20"/>
                <w:szCs w:val="20"/>
              </w:rPr>
              <w:t>(18)</w:t>
            </w:r>
          </w:p>
        </w:tc>
      </w:tr>
      <w:tr w:rsidR="00000000">
        <w:trPr>
          <w:divId w:val="1164318343"/>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segment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divId w:val="1618370465"/>
              <w:rPr>
                <w:rFonts w:eastAsia="Times New Roman"/>
              </w:rPr>
            </w:pPr>
            <w:r>
              <w:rPr>
                <w:rFonts w:eastAsia="Times New Roman"/>
                <w:color w:val="000000"/>
                <w:sz w:val="20"/>
                <w:szCs w:val="20"/>
              </w:rPr>
              <w:t>Other adjustment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Consolidated revenue</w:t>
            </w: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64318343"/>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 xml:space="preserve">Adjusted EBITDA by segment </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64318343"/>
          <w:jc w:val="center"/>
        </w:trPr>
        <w:tc>
          <w:tcPr>
            <w:tcW w:w="0" w:type="auto"/>
            <w:gridSpan w:val="3"/>
            <w:shd w:val="clear" w:color="auto" w:fill="FFFF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Retail</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323 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jc w:val="center"/>
        </w:trPr>
        <w:tc>
          <w:tcPr>
            <w:tcW w:w="0" w:type="auto"/>
            <w:gridSpan w:val="3"/>
            <w:shd w:val="clear" w:color="auto" w:fill="CCEE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jc w:val="center"/>
        </w:trPr>
        <w:tc>
          <w:tcPr>
            <w:tcW w:w="0" w:type="auto"/>
            <w:gridSpan w:val="3"/>
            <w:shd w:val="clear" w:color="auto" w:fill="FFFF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Digital Banking</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jc w:val="center"/>
        </w:trPr>
        <w:tc>
          <w:tcPr>
            <w:tcW w:w="0" w:type="auto"/>
            <w:gridSpan w:val="3"/>
            <w:shd w:val="clear" w:color="auto" w:fill="CCEE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Payments &amp; Network</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jc w:val="center"/>
        </w:trPr>
        <w:tc>
          <w:tcPr>
            <w:tcW w:w="0" w:type="auto"/>
            <w:gridSpan w:val="3"/>
            <w:shd w:val="clear" w:color="auto" w:fill="FFFFFF"/>
            <w:tcMar>
              <w:top w:w="30" w:type="dxa"/>
              <w:left w:w="26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Self-Service Banking</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jc w:val="center"/>
        </w:trPr>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(109)</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(307)</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(265)</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jc w:val="center"/>
        </w:trPr>
        <w:tc>
          <w:tcPr>
            <w:tcW w:w="0" w:type="auto"/>
            <w:gridSpan w:val="3"/>
            <w:shd w:val="clear" w:color="auto" w:fill="FFFFFF"/>
            <w:tcMar>
              <w:top w:w="30" w:type="dxa"/>
              <w:left w:w="26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Eliminations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64318343"/>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Adjusted EBITDA</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divId w:val="1031610768"/>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Other adjustment reflects the revenue attributable to the Company's operations in Russia for the three and nine months ending September 30, 2022 that were excluded from </w:t>
      </w:r>
      <w:r>
        <w:rPr>
          <w:rFonts w:eastAsia="Times New Roman"/>
          <w:color w:val="000000"/>
          <w:sz w:val="18"/>
          <w:szCs w:val="18"/>
        </w:rPr>
        <w:t xml:space="preserve">management's measure of revenue due to our previous announcement to suspend sales to Russia and anticipated orderly wind down of our operations in Russia. The revenue attributable to the Russian operations for the three and nine months ended September 30, </w:t>
      </w:r>
      <w:r>
        <w:rPr>
          <w:rFonts w:eastAsia="Times New Roman"/>
          <w:color w:val="000000"/>
          <w:sz w:val="18"/>
          <w:szCs w:val="18"/>
        </w:rPr>
        <w:t xml:space="preserve">2021 of $14 million and $33 million, respectively, is included in the respective segments. </w:t>
      </w:r>
    </w:p>
    <w:p w:rsidR="00000000" w:rsidRDefault="008214AA">
      <w:pPr>
        <w:jc w:val="both"/>
        <w:divId w:val="366873760"/>
        <w:rPr>
          <w:rFonts w:eastAsia="Times New Roman"/>
        </w:rPr>
      </w:pPr>
      <w:r>
        <w:rPr>
          <w:rFonts w:eastAsia="Times New Roman"/>
          <w:color w:val="000000"/>
          <w:sz w:val="20"/>
          <w:szCs w:val="20"/>
        </w:rPr>
        <w:t>For the three and nine months ended</w:t>
      </w:r>
      <w:r>
        <w:rPr>
          <w:rFonts w:eastAsia="Times New Roman"/>
          <w:color w:val="000000"/>
          <w:sz w:val="20"/>
          <w:szCs w:val="20"/>
          <w:shd w:val="clear" w:color="auto" w:fill="FFFFFF"/>
        </w:rPr>
        <w:t xml:space="preserve"> </w:t>
      </w:r>
      <w:r>
        <w:rPr>
          <w:rFonts w:eastAsia="Times New Roman"/>
          <w:color w:val="000000"/>
          <w:sz w:val="20"/>
          <w:szCs w:val="20"/>
        </w:rPr>
        <w:t>September 30, 2022, the operations of Cardtronics are included in the Payments &amp; Network and Self-Service Banking segments. For the three and nine months ended September 30, 2021, the operations of Cardtronics have been included in the Payments &amp; Network a</w:t>
      </w:r>
      <w:r>
        <w:rPr>
          <w:rFonts w:eastAsia="Times New Roman"/>
          <w:color w:val="000000"/>
          <w:sz w:val="20"/>
          <w:szCs w:val="20"/>
        </w:rPr>
        <w:t xml:space="preserve">nd Self-Service Banking segments from the close date, June 21, 2021. </w:t>
      </w: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center"/>
        <w:divId w:val="1791440089"/>
        <w:rPr>
          <w:rFonts w:eastAsia="Times New Roman"/>
        </w:rPr>
      </w:pPr>
      <w:r>
        <w:rPr>
          <w:rFonts w:eastAsia="Times New Roman"/>
          <w:color w:val="000000"/>
          <w:sz w:val="20"/>
          <w:szCs w:val="20"/>
        </w:rPr>
        <w:t>17</w:t>
      </w:r>
    </w:p>
    <w:p w:rsidR="00000000" w:rsidRDefault="008214AA">
      <w:pPr>
        <w:rPr>
          <w:rFonts w:eastAsia="Times New Roman"/>
        </w:rPr>
      </w:pPr>
      <w:r>
        <w:rPr>
          <w:rFonts w:eastAsia="Times New Roman"/>
        </w:rPr>
        <w:pict>
          <v:rect id="_x0000_i1042" style="width:0;height:1.5pt" o:hralign="center" o:hrstd="t" o:hr="t" fillcolor="#a0a0a0" stroked="f"/>
        </w:pict>
      </w:r>
    </w:p>
    <w:p w:rsidR="00000000" w:rsidRDefault="008214AA">
      <w:pPr>
        <w:ind w:firstLine="720"/>
        <w:divId w:val="1573277722"/>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38302254"/>
        <w:rPr>
          <w:rFonts w:eastAsia="Times New Roman"/>
        </w:rPr>
      </w:pPr>
      <w:r>
        <w:rPr>
          <w:rFonts w:eastAsia="Times New Roman"/>
          <w:b/>
          <w:bCs/>
          <w:color w:val="000000"/>
          <w:sz w:val="20"/>
          <w:szCs w:val="20"/>
        </w:rPr>
        <w:t>NCR Corporation</w:t>
      </w:r>
    </w:p>
    <w:p w:rsidR="00000000" w:rsidRDefault="008214AA">
      <w:pPr>
        <w:jc w:val="center"/>
        <w:divId w:val="138302254"/>
        <w:rPr>
          <w:rFonts w:eastAsia="Times New Roman"/>
        </w:rPr>
      </w:pPr>
      <w:r>
        <w:rPr>
          <w:rFonts w:eastAsia="Times New Roman"/>
          <w:b/>
          <w:bCs/>
          <w:color w:val="000000"/>
          <w:sz w:val="20"/>
          <w:szCs w:val="20"/>
        </w:rPr>
        <w:t>Notes to Condense</w:t>
      </w:r>
      <w:r>
        <w:rPr>
          <w:rFonts w:eastAsia="Times New Roman"/>
          <w:b/>
          <w:bCs/>
          <w:color w:val="000000"/>
          <w:sz w:val="20"/>
          <w:szCs w:val="20"/>
        </w:rPr>
        <w:t>d Consolidated Financial Statements (Unaudited)—(Continued)</w:t>
      </w:r>
    </w:p>
    <w:p w:rsidR="00000000" w:rsidRDefault="008214AA">
      <w:pPr>
        <w:jc w:val="both"/>
        <w:rPr>
          <w:rFonts w:eastAsia="Times New Roman"/>
        </w:rPr>
      </w:pPr>
      <w:r>
        <w:rPr>
          <w:rFonts w:eastAsia="Times New Roman"/>
          <w:color w:val="000000"/>
          <w:sz w:val="20"/>
          <w:szCs w:val="20"/>
        </w:rPr>
        <w:t>The following table reconciles net income (loss) from continuing operations to Adjusted EBITDA:</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053"/>
        <w:gridCol w:w="37"/>
        <w:gridCol w:w="120"/>
        <w:gridCol w:w="1057"/>
        <w:gridCol w:w="36"/>
        <w:gridCol w:w="36"/>
        <w:gridCol w:w="36"/>
        <w:gridCol w:w="36"/>
        <w:gridCol w:w="120"/>
        <w:gridCol w:w="1057"/>
        <w:gridCol w:w="36"/>
        <w:gridCol w:w="36"/>
        <w:gridCol w:w="36"/>
        <w:gridCol w:w="36"/>
        <w:gridCol w:w="120"/>
        <w:gridCol w:w="1057"/>
        <w:gridCol w:w="36"/>
        <w:gridCol w:w="36"/>
        <w:gridCol w:w="36"/>
        <w:gridCol w:w="36"/>
        <w:gridCol w:w="120"/>
        <w:gridCol w:w="1058"/>
        <w:gridCol w:w="36"/>
      </w:tblGrid>
      <w:tr w:rsidR="00000000">
        <w:trPr>
          <w:divId w:val="1078943312"/>
          <w:jc w:val="center"/>
        </w:trPr>
        <w:tc>
          <w:tcPr>
            <w:tcW w:w="50" w:type="pct"/>
            <w:vAlign w:val="center"/>
            <w:hideMark/>
          </w:tcPr>
          <w:p w:rsidR="00000000" w:rsidRDefault="008214AA">
            <w:pPr>
              <w:jc w:val="both"/>
              <w:rPr>
                <w:rFonts w:eastAsia="Times New Roman"/>
              </w:rPr>
            </w:pPr>
          </w:p>
        </w:tc>
        <w:tc>
          <w:tcPr>
            <w:tcW w:w="19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078943312"/>
          <w:trHeight w:val="36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1078943312"/>
          <w:trHeight w:val="24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1078943312"/>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income (loss) from continuing operations attributable to NCR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Transformation and restructuring costs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Acquisition-related amortization of intangibles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Acquisition-related costs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Loss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Depreciation and amortization (excluding acquisition-related amortization of intangibles)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078943312"/>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Russia</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78943312"/>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Adjusted EBITDA</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following table presents revenue by geography for NCR: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054"/>
        <w:gridCol w:w="36"/>
        <w:gridCol w:w="120"/>
        <w:gridCol w:w="1057"/>
        <w:gridCol w:w="36"/>
        <w:gridCol w:w="36"/>
        <w:gridCol w:w="36"/>
        <w:gridCol w:w="36"/>
        <w:gridCol w:w="120"/>
        <w:gridCol w:w="1057"/>
        <w:gridCol w:w="36"/>
        <w:gridCol w:w="36"/>
        <w:gridCol w:w="36"/>
        <w:gridCol w:w="36"/>
        <w:gridCol w:w="120"/>
        <w:gridCol w:w="1058"/>
        <w:gridCol w:w="36"/>
        <w:gridCol w:w="36"/>
        <w:gridCol w:w="36"/>
        <w:gridCol w:w="36"/>
        <w:gridCol w:w="120"/>
        <w:gridCol w:w="1058"/>
        <w:gridCol w:w="36"/>
      </w:tblGrid>
      <w:tr w:rsidR="00000000">
        <w:trPr>
          <w:divId w:val="813302241"/>
          <w:jc w:val="center"/>
        </w:trPr>
        <w:tc>
          <w:tcPr>
            <w:tcW w:w="50" w:type="pct"/>
            <w:vAlign w:val="center"/>
            <w:hideMark/>
          </w:tcPr>
          <w:p w:rsidR="00000000" w:rsidRDefault="008214AA">
            <w:pPr>
              <w:jc w:val="both"/>
              <w:rPr>
                <w:rFonts w:eastAsia="Times New Roman"/>
              </w:rPr>
            </w:pPr>
          </w:p>
        </w:tc>
        <w:tc>
          <w:tcPr>
            <w:tcW w:w="19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813302241"/>
          <w:trHeight w:val="24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813302241"/>
          <w:trHeight w:val="24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81330224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Americas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3,777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81330224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Europe, Middle East and Africa (EMEA)</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1,358 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813302241"/>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Asia Pacific (APJ)</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643 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813302241"/>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following table presents the recurring revenue for NCR: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054"/>
        <w:gridCol w:w="36"/>
        <w:gridCol w:w="120"/>
        <w:gridCol w:w="1057"/>
        <w:gridCol w:w="36"/>
        <w:gridCol w:w="36"/>
        <w:gridCol w:w="36"/>
        <w:gridCol w:w="36"/>
        <w:gridCol w:w="120"/>
        <w:gridCol w:w="1057"/>
        <w:gridCol w:w="36"/>
        <w:gridCol w:w="36"/>
        <w:gridCol w:w="36"/>
        <w:gridCol w:w="36"/>
        <w:gridCol w:w="120"/>
        <w:gridCol w:w="1058"/>
        <w:gridCol w:w="36"/>
        <w:gridCol w:w="36"/>
        <w:gridCol w:w="36"/>
        <w:gridCol w:w="36"/>
        <w:gridCol w:w="120"/>
        <w:gridCol w:w="1058"/>
        <w:gridCol w:w="36"/>
      </w:tblGrid>
      <w:tr w:rsidR="00000000">
        <w:trPr>
          <w:divId w:val="1692224855"/>
          <w:jc w:val="center"/>
        </w:trPr>
        <w:tc>
          <w:tcPr>
            <w:tcW w:w="50" w:type="pct"/>
            <w:vAlign w:val="center"/>
            <w:hideMark/>
          </w:tcPr>
          <w:p w:rsidR="00000000" w:rsidRDefault="008214AA">
            <w:pPr>
              <w:jc w:val="both"/>
              <w:rPr>
                <w:rFonts w:eastAsia="Times New Roman"/>
              </w:rPr>
            </w:pPr>
          </w:p>
        </w:tc>
        <w:tc>
          <w:tcPr>
            <w:tcW w:w="19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692224855"/>
          <w:trHeight w:val="24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1692224855"/>
          <w:trHeight w:val="24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1692224855"/>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divId w:val="747653721"/>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3,618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2224855"/>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All other products and services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720 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2,138 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692224855"/>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rPr>
          <w:rFonts w:eastAsia="Times New Roman"/>
        </w:rPr>
      </w:pPr>
    </w:p>
    <w:p w:rsidR="00000000" w:rsidRDefault="008214AA">
      <w:pPr>
        <w:ind w:hanging="270"/>
        <w:jc w:val="both"/>
        <w:rPr>
          <w:rFonts w:eastAsia="Times New Roman"/>
        </w:rPr>
      </w:pPr>
      <w:r>
        <w:rPr>
          <w:rFonts w:eastAsia="Times New Roman"/>
          <w:color w:val="000000"/>
          <w:sz w:val="12"/>
          <w:szCs w:val="12"/>
        </w:rPr>
        <w:t>(1)</w:t>
      </w:r>
      <w:r>
        <w:rPr>
          <w:rFonts w:eastAsia="Times New Roman"/>
          <w:color w:val="000000"/>
          <w:sz w:val="12"/>
          <w:szCs w:val="12"/>
        </w:rPr>
        <w:t xml:space="preserve"> </w:t>
      </w:r>
      <w:r>
        <w:rPr>
          <w:rFonts w:eastAsia="Times New Roman"/>
          <w:color w:val="000000"/>
          <w:sz w:val="18"/>
          <w:szCs w:val="18"/>
        </w:rPr>
        <w:t>Recurring revenue includes all revenue streams from contracts where there is a predictable revenue pattern that will occur at regular intervals with a relativel</w:t>
      </w:r>
      <w:r>
        <w:rPr>
          <w:rFonts w:eastAsia="Times New Roman"/>
          <w:color w:val="000000"/>
          <w:sz w:val="18"/>
          <w:szCs w:val="18"/>
        </w:rPr>
        <w:t>y high degree of certainty. This includes hardware and software maintenance revenue, cloud revenue, payment processing revenue, interchange and network revenue, cryptocurrency-related revenue, and certain professional services arrangements, as well as term</w:t>
      </w:r>
      <w:r>
        <w:rPr>
          <w:rFonts w:eastAsia="Times New Roman"/>
          <w:color w:val="000000"/>
          <w:sz w:val="18"/>
          <w:szCs w:val="18"/>
        </w:rPr>
        <w:t>-based software license arrangements that include customer termination rights.</w:t>
      </w:r>
    </w:p>
    <w:p w:rsidR="00000000" w:rsidRDefault="008214AA">
      <w:pPr>
        <w:ind w:hanging="270"/>
        <w:jc w:val="both"/>
        <w:rPr>
          <w:rFonts w:eastAsia="Times New Roman"/>
        </w:rPr>
      </w:pPr>
    </w:p>
    <w:p w:rsidR="00000000" w:rsidRDefault="008214AA">
      <w:pPr>
        <w:jc w:val="center"/>
        <w:divId w:val="745802984"/>
        <w:rPr>
          <w:rFonts w:eastAsia="Times New Roman"/>
        </w:rPr>
      </w:pPr>
      <w:r>
        <w:rPr>
          <w:rFonts w:eastAsia="Times New Roman"/>
          <w:color w:val="000000"/>
          <w:sz w:val="20"/>
          <w:szCs w:val="20"/>
        </w:rPr>
        <w:t>18</w:t>
      </w:r>
    </w:p>
    <w:p w:rsidR="00000000" w:rsidRDefault="008214AA">
      <w:pPr>
        <w:rPr>
          <w:rFonts w:eastAsia="Times New Roman"/>
        </w:rPr>
      </w:pPr>
      <w:r>
        <w:rPr>
          <w:rFonts w:eastAsia="Times New Roman"/>
        </w:rPr>
        <w:pict>
          <v:rect id="_x0000_i1043" style="width:0;height:1.5pt" o:hralign="center" o:hrstd="t" o:hr="t" fillcolor="#a0a0a0" stroked="f"/>
        </w:pict>
      </w:r>
    </w:p>
    <w:p w:rsidR="00000000" w:rsidRDefault="008214AA">
      <w:pPr>
        <w:ind w:firstLine="720"/>
        <w:divId w:val="1658879270"/>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980041006"/>
        <w:rPr>
          <w:rFonts w:eastAsia="Times New Roman"/>
        </w:rPr>
      </w:pPr>
      <w:r>
        <w:rPr>
          <w:rFonts w:eastAsia="Times New Roman"/>
          <w:b/>
          <w:bCs/>
          <w:color w:val="000000"/>
          <w:sz w:val="20"/>
          <w:szCs w:val="20"/>
        </w:rPr>
        <w:t>NCR Corporation</w:t>
      </w:r>
    </w:p>
    <w:p w:rsidR="00000000" w:rsidRDefault="008214AA">
      <w:pPr>
        <w:jc w:val="center"/>
        <w:divId w:val="980041006"/>
        <w:rPr>
          <w:rFonts w:eastAsia="Times New Roman"/>
        </w:rPr>
      </w:pPr>
      <w:r>
        <w:rPr>
          <w:rFonts w:eastAsia="Times New Roman"/>
          <w:b/>
          <w:bCs/>
          <w:color w:val="000000"/>
          <w:sz w:val="20"/>
          <w:szCs w:val="20"/>
        </w:rPr>
        <w:t>Notes to Condensed Consolidated Financial Statements (Unaudited)—(Continued)</w:t>
      </w:r>
    </w:p>
    <w:p w:rsidR="00000000" w:rsidRDefault="008214AA">
      <w:pPr>
        <w:divId w:val="811757370"/>
        <w:rPr>
          <w:rFonts w:eastAsia="Times New Roman"/>
        </w:rPr>
      </w:pPr>
      <w:r>
        <w:rPr>
          <w:rFonts w:eastAsia="Times New Roman"/>
          <w:b/>
          <w:bCs/>
          <w:color w:val="54B948"/>
          <w:sz w:val="20"/>
          <w:szCs w:val="20"/>
        </w:rPr>
        <w:t>5. DEBT OBLIGATIONS</w:t>
      </w:r>
    </w:p>
    <w:p w:rsidR="00000000" w:rsidRDefault="008214AA">
      <w:pPr>
        <w:divId w:val="815335474"/>
        <w:rPr>
          <w:rFonts w:eastAsia="Times New Roman"/>
        </w:rPr>
      </w:pPr>
    </w:p>
    <w:p w:rsidR="00000000" w:rsidRDefault="008214AA">
      <w:pPr>
        <w:divId w:val="1643150215"/>
        <w:rPr>
          <w:rFonts w:eastAsia="Times New Roman"/>
        </w:rPr>
      </w:pPr>
      <w:r>
        <w:rPr>
          <w:rFonts w:eastAsia="Times New Roman"/>
          <w:color w:val="000000"/>
          <w:sz w:val="20"/>
          <w:szCs w:val="20"/>
        </w:rPr>
        <w:t>The following table summarizes the Company's short-term borrowings and long-term debt:</w:t>
      </w:r>
    </w:p>
    <w:tbl>
      <w:tblPr>
        <w:tblW w:w="4926" w:type="pct"/>
        <w:jc w:val="center"/>
        <w:tblCellMar>
          <w:top w:w="15" w:type="dxa"/>
          <w:left w:w="15" w:type="dxa"/>
          <w:bottom w:w="15" w:type="dxa"/>
          <w:right w:w="15" w:type="dxa"/>
        </w:tblCellMar>
        <w:tblLook w:val="04A0" w:firstRow="1" w:lastRow="0" w:firstColumn="1" w:lastColumn="0" w:noHBand="0" w:noVBand="1"/>
      </w:tblPr>
      <w:tblGrid>
        <w:gridCol w:w="38"/>
        <w:gridCol w:w="139"/>
        <w:gridCol w:w="38"/>
        <w:gridCol w:w="44"/>
        <w:gridCol w:w="3189"/>
        <w:gridCol w:w="37"/>
        <w:gridCol w:w="120"/>
        <w:gridCol w:w="991"/>
        <w:gridCol w:w="36"/>
        <w:gridCol w:w="36"/>
        <w:gridCol w:w="36"/>
        <w:gridCol w:w="36"/>
        <w:gridCol w:w="56"/>
        <w:gridCol w:w="974"/>
        <w:gridCol w:w="36"/>
        <w:gridCol w:w="36"/>
        <w:gridCol w:w="36"/>
        <w:gridCol w:w="36"/>
        <w:gridCol w:w="120"/>
        <w:gridCol w:w="962"/>
        <w:gridCol w:w="36"/>
        <w:gridCol w:w="36"/>
        <w:gridCol w:w="36"/>
        <w:gridCol w:w="36"/>
        <w:gridCol w:w="56"/>
        <w:gridCol w:w="951"/>
        <w:gridCol w:w="36"/>
      </w:tblGrid>
      <w:tr w:rsidR="00000000">
        <w:trPr>
          <w:divId w:val="936795252"/>
          <w:jc w:val="center"/>
        </w:trPr>
        <w:tc>
          <w:tcPr>
            <w:tcW w:w="5" w:type="pct"/>
            <w:vAlign w:val="center"/>
            <w:hideMark/>
          </w:tcPr>
          <w:p w:rsidR="00000000" w:rsidRDefault="008214AA">
            <w:pPr>
              <w:rPr>
                <w:rFonts w:eastAsia="Times New Roman"/>
              </w:rPr>
            </w:pPr>
          </w:p>
        </w:tc>
        <w:tc>
          <w:tcPr>
            <w:tcW w:w="10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97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6"/>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December 31, 2021</w:t>
            </w:r>
          </w:p>
        </w:tc>
      </w:tr>
      <w:tr w:rsidR="00000000">
        <w:trPr>
          <w:divId w:val="936795252"/>
          <w:jc w:val="center"/>
        </w:trPr>
        <w:tc>
          <w:tcPr>
            <w:tcW w:w="0" w:type="auto"/>
            <w:gridSpan w:val="6"/>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 except percentages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Weighted-Average Interest Rate</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Weighted-Average Interest Rate</w:t>
            </w:r>
          </w:p>
        </w:tc>
      </w:tr>
      <w:tr w:rsidR="00000000">
        <w:trPr>
          <w:divId w:val="936795252"/>
          <w:jc w:val="center"/>
        </w:trPr>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i/>
                <w:iCs/>
                <w:color w:val="000000"/>
                <w:sz w:val="20"/>
                <w:szCs w:val="20"/>
              </w:rPr>
              <w:t>Short-Term Borrowings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6"/>
            <w:shd w:val="clear" w:color="auto" w:fill="FFFFFF"/>
            <w:tcMar>
              <w:top w:w="30" w:type="dxa"/>
              <w:left w:w="20" w:type="dxa"/>
              <w:bottom w:w="30" w:type="dxa"/>
              <w:right w:w="20" w:type="dxa"/>
            </w:tcMar>
            <w:vAlign w:val="bottom"/>
            <w:hideMark/>
          </w:tcPr>
          <w:p w:rsidR="00000000" w:rsidRDefault="008214AA">
            <w:pPr>
              <w:spacing w:after="100"/>
              <w:divId w:val="593636953"/>
              <w:rPr>
                <w:rFonts w:eastAsia="Times New Roman"/>
              </w:rPr>
            </w:pPr>
            <w:r>
              <w:rPr>
                <w:rFonts w:eastAsia="Times New Roman"/>
                <w:color w:val="000000"/>
                <w:sz w:val="20"/>
                <w:szCs w:val="20"/>
              </w:rPr>
              <w:t>Current portion of Senior Secured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20"/>
                <w:szCs w:val="20"/>
              </w:rPr>
              <w:t>5.01%</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2.63%</w:t>
            </w:r>
          </w:p>
        </w:tc>
      </w:tr>
      <w:tr w:rsidR="00000000">
        <w:trPr>
          <w:divId w:val="936795252"/>
          <w:jc w:val="center"/>
        </w:trPr>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divId w:val="731076589"/>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20"/>
                <w:szCs w:val="20"/>
              </w:rPr>
              <w:t>4.60%</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2.13%</w:t>
            </w:r>
          </w:p>
        </w:tc>
      </w:tr>
      <w:tr w:rsidR="00000000">
        <w:trPr>
          <w:divId w:val="936795252"/>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short-term borrowings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i/>
                <w:iCs/>
                <w:color w:val="000000"/>
                <w:sz w:val="20"/>
                <w:szCs w:val="20"/>
              </w:rPr>
              <w:t>Long-Term Debt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6"/>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Senior Secured Credit Facility:</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divId w:val="1126005958"/>
              <w:rPr>
                <w:rFonts w:eastAsia="Times New Roman"/>
              </w:rPr>
            </w:pPr>
            <w:r>
              <w:rPr>
                <w:rFonts w:eastAsia="Times New Roman"/>
                <w:color w:val="000000"/>
                <w:sz w:val="20"/>
                <w:szCs w:val="20"/>
              </w:rPr>
              <w:t>Term loan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1,805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20"/>
                <w:szCs w:val="20"/>
              </w:rPr>
              <w:t>5.12%</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1,884 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2.63%</w:t>
            </w:r>
          </w:p>
        </w:tc>
      </w:tr>
      <w:tr w:rsidR="00000000">
        <w:trPr>
          <w:divId w:val="936795252"/>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divId w:val="1759329389"/>
              <w:rPr>
                <w:rFonts w:eastAsia="Times New Roman"/>
              </w:rPr>
            </w:pPr>
            <w:r>
              <w:rPr>
                <w:rFonts w:eastAsia="Times New Roman"/>
                <w:color w:val="000000"/>
                <w:sz w:val="20"/>
                <w:szCs w:val="20"/>
              </w:rPr>
              <w:t>Revolving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20"/>
                <w:szCs w:val="20"/>
              </w:rPr>
              <w:t>5.20%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2.36%</w:t>
            </w:r>
          </w:p>
        </w:tc>
      </w:tr>
      <w:tr w:rsidR="00000000">
        <w:trPr>
          <w:divId w:val="936795252"/>
          <w:jc w:val="center"/>
        </w:trPr>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Senior notes: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divId w:val="1052315524"/>
              <w:rPr>
                <w:rFonts w:eastAsia="Times New Roman"/>
              </w:rPr>
            </w:pPr>
            <w:r>
              <w:rPr>
                <w:rFonts w:eastAsia="Times New Roman"/>
                <w:color w:val="000000"/>
                <w:sz w:val="20"/>
                <w:szCs w:val="20"/>
              </w:rPr>
              <w:t>5.750% Senior Notes due 2027</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divId w:val="1017005500"/>
              <w:rPr>
                <w:rFonts w:eastAsia="Times New Roman"/>
              </w:rPr>
            </w:pPr>
            <w:r>
              <w:rPr>
                <w:rFonts w:eastAsia="Times New Roman"/>
                <w:color w:val="000000"/>
                <w:sz w:val="20"/>
                <w:szCs w:val="20"/>
              </w:rPr>
              <w:t>5.000</w:t>
            </w:r>
            <w:r>
              <w:rPr>
                <w:rFonts w:eastAsia="Times New Roman"/>
                <w:color w:val="000000"/>
                <w:sz w:val="20"/>
                <w:szCs w:val="20"/>
              </w:rPr>
              <w:t>% Senior Notes due 2028</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both"/>
              <w:rPr>
                <w:rFonts w:eastAsia="Times New Roman"/>
              </w:rPr>
            </w:pPr>
            <w:r>
              <w:rPr>
                <w:rFonts w:eastAsia="Times New Roman"/>
                <w:color w:val="000000"/>
                <w:sz w:val="20"/>
                <w:szCs w:val="20"/>
              </w:rPr>
              <w:t>5.125% Senior Notes due 2029</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1,200 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divId w:val="1491214184"/>
              <w:rPr>
                <w:rFonts w:eastAsia="Times New Roman"/>
              </w:rPr>
            </w:pPr>
            <w:r>
              <w:rPr>
                <w:rFonts w:eastAsia="Times New Roman"/>
                <w:color w:val="000000"/>
                <w:sz w:val="20"/>
                <w:szCs w:val="20"/>
              </w:rPr>
              <w:t>6.125% Senior Notes due 2029</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divId w:val="2069104513"/>
              <w:rPr>
                <w:rFonts w:eastAsia="Times New Roman"/>
              </w:rPr>
            </w:pPr>
            <w:r>
              <w:rPr>
                <w:rFonts w:eastAsia="Times New Roman"/>
                <w:color w:val="000000"/>
                <w:sz w:val="20"/>
                <w:szCs w:val="20"/>
              </w:rPr>
              <w:t>5.250% Senior Notes due 2030</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Deferred financing fees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936795252"/>
          <w:jc w:val="center"/>
        </w:trPr>
        <w:tc>
          <w:tcPr>
            <w:tcW w:w="0" w:type="auto"/>
            <w:gridSpan w:val="6"/>
            <w:shd w:val="clear" w:color="auto" w:fill="FFFFFF"/>
            <w:tcMar>
              <w:top w:w="30" w:type="dxa"/>
              <w:left w:w="20" w:type="dxa"/>
              <w:bottom w:w="30" w:type="dxa"/>
              <w:right w:w="20" w:type="dxa"/>
            </w:tcMar>
            <w:vAlign w:val="bottom"/>
            <w:hideMark/>
          </w:tcPr>
          <w:p w:rsidR="00000000" w:rsidRDefault="008214AA">
            <w:pPr>
              <w:spacing w:after="100"/>
              <w:divId w:val="1773166573"/>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color w:val="000000"/>
                <w:sz w:val="20"/>
                <w:szCs w:val="20"/>
              </w:rPr>
              <w:t>6.62%</w:t>
            </w:r>
          </w:p>
        </w:tc>
      </w:tr>
      <w:tr w:rsidR="00000000">
        <w:trPr>
          <w:divId w:val="936795252"/>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long-term debt</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5,611</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5,505 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bl>
    <w:p w:rsidR="00000000" w:rsidRDefault="008214AA">
      <w:pPr>
        <w:jc w:val="center"/>
        <w:divId w:val="936795252"/>
        <w:rPr>
          <w:rFonts w:eastAsia="Times New Roman"/>
        </w:rPr>
      </w:pPr>
      <w:r>
        <w:rPr>
          <w:rFonts w:eastAsia="Times New Roman"/>
          <w:color w:val="000000"/>
          <w:sz w:val="20"/>
          <w:szCs w:val="20"/>
        </w:rPr>
        <w:t>    </w:t>
      </w:r>
    </w:p>
    <w:p w:rsidR="00000000" w:rsidRDefault="008214AA">
      <w:pPr>
        <w:ind w:hanging="270"/>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Interest rates are weighted-average interest rates as of September 30, 2022 and December 31, 2021. </w:t>
      </w:r>
    </w:p>
    <w:p w:rsidR="00000000" w:rsidRDefault="008214AA">
      <w:pPr>
        <w:jc w:val="both"/>
        <w:divId w:val="2033260494"/>
        <w:rPr>
          <w:rFonts w:eastAsia="Times New Roman"/>
        </w:rPr>
      </w:pPr>
    </w:p>
    <w:p w:rsidR="00000000" w:rsidRDefault="008214AA">
      <w:pPr>
        <w:jc w:val="both"/>
        <w:rPr>
          <w:rFonts w:eastAsia="Times New Roman"/>
        </w:rPr>
      </w:pPr>
      <w:r>
        <w:rPr>
          <w:rFonts w:eastAsia="Times New Roman"/>
          <w:i/>
          <w:iCs/>
          <w:color w:val="000000"/>
          <w:sz w:val="20"/>
          <w:szCs w:val="20"/>
        </w:rPr>
        <w:t xml:space="preserve">Senior Secured Credit Facility </w:t>
      </w:r>
      <w:r>
        <w:rPr>
          <w:rFonts w:eastAsia="Times New Roman"/>
          <w:color w:val="000000"/>
          <w:sz w:val="20"/>
          <w:szCs w:val="20"/>
        </w:rPr>
        <w:t>The Company is party to</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a Senior Secured Credit Facility, which provides for a senior secured term loan A facility in an aggregate principal amount of $1.305 billion (the “TLA Facility”), a senior secured term loan B facility in an aggregate principal amount of $750 million (the </w:t>
      </w:r>
      <w:r>
        <w:rPr>
          <w:rFonts w:eastAsia="Times New Roman"/>
          <w:color w:val="000000"/>
          <w:sz w:val="20"/>
          <w:szCs w:val="20"/>
          <w:shd w:val="clear" w:color="auto" w:fill="FFFFFF"/>
        </w:rPr>
        <w:t>“TLB Facility” and together with the TLA Facility, the “Term Loan Facilities”), and a revolving credit facility with commitments in an initial aggregate principal amount of $1.3 billion (the “Revolving Credit Facility”).</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shd w:val="clear" w:color="auto" w:fill="FFFFFF"/>
        </w:rPr>
        <w:t>As of September 30, 2022, $1.910 </w:t>
      </w:r>
      <w:r>
        <w:rPr>
          <w:rFonts w:eastAsia="Times New Roman"/>
          <w:color w:val="000000"/>
          <w:sz w:val="20"/>
          <w:szCs w:val="20"/>
          <w:shd w:val="clear" w:color="auto" w:fill="FFFFFF"/>
        </w:rPr>
        <w:t>billion remained outstanding under the Term Loan Facilities.</w:t>
      </w:r>
      <w:r>
        <w:rPr>
          <w:rFonts w:eastAsia="Times New Roman"/>
          <w:color w:val="000000"/>
          <w:sz w:val="20"/>
          <w:szCs w:val="20"/>
        </w:rPr>
        <w:t xml:space="preserve"> </w:t>
      </w:r>
      <w:r>
        <w:rPr>
          <w:rFonts w:eastAsia="Times New Roman"/>
          <w:color w:val="000000"/>
          <w:sz w:val="20"/>
          <w:szCs w:val="20"/>
          <w:shd w:val="clear" w:color="auto" w:fill="FFFFFF"/>
        </w:rPr>
        <w:t>Additionally, as of September 30, 2022, there was $558 million outstanding under the Revolving Credit Facility. The Revolving Credit Facility also contains a sub-facility to be used for letters o</w:t>
      </w:r>
      <w:r>
        <w:rPr>
          <w:rFonts w:eastAsia="Times New Roman"/>
          <w:color w:val="000000"/>
          <w:sz w:val="20"/>
          <w:szCs w:val="20"/>
          <w:shd w:val="clear" w:color="auto" w:fill="FFFFFF"/>
        </w:rPr>
        <w:t xml:space="preserve">f credit, and, as of September 30, 2022, outstanding letters of credit were $24 million. Our borrowing capacity under our Revolving Credit Facility was $718 million at September 30, 2022.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outstanding principal balance of the TLB Facility is required</w:t>
      </w:r>
      <w:r>
        <w:rPr>
          <w:rFonts w:eastAsia="Times New Roman"/>
          <w:color w:val="000000"/>
          <w:sz w:val="20"/>
          <w:szCs w:val="20"/>
        </w:rPr>
        <w:t xml:space="preserve"> to be repaid in equal quarterly installments of 0.25% of the original aggregate principal amount thereof that began with the fiscal quarter ended December 31, 2019, with the balance being due at maturity on August 28, 2026 (the “TLB Maturity Date”).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w:t>
      </w:r>
      <w:r>
        <w:rPr>
          <w:rFonts w:eastAsia="Times New Roman"/>
          <w:color w:val="000000"/>
          <w:sz w:val="20"/>
          <w:szCs w:val="20"/>
        </w:rPr>
        <w:t xml:space="preserve"> outstanding principal balance of the TLA Facility is required to be repaid in equal quarterly installments of 1.875% of the original aggregate principal amount thereof, that began with the fiscal quarter ended September 30, 2021, with the balance being du</w:t>
      </w:r>
      <w:r>
        <w:rPr>
          <w:rFonts w:eastAsia="Times New Roman"/>
          <w:color w:val="000000"/>
          <w:sz w:val="20"/>
          <w:szCs w:val="20"/>
        </w:rPr>
        <w:t xml:space="preserve">e at maturity on the earlier of (a) June 21, 2026 and (b) unless the loans under TLB Facility have been repaid prior to such date, the date that is 91 days prior to the TLB Maturity Date.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Commitments under the Revolving Credit Facility are scheduled to </w:t>
      </w:r>
      <w:r>
        <w:rPr>
          <w:rFonts w:eastAsia="Times New Roman"/>
          <w:color w:val="000000"/>
          <w:sz w:val="20"/>
          <w:szCs w:val="20"/>
        </w:rPr>
        <w:t>terminate on the earlier of (a) June 21, 2026 and (b) unless the loans under TLB Facility have been repaid prior to such date, the date that is 91 days prior to the TLB Maturity Date. Loans under the Revolving Credit Facility may be repaid and reborrowed p</w:t>
      </w:r>
      <w:r>
        <w:rPr>
          <w:rFonts w:eastAsia="Times New Roman"/>
          <w:color w:val="000000"/>
          <w:sz w:val="20"/>
          <w:szCs w:val="20"/>
        </w:rPr>
        <w:t>rior to such date, subject to the satisfaction of customary conditions.</w:t>
      </w:r>
    </w:p>
    <w:p w:rsidR="00000000" w:rsidRDefault="008214AA">
      <w:pPr>
        <w:divId w:val="1362121923"/>
        <w:rPr>
          <w:rFonts w:eastAsia="Times New Roman"/>
        </w:rPr>
      </w:pPr>
    </w:p>
    <w:p w:rsidR="00000000" w:rsidRDefault="008214AA">
      <w:pPr>
        <w:jc w:val="center"/>
        <w:divId w:val="1894996530"/>
        <w:rPr>
          <w:rFonts w:eastAsia="Times New Roman"/>
        </w:rPr>
      </w:pPr>
      <w:r>
        <w:rPr>
          <w:rFonts w:eastAsia="Times New Roman"/>
          <w:color w:val="000000"/>
          <w:sz w:val="20"/>
          <w:szCs w:val="20"/>
        </w:rPr>
        <w:t>19</w:t>
      </w:r>
    </w:p>
    <w:p w:rsidR="00000000" w:rsidRDefault="008214AA">
      <w:pPr>
        <w:rPr>
          <w:rFonts w:eastAsia="Times New Roman"/>
        </w:rPr>
      </w:pPr>
      <w:r>
        <w:rPr>
          <w:rFonts w:eastAsia="Times New Roman"/>
        </w:rPr>
        <w:pict>
          <v:rect id="_x0000_i1044" style="width:0;height:1.5pt" o:hralign="center" o:hrstd="t" o:hr="t" fillcolor="#a0a0a0" stroked="f"/>
        </w:pict>
      </w:r>
    </w:p>
    <w:p w:rsidR="00000000" w:rsidRDefault="008214AA">
      <w:pPr>
        <w:ind w:firstLine="720"/>
        <w:divId w:val="2058124872"/>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183201564"/>
        <w:rPr>
          <w:rFonts w:eastAsia="Times New Roman"/>
        </w:rPr>
      </w:pPr>
      <w:r>
        <w:rPr>
          <w:rFonts w:eastAsia="Times New Roman"/>
          <w:b/>
          <w:bCs/>
          <w:color w:val="000000"/>
          <w:sz w:val="20"/>
          <w:szCs w:val="20"/>
        </w:rPr>
        <w:t>NCR Corporation</w:t>
      </w:r>
    </w:p>
    <w:p w:rsidR="00000000" w:rsidRDefault="008214AA">
      <w:pPr>
        <w:jc w:val="center"/>
        <w:divId w:val="1183201564"/>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 (Unaudited)—(Continued)</w:t>
      </w:r>
    </w:p>
    <w:p w:rsidR="00000000" w:rsidRDefault="008214AA">
      <w:pPr>
        <w:jc w:val="both"/>
        <w:rPr>
          <w:rFonts w:eastAsia="Times New Roman"/>
        </w:rPr>
      </w:pPr>
      <w:r>
        <w:rPr>
          <w:rFonts w:eastAsia="Times New Roman"/>
          <w:color w:val="000000"/>
          <w:sz w:val="20"/>
          <w:szCs w:val="20"/>
        </w:rPr>
        <w:t xml:space="preserve">The obligations under the Senior Secured Credit Facility are guaranteed by certain of the Company’s domestic material subsidiaries including </w:t>
      </w:r>
      <w:r>
        <w:rPr>
          <w:rFonts w:eastAsia="Times New Roman"/>
          <w:color w:val="000000"/>
          <w:sz w:val="20"/>
          <w:szCs w:val="20"/>
          <w:shd w:val="clear" w:color="auto" w:fill="FFFFFF"/>
        </w:rPr>
        <w:t>NCR International, Inc. (</w:t>
      </w:r>
      <w:r>
        <w:rPr>
          <w:rFonts w:eastAsia="Times New Roman"/>
          <w:color w:val="000000"/>
          <w:sz w:val="20"/>
          <w:szCs w:val="20"/>
        </w:rPr>
        <w:t>the “Guarantor Subsidiary”) and certain domestic subsidiaries ac</w:t>
      </w:r>
      <w:r>
        <w:rPr>
          <w:rFonts w:eastAsia="Times New Roman"/>
          <w:color w:val="000000"/>
          <w:sz w:val="20"/>
          <w:szCs w:val="20"/>
        </w:rPr>
        <w:t>quired through the Cardtronics Transaction (collectively, the “Cardtronics Guarantors” and together with the Guarantor Subsidiary, the “Guarantors”).</w:t>
      </w:r>
      <w:r>
        <w:rPr>
          <w:rFonts w:eastAsia="Times New Roman"/>
          <w:color w:val="008080"/>
        </w:rPr>
        <w:t xml:space="preserve"> </w:t>
      </w:r>
      <w:r>
        <w:rPr>
          <w:rFonts w:eastAsia="Times New Roman"/>
          <w:color w:val="000000"/>
          <w:sz w:val="20"/>
          <w:szCs w:val="20"/>
        </w:rPr>
        <w:t xml:space="preserve">The obligations under the Senior Secured Credit Facility and the above described guarantee are secured by </w:t>
      </w:r>
      <w:r>
        <w:rPr>
          <w:rFonts w:eastAsia="Times New Roman"/>
          <w:color w:val="000000"/>
          <w:sz w:val="20"/>
          <w:szCs w:val="20"/>
        </w:rPr>
        <w:t>a first priority lien and security interest in certain equity interests owned by the Company and the Guarantors in certain of their respective domestic and foreign subsidiaries, and a first priority lien and security interest in substantially all of the as</w:t>
      </w:r>
      <w:r>
        <w:rPr>
          <w:rFonts w:eastAsia="Times New Roman"/>
          <w:color w:val="000000"/>
          <w:sz w:val="20"/>
          <w:szCs w:val="20"/>
        </w:rPr>
        <w:t>sets of the Company and the Guarantors, subject to certain exclusions. These security interests would be released if the Company achieves an “investment grade” rating and will remain released so long as the Company maintains an “investment grade” rating.</w:t>
      </w:r>
    </w:p>
    <w:p w:rsidR="00000000" w:rsidRDefault="008214AA">
      <w:pPr>
        <w:jc w:val="both"/>
        <w:divId w:val="195629412"/>
        <w:rPr>
          <w:rFonts w:eastAsia="Times New Roman"/>
        </w:rPr>
      </w:pPr>
      <w:r>
        <w:rPr>
          <w:rFonts w:eastAsia="Times New Roman"/>
          <w:color w:val="000000"/>
          <w:sz w:val="20"/>
          <w:szCs w:val="20"/>
        </w:rPr>
        <w:t>T</w:t>
      </w:r>
      <w:r>
        <w:rPr>
          <w:rFonts w:eastAsia="Times New Roman"/>
          <w:color w:val="000000"/>
          <w:sz w:val="20"/>
          <w:szCs w:val="20"/>
        </w:rPr>
        <w:t>he Senior Secured Credit Facility includes affirmative and negative covenants that restrict or limit the ability of the Company and its subsidiaries to, among other things, incur indebtedness; create liens on assets; engage in certain fundamental corporate</w:t>
      </w:r>
      <w:r>
        <w:rPr>
          <w:rFonts w:eastAsia="Times New Roman"/>
          <w:color w:val="000000"/>
          <w:sz w:val="20"/>
          <w:szCs w:val="20"/>
        </w:rPr>
        <w:t xml:space="preserve"> changes or changes to the Company's business activities; make investments; sell or otherwise dispose of assets; engage in sale-leaseback or hedging transactions; repurchase stock, pay dividends or make similar distributions; repay other indebtedness; enga</w:t>
      </w:r>
      <w:r>
        <w:rPr>
          <w:rFonts w:eastAsia="Times New Roman"/>
          <w:color w:val="000000"/>
          <w:sz w:val="20"/>
          <w:szCs w:val="20"/>
        </w:rPr>
        <w:t>ge in certain affiliate transactions; or enter into agreements that restrict the Company's ability to create liens, pay dividends or make loan repayments. The Senior Secured Credit Facility also includes a financial covenant with respect to the Revolving C</w:t>
      </w:r>
      <w:r>
        <w:rPr>
          <w:rFonts w:eastAsia="Times New Roman"/>
          <w:color w:val="000000"/>
          <w:sz w:val="20"/>
          <w:szCs w:val="20"/>
        </w:rPr>
        <w:t>redit Facility and the TLA Facility. The financial covenant requires the Company to maintain:</w:t>
      </w:r>
    </w:p>
    <w:p w:rsidR="00000000" w:rsidRDefault="008214AA">
      <w:pPr>
        <w:ind w:hanging="360"/>
        <w:jc w:val="both"/>
        <w:divId w:val="1060907836"/>
        <w:rPr>
          <w:rFonts w:eastAsia="Times New Roman"/>
        </w:rPr>
      </w:pPr>
      <w:r>
        <w:rPr>
          <w:rFonts w:eastAsia="Times New Roman"/>
          <w:color w:val="000000"/>
          <w:sz w:val="20"/>
          <w:szCs w:val="20"/>
          <w:shd w:val="clear" w:color="auto" w:fill="FFFFFF"/>
        </w:rPr>
        <w:t>•</w:t>
      </w:r>
      <w:r>
        <w:rPr>
          <w:rFonts w:eastAsia="Times New Roman"/>
          <w:color w:val="000000"/>
          <w:sz w:val="20"/>
          <w:szCs w:val="20"/>
        </w:rPr>
        <w:t>A consolidated leverage ratio on the last day of any fiscal quarter, not to exceed (i) in the case of any fiscal quarter ending on or prior to December 31, 2021,</w:t>
      </w:r>
      <w:r>
        <w:rPr>
          <w:rFonts w:eastAsia="Times New Roman"/>
          <w:color w:val="000000"/>
          <w:sz w:val="20"/>
          <w:szCs w:val="20"/>
        </w:rPr>
        <w:t xml:space="preserve"> 5.50 to 1.00, (ii) in the case of any fiscal quarter ending on or prior to September 30, 2022, 5.25 to 1.00, and (iii) in the case of any fiscal quarter ending on or after December 31, 2022, 4.75 to 1.00.</w:t>
      </w:r>
    </w:p>
    <w:p w:rsidR="00000000" w:rsidRDefault="008214AA">
      <w:pPr>
        <w:jc w:val="both"/>
        <w:rPr>
          <w:rFonts w:eastAsia="Times New Roman"/>
        </w:rPr>
      </w:pPr>
      <w:r>
        <w:rPr>
          <w:rFonts w:eastAsia="Times New Roman"/>
          <w:i/>
          <w:iCs/>
          <w:color w:val="000000"/>
          <w:sz w:val="20"/>
          <w:szCs w:val="20"/>
        </w:rPr>
        <w:t xml:space="preserve">Senior Unsecured Notes </w:t>
      </w:r>
      <w:r>
        <w:rPr>
          <w:rFonts w:eastAsia="Times New Roman"/>
          <w:color w:val="000000"/>
          <w:sz w:val="20"/>
          <w:szCs w:val="20"/>
        </w:rPr>
        <w:t>The Company’s senior unsecu</w:t>
      </w:r>
      <w:r>
        <w:rPr>
          <w:rFonts w:eastAsia="Times New Roman"/>
          <w:color w:val="000000"/>
          <w:sz w:val="20"/>
          <w:szCs w:val="20"/>
        </w:rPr>
        <w:t>red notes are guaranteed by the Guarantors, which have guaranteed fully and unconditionally the obligations to pay principal and interest for the Company’s senior unsecured notes. The</w:t>
      </w:r>
      <w:r>
        <w:rPr>
          <w:rFonts w:eastAsia="Times New Roman"/>
          <w:color w:val="000000"/>
          <w:sz w:val="20"/>
          <w:szCs w:val="20"/>
          <w:shd w:val="clear" w:color="auto" w:fill="FFFFFF"/>
        </w:rPr>
        <w:t xml:space="preserve"> terms of the indentures for the Company’s senior unsecured notes limit t</w:t>
      </w:r>
      <w:r>
        <w:rPr>
          <w:rFonts w:eastAsia="Times New Roman"/>
          <w:color w:val="000000"/>
          <w:sz w:val="20"/>
          <w:szCs w:val="20"/>
          <w:shd w:val="clear" w:color="auto" w:fill="FFFFFF"/>
        </w:rPr>
        <w:t>he ability of the Company and certain of its subsidiaries to, among other things, incur additional debt or issue redeemable preferred stock; pay dividends or make certain other restricted payments or investments; incur liens; sell assets; incur restriction</w:t>
      </w:r>
      <w:r>
        <w:rPr>
          <w:rFonts w:eastAsia="Times New Roman"/>
          <w:color w:val="000000"/>
          <w:sz w:val="20"/>
          <w:szCs w:val="20"/>
          <w:shd w:val="clear" w:color="auto" w:fill="FFFFFF"/>
        </w:rPr>
        <w:t>s on the ability of the Company's subsidiaries to pay dividends to the Company; enter into affiliate transactions; engage in sa</w:t>
      </w:r>
      <w:r>
        <w:rPr>
          <w:rFonts w:eastAsia="Times New Roman"/>
          <w:color w:val="000000"/>
          <w:sz w:val="20"/>
          <w:szCs w:val="20"/>
        </w:rPr>
        <w:t xml:space="preserve">le and leaseback transactions; and consolidate, merge, sell or otherwise dispose of all or substantially all of the Company's or </w:t>
      </w:r>
      <w:r>
        <w:rPr>
          <w:rFonts w:eastAsia="Times New Roman"/>
          <w:color w:val="000000"/>
          <w:sz w:val="20"/>
          <w:szCs w:val="20"/>
        </w:rPr>
        <w:t>such subsidiaries' assets.</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Fair Value of Debt</w:t>
      </w:r>
      <w:r>
        <w:rPr>
          <w:rFonts w:eastAsia="Times New Roman"/>
          <w:color w:val="000000"/>
          <w:sz w:val="20"/>
          <w:szCs w:val="20"/>
        </w:rPr>
        <w:t xml:space="preserve"> The Company utilized Level 2 inputs, as defined in the fair value hierarchy, to measure the fair value of the long-term debt, which, as of September 30, 2022 and December 31, 2021 was $5.06 billion and $5.74 </w:t>
      </w:r>
      <w:r>
        <w:rPr>
          <w:rFonts w:eastAsia="Times New Roman"/>
          <w:color w:val="000000"/>
          <w:sz w:val="20"/>
          <w:szCs w:val="20"/>
        </w:rPr>
        <w:t>billion, respectively. Management's fair value estimates were based on quoted prices for recent trades of NCR’s long-term debt, quoted prices for similar instruments, and inquiries with certain investment communities.</w:t>
      </w:r>
    </w:p>
    <w:p w:rsidR="00000000" w:rsidRDefault="008214AA">
      <w:pPr>
        <w:divId w:val="1092507991"/>
        <w:rPr>
          <w:rFonts w:eastAsia="Times New Roman"/>
        </w:rPr>
      </w:pPr>
    </w:p>
    <w:p w:rsidR="00000000" w:rsidRDefault="008214AA">
      <w:pPr>
        <w:divId w:val="314259286"/>
        <w:rPr>
          <w:rFonts w:eastAsia="Times New Roman"/>
        </w:rPr>
      </w:pPr>
    </w:p>
    <w:p w:rsidR="00000000" w:rsidRDefault="008214AA">
      <w:pPr>
        <w:divId w:val="2046634319"/>
        <w:rPr>
          <w:rFonts w:eastAsia="Times New Roman"/>
        </w:rPr>
      </w:pPr>
      <w:r>
        <w:rPr>
          <w:rFonts w:eastAsia="Times New Roman"/>
          <w:b/>
          <w:bCs/>
          <w:color w:val="54B948"/>
          <w:sz w:val="20"/>
          <w:szCs w:val="20"/>
        </w:rPr>
        <w:t>6. TRADE RECEIVABLES FACILITY</w:t>
      </w:r>
    </w:p>
    <w:p w:rsidR="00000000" w:rsidRDefault="008214AA">
      <w:pPr>
        <w:divId w:val="1539321122"/>
        <w:rPr>
          <w:rFonts w:eastAsia="Times New Roman"/>
        </w:rPr>
      </w:pPr>
    </w:p>
    <w:p w:rsidR="00000000" w:rsidRDefault="008214AA">
      <w:pPr>
        <w:jc w:val="both"/>
        <w:rPr>
          <w:rFonts w:eastAsia="Times New Roman"/>
        </w:rPr>
      </w:pPr>
      <w:r>
        <w:rPr>
          <w:rFonts w:eastAsia="Times New Roman"/>
          <w:color w:val="000000"/>
          <w:sz w:val="20"/>
          <w:szCs w:val="20"/>
        </w:rPr>
        <w:t>The Company continues to maintain its trade receivables facility (the “T/R Facility”) with PNC Bank, National Association (“PNC”), which allows the Company's wholly-owned, bankruptcy remote subsidiary, NCR Receivables LLC (t</w:t>
      </w:r>
      <w:r>
        <w:rPr>
          <w:rFonts w:eastAsia="Times New Roman"/>
          <w:color w:val="000000"/>
          <w:sz w:val="20"/>
          <w:szCs w:val="20"/>
        </w:rPr>
        <w:t xml:space="preserve">he “U.S. SPE”), to sell certain trade receivables on a revolving basis to PNC and the other unaffiliated purchasers participating in the T/R Facility. The T/R Facility, as amended, became effective September 30, 2021 and has a term of two years, which the </w:t>
      </w:r>
      <w:r>
        <w:rPr>
          <w:rFonts w:eastAsia="Times New Roman"/>
          <w:color w:val="000000"/>
          <w:sz w:val="20"/>
          <w:szCs w:val="20"/>
        </w:rPr>
        <w:t>Company and the U.S. SPE intend to renew.</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Under the T/R Facility, the Company and certain United States and Canadian operating subsidiaries of the Company continuously sell their trade receivables as they are originated to the U.S. SPE and a Canadian bankruptcy-remote special purpose entity (colle</w:t>
      </w:r>
      <w:r>
        <w:rPr>
          <w:rFonts w:eastAsia="Times New Roman"/>
          <w:color w:val="000000"/>
          <w:sz w:val="20"/>
          <w:szCs w:val="20"/>
        </w:rPr>
        <w:t>ctively, the “SPEs”), as applicable.</w:t>
      </w:r>
      <w:r>
        <w:rPr>
          <w:rFonts w:eastAsia="Times New Roman"/>
          <w:color w:val="000000"/>
        </w:rPr>
        <w:t xml:space="preserve"> </w:t>
      </w:r>
      <w:r>
        <w:rPr>
          <w:rFonts w:eastAsia="Times New Roman"/>
          <w:color w:val="000000"/>
          <w:sz w:val="20"/>
          <w:szCs w:val="20"/>
        </w:rPr>
        <w:t>None of the assets or credit of either SPE is available to satisfy the debts and obligations owed to the creditors of the Company or any other person until the obligations of the SPEs under the T/R Facility have been sa</w:t>
      </w:r>
      <w:r>
        <w:rPr>
          <w:rFonts w:eastAsia="Times New Roman"/>
          <w:color w:val="000000"/>
          <w:sz w:val="20"/>
          <w:szCs w:val="20"/>
        </w:rPr>
        <w:t xml:space="preserve">tisfied. The Company controls and therefore consolidates the SPEs in its condensed consolidated financial statements.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As cash is collected on the trade receivables, the U.S. SPE has the ability to continuously transfer ownership and control of new quali</w:t>
      </w:r>
      <w:r>
        <w:rPr>
          <w:rFonts w:eastAsia="Times New Roman"/>
          <w:color w:val="000000"/>
          <w:sz w:val="20"/>
          <w:szCs w:val="20"/>
        </w:rPr>
        <w:t>fying receivables to PNC and the other unaffiliated purchasers such that the total outstanding balance of trade receivables sold can be up to $300 million at any point in time, which is the maximum purchase commitment of PNC and the other unaffiliated purc</w:t>
      </w:r>
      <w:r>
        <w:rPr>
          <w:rFonts w:eastAsia="Times New Roman"/>
          <w:color w:val="000000"/>
          <w:sz w:val="20"/>
          <w:szCs w:val="20"/>
        </w:rPr>
        <w:t>hasers. The future outstanding balance of trade receivables that are sold is expected to vary based on the level of activity and other factors and could be less than the maximum purchase commitment of $300 million. The total outstanding balance of trade re</w:t>
      </w:r>
      <w:r>
        <w:rPr>
          <w:rFonts w:eastAsia="Times New Roman"/>
          <w:color w:val="000000"/>
          <w:sz w:val="20"/>
          <w:szCs w:val="20"/>
        </w:rPr>
        <w:t>ceivables that have been sold and derecognized by the U.S. SPE to PNC and the other unaffiliated purchasers is approximately $300 million as of September 30, 2022 and December 31, 2021. Excluding the trade receivables sold to PNC and other unaffiliated pur</w:t>
      </w:r>
      <w:r>
        <w:rPr>
          <w:rFonts w:eastAsia="Times New Roman"/>
          <w:color w:val="000000"/>
          <w:sz w:val="20"/>
          <w:szCs w:val="20"/>
        </w:rPr>
        <w:t xml:space="preserve">chasers, the SPEs collectively owned $370 million and $228 million of trade receivable as of </w:t>
      </w:r>
    </w:p>
    <w:p w:rsidR="00000000" w:rsidRDefault="008214AA">
      <w:pPr>
        <w:jc w:val="center"/>
        <w:divId w:val="259221128"/>
        <w:rPr>
          <w:rFonts w:eastAsia="Times New Roman"/>
        </w:rPr>
      </w:pPr>
      <w:r>
        <w:rPr>
          <w:rFonts w:eastAsia="Times New Roman"/>
          <w:color w:val="000000"/>
          <w:sz w:val="20"/>
          <w:szCs w:val="20"/>
        </w:rPr>
        <w:t>20</w:t>
      </w:r>
    </w:p>
    <w:p w:rsidR="00000000" w:rsidRDefault="008214AA">
      <w:pPr>
        <w:rPr>
          <w:rFonts w:eastAsia="Times New Roman"/>
        </w:rPr>
      </w:pPr>
      <w:r>
        <w:rPr>
          <w:rFonts w:eastAsia="Times New Roman"/>
        </w:rPr>
        <w:pict>
          <v:rect id="_x0000_i1045" style="width:0;height:1.5pt" o:hralign="center" o:hrstd="t" o:hr="t" fillcolor="#a0a0a0" stroked="f"/>
        </w:pict>
      </w:r>
    </w:p>
    <w:p w:rsidR="00000000" w:rsidRDefault="008214AA">
      <w:pPr>
        <w:ind w:firstLine="720"/>
        <w:divId w:val="2028017746"/>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316954844"/>
        <w:rPr>
          <w:rFonts w:eastAsia="Times New Roman"/>
        </w:rPr>
      </w:pPr>
      <w:r>
        <w:rPr>
          <w:rFonts w:eastAsia="Times New Roman"/>
          <w:b/>
          <w:bCs/>
          <w:color w:val="000000"/>
          <w:sz w:val="20"/>
          <w:szCs w:val="20"/>
        </w:rPr>
        <w:t>NCR Corporation</w:t>
      </w:r>
    </w:p>
    <w:p w:rsidR="00000000" w:rsidRDefault="008214AA">
      <w:pPr>
        <w:jc w:val="center"/>
        <w:divId w:val="316954844"/>
        <w:rPr>
          <w:rFonts w:eastAsia="Times New Roman"/>
        </w:rPr>
      </w:pPr>
      <w:r>
        <w:rPr>
          <w:rFonts w:eastAsia="Times New Roman"/>
          <w:b/>
          <w:bCs/>
          <w:color w:val="000000"/>
          <w:sz w:val="20"/>
          <w:szCs w:val="20"/>
        </w:rPr>
        <w:t>Notes to Condensed Consolidated</w:t>
      </w:r>
      <w:r>
        <w:rPr>
          <w:rFonts w:eastAsia="Times New Roman"/>
          <w:b/>
          <w:bCs/>
          <w:color w:val="000000"/>
          <w:sz w:val="20"/>
          <w:szCs w:val="20"/>
        </w:rPr>
        <w:t xml:space="preserve"> Financial Statements (Unaudited)—(Continued)</w:t>
      </w:r>
    </w:p>
    <w:p w:rsidR="00000000" w:rsidRDefault="008214AA">
      <w:pPr>
        <w:jc w:val="both"/>
        <w:rPr>
          <w:rFonts w:eastAsia="Times New Roman"/>
        </w:rPr>
      </w:pPr>
      <w:r>
        <w:rPr>
          <w:rFonts w:eastAsia="Times New Roman"/>
          <w:color w:val="000000"/>
          <w:sz w:val="20"/>
          <w:szCs w:val="20"/>
        </w:rPr>
        <w:t xml:space="preserve">September 30, 2022 and December 31, 2021, respectively, and these amounts are included in Accounts receivable, net in the Company’s Condensed Consolidated Balance Sheets. </w:t>
      </w:r>
    </w:p>
    <w:p w:rsidR="00000000" w:rsidRDefault="008214AA">
      <w:pPr>
        <w:divId w:val="67509018"/>
        <w:rPr>
          <w:rFonts w:eastAsia="Times New Roman"/>
        </w:rPr>
      </w:pPr>
    </w:p>
    <w:p w:rsidR="00000000" w:rsidRDefault="008214AA">
      <w:pPr>
        <w:jc w:val="both"/>
        <w:rPr>
          <w:rFonts w:eastAsia="Times New Roman"/>
        </w:rPr>
      </w:pPr>
      <w:r>
        <w:rPr>
          <w:rFonts w:eastAsia="Times New Roman"/>
          <w:color w:val="000000"/>
          <w:sz w:val="20"/>
          <w:szCs w:val="20"/>
        </w:rPr>
        <w:t xml:space="preserve">Continuous cash activity related to </w:t>
      </w:r>
      <w:r>
        <w:rPr>
          <w:rFonts w:eastAsia="Times New Roman"/>
          <w:color w:val="000000"/>
          <w:sz w:val="20"/>
          <w:szCs w:val="20"/>
        </w:rPr>
        <w:t>the T/R Facility is reflected in Net cash provided by operating activities in the Condensed Consolidated Statements of Cash Flows. The U.S. SPE incurs fees due and payable to PNC and the other unaffiliated purchasers participating in the T/R Facility. Thos</w:t>
      </w:r>
      <w:r>
        <w:rPr>
          <w:rFonts w:eastAsia="Times New Roman"/>
          <w:color w:val="000000"/>
          <w:sz w:val="20"/>
          <w:szCs w:val="20"/>
        </w:rPr>
        <w:t>e fees, which are immaterial, are recorded within Other income (expense), net in the Condensed Consolidated Statements of Operations. In addition, each of the SPEs has provided a full recourse guarantee in favor of PNC and the other unaffiliated purchasers</w:t>
      </w:r>
      <w:r>
        <w:rPr>
          <w:rFonts w:eastAsia="Times New Roman"/>
          <w:color w:val="000000"/>
          <w:sz w:val="20"/>
          <w:szCs w:val="20"/>
        </w:rPr>
        <w:t xml:space="preserve"> of the full and timely payment of all trade receivables sold to them by the U.S. SPE. The guarantee is collateralized by all the trade receivables owned by each of the SPEs that have not been sold to PNC or the other unaffiliated purchasers. The reserve r</w:t>
      </w:r>
      <w:r>
        <w:rPr>
          <w:rFonts w:eastAsia="Times New Roman"/>
          <w:color w:val="000000"/>
          <w:sz w:val="20"/>
          <w:szCs w:val="20"/>
        </w:rPr>
        <w:t xml:space="preserve">ecognized for this recourse obligation as of September 30, 2022 is not material. </w:t>
      </w:r>
    </w:p>
    <w:p w:rsidR="00000000" w:rsidRDefault="008214AA">
      <w:pPr>
        <w:divId w:val="1143624400"/>
        <w:rPr>
          <w:rFonts w:eastAsia="Times New Roman"/>
        </w:rPr>
      </w:pPr>
    </w:p>
    <w:p w:rsidR="00000000" w:rsidRDefault="008214AA">
      <w:pPr>
        <w:jc w:val="both"/>
        <w:rPr>
          <w:rFonts w:eastAsia="Times New Roman"/>
        </w:rPr>
      </w:pPr>
      <w:r>
        <w:rPr>
          <w:rFonts w:eastAsia="Times New Roman"/>
          <w:color w:val="000000"/>
          <w:sz w:val="20"/>
          <w:szCs w:val="20"/>
        </w:rPr>
        <w:t xml:space="preserve">The Company, or in the case of any Canadian trade receivables, NCR Canada Corp., continues to be involved with the trade receivables even after they are transferred to the </w:t>
      </w:r>
      <w:r>
        <w:rPr>
          <w:rFonts w:eastAsia="Times New Roman"/>
          <w:color w:val="000000"/>
          <w:sz w:val="20"/>
          <w:szCs w:val="20"/>
        </w:rPr>
        <w:t>SPEs (or further transferred to PNC and the other unaffiliated purchasers) by acting as servicer. In addition to any obligations as servicer, the Company and each of its subsidiaries acting as an originator under the T/R Facility provide the SPEs with cust</w:t>
      </w:r>
      <w:r>
        <w:rPr>
          <w:rFonts w:eastAsia="Times New Roman"/>
          <w:color w:val="000000"/>
          <w:sz w:val="20"/>
          <w:szCs w:val="20"/>
        </w:rPr>
        <w:t>omary recourse in respect of (i) certain dilutive events with respect to the trade receivables sold to the SPEs that are caused by the Company or another originator and (ii) in the event of certain violations by the Company or another originator of their r</w:t>
      </w:r>
      <w:r>
        <w:rPr>
          <w:rFonts w:eastAsia="Times New Roman"/>
          <w:color w:val="000000"/>
          <w:sz w:val="20"/>
          <w:szCs w:val="20"/>
        </w:rPr>
        <w:t>epresentations and warranties with respect to the trade receivables sold to the SPEs. These servicing and originator liabilities of the Company and its subsidiaries (other than the SPEs) under the T/R Facility are not expected to be material, given the hig</w:t>
      </w:r>
      <w:r>
        <w:rPr>
          <w:rFonts w:eastAsia="Times New Roman"/>
          <w:color w:val="000000"/>
          <w:sz w:val="20"/>
          <w:szCs w:val="20"/>
        </w:rPr>
        <w:t>h quality of the customers underlying the receivables and the anticipated short collection period.</w:t>
      </w:r>
    </w:p>
    <w:p w:rsidR="00000000" w:rsidRDefault="008214AA">
      <w:pPr>
        <w:jc w:val="both"/>
        <w:rPr>
          <w:rFonts w:eastAsia="Times New Roman"/>
        </w:rPr>
      </w:pPr>
    </w:p>
    <w:p w:rsidR="00000000" w:rsidRDefault="008214AA">
      <w:pPr>
        <w:divId w:val="396587672"/>
        <w:rPr>
          <w:rFonts w:eastAsia="Times New Roman"/>
        </w:rPr>
      </w:pPr>
      <w:r>
        <w:rPr>
          <w:rFonts w:eastAsia="Times New Roman"/>
          <w:b/>
          <w:bCs/>
          <w:color w:val="54B948"/>
          <w:sz w:val="20"/>
          <w:szCs w:val="20"/>
          <w:shd w:val="clear" w:color="auto" w:fill="FFFFFF"/>
        </w:rPr>
        <w:t>7. INCOME TAXES</w:t>
      </w:r>
    </w:p>
    <w:p w:rsidR="00000000" w:rsidRDefault="008214AA">
      <w:pPr>
        <w:divId w:val="1494225790"/>
        <w:rPr>
          <w:rFonts w:eastAsia="Times New Roman"/>
        </w:rPr>
      </w:pPr>
    </w:p>
    <w:p w:rsidR="00000000" w:rsidRDefault="008214AA">
      <w:pPr>
        <w:jc w:val="both"/>
        <w:rPr>
          <w:rFonts w:eastAsia="Times New Roman"/>
        </w:rPr>
      </w:pPr>
      <w:r>
        <w:rPr>
          <w:rFonts w:eastAsia="Times New Roman"/>
          <w:color w:val="000000"/>
          <w:sz w:val="20"/>
          <w:szCs w:val="20"/>
        </w:rPr>
        <w:t>Income tax provisions for interim (quarterly) periods are based on an estimated annual effective income tax rate calculated separately fr</w:t>
      </w:r>
      <w:r>
        <w:rPr>
          <w:rFonts w:eastAsia="Times New Roman"/>
          <w:color w:val="000000"/>
          <w:sz w:val="20"/>
          <w:szCs w:val="20"/>
        </w:rPr>
        <w:t>om the effect of significant, infrequent or unusual items. Income tax expense was $43 million for the three months ended September 30, 2022 compared to income tax expense of $29 million for the three months ended September 30, 2021. The change was primaril</w:t>
      </w:r>
      <w:r>
        <w:rPr>
          <w:rFonts w:eastAsia="Times New Roman"/>
          <w:color w:val="000000"/>
          <w:sz w:val="20"/>
          <w:szCs w:val="20"/>
        </w:rPr>
        <w:t xml:space="preserve">y driven by higher income before taxes in the three months ended September 30, 2022, compared to the prior year. The Company did not recognize any material discrete tax expenses or benefits in either period.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Income tax expense was $56 million for the ni</w:t>
      </w:r>
      <w:r>
        <w:rPr>
          <w:rFonts w:eastAsia="Times New Roman"/>
          <w:color w:val="000000"/>
          <w:sz w:val="20"/>
          <w:szCs w:val="20"/>
        </w:rPr>
        <w:t>ne months ended September 30, 2022 compared to income tax expense of $77 million for the nine months ended September 30, 2021. The change was primarily driven by discrete tax expenses and benefits. In the nine months ended September 30, 2022, the Company r</w:t>
      </w:r>
      <w:r>
        <w:rPr>
          <w:rFonts w:eastAsia="Times New Roman"/>
          <w:color w:val="000000"/>
          <w:sz w:val="20"/>
          <w:szCs w:val="20"/>
        </w:rPr>
        <w:t>ecognized a $7 million benefit from provision to return adjustments and a $7 million benefit related to uncertain tax position settlements and statute of limitation lapses. In the nine months ended September 30, 2021, the Company recognized a $34 million e</w:t>
      </w:r>
      <w:r>
        <w:rPr>
          <w:rFonts w:eastAsia="Times New Roman"/>
          <w:color w:val="000000"/>
          <w:sz w:val="20"/>
          <w:szCs w:val="20"/>
        </w:rPr>
        <w:t xml:space="preserve">xpense from recording a valuation allowance against interest limitation carryforwards in the U.S. and a $14 million benefit from the deferred tax impact of a tax law change in the U.K.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The Company engages in continuous discussions and negotiations with </w:t>
      </w:r>
      <w:r>
        <w:rPr>
          <w:rFonts w:eastAsia="Times New Roman"/>
          <w:color w:val="000000"/>
          <w:sz w:val="20"/>
          <w:szCs w:val="20"/>
        </w:rPr>
        <w:t>taxing authorities regarding tax matters, and the Company has determined that over the next 12 months it expects to resolve certain tax matters related to U.S. and foreign jurisdictions. As a result, as of September 30, 2022, we estimate that it is reasona</w:t>
      </w:r>
      <w:r>
        <w:rPr>
          <w:rFonts w:eastAsia="Times New Roman"/>
          <w:color w:val="000000"/>
          <w:sz w:val="20"/>
          <w:szCs w:val="20"/>
        </w:rPr>
        <w:t>bly possible that gross unrecognized tax benefits may decrease by $8 million to $10 million in the next 12 months.</w:t>
      </w:r>
    </w:p>
    <w:p w:rsidR="00000000" w:rsidRDefault="008214AA">
      <w:pPr>
        <w:jc w:val="both"/>
        <w:rPr>
          <w:rFonts w:eastAsia="Times New Roman"/>
        </w:rPr>
      </w:pPr>
    </w:p>
    <w:p w:rsidR="00000000" w:rsidRDefault="008214AA">
      <w:pPr>
        <w:jc w:val="center"/>
        <w:divId w:val="1485391035"/>
        <w:rPr>
          <w:rFonts w:eastAsia="Times New Roman"/>
        </w:rPr>
      </w:pPr>
      <w:r>
        <w:rPr>
          <w:rFonts w:eastAsia="Times New Roman"/>
          <w:color w:val="000000"/>
          <w:sz w:val="20"/>
          <w:szCs w:val="20"/>
        </w:rPr>
        <w:t>21</w:t>
      </w:r>
    </w:p>
    <w:p w:rsidR="00000000" w:rsidRDefault="008214AA">
      <w:pPr>
        <w:rPr>
          <w:rFonts w:eastAsia="Times New Roman"/>
        </w:rPr>
      </w:pPr>
      <w:r>
        <w:rPr>
          <w:rFonts w:eastAsia="Times New Roman"/>
        </w:rPr>
        <w:pict>
          <v:rect id="_x0000_i1046" style="width:0;height:1.5pt" o:hralign="center" o:hrstd="t" o:hr="t" fillcolor="#a0a0a0" stroked="f"/>
        </w:pict>
      </w:r>
    </w:p>
    <w:p w:rsidR="00000000" w:rsidRDefault="008214AA">
      <w:pPr>
        <w:ind w:firstLine="720"/>
        <w:divId w:val="734087886"/>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790469130"/>
        <w:rPr>
          <w:rFonts w:eastAsia="Times New Roman"/>
        </w:rPr>
      </w:pPr>
      <w:r>
        <w:rPr>
          <w:rFonts w:eastAsia="Times New Roman"/>
          <w:b/>
          <w:bCs/>
          <w:color w:val="000000"/>
          <w:sz w:val="20"/>
          <w:szCs w:val="20"/>
        </w:rPr>
        <w:t>NCR Corporation</w:t>
      </w:r>
    </w:p>
    <w:p w:rsidR="00000000" w:rsidRDefault="008214AA">
      <w:pPr>
        <w:jc w:val="center"/>
        <w:divId w:val="1790469130"/>
        <w:rPr>
          <w:rFonts w:eastAsia="Times New Roman"/>
        </w:rPr>
      </w:pPr>
      <w:r>
        <w:rPr>
          <w:rFonts w:eastAsia="Times New Roman"/>
          <w:b/>
          <w:bCs/>
          <w:color w:val="000000"/>
          <w:sz w:val="20"/>
          <w:szCs w:val="20"/>
        </w:rPr>
        <w:t>Notes to Condensed Consolidated Financial Statements (Unaudited)—(Continued)</w:t>
      </w:r>
    </w:p>
    <w:p w:rsidR="00000000" w:rsidRDefault="008214AA">
      <w:pPr>
        <w:ind w:firstLine="720"/>
        <w:divId w:val="55472312"/>
        <w:rPr>
          <w:rFonts w:eastAsia="Times New Roman"/>
        </w:rPr>
      </w:pPr>
    </w:p>
    <w:p w:rsidR="00000000" w:rsidRDefault="008214AA">
      <w:pPr>
        <w:divId w:val="1616255681"/>
        <w:rPr>
          <w:rFonts w:eastAsia="Times New Roman"/>
        </w:rPr>
      </w:pPr>
      <w:r>
        <w:rPr>
          <w:rFonts w:eastAsia="Times New Roman"/>
          <w:b/>
          <w:bCs/>
          <w:color w:val="54B948"/>
          <w:sz w:val="20"/>
          <w:szCs w:val="20"/>
        </w:rPr>
        <w:t>8. STOCK COMPENSATION PLANS</w:t>
      </w:r>
      <w:r>
        <w:rPr>
          <w:rFonts w:eastAsia="Times New Roman"/>
          <w:b/>
          <w:bCs/>
          <w:color w:val="000000"/>
          <w:sz w:val="20"/>
          <w:szCs w:val="20"/>
        </w:rPr>
        <w:t xml:space="preserve"> </w:t>
      </w:r>
    </w:p>
    <w:p w:rsidR="00000000" w:rsidRDefault="008214AA">
      <w:pPr>
        <w:divId w:val="1782261625"/>
        <w:rPr>
          <w:rFonts w:eastAsia="Times New Roman"/>
        </w:rPr>
      </w:pPr>
    </w:p>
    <w:p w:rsidR="00000000" w:rsidRDefault="008214AA">
      <w:pPr>
        <w:jc w:val="both"/>
        <w:rPr>
          <w:rFonts w:eastAsia="Times New Roman"/>
        </w:rPr>
      </w:pPr>
      <w:r>
        <w:rPr>
          <w:rFonts w:eastAsia="Times New Roman"/>
          <w:color w:val="000000"/>
          <w:sz w:val="20"/>
          <w:szCs w:val="20"/>
        </w:rPr>
        <w:t>As of September 30, 2022, the Company’s primary type of stock-based compensation was restricted stock units and stock options. Stock-based compensation expense for the following periods were:</w:t>
      </w:r>
    </w:p>
    <w:tbl>
      <w:tblPr>
        <w:tblW w:w="4948" w:type="pct"/>
        <w:jc w:val="center"/>
        <w:tblCellMar>
          <w:top w:w="15" w:type="dxa"/>
          <w:left w:w="15" w:type="dxa"/>
          <w:bottom w:w="15" w:type="dxa"/>
          <w:right w:w="15" w:type="dxa"/>
        </w:tblCellMar>
        <w:tblLook w:val="04A0" w:firstRow="1" w:lastRow="0" w:firstColumn="1" w:lastColumn="0" w:noHBand="0" w:noVBand="1"/>
      </w:tblPr>
      <w:tblGrid>
        <w:gridCol w:w="39"/>
        <w:gridCol w:w="3944"/>
        <w:gridCol w:w="37"/>
        <w:gridCol w:w="120"/>
        <w:gridCol w:w="830"/>
        <w:gridCol w:w="36"/>
        <w:gridCol w:w="36"/>
        <w:gridCol w:w="36"/>
        <w:gridCol w:w="36"/>
        <w:gridCol w:w="120"/>
        <w:gridCol w:w="786"/>
        <w:gridCol w:w="36"/>
        <w:gridCol w:w="36"/>
        <w:gridCol w:w="36"/>
        <w:gridCol w:w="36"/>
        <w:gridCol w:w="120"/>
        <w:gridCol w:w="824"/>
        <w:gridCol w:w="36"/>
        <w:gridCol w:w="36"/>
        <w:gridCol w:w="36"/>
        <w:gridCol w:w="36"/>
        <w:gridCol w:w="120"/>
        <w:gridCol w:w="812"/>
        <w:gridCol w:w="36"/>
      </w:tblGrid>
      <w:tr w:rsidR="00000000">
        <w:trPr>
          <w:divId w:val="485172010"/>
          <w:jc w:val="center"/>
        </w:trPr>
        <w:tc>
          <w:tcPr>
            <w:tcW w:w="50" w:type="pct"/>
            <w:vAlign w:val="center"/>
            <w:hideMark/>
          </w:tcPr>
          <w:p w:rsidR="00000000" w:rsidRDefault="008214AA">
            <w:pPr>
              <w:jc w:val="both"/>
              <w:rPr>
                <w:rFonts w:eastAsia="Times New Roman"/>
              </w:rPr>
            </w:pPr>
          </w:p>
        </w:tc>
        <w:tc>
          <w:tcPr>
            <w:tcW w:w="243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485172010"/>
          <w:trHeight w:val="42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485172010"/>
          <w:trHeight w:val="24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485172010"/>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Restricted 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485172010"/>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Stock options</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485172010"/>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Employee stock purchase plan</w:t>
            </w: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7</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485172010"/>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Stock-based compensation expense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28</w:t>
            </w:r>
          </w:p>
        </w:tc>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38</w:t>
            </w:r>
          </w:p>
        </w:tc>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97</w:t>
            </w:r>
          </w:p>
        </w:tc>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119</w:t>
            </w:r>
          </w:p>
        </w:tc>
      </w:tr>
      <w:tr w:rsidR="00000000">
        <w:trPr>
          <w:divId w:val="485172010"/>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Tax benefit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485172010"/>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Stock-based compensation expense (net of tax)</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r>
        <w:rPr>
          <w:rFonts w:eastAsia="Times New Roman"/>
          <w:color w:val="000000"/>
          <w:sz w:val="20"/>
          <w:szCs w:val="20"/>
        </w:rPr>
        <w:t>Stock-based compensation expense is rec</w:t>
      </w:r>
      <w:r>
        <w:rPr>
          <w:rFonts w:eastAsia="Times New Roman"/>
          <w:color w:val="000000"/>
          <w:sz w:val="20"/>
          <w:szCs w:val="20"/>
        </w:rPr>
        <w:t xml:space="preserve">ognized in the financial statements based upon fair value.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On February 25, 2022, the Company granted market-based restricted stock units with 100% of the award vesting on December 31, 2024. The number of awards that vest are subject to the performance o</w:t>
      </w:r>
      <w:r>
        <w:rPr>
          <w:rFonts w:eastAsia="Times New Roman"/>
          <w:color w:val="000000"/>
          <w:sz w:val="20"/>
          <w:szCs w:val="20"/>
        </w:rPr>
        <w:t>f the Company's stock price from the date of grant to December 31, 2024. The fair value was determined to be $57.67 per share based on using a Monte-Carlo simulation model and will be recognized over the requisite service period. The table below details th</w:t>
      </w:r>
      <w:r>
        <w:rPr>
          <w:rFonts w:eastAsia="Times New Roman"/>
          <w:color w:val="000000"/>
          <w:sz w:val="20"/>
          <w:szCs w:val="20"/>
        </w:rPr>
        <w:t xml:space="preserve">e assumptions used in determining the fair value of the market-based restricted stock units. </w:t>
      </w:r>
    </w:p>
    <w:tbl>
      <w:tblPr>
        <w:tblW w:w="4970" w:type="pct"/>
        <w:tblCellMar>
          <w:top w:w="15" w:type="dxa"/>
          <w:left w:w="15" w:type="dxa"/>
          <w:bottom w:w="15" w:type="dxa"/>
          <w:right w:w="15" w:type="dxa"/>
        </w:tblCellMar>
        <w:tblLook w:val="04A0" w:firstRow="1" w:lastRow="0" w:firstColumn="1" w:lastColumn="0" w:noHBand="0" w:noVBand="1"/>
      </w:tblPr>
      <w:tblGrid>
        <w:gridCol w:w="37"/>
        <w:gridCol w:w="5918"/>
        <w:gridCol w:w="36"/>
        <w:gridCol w:w="39"/>
        <w:gridCol w:w="2006"/>
        <w:gridCol w:w="220"/>
      </w:tblGrid>
      <w:tr w:rsidR="00000000">
        <w:trPr>
          <w:divId w:val="706222263"/>
        </w:trPr>
        <w:tc>
          <w:tcPr>
            <w:tcW w:w="50" w:type="pct"/>
            <w:vAlign w:val="center"/>
            <w:hideMark/>
          </w:tcPr>
          <w:p w:rsidR="00000000" w:rsidRDefault="008214AA">
            <w:pPr>
              <w:jc w:val="both"/>
              <w:rPr>
                <w:rFonts w:eastAsia="Times New Roman"/>
              </w:rPr>
            </w:pPr>
          </w:p>
        </w:tc>
        <w:tc>
          <w:tcPr>
            <w:tcW w:w="362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26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706222263"/>
          <w:trHeight w:val="36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70622226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r w:rsidR="00000000">
        <w:trPr>
          <w:divId w:val="70622226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r w:rsidR="00000000">
        <w:trPr>
          <w:divId w:val="70622226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59.26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bl>
    <w:p w:rsidR="00000000" w:rsidRDefault="008214AA">
      <w:pPr>
        <w:divId w:val="866331843"/>
        <w:rPr>
          <w:rFonts w:eastAsia="Times New Roman"/>
        </w:rPr>
      </w:pPr>
    </w:p>
    <w:p w:rsidR="00000000" w:rsidRDefault="008214AA">
      <w:pPr>
        <w:jc w:val="both"/>
        <w:rPr>
          <w:rFonts w:eastAsia="Times New Roman"/>
        </w:rPr>
      </w:pPr>
      <w:r>
        <w:rPr>
          <w:rFonts w:eastAsia="Times New Roman"/>
          <w:color w:val="000000"/>
          <w:sz w:val="20"/>
          <w:szCs w:val="20"/>
        </w:rPr>
        <w:t>Expected volatility for the market-based restricted stock units is calculated as the historical volatility of the Company’s stock over a period of three years, as management believes this is the best representation of prospective trends. The risk-free inte</w:t>
      </w:r>
      <w:r>
        <w:rPr>
          <w:rFonts w:eastAsia="Times New Roman"/>
          <w:color w:val="000000"/>
          <w:sz w:val="20"/>
          <w:szCs w:val="20"/>
        </w:rPr>
        <w:t>rest rate was determined based on a three year U.S. Treasury yield curve in effect at the time of the grant.</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As of September 30, 2022, the total unrecognized compensation cost of $151 </w:t>
      </w:r>
      <w:r>
        <w:rPr>
          <w:rFonts w:eastAsia="Times New Roman"/>
          <w:color w:val="000000"/>
          <w:sz w:val="20"/>
          <w:szCs w:val="20"/>
        </w:rPr>
        <w:t>million related to unvested restricted stock grants is expected to be recognized over a weighted average period of approximately 1.0 years. As of September 30, 2022, the total unrecognized compensation cost of $5 million related to unvested stock option gr</w:t>
      </w:r>
      <w:r>
        <w:rPr>
          <w:rFonts w:eastAsia="Times New Roman"/>
          <w:color w:val="000000"/>
          <w:sz w:val="20"/>
          <w:szCs w:val="20"/>
        </w:rPr>
        <w:t xml:space="preserve">ants is expected to be recognized over a weighted average period of approximately 0.3 years.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 xml:space="preserve">Employee Stock Purchase Plan </w:t>
      </w:r>
      <w:r>
        <w:rPr>
          <w:rFonts w:eastAsia="Times New Roman"/>
          <w:color w:val="000000"/>
          <w:sz w:val="20"/>
          <w:szCs w:val="20"/>
        </w:rPr>
        <w:t>The Company's Employee Stock Purchase Plan (“ESPP”) provides employees a 15% discount on stock purchases using a three-month look-b</w:t>
      </w:r>
      <w:r>
        <w:rPr>
          <w:rFonts w:eastAsia="Times New Roman"/>
          <w:color w:val="000000"/>
          <w:sz w:val="20"/>
          <w:szCs w:val="20"/>
        </w:rPr>
        <w:t xml:space="preserve">ack feature where the discount is applied to the stock price that represents the lower of NCR’s closing stock price on either the first day or the last day of each calendar quarter. Participants can contribute between 1% and 10% of their compensation.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F</w:t>
      </w:r>
      <w:r>
        <w:rPr>
          <w:rFonts w:eastAsia="Times New Roman"/>
          <w:color w:val="000000"/>
          <w:sz w:val="20"/>
          <w:szCs w:val="20"/>
        </w:rPr>
        <w:t xml:space="preserve">or the three months ended September 30, 2022, employees purchased 0.4 million shares, at a discounted price of $16.16. For the three months ended September 30, 2021, employees purchased 0.2 million shares, at a discounted price of 32.95. </w:t>
      </w:r>
    </w:p>
    <w:p w:rsidR="00000000" w:rsidRDefault="008214AA">
      <w:pPr>
        <w:jc w:val="both"/>
        <w:rPr>
          <w:rFonts w:eastAsia="Times New Roman"/>
        </w:rPr>
      </w:pPr>
    </w:p>
    <w:p w:rsidR="00000000" w:rsidRDefault="008214AA">
      <w:pPr>
        <w:jc w:val="center"/>
        <w:divId w:val="980960235"/>
        <w:rPr>
          <w:rFonts w:eastAsia="Times New Roman"/>
        </w:rPr>
      </w:pPr>
      <w:r>
        <w:rPr>
          <w:rFonts w:eastAsia="Times New Roman"/>
          <w:color w:val="000000"/>
          <w:sz w:val="20"/>
          <w:szCs w:val="20"/>
        </w:rPr>
        <w:t>22</w:t>
      </w:r>
    </w:p>
    <w:p w:rsidR="00000000" w:rsidRDefault="008214AA">
      <w:pPr>
        <w:rPr>
          <w:rFonts w:eastAsia="Times New Roman"/>
        </w:rPr>
      </w:pPr>
      <w:r>
        <w:rPr>
          <w:rFonts w:eastAsia="Times New Roman"/>
        </w:rPr>
        <w:pict>
          <v:rect id="_x0000_i1047" style="width:0;height:1.5pt" o:hralign="center" o:hrstd="t" o:hr="t" fillcolor="#a0a0a0" stroked="f"/>
        </w:pict>
      </w:r>
    </w:p>
    <w:p w:rsidR="00000000" w:rsidRDefault="008214AA">
      <w:pPr>
        <w:ind w:firstLine="720"/>
        <w:divId w:val="991983915"/>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43259918"/>
        <w:rPr>
          <w:rFonts w:eastAsia="Times New Roman"/>
        </w:rPr>
      </w:pPr>
      <w:r>
        <w:rPr>
          <w:rFonts w:eastAsia="Times New Roman"/>
          <w:b/>
          <w:bCs/>
          <w:color w:val="000000"/>
          <w:sz w:val="20"/>
          <w:szCs w:val="20"/>
        </w:rPr>
        <w:t>NCR Corporation</w:t>
      </w:r>
    </w:p>
    <w:p w:rsidR="00000000" w:rsidRDefault="008214AA">
      <w:pPr>
        <w:jc w:val="center"/>
        <w:divId w:val="43259918"/>
        <w:rPr>
          <w:rFonts w:eastAsia="Times New Roman"/>
        </w:rPr>
      </w:pPr>
      <w:r>
        <w:rPr>
          <w:rFonts w:eastAsia="Times New Roman"/>
          <w:b/>
          <w:bCs/>
          <w:color w:val="000000"/>
          <w:sz w:val="20"/>
          <w:szCs w:val="20"/>
        </w:rPr>
        <w:t>Notes to Condensed Consolidated Financial Statements (Unaudited)—(Continued)</w:t>
      </w:r>
    </w:p>
    <w:p w:rsidR="00000000" w:rsidRDefault="008214AA">
      <w:pPr>
        <w:divId w:val="1638367039"/>
        <w:rPr>
          <w:rFonts w:eastAsia="Times New Roman"/>
        </w:rPr>
      </w:pPr>
      <w:r>
        <w:rPr>
          <w:rFonts w:eastAsia="Times New Roman"/>
          <w:b/>
          <w:bCs/>
          <w:color w:val="54B948"/>
          <w:sz w:val="20"/>
          <w:szCs w:val="20"/>
        </w:rPr>
        <w:t>9. EMPLOYEE BENEFIT PLANS</w:t>
      </w:r>
      <w:r>
        <w:rPr>
          <w:rFonts w:eastAsia="Times New Roman"/>
          <w:b/>
          <w:bCs/>
          <w:color w:val="000000"/>
          <w:sz w:val="20"/>
          <w:szCs w:val="20"/>
        </w:rPr>
        <w:t xml:space="preserve"> </w:t>
      </w:r>
    </w:p>
    <w:p w:rsidR="00000000" w:rsidRDefault="008214AA">
      <w:pPr>
        <w:divId w:val="1067876311"/>
        <w:rPr>
          <w:rFonts w:eastAsia="Times New Roman"/>
        </w:rPr>
      </w:pPr>
    </w:p>
    <w:p w:rsidR="00000000" w:rsidRDefault="008214AA">
      <w:pPr>
        <w:divId w:val="348801766"/>
        <w:rPr>
          <w:rFonts w:eastAsia="Times New Roman"/>
        </w:rPr>
      </w:pPr>
      <w:r>
        <w:rPr>
          <w:rFonts w:eastAsia="Times New Roman"/>
          <w:color w:val="000000"/>
          <w:sz w:val="20"/>
          <w:szCs w:val="20"/>
        </w:rPr>
        <w:t xml:space="preserve">Components of net periodic benefit </w:t>
      </w:r>
      <w:r>
        <w:rPr>
          <w:rFonts w:eastAsia="Times New Roman"/>
          <w:color w:val="000000"/>
          <w:sz w:val="20"/>
          <w:szCs w:val="20"/>
        </w:rPr>
        <w:t>cost (income) of the pension plans for the three months ended September 30 were as follows:</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2113"/>
        <w:gridCol w:w="39"/>
        <w:gridCol w:w="121"/>
        <w:gridCol w:w="647"/>
        <w:gridCol w:w="37"/>
        <w:gridCol w:w="37"/>
        <w:gridCol w:w="37"/>
        <w:gridCol w:w="37"/>
        <w:gridCol w:w="120"/>
        <w:gridCol w:w="646"/>
        <w:gridCol w:w="36"/>
        <w:gridCol w:w="36"/>
        <w:gridCol w:w="36"/>
        <w:gridCol w:w="36"/>
        <w:gridCol w:w="121"/>
        <w:gridCol w:w="918"/>
        <w:gridCol w:w="37"/>
        <w:gridCol w:w="37"/>
        <w:gridCol w:w="50"/>
        <w:gridCol w:w="36"/>
        <w:gridCol w:w="120"/>
        <w:gridCol w:w="917"/>
        <w:gridCol w:w="36"/>
        <w:gridCol w:w="36"/>
        <w:gridCol w:w="36"/>
        <w:gridCol w:w="36"/>
        <w:gridCol w:w="121"/>
        <w:gridCol w:w="681"/>
        <w:gridCol w:w="36"/>
        <w:gridCol w:w="36"/>
        <w:gridCol w:w="37"/>
        <w:gridCol w:w="36"/>
        <w:gridCol w:w="120"/>
        <w:gridCol w:w="682"/>
        <w:gridCol w:w="36"/>
      </w:tblGrid>
      <w:tr w:rsidR="00000000">
        <w:trPr>
          <w:divId w:val="747002460"/>
          <w:jc w:val="center"/>
        </w:trPr>
        <w:tc>
          <w:tcPr>
            <w:tcW w:w="50" w:type="pct"/>
            <w:vAlign w:val="center"/>
            <w:hideMark/>
          </w:tcPr>
          <w:p w:rsidR="00000000" w:rsidRDefault="008214AA">
            <w:pPr>
              <w:rPr>
                <w:rFonts w:eastAsia="Times New Roman"/>
              </w:rPr>
            </w:pPr>
          </w:p>
        </w:tc>
        <w:tc>
          <w:tcPr>
            <w:tcW w:w="15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747002460"/>
          <w:trHeight w:val="24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 Pension Benefits</w:t>
            </w:r>
          </w:p>
        </w:tc>
      </w:tr>
      <w:tr w:rsidR="00000000">
        <w:trPr>
          <w:divId w:val="747002460"/>
          <w:trHeight w:val="24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747002460"/>
          <w:jc w:val="center"/>
        </w:trPr>
        <w:tc>
          <w:tcPr>
            <w:tcW w:w="0" w:type="auto"/>
            <w:gridSpan w:val="3"/>
            <w:shd w:val="clear" w:color="auto" w:fill="CCEE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747002460"/>
          <w:jc w:val="center"/>
        </w:trPr>
        <w:tc>
          <w:tcPr>
            <w:tcW w:w="0" w:type="auto"/>
            <w:gridSpan w:val="3"/>
            <w:shd w:val="clear" w:color="auto" w:fill="FFFF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747002460"/>
          <w:jc w:val="center"/>
        </w:trPr>
        <w:tc>
          <w:tcPr>
            <w:tcW w:w="0" w:type="auto"/>
            <w:gridSpan w:val="3"/>
            <w:shd w:val="clear" w:color="auto" w:fill="CCEE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747002460"/>
          <w:jc w:val="center"/>
        </w:trPr>
        <w:tc>
          <w:tcPr>
            <w:tcW w:w="0" w:type="auto"/>
            <w:gridSpan w:val="3"/>
            <w:shd w:val="clear" w:color="auto" w:fill="FFFF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747002460"/>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periodic benefit cost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divId w:val="828054597"/>
        <w:rPr>
          <w:rFonts w:eastAsia="Times New Roman"/>
        </w:rPr>
      </w:pPr>
    </w:p>
    <w:p w:rsidR="00000000" w:rsidRDefault="008214AA">
      <w:pPr>
        <w:jc w:val="both"/>
        <w:divId w:val="129516874"/>
        <w:rPr>
          <w:rFonts w:eastAsia="Times New Roman"/>
        </w:rPr>
      </w:pPr>
      <w:r>
        <w:rPr>
          <w:rFonts w:eastAsia="Times New Roman"/>
          <w:color w:val="000000"/>
          <w:sz w:val="20"/>
          <w:szCs w:val="20"/>
        </w:rPr>
        <w:t>Components of net periodic benefit cost (income) of the pension plans for the nine months ended September 30</w:t>
      </w:r>
      <w:r>
        <w:rPr>
          <w:rFonts w:eastAsia="Times New Roman"/>
          <w:color w:val="000000"/>
          <w:sz w:val="20"/>
          <w:szCs w:val="20"/>
        </w:rPr>
        <w:t xml:space="preserve"> were as follows:</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2113"/>
        <w:gridCol w:w="39"/>
        <w:gridCol w:w="121"/>
        <w:gridCol w:w="647"/>
        <w:gridCol w:w="37"/>
        <w:gridCol w:w="37"/>
        <w:gridCol w:w="37"/>
        <w:gridCol w:w="37"/>
        <w:gridCol w:w="120"/>
        <w:gridCol w:w="646"/>
        <w:gridCol w:w="36"/>
        <w:gridCol w:w="36"/>
        <w:gridCol w:w="36"/>
        <w:gridCol w:w="36"/>
        <w:gridCol w:w="121"/>
        <w:gridCol w:w="918"/>
        <w:gridCol w:w="37"/>
        <w:gridCol w:w="37"/>
        <w:gridCol w:w="50"/>
        <w:gridCol w:w="36"/>
        <w:gridCol w:w="120"/>
        <w:gridCol w:w="917"/>
        <w:gridCol w:w="36"/>
        <w:gridCol w:w="36"/>
        <w:gridCol w:w="36"/>
        <w:gridCol w:w="36"/>
        <w:gridCol w:w="121"/>
        <w:gridCol w:w="681"/>
        <w:gridCol w:w="36"/>
        <w:gridCol w:w="36"/>
        <w:gridCol w:w="37"/>
        <w:gridCol w:w="36"/>
        <w:gridCol w:w="120"/>
        <w:gridCol w:w="682"/>
        <w:gridCol w:w="36"/>
      </w:tblGrid>
      <w:tr w:rsidR="00000000">
        <w:trPr>
          <w:divId w:val="669060699"/>
          <w:jc w:val="center"/>
        </w:trPr>
        <w:tc>
          <w:tcPr>
            <w:tcW w:w="50" w:type="pct"/>
            <w:vAlign w:val="center"/>
            <w:hideMark/>
          </w:tcPr>
          <w:p w:rsidR="00000000" w:rsidRDefault="008214AA">
            <w:pPr>
              <w:jc w:val="both"/>
              <w:rPr>
                <w:rFonts w:eastAsia="Times New Roman"/>
              </w:rPr>
            </w:pPr>
          </w:p>
        </w:tc>
        <w:tc>
          <w:tcPr>
            <w:tcW w:w="15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669060699"/>
          <w:trHeight w:val="24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 Pension Benefits</w:t>
            </w:r>
          </w:p>
        </w:tc>
      </w:tr>
      <w:tr w:rsidR="00000000">
        <w:trPr>
          <w:divId w:val="669060699"/>
          <w:trHeight w:val="24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669060699"/>
          <w:jc w:val="center"/>
        </w:trPr>
        <w:tc>
          <w:tcPr>
            <w:tcW w:w="0" w:type="auto"/>
            <w:gridSpan w:val="3"/>
            <w:shd w:val="clear" w:color="auto" w:fill="CCEE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669060699"/>
          <w:jc w:val="center"/>
        </w:trPr>
        <w:tc>
          <w:tcPr>
            <w:tcW w:w="0" w:type="auto"/>
            <w:gridSpan w:val="3"/>
            <w:shd w:val="clear" w:color="auto" w:fill="FFFF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669060699"/>
          <w:jc w:val="center"/>
        </w:trPr>
        <w:tc>
          <w:tcPr>
            <w:tcW w:w="0" w:type="auto"/>
            <w:gridSpan w:val="3"/>
            <w:shd w:val="clear" w:color="auto" w:fill="CCEE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669060699"/>
          <w:jc w:val="center"/>
        </w:trPr>
        <w:tc>
          <w:tcPr>
            <w:tcW w:w="0" w:type="auto"/>
            <w:gridSpan w:val="3"/>
            <w:shd w:val="clear" w:color="auto" w:fill="FFFF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669060699"/>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periodic benefit cost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rPr>
          <w:rFonts w:eastAsia="Times New Roman"/>
        </w:rPr>
      </w:pPr>
    </w:p>
    <w:p w:rsidR="00000000" w:rsidRDefault="008214AA">
      <w:pPr>
        <w:divId w:val="1478641567"/>
        <w:rPr>
          <w:rFonts w:eastAsia="Times New Roman"/>
        </w:rPr>
      </w:pPr>
      <w:r>
        <w:rPr>
          <w:rFonts w:eastAsia="Times New Roman"/>
          <w:color w:val="000000"/>
          <w:sz w:val="20"/>
          <w:szCs w:val="20"/>
        </w:rPr>
        <w:t xml:space="preserve">Components of the benefit from the postretirement plan for the following periods were: </w:t>
      </w:r>
    </w:p>
    <w:tbl>
      <w:tblPr>
        <w:tblW w:w="4970" w:type="pct"/>
        <w:tblCellMar>
          <w:top w:w="15" w:type="dxa"/>
          <w:left w:w="15" w:type="dxa"/>
          <w:bottom w:w="15" w:type="dxa"/>
          <w:right w:w="15" w:type="dxa"/>
        </w:tblCellMar>
        <w:tblLook w:val="04A0" w:firstRow="1" w:lastRow="0" w:firstColumn="1" w:lastColumn="0" w:noHBand="0" w:noVBand="1"/>
      </w:tblPr>
      <w:tblGrid>
        <w:gridCol w:w="40"/>
        <w:gridCol w:w="3497"/>
        <w:gridCol w:w="38"/>
        <w:gridCol w:w="120"/>
        <w:gridCol w:w="948"/>
        <w:gridCol w:w="36"/>
        <w:gridCol w:w="36"/>
        <w:gridCol w:w="36"/>
        <w:gridCol w:w="36"/>
        <w:gridCol w:w="120"/>
        <w:gridCol w:w="889"/>
        <w:gridCol w:w="36"/>
        <w:gridCol w:w="36"/>
        <w:gridCol w:w="36"/>
        <w:gridCol w:w="36"/>
        <w:gridCol w:w="120"/>
        <w:gridCol w:w="948"/>
        <w:gridCol w:w="36"/>
        <w:gridCol w:w="36"/>
        <w:gridCol w:w="36"/>
        <w:gridCol w:w="36"/>
        <w:gridCol w:w="120"/>
        <w:gridCol w:w="948"/>
        <w:gridCol w:w="36"/>
      </w:tblGrid>
      <w:tr w:rsidR="00000000">
        <w:trPr>
          <w:divId w:val="764695635"/>
        </w:trPr>
        <w:tc>
          <w:tcPr>
            <w:tcW w:w="50" w:type="pct"/>
            <w:vAlign w:val="center"/>
            <w:hideMark/>
          </w:tcPr>
          <w:p w:rsidR="00000000" w:rsidRDefault="008214AA">
            <w:pPr>
              <w:rPr>
                <w:rFonts w:eastAsia="Times New Roman"/>
              </w:rPr>
            </w:pPr>
          </w:p>
        </w:tc>
        <w:tc>
          <w:tcPr>
            <w:tcW w:w="217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764695635"/>
          <w:trHeight w:val="240"/>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764695635"/>
          <w:trHeight w:val="240"/>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764695635"/>
        </w:trPr>
        <w:tc>
          <w:tcPr>
            <w:tcW w:w="0" w:type="auto"/>
            <w:gridSpan w:val="3"/>
            <w:shd w:val="clear" w:color="auto" w:fill="CCEE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764695635"/>
        </w:trPr>
        <w:tc>
          <w:tcPr>
            <w:tcW w:w="0" w:type="auto"/>
            <w:gridSpan w:val="3"/>
            <w:shd w:val="clear" w:color="auto" w:fill="FFFF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764695635"/>
        </w:trPr>
        <w:tc>
          <w:tcPr>
            <w:tcW w:w="0" w:type="auto"/>
            <w:gridSpan w:val="3"/>
            <w:shd w:val="clear" w:color="auto" w:fill="CCEE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   </w:t>
            </w:r>
            <w:r>
              <w:rPr>
                <w:rFonts w:eastAsia="Times New Roman"/>
                <w:color w:val="000000"/>
                <w:sz w:val="20"/>
                <w:szCs w:val="20"/>
              </w:rPr>
              <w:t>Prior service benefit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764695635"/>
        </w:trPr>
        <w:tc>
          <w:tcPr>
            <w:tcW w:w="0" w:type="auto"/>
            <w:gridSpan w:val="3"/>
            <w:shd w:val="clear" w:color="auto" w:fill="FFFF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   Actuarial loss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764695635"/>
        </w:trPr>
        <w:tc>
          <w:tcPr>
            <w:tcW w:w="0" w:type="auto"/>
            <w:gridSpan w:val="3"/>
            <w:shd w:val="clear" w:color="auto" w:fill="CCEEFF"/>
            <w:tcMar>
              <w:top w:w="30" w:type="dxa"/>
              <w:left w:w="155"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postretirement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divId w:val="525631192"/>
        <w:rPr>
          <w:rFonts w:eastAsia="Times New Roman"/>
        </w:rPr>
      </w:pPr>
    </w:p>
    <w:p w:rsidR="00000000" w:rsidRDefault="008214AA">
      <w:pPr>
        <w:divId w:val="1301690913"/>
        <w:rPr>
          <w:rFonts w:eastAsia="Times New Roman"/>
        </w:rPr>
      </w:pPr>
      <w:r>
        <w:rPr>
          <w:rFonts w:eastAsia="Times New Roman"/>
          <w:color w:val="000000"/>
          <w:sz w:val="20"/>
          <w:szCs w:val="20"/>
        </w:rPr>
        <w:t xml:space="preserve">Components of the net cost of the postemployment plan for the following periods were: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885"/>
        <w:gridCol w:w="38"/>
        <w:gridCol w:w="121"/>
        <w:gridCol w:w="1071"/>
        <w:gridCol w:w="37"/>
        <w:gridCol w:w="37"/>
        <w:gridCol w:w="37"/>
        <w:gridCol w:w="36"/>
        <w:gridCol w:w="120"/>
        <w:gridCol w:w="1071"/>
        <w:gridCol w:w="36"/>
        <w:gridCol w:w="36"/>
        <w:gridCol w:w="36"/>
        <w:gridCol w:w="36"/>
        <w:gridCol w:w="120"/>
        <w:gridCol w:w="1071"/>
        <w:gridCol w:w="36"/>
        <w:gridCol w:w="36"/>
        <w:gridCol w:w="36"/>
        <w:gridCol w:w="36"/>
        <w:gridCol w:w="120"/>
        <w:gridCol w:w="1071"/>
        <w:gridCol w:w="36"/>
        <w:gridCol w:w="36"/>
        <w:gridCol w:w="36"/>
        <w:gridCol w:w="36"/>
      </w:tblGrid>
      <w:tr w:rsidR="00000000">
        <w:trPr>
          <w:divId w:val="1595476510"/>
          <w:jc w:val="center"/>
        </w:trPr>
        <w:tc>
          <w:tcPr>
            <w:tcW w:w="50" w:type="pct"/>
            <w:vAlign w:val="center"/>
            <w:hideMark/>
          </w:tcPr>
          <w:p w:rsidR="00000000" w:rsidRDefault="008214AA">
            <w:pPr>
              <w:rPr>
                <w:rFonts w:eastAsia="Times New Roman"/>
              </w:rPr>
            </w:pPr>
          </w:p>
        </w:tc>
        <w:tc>
          <w:tcPr>
            <w:tcW w:w="181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9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9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9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9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595476510"/>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r>
      <w:tr w:rsidR="00000000">
        <w:trPr>
          <w:divId w:val="1595476510"/>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r>
      <w:tr w:rsidR="00000000">
        <w:trPr>
          <w:divId w:val="1595476510"/>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r>
      <w:tr w:rsidR="00000000">
        <w:trPr>
          <w:divId w:val="1595476510"/>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r>
      <w:tr w:rsidR="00000000">
        <w:trPr>
          <w:divId w:val="1595476510"/>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595476510"/>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r>
      <w:tr w:rsidR="00000000">
        <w:trPr>
          <w:divId w:val="1595476510"/>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   </w:t>
            </w:r>
            <w:r>
              <w:rPr>
                <w:rFonts w:eastAsia="Times New Roman"/>
                <w:color w:val="000000"/>
                <w:sz w:val="20"/>
                <w:szCs w:val="20"/>
              </w:rPr>
              <w:t>Actuarial gain</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r>
      <w:tr w:rsidR="00000000">
        <w:trPr>
          <w:divId w:val="1595476510"/>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benefit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r>
    </w:tbl>
    <w:p w:rsidR="00000000" w:rsidRDefault="008214AA">
      <w:pPr>
        <w:jc w:val="center"/>
        <w:divId w:val="803620337"/>
        <w:rPr>
          <w:rFonts w:eastAsia="Times New Roman"/>
        </w:rPr>
      </w:pPr>
    </w:p>
    <w:p w:rsidR="00000000" w:rsidRDefault="008214AA">
      <w:pPr>
        <w:jc w:val="both"/>
        <w:rPr>
          <w:rFonts w:eastAsia="Times New Roman"/>
        </w:rPr>
      </w:pPr>
      <w:r>
        <w:rPr>
          <w:rFonts w:eastAsia="Times New Roman"/>
          <w:b/>
          <w:bCs/>
          <w:i/>
          <w:iCs/>
          <w:color w:val="000000"/>
          <w:sz w:val="20"/>
          <w:szCs w:val="20"/>
        </w:rPr>
        <w:t>Employer Contributions</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Pension</w:t>
      </w:r>
      <w:r>
        <w:rPr>
          <w:rFonts w:eastAsia="Times New Roman"/>
          <w:color w:val="000000"/>
          <w:sz w:val="20"/>
          <w:szCs w:val="20"/>
        </w:rPr>
        <w:t xml:space="preserve"> For the three and nine months ended September 30, 2022, NCR contributed $3 million and $12 million, respectively, to its international pension plans. NCR</w:t>
      </w:r>
      <w:r>
        <w:rPr>
          <w:rFonts w:eastAsia="Times New Roman"/>
          <w:color w:val="000000"/>
          <w:sz w:val="20"/>
          <w:szCs w:val="20"/>
        </w:rPr>
        <w:t xml:space="preserve"> anticipates contributing an additional $5 million to its international pension plans for a total of $17 million in 2022. </w:t>
      </w:r>
    </w:p>
    <w:p w:rsidR="00000000" w:rsidRDefault="008214AA">
      <w:pPr>
        <w:jc w:val="center"/>
        <w:divId w:val="1060135181"/>
        <w:rPr>
          <w:rFonts w:eastAsia="Times New Roman"/>
        </w:rPr>
      </w:pPr>
      <w:r>
        <w:rPr>
          <w:rFonts w:eastAsia="Times New Roman"/>
          <w:color w:val="000000"/>
          <w:sz w:val="20"/>
          <w:szCs w:val="20"/>
        </w:rPr>
        <w:t>23</w:t>
      </w:r>
    </w:p>
    <w:p w:rsidR="00000000" w:rsidRDefault="008214AA">
      <w:pPr>
        <w:rPr>
          <w:rFonts w:eastAsia="Times New Roman"/>
        </w:rPr>
      </w:pPr>
      <w:r>
        <w:rPr>
          <w:rFonts w:eastAsia="Times New Roman"/>
        </w:rPr>
        <w:pict>
          <v:rect id="_x0000_i1048" style="width:0;height:1.5pt" o:hralign="center" o:hrstd="t" o:hr="t" fillcolor="#a0a0a0" stroked="f"/>
        </w:pict>
      </w:r>
    </w:p>
    <w:p w:rsidR="00000000" w:rsidRDefault="008214AA">
      <w:pPr>
        <w:ind w:firstLine="720"/>
        <w:divId w:val="1736468782"/>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618294872"/>
        <w:rPr>
          <w:rFonts w:eastAsia="Times New Roman"/>
        </w:rPr>
      </w:pPr>
      <w:r>
        <w:rPr>
          <w:rFonts w:eastAsia="Times New Roman"/>
          <w:b/>
          <w:bCs/>
          <w:color w:val="000000"/>
          <w:sz w:val="20"/>
          <w:szCs w:val="20"/>
        </w:rPr>
        <w:t>NCR Corporation</w:t>
      </w:r>
    </w:p>
    <w:p w:rsidR="00000000" w:rsidRDefault="008214AA">
      <w:pPr>
        <w:jc w:val="center"/>
        <w:divId w:val="618294872"/>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Postretirement</w:t>
      </w:r>
      <w:r>
        <w:rPr>
          <w:rFonts w:eastAsia="Times New Roman"/>
          <w:color w:val="000000"/>
          <w:sz w:val="20"/>
          <w:szCs w:val="20"/>
        </w:rPr>
        <w:t xml:space="preserve"> </w:t>
      </w:r>
      <w:r>
        <w:rPr>
          <w:rFonts w:eastAsia="Times New Roman"/>
          <w:color w:val="000000"/>
          <w:sz w:val="20"/>
          <w:szCs w:val="20"/>
        </w:rPr>
        <w:t xml:space="preserve">For the three and nine months ended September 30, 2022, NCR made no contributions to its U.S. postretirement plan. NCR anticipates contributing an additional $1 million to its U.S. postretirement plan for a total of $1 million in 2022. </w:t>
      </w:r>
    </w:p>
    <w:p w:rsidR="00000000" w:rsidRDefault="008214AA">
      <w:pPr>
        <w:jc w:val="both"/>
        <w:rPr>
          <w:rFonts w:eastAsia="Times New Roman"/>
        </w:rPr>
      </w:pPr>
      <w:r>
        <w:rPr>
          <w:rFonts w:eastAsia="Times New Roman"/>
          <w:i/>
          <w:iCs/>
          <w:color w:val="000000"/>
          <w:sz w:val="20"/>
          <w:szCs w:val="20"/>
        </w:rPr>
        <w:t>Postemployment</w:t>
      </w:r>
      <w:r>
        <w:rPr>
          <w:rFonts w:eastAsia="Times New Roman"/>
          <w:color w:val="000000"/>
          <w:sz w:val="20"/>
          <w:szCs w:val="20"/>
        </w:rPr>
        <w:t xml:space="preserve"> For </w:t>
      </w:r>
      <w:r>
        <w:rPr>
          <w:rFonts w:eastAsia="Times New Roman"/>
          <w:color w:val="000000"/>
          <w:sz w:val="20"/>
          <w:szCs w:val="20"/>
        </w:rPr>
        <w:t>the three and nine months ended September 30, 2022, NCR contributed $5 million and $20 million, respectively, to its postemployment plan. NCR anticipates contributing an additional $60 million to its postemployment plan for a total of $80 million in 2022.</w:t>
      </w:r>
    </w:p>
    <w:p w:rsidR="00000000" w:rsidRDefault="008214AA">
      <w:pPr>
        <w:jc w:val="both"/>
        <w:rPr>
          <w:rFonts w:eastAsia="Times New Roman"/>
        </w:rPr>
      </w:pPr>
    </w:p>
    <w:p w:rsidR="00000000" w:rsidRDefault="008214AA">
      <w:pPr>
        <w:ind w:firstLine="720"/>
        <w:divId w:val="1017342440"/>
        <w:rPr>
          <w:rFonts w:eastAsia="Times New Roman"/>
        </w:rPr>
      </w:pPr>
    </w:p>
    <w:p w:rsidR="00000000" w:rsidRDefault="008214AA">
      <w:pPr>
        <w:jc w:val="both"/>
        <w:rPr>
          <w:rFonts w:eastAsia="Times New Roman"/>
        </w:rPr>
      </w:pPr>
      <w:r>
        <w:rPr>
          <w:rFonts w:eastAsia="Times New Roman"/>
          <w:b/>
          <w:bCs/>
          <w:color w:val="54B948"/>
          <w:sz w:val="20"/>
          <w:szCs w:val="20"/>
        </w:rPr>
        <w:t>10. COMMITMENTS AND CONTINGENCIES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 the normal course of business, NCR is subject to various proceedings, lawsuits, claims and other matters, including, for example, those that relate to the environment and health and safety, labor and employment, e</w:t>
      </w:r>
      <w:r>
        <w:rPr>
          <w:rFonts w:eastAsia="Times New Roman"/>
          <w:color w:val="000000"/>
          <w:sz w:val="20"/>
          <w:szCs w:val="20"/>
        </w:rPr>
        <w:t>mployee benefits, import/export compliance, patents or other intellectual property, data privacy and security, product liability, commercial disputes and regulatory compliance, among others. Additionally, NCR is subject to diverse and complex laws and regu</w:t>
      </w:r>
      <w:r>
        <w:rPr>
          <w:rFonts w:eastAsia="Times New Roman"/>
          <w:color w:val="000000"/>
          <w:sz w:val="20"/>
          <w:szCs w:val="20"/>
        </w:rPr>
        <w:t>lations, including those relating to corporate governance, public disclosure and reporting, environmental safety and the discharge of materials into the environment, product safety, import and export compliance, data privacy and security, antitrust and com</w:t>
      </w:r>
      <w:r>
        <w:rPr>
          <w:rFonts w:eastAsia="Times New Roman"/>
          <w:color w:val="000000"/>
          <w:sz w:val="20"/>
          <w:szCs w:val="20"/>
        </w:rPr>
        <w:t>petition, government contracting, anti-corruption, and labor and human resources, which are rapidly changing and subject to many possible changes in the future. Compliance with these laws and regulations, including changes in accounting standards, taxation</w:t>
      </w:r>
      <w:r>
        <w:rPr>
          <w:rFonts w:eastAsia="Times New Roman"/>
          <w:color w:val="000000"/>
          <w:sz w:val="20"/>
          <w:szCs w:val="20"/>
        </w:rPr>
        <w:t xml:space="preserve"> requirements, and federal securities laws among others, may create a substantial burden on, and substantially increase costs to NCR or could have an impact on NCR's future operating results. The Company has reflected all liabilities when a loss is conside</w:t>
      </w:r>
      <w:r>
        <w:rPr>
          <w:rFonts w:eastAsia="Times New Roman"/>
          <w:color w:val="000000"/>
          <w:sz w:val="20"/>
          <w:szCs w:val="20"/>
        </w:rPr>
        <w:t>red probable and reasonably estimable in the Condensed Consolidated Financial Statements. We do not believe there is a reasonable possibility that losses exceeding amounts already recognized have been incurred, but there can be no assurances that the amoun</w:t>
      </w:r>
      <w:r>
        <w:rPr>
          <w:rFonts w:eastAsia="Times New Roman"/>
          <w:color w:val="000000"/>
          <w:sz w:val="20"/>
          <w:szCs w:val="20"/>
        </w:rPr>
        <w:t>ts required to satisfy alleged liabilities from such matters will not impact future operating results.</w:t>
      </w:r>
      <w:r>
        <w:rPr>
          <w:rFonts w:eastAsia="Times New Roman"/>
          <w:color w:val="000000"/>
        </w:rPr>
        <w:t xml:space="preserve"> </w:t>
      </w:r>
      <w:r>
        <w:rPr>
          <w:rFonts w:eastAsia="Times New Roman"/>
          <w:color w:val="000000"/>
          <w:sz w:val="20"/>
          <w:szCs w:val="20"/>
        </w:rPr>
        <w:t>Other than as stated below, the Company does not currently expect to incur material capital expenditures related to such matters.</w:t>
      </w:r>
      <w:r>
        <w:rPr>
          <w:rFonts w:eastAsia="Times New Roman"/>
          <w:color w:val="000000"/>
        </w:rPr>
        <w:t xml:space="preserve"> </w:t>
      </w:r>
      <w:r>
        <w:rPr>
          <w:rFonts w:eastAsia="Times New Roman"/>
          <w:color w:val="000000"/>
          <w:sz w:val="20"/>
          <w:szCs w:val="20"/>
        </w:rPr>
        <w:t>However, there can be n</w:t>
      </w:r>
      <w:r>
        <w:rPr>
          <w:rFonts w:eastAsia="Times New Roman"/>
          <w:color w:val="000000"/>
          <w:sz w:val="20"/>
          <w:szCs w:val="20"/>
        </w:rPr>
        <w:t>o assurances that the actual amounts required to satisfy alleged liabilities from various lawsuits, claims, legal proceedings and other matters, including, but not limited to the Kalamazoo River environmental matter and other matters discussed below, and t</w:t>
      </w:r>
      <w:r>
        <w:rPr>
          <w:rFonts w:eastAsia="Times New Roman"/>
          <w:color w:val="000000"/>
          <w:sz w:val="20"/>
          <w:szCs w:val="20"/>
        </w:rPr>
        <w:t>o comply with applicable laws and regulations, will not exceed the amounts reflected in NCR’s Condensed Consolidated Financial Statements or will not have a material adverse effect on its consolidated results of operations, capital expenditures, competitiv</w:t>
      </w:r>
      <w:r>
        <w:rPr>
          <w:rFonts w:eastAsia="Times New Roman"/>
          <w:color w:val="000000"/>
          <w:sz w:val="20"/>
          <w:szCs w:val="20"/>
        </w:rPr>
        <w:t>e position, financial condition or cash flows.</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Legal Matters</w:t>
      </w:r>
      <w:r>
        <w:rPr>
          <w:rFonts w:eastAsia="Times New Roman"/>
          <w:color w:val="000000"/>
          <w:sz w:val="20"/>
          <w:szCs w:val="20"/>
        </w:rPr>
        <w:t xml:space="preserve"> During August 2019, a suit was filed against the Company by Pennsylvania-based CloudofChange LLC alleging willful infringement by NCR for its use of its NCR Silver point-of-sale offering. On Oc</w:t>
      </w:r>
      <w:r>
        <w:rPr>
          <w:rFonts w:eastAsia="Times New Roman"/>
          <w:color w:val="000000"/>
          <w:sz w:val="20"/>
          <w:szCs w:val="20"/>
        </w:rPr>
        <w:t>tober 27, 2022, the court in the Western District of Texas denied the Company's post-trial motion in this matter for judgment as a matter of law or alternatively for a new trial, resulting in a ruling against the Company in an amount of $13 million. The Co</w:t>
      </w:r>
      <w:r>
        <w:rPr>
          <w:rFonts w:eastAsia="Times New Roman"/>
          <w:color w:val="000000"/>
          <w:sz w:val="20"/>
          <w:szCs w:val="20"/>
        </w:rPr>
        <w:t>mpany remains committed to its position that NCR Silver does not infringe the CloudofChange LLC patents and will vigorously defend its position on appeal. The Company has already engaged experienced appellate counsel and immediately filed its notice of app</w:t>
      </w:r>
      <w:r>
        <w:rPr>
          <w:rFonts w:eastAsia="Times New Roman"/>
          <w:color w:val="000000"/>
          <w:sz w:val="20"/>
          <w:szCs w:val="20"/>
        </w:rPr>
        <w:t xml:space="preserve">eal. The Company evaluated the matter in accordance with ASC 450, </w:t>
      </w:r>
      <w:r>
        <w:rPr>
          <w:rFonts w:eastAsia="Times New Roman"/>
          <w:i/>
          <w:iCs/>
          <w:color w:val="000000"/>
          <w:sz w:val="20"/>
          <w:szCs w:val="20"/>
        </w:rPr>
        <w:t>Contingencies</w:t>
      </w:r>
      <w:r>
        <w:rPr>
          <w:rFonts w:eastAsia="Times New Roman"/>
          <w:color w:val="000000"/>
          <w:sz w:val="20"/>
          <w:szCs w:val="20"/>
        </w:rPr>
        <w:t>, and concluded that, as of September 30, 2022 and the date of filing of the related Form 10-Q, that a loss of up to $13 million is reasonably possible, but not probable and, th</w:t>
      </w:r>
      <w:r>
        <w:rPr>
          <w:rFonts w:eastAsia="Times New Roman"/>
          <w:color w:val="000000"/>
          <w:sz w:val="20"/>
          <w:szCs w:val="20"/>
        </w:rPr>
        <w:t>erefore, no accrual has been recorded.</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Environmental Matters</w:t>
      </w:r>
      <w:r>
        <w:rPr>
          <w:rFonts w:eastAsia="Times New Roman"/>
          <w:color w:val="000000"/>
          <w:sz w:val="20"/>
          <w:szCs w:val="20"/>
        </w:rPr>
        <w:t xml:space="preserve"> NCR's facilities and operations are subject to a wide range of environmental protection laws, and NCR has investigatory and remedial activities underway at a number of facilities that it curren</w:t>
      </w:r>
      <w:r>
        <w:rPr>
          <w:rFonts w:eastAsia="Times New Roman"/>
          <w:color w:val="000000"/>
          <w:sz w:val="20"/>
          <w:szCs w:val="20"/>
        </w:rPr>
        <w:t>tly owns or operates, or formerly owned or operated, to comply, or to determine compliance, with such laws. Also, NCR has been identified, either by a government agency or by a private party seeking contribution to site clean-up costs, as a potentially res</w:t>
      </w:r>
      <w:r>
        <w:rPr>
          <w:rFonts w:eastAsia="Times New Roman"/>
          <w:color w:val="000000"/>
          <w:sz w:val="20"/>
          <w:szCs w:val="20"/>
        </w:rPr>
        <w:t>ponsible party (“PRP”) at a number of sites pursuant to various state and federal laws, including the Federal Water Pollution Control Act, the Comprehensive Environmental Response, Compensation and Liability Act (“CERCLA”) and comparable state statutes. Ot</w:t>
      </w:r>
      <w:r>
        <w:rPr>
          <w:rFonts w:eastAsia="Times New Roman"/>
          <w:color w:val="000000"/>
          <w:sz w:val="20"/>
          <w:szCs w:val="20"/>
        </w:rPr>
        <w:t>her than the Kalamazoo River matter and the Ebina matter discussed below, we currently do not anticipate material expenses and liabilities from these environmental matters.</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Fox River</w:t>
      </w:r>
      <w:r>
        <w:rPr>
          <w:rFonts w:eastAsia="Times New Roman"/>
          <w:color w:val="000000"/>
          <w:sz w:val="20"/>
          <w:szCs w:val="20"/>
        </w:rPr>
        <w:t xml:space="preserve"> On September 30, 2003, NCR was one of eight entities that were formally</w:t>
      </w:r>
      <w:r>
        <w:rPr>
          <w:rFonts w:eastAsia="Times New Roman"/>
          <w:color w:val="000000"/>
          <w:sz w:val="20"/>
          <w:szCs w:val="20"/>
        </w:rPr>
        <w:t xml:space="preserve"> notified by governmental and other entities, such as local Native American tribes, that they were PRPs for environmental claims (under CERCLA and other statutes) arising out of the presence of polychlorinated biphenyls (“PCBs”) in sediments in the lower F</w:t>
      </w:r>
      <w:r>
        <w:rPr>
          <w:rFonts w:eastAsia="Times New Roman"/>
          <w:color w:val="000000"/>
          <w:sz w:val="20"/>
          <w:szCs w:val="20"/>
        </w:rPr>
        <w:t>ox River and in the Bay of Green Bay in Wisconsin. The other Fox River PRPs that received notices include Appleton Papers Inc. (“API”; now known as Appvion, Inc.), P.H. Glatfelter Company (“Glatfelter”), Georgia-Pacific Consumer Products LP (“GP”, successo</w:t>
      </w:r>
      <w:r>
        <w:rPr>
          <w:rFonts w:eastAsia="Times New Roman"/>
          <w:color w:val="000000"/>
          <w:sz w:val="20"/>
          <w:szCs w:val="20"/>
        </w:rPr>
        <w:t>r to Fort James Operating Company), and others. NCR was identified as a PRP because of alleged PCB discharges from two carbonless copy paper manufacturing facilities it previously owned, which were located along the Fox River. NCR sold its facilities in 19</w:t>
      </w:r>
      <w:r>
        <w:rPr>
          <w:rFonts w:eastAsia="Times New Roman"/>
          <w:color w:val="000000"/>
          <w:sz w:val="20"/>
          <w:szCs w:val="20"/>
        </w:rPr>
        <w:t>78 to API.</w:t>
      </w:r>
      <w:r>
        <w:rPr>
          <w:rFonts w:eastAsia="Times New Roman"/>
          <w:color w:val="000000"/>
          <w:sz w:val="20"/>
          <w:szCs w:val="20"/>
          <w:shd w:val="clear" w:color="auto" w:fill="FFFFFF"/>
        </w:rPr>
        <w:t xml:space="preserve"> The parties </w:t>
      </w:r>
      <w:r>
        <w:rPr>
          <w:rFonts w:eastAsia="Times New Roman"/>
          <w:color w:val="000000"/>
          <w:sz w:val="20"/>
          <w:szCs w:val="20"/>
        </w:rPr>
        <w:t xml:space="preserve">also contended that NCR was responsible for PCB discharges from paper mills owned by other </w:t>
      </w:r>
    </w:p>
    <w:p w:rsidR="00000000" w:rsidRDefault="008214AA">
      <w:pPr>
        <w:jc w:val="center"/>
        <w:divId w:val="2111733248"/>
        <w:rPr>
          <w:rFonts w:eastAsia="Times New Roman"/>
        </w:rPr>
      </w:pPr>
      <w:r>
        <w:rPr>
          <w:rFonts w:eastAsia="Times New Roman"/>
          <w:color w:val="000000"/>
          <w:sz w:val="20"/>
          <w:szCs w:val="20"/>
        </w:rPr>
        <w:t>24</w:t>
      </w:r>
    </w:p>
    <w:p w:rsidR="00000000" w:rsidRDefault="008214AA">
      <w:pPr>
        <w:rPr>
          <w:rFonts w:eastAsia="Times New Roman"/>
        </w:rPr>
      </w:pPr>
      <w:r>
        <w:rPr>
          <w:rFonts w:eastAsia="Times New Roman"/>
        </w:rPr>
        <w:pict>
          <v:rect id="_x0000_i1049" style="width:0;height:1.5pt" o:hralign="center" o:hrstd="t" o:hr="t" fillcolor="#a0a0a0" stroked="f"/>
        </w:pict>
      </w:r>
    </w:p>
    <w:p w:rsidR="00000000" w:rsidRDefault="008214AA">
      <w:pPr>
        <w:ind w:firstLine="720"/>
        <w:divId w:val="1986858329"/>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660080205"/>
        <w:rPr>
          <w:rFonts w:eastAsia="Times New Roman"/>
        </w:rPr>
      </w:pPr>
      <w:r>
        <w:rPr>
          <w:rFonts w:eastAsia="Times New Roman"/>
          <w:b/>
          <w:bCs/>
          <w:color w:val="000000"/>
          <w:sz w:val="20"/>
          <w:szCs w:val="20"/>
        </w:rPr>
        <w:t>NCR Corporation</w:t>
      </w:r>
    </w:p>
    <w:p w:rsidR="00000000" w:rsidRDefault="008214AA">
      <w:pPr>
        <w:jc w:val="center"/>
        <w:divId w:val="660080205"/>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r>
        <w:rPr>
          <w:rFonts w:eastAsia="Times New Roman"/>
          <w:color w:val="000000"/>
          <w:sz w:val="20"/>
          <w:szCs w:val="20"/>
        </w:rPr>
        <w:t>companies because NCR carbonless copy paper “broke” was allegedly purchased by those other mills as a raw material. In 2017, the Company entered into a Consent Dec</w:t>
      </w:r>
      <w:r>
        <w:rPr>
          <w:rFonts w:eastAsia="Times New Roman"/>
          <w:color w:val="000000"/>
          <w:sz w:val="20"/>
          <w:szCs w:val="20"/>
        </w:rPr>
        <w:t>ree with the federal and state governments for the clean-up of the Fox River, which was approved on August 22, 2017 by the federal district court in Wisconsin presiding over this matter. The Consent Decree resolved the Company’s disputes with the enforceme</w:t>
      </w:r>
      <w:r>
        <w:rPr>
          <w:rFonts w:eastAsia="Times New Roman"/>
          <w:color w:val="000000"/>
          <w:sz w:val="20"/>
          <w:szCs w:val="20"/>
        </w:rPr>
        <w:t>nt agencies as well as the other PRPs.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All litigation relating to the contribution and enforcement of remediation obligations on the Fox River has been conc</w:t>
      </w:r>
      <w:r>
        <w:rPr>
          <w:rFonts w:eastAsia="Times New Roman"/>
          <w:color w:val="000000"/>
          <w:sz w:val="20"/>
          <w:szCs w:val="20"/>
          <w:shd w:val="clear" w:color="auto" w:fill="FFFFFF"/>
        </w:rPr>
        <w:t xml:space="preserve">luded. No other litigation is pending. All Company obligations under the Consent Decree have been </w:t>
      </w:r>
      <w:r>
        <w:rPr>
          <w:rFonts w:eastAsia="Times New Roman"/>
          <w:color w:val="000000"/>
          <w:sz w:val="20"/>
          <w:szCs w:val="20"/>
          <w:shd w:val="clear" w:color="auto" w:fill="FFFFFF"/>
        </w:rPr>
        <w:t>completed. On October 3, 2022, the Environmental Protection Agency issued the Company a Certificate of Completion certifying that all of the Company’s remedial obligations under the Consent Decree have been completed.</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cost of the Fox River remediatio</w:t>
      </w:r>
      <w:r>
        <w:rPr>
          <w:rFonts w:eastAsia="Times New Roman"/>
          <w:color w:val="000000"/>
          <w:sz w:val="20"/>
          <w:szCs w:val="20"/>
        </w:rPr>
        <w:t>n is currently shared by the company with three indemnitors. NCR and API, along with B.A.T Industries p.l.c. (“BAT”), share among themselves a portion of the cost of the Fox River clean-up and natural resource damages (“NRD”) based upon a 1998 agreement (t</w:t>
      </w:r>
      <w:r>
        <w:rPr>
          <w:rFonts w:eastAsia="Times New Roman"/>
          <w:color w:val="000000"/>
          <w:sz w:val="20"/>
          <w:szCs w:val="20"/>
        </w:rPr>
        <w:t>he “Cost Sharing Agreement”), a 2005 arbitration award (subsequently confirmed as a judgment), and a September 30, 2014 Funding Agreement (the “Funding Agreement”). The Cost Sharing Agreement and the arbitration resolved disputes that arose out of the Comp</w:t>
      </w:r>
      <w:r>
        <w:rPr>
          <w:rFonts w:eastAsia="Times New Roman"/>
          <w:color w:val="000000"/>
          <w:sz w:val="20"/>
          <w:szCs w:val="20"/>
        </w:rPr>
        <w:t>any's 1978 sale of its Fox River facilities to API. The Cost Sharing Agreement and arbitration award resulted in a 45% share for NCR of the first $75 million of such costs (a threshold that was reached in 2008), and a 40% share for amounts in excess of $75</w:t>
      </w:r>
      <w:r>
        <w:rPr>
          <w:rFonts w:eastAsia="Times New Roman"/>
          <w:color w:val="000000"/>
          <w:sz w:val="20"/>
          <w:szCs w:val="20"/>
        </w:rPr>
        <w:t xml:space="preserve"> million. The Funding Agreement arose out of a 2012 to 2014 arbitration dispute between NCR and API, and provides for regular, ongoing funding of NCR incurred Fox River remediation costs via contributions, made to a new limited liability corporation create</w:t>
      </w:r>
      <w:r>
        <w:rPr>
          <w:rFonts w:eastAsia="Times New Roman"/>
          <w:color w:val="000000"/>
          <w:sz w:val="20"/>
          <w:szCs w:val="20"/>
        </w:rPr>
        <w:t>d by the Funding Agreement, by BAT, API and, for 2014, API's indemnitor, Windward Prospects. The Funding Agreement creates an obligation on BAT and API to fund 50% of NCR’s Fox River remediation costs from October 1, 2014 forward (API’s Fox River-related o</w:t>
      </w:r>
      <w:r>
        <w:rPr>
          <w:rFonts w:eastAsia="Times New Roman"/>
          <w:color w:val="000000"/>
          <w:sz w:val="20"/>
          <w:szCs w:val="20"/>
        </w:rPr>
        <w:t>bligations under the Funding Agreement were fully satisfied in 2016); the Funding Agreement also provides NCR contractual avenues for payment of, via direct and third-party sources, (1) the difference between BAT’s and API’s 60% obligation under the Cost S</w:t>
      </w:r>
      <w:r>
        <w:rPr>
          <w:rFonts w:eastAsia="Times New Roman"/>
          <w:color w:val="000000"/>
          <w:sz w:val="20"/>
          <w:szCs w:val="20"/>
        </w:rPr>
        <w:t xml:space="preserve">haring Agreement and arbitration award on the one hand and their ongoing (since September 2014) 50% payments under the Funding Agreement on the other, as well as (2) the difference between the amount NCR received under the Funding Agreement and the amount </w:t>
      </w:r>
      <w:r>
        <w:rPr>
          <w:rFonts w:eastAsia="Times New Roman"/>
          <w:color w:val="000000"/>
          <w:sz w:val="20"/>
          <w:szCs w:val="20"/>
        </w:rPr>
        <w:t xml:space="preserve">owed to it under the Cost Sharing Agreement and arbitration award for the period from April 2012 through September 2014. </w:t>
      </w:r>
      <w:r>
        <w:rPr>
          <w:rFonts w:eastAsia="Times New Roman"/>
          <w:color w:val="000000"/>
          <w:sz w:val="20"/>
          <w:szCs w:val="20"/>
          <w:shd w:val="clear" w:color="auto" w:fill="FFFFFF"/>
        </w:rPr>
        <w:t>As of September 30, 2022 and December 31, 2021, the receivable under the Funding Agreement was approximately $54 million and was includ</w:t>
      </w:r>
      <w:r>
        <w:rPr>
          <w:rFonts w:eastAsia="Times New Roman"/>
          <w:color w:val="000000"/>
          <w:sz w:val="20"/>
          <w:szCs w:val="20"/>
          <w:shd w:val="clear" w:color="auto" w:fill="FFFFFF"/>
        </w:rPr>
        <w:t xml:space="preserve">ed in Other assets in the Condensed </w:t>
      </w:r>
      <w:r>
        <w:rPr>
          <w:rFonts w:eastAsia="Times New Roman"/>
          <w:color w:val="000000"/>
          <w:sz w:val="20"/>
          <w:szCs w:val="20"/>
        </w:rPr>
        <w:t>Consolidated Balance Sheets. The timing of collection of sums related to the receivable is uncertain, subject and pursuant to the terms of the Funding Agreement and related agreements. This receivable is not taken into a</w:t>
      </w:r>
      <w:r>
        <w:rPr>
          <w:rFonts w:eastAsia="Times New Roman"/>
          <w:color w:val="000000"/>
          <w:sz w:val="20"/>
          <w:szCs w:val="20"/>
        </w:rPr>
        <w:t xml:space="preserve">ccount in calculating the Company’s Fox River net reserve.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Additionally, under a 1996 agreement, AT&amp;T Corp. (“AT&amp;T”</w:t>
      </w:r>
      <w:r>
        <w:rPr>
          <w:rFonts w:eastAsia="Times New Roman"/>
          <w:color w:val="000000"/>
          <w:sz w:val="20"/>
          <w:szCs w:val="20"/>
        </w:rPr>
        <w:t>) and Nokia (as the successor to Lucent Technologies and Alcatel-Lucent USA) are responsible severally (not jointly) for indemnifying NCR for certain portions of the amounts paid by NCR for the Fox River matter over a defined threshold and subject to certa</w:t>
      </w:r>
      <w:r>
        <w:rPr>
          <w:rFonts w:eastAsia="Times New Roman"/>
          <w:color w:val="000000"/>
          <w:sz w:val="20"/>
          <w:szCs w:val="20"/>
        </w:rPr>
        <w:t>in offsets for insurance recoveries and net tax benefits, if any. (The agreement governs certain aspects of AT&amp;T's divestiture of NCR and of what was then known as Lucent Technologies.) Those companies have made the payments requested of them by the Compan</w:t>
      </w:r>
      <w:r>
        <w:rPr>
          <w:rFonts w:eastAsia="Times New Roman"/>
          <w:color w:val="000000"/>
          <w:sz w:val="20"/>
          <w:szCs w:val="20"/>
        </w:rPr>
        <w:t>y on an ongoing basis.</w:t>
      </w:r>
    </w:p>
    <w:p w:rsidR="00000000" w:rsidRDefault="008214AA">
      <w:pPr>
        <w:jc w:val="both"/>
        <w:rPr>
          <w:rFonts w:eastAsia="Times New Roman"/>
        </w:rPr>
      </w:pPr>
    </w:p>
    <w:p w:rsidR="00000000" w:rsidRDefault="008214AA">
      <w:pPr>
        <w:jc w:val="both"/>
        <w:divId w:val="881095570"/>
        <w:rPr>
          <w:rFonts w:eastAsia="Times New Roman"/>
        </w:rPr>
      </w:pPr>
      <w:r>
        <w:rPr>
          <w:rFonts w:eastAsia="Times New Roman"/>
          <w:color w:val="000000"/>
          <w:sz w:val="20"/>
          <w:szCs w:val="20"/>
        </w:rPr>
        <w:t>There could be additional changes to some elements of the reserve over upcoming periods, in view of a final reconciliation of indemnitor payments. Thus there can be no assurance that unexpected expenditures and liabilities will not</w:t>
      </w:r>
      <w:r>
        <w:rPr>
          <w:rFonts w:eastAsia="Times New Roman"/>
          <w:color w:val="000000"/>
          <w:sz w:val="20"/>
          <w:szCs w:val="20"/>
        </w:rPr>
        <w:t xml:space="preserve"> have a material effect on NCR's capital expenditures, earnings, financial condition, cash flows, or competitive position. As of September 30, 2022 and December 31, 2021, the gross reserve for the Fox River matter was approximately $3 million and $4 millio</w:t>
      </w:r>
      <w:r>
        <w:rPr>
          <w:rFonts w:eastAsia="Times New Roman"/>
          <w:color w:val="000000"/>
          <w:sz w:val="20"/>
          <w:szCs w:val="20"/>
        </w:rPr>
        <w:t>n, respectively. As of September 30, 2022 and December 31, 2021, the net reserve for the Fox River matter was approximately $25 million and $26 million, respectively. In April 2009, NCR and API formed a limited liability company (the “LLC”). NCR contribute</w:t>
      </w:r>
      <w:r>
        <w:rPr>
          <w:rFonts w:eastAsia="Times New Roman"/>
          <w:color w:val="000000"/>
          <w:sz w:val="20"/>
          <w:szCs w:val="20"/>
        </w:rPr>
        <w:t xml:space="preserve">s to the LLC to fund remediation activities and generally, by contract, has funded certain amounts of remediation expenses in advance. As of September 30, 2022 and December 31, 2021, approximately zero remained from this funding. NCR's reserve for the Fox </w:t>
      </w:r>
      <w:r>
        <w:rPr>
          <w:rFonts w:eastAsia="Times New Roman"/>
          <w:color w:val="000000"/>
          <w:sz w:val="20"/>
          <w:szCs w:val="20"/>
        </w:rPr>
        <w:t xml:space="preserve">River matter is reduced as the LLC makes payments to the remediation contractor and other vendors with respect to remediation activities. </w:t>
      </w:r>
    </w:p>
    <w:p w:rsidR="00000000" w:rsidRDefault="008214AA">
      <w:pPr>
        <w:jc w:val="both"/>
        <w:rPr>
          <w:rFonts w:eastAsia="Times New Roman"/>
        </w:rPr>
      </w:pPr>
      <w:r>
        <w:rPr>
          <w:rFonts w:eastAsia="Times New Roman"/>
          <w:i/>
          <w:iCs/>
          <w:color w:val="000000"/>
          <w:sz w:val="20"/>
          <w:szCs w:val="20"/>
        </w:rPr>
        <w:t>Kalamazoo River</w:t>
      </w:r>
      <w:r>
        <w:rPr>
          <w:rFonts w:eastAsia="Times New Roman"/>
          <w:color w:val="000000"/>
          <w:sz w:val="20"/>
          <w:szCs w:val="20"/>
        </w:rPr>
        <w:t>  In November 2010, The United States Environmental Protection Agency (“USEPA”) issued a “general noti</w:t>
      </w:r>
      <w:r>
        <w:rPr>
          <w:rFonts w:eastAsia="Times New Roman"/>
          <w:color w:val="000000"/>
          <w:sz w:val="20"/>
          <w:szCs w:val="20"/>
        </w:rPr>
        <w:t>ce letter” to NCR with respect to the Allied Paper, Inc./Portage Creek/Kalamazoo River Superfund Site (“Kalamazoo River site”) in Michigan. Three other companies - International Paper, Mead Corporation, and Consumers Energy - also received general notice l</w:t>
      </w:r>
      <w:r>
        <w:rPr>
          <w:rFonts w:eastAsia="Times New Roman"/>
          <w:color w:val="000000"/>
          <w:sz w:val="20"/>
          <w:szCs w:val="20"/>
        </w:rPr>
        <w:t>etters at or about the same time. USEPA asserts that the site is contaminated by various substances, primarily PCBs, as a result of discharges by various paper mills located along the river. USEPA does not claim that the Company made direct discharges into</w:t>
      </w:r>
      <w:r>
        <w:rPr>
          <w:rFonts w:eastAsia="Times New Roman"/>
          <w:color w:val="000000"/>
          <w:sz w:val="20"/>
          <w:szCs w:val="20"/>
        </w:rPr>
        <w:t xml:space="preserve"> the Kalamazoo River, and NCR never had facilities at or near the Kalamazoo River site, but USEPA indicated that “NCR may be liable under Section 107 of CERCLA ... as an arranger, who by contract or agreement, arranged for the disposal, treatment and/or tr</w:t>
      </w:r>
      <w:r>
        <w:rPr>
          <w:rFonts w:eastAsia="Times New Roman"/>
          <w:color w:val="000000"/>
          <w:sz w:val="20"/>
          <w:szCs w:val="20"/>
        </w:rPr>
        <w:t>ansportation of hazardous substances at the Site.” USEPA stated that it “may issue special notice letters to [NCR] and other PRPs for future RI/FS [remedial investigation / feasibility studies] and RD/RA [remedial design / remedial action] negotiations.”</w:t>
      </w:r>
    </w:p>
    <w:p w:rsidR="00000000" w:rsidRDefault="008214AA">
      <w:pPr>
        <w:jc w:val="both"/>
        <w:rPr>
          <w:rFonts w:eastAsia="Times New Roman"/>
        </w:rPr>
      </w:pPr>
    </w:p>
    <w:p w:rsidR="00000000" w:rsidRDefault="008214AA">
      <w:pPr>
        <w:jc w:val="center"/>
        <w:divId w:val="1692605748"/>
        <w:rPr>
          <w:rFonts w:eastAsia="Times New Roman"/>
        </w:rPr>
      </w:pPr>
      <w:r>
        <w:rPr>
          <w:rFonts w:eastAsia="Times New Roman"/>
          <w:color w:val="000000"/>
          <w:sz w:val="20"/>
          <w:szCs w:val="20"/>
        </w:rPr>
        <w:t>25</w:t>
      </w:r>
    </w:p>
    <w:p w:rsidR="00000000" w:rsidRDefault="008214AA">
      <w:pPr>
        <w:rPr>
          <w:rFonts w:eastAsia="Times New Roman"/>
        </w:rPr>
      </w:pPr>
      <w:r>
        <w:rPr>
          <w:rFonts w:eastAsia="Times New Roman"/>
        </w:rPr>
        <w:pict>
          <v:rect id="_x0000_i1050" style="width:0;height:1.5pt" o:hralign="center" o:hrstd="t" o:hr="t" fillcolor="#a0a0a0" stroked="f"/>
        </w:pict>
      </w:r>
    </w:p>
    <w:p w:rsidR="00000000" w:rsidRDefault="008214AA">
      <w:pPr>
        <w:ind w:firstLine="720"/>
        <w:divId w:val="800614034"/>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304168552"/>
        <w:rPr>
          <w:rFonts w:eastAsia="Times New Roman"/>
        </w:rPr>
      </w:pPr>
      <w:r>
        <w:rPr>
          <w:rFonts w:eastAsia="Times New Roman"/>
          <w:b/>
          <w:bCs/>
          <w:color w:val="000000"/>
          <w:sz w:val="20"/>
          <w:szCs w:val="20"/>
        </w:rPr>
        <w:t>NCR Corporation</w:t>
      </w:r>
    </w:p>
    <w:p w:rsidR="00000000" w:rsidRDefault="008214AA">
      <w:pPr>
        <w:jc w:val="center"/>
        <w:divId w:val="304168552"/>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r>
        <w:rPr>
          <w:rFonts w:eastAsia="Times New Roman"/>
          <w:color w:val="000000"/>
          <w:sz w:val="20"/>
          <w:szCs w:val="20"/>
        </w:rPr>
        <w:t xml:space="preserve">In connection with the Kalamazoo River site, in </w:t>
      </w:r>
      <w:r>
        <w:rPr>
          <w:rFonts w:eastAsia="Times New Roman"/>
          <w:color w:val="000000"/>
          <w:sz w:val="20"/>
          <w:szCs w:val="20"/>
        </w:rPr>
        <w:t>December 2010 the Company, along with two other defendants, was sued in federal court by three GP affiliate corporations in a private-party contribution and cost recovery action for alleged pollution. The suit, pending in Michigan, asks that the Company an</w:t>
      </w:r>
      <w:r>
        <w:rPr>
          <w:rFonts w:eastAsia="Times New Roman"/>
          <w:color w:val="000000"/>
          <w:sz w:val="20"/>
          <w:szCs w:val="20"/>
        </w:rPr>
        <w:t>d other defendants pay a “fair portion” of these companies’ costs. Various removal and remedial actions remain to be decided upon and performed at the Kalamazoo River site, the total costs for which generally remain undetermined; in 2017, Records of Decisi</w:t>
      </w:r>
      <w:r>
        <w:rPr>
          <w:rFonts w:eastAsia="Times New Roman"/>
          <w:color w:val="000000"/>
          <w:sz w:val="20"/>
          <w:szCs w:val="20"/>
        </w:rPr>
        <w:t>ons were issued for two parts of the river, and in 2018 such a decision was issued for another part of the river, but such decisions for the majority of the work are expected to be made only over the next several years. The suit alleges that the Company is</w:t>
      </w:r>
      <w:r>
        <w:rPr>
          <w:rFonts w:eastAsia="Times New Roman"/>
          <w:color w:val="000000"/>
          <w:sz w:val="20"/>
          <w:szCs w:val="20"/>
        </w:rPr>
        <w:t xml:space="preserve"> liable to the GP entities as an “arranger” under CERCLA. The initial phase of the case was tried in a Michigan federal court in February 2013; on September 26, 2013 the court issued a decision that held NCR was liable as an “arranger” as of at least March</w:t>
      </w:r>
      <w:r>
        <w:rPr>
          <w:rFonts w:eastAsia="Times New Roman"/>
          <w:color w:val="000000"/>
          <w:sz w:val="20"/>
          <w:szCs w:val="20"/>
        </w:rPr>
        <w:t xml:space="preserve"> 1969. (PCB-containing carbonless copy paper was produced from approximately 1954 to April 1971, and the majority of contamination at the Kalamazoo River site had occurred prior to 1969). NCR preserved its right to appeal the September 2013 decision. </w:t>
      </w:r>
    </w:p>
    <w:p w:rsidR="00000000" w:rsidRDefault="008214AA">
      <w:pPr>
        <w:jc w:val="both"/>
        <w:rPr>
          <w:rFonts w:eastAsia="Times New Roman"/>
        </w:rPr>
      </w:pPr>
    </w:p>
    <w:p w:rsidR="00000000" w:rsidRDefault="008214AA">
      <w:pPr>
        <w:jc w:val="both"/>
        <w:divId w:val="1156919817"/>
        <w:rPr>
          <w:rFonts w:eastAsia="Times New Roman"/>
        </w:rPr>
      </w:pPr>
      <w:r>
        <w:rPr>
          <w:rFonts w:eastAsia="Times New Roman"/>
          <w:color w:val="000000"/>
          <w:sz w:val="20"/>
          <w:szCs w:val="20"/>
        </w:rPr>
        <w:t>In</w:t>
      </w:r>
      <w:r>
        <w:rPr>
          <w:rFonts w:eastAsia="Times New Roman"/>
          <w:color w:val="000000"/>
          <w:sz w:val="20"/>
          <w:szCs w:val="20"/>
        </w:rPr>
        <w:t xml:space="preserve"> the 2013 decision the Court did not determine NCR’s share of the overall liability. Relative shares of liability for the four companies were tried to the court in a subsequent phase of the case in December 2015. In a ruling issued on March 29, 2018, the c</w:t>
      </w:r>
      <w:r>
        <w:rPr>
          <w:rFonts w:eastAsia="Times New Roman"/>
          <w:color w:val="000000"/>
          <w:sz w:val="20"/>
          <w:szCs w:val="20"/>
        </w:rPr>
        <w:t>ourt addressed responsibility for the costs that GP had incurred in the past, totaling to approximately $50 million (GP had sought approximately $105 million, but $55 million of those claims were removed by the court upon motions filed by the Company and o</w:t>
      </w:r>
      <w:r>
        <w:rPr>
          <w:rFonts w:eastAsia="Times New Roman"/>
          <w:color w:val="000000"/>
          <w:sz w:val="20"/>
          <w:szCs w:val="20"/>
        </w:rPr>
        <w:t xml:space="preserve">ther parties); NCR and GP were each assigned a 40% share of those costs, and the other two companies were assigned 15% and 5% as their allocations. The court entered a judgment in the case on June 19, 2018, in which it indicated that it would not allocate </w:t>
      </w:r>
      <w:r>
        <w:rPr>
          <w:rFonts w:eastAsia="Times New Roman"/>
          <w:color w:val="000000"/>
          <w:sz w:val="20"/>
          <w:szCs w:val="20"/>
        </w:rPr>
        <w:t>future costs, but would enter a declaratory judgment that the four companies together had responsibility for future costs, in amounts and shares to be determined. Cross-proceedings have been commenced to obtain recoveries from the other parties pursuant to</w:t>
      </w:r>
      <w:r>
        <w:rPr>
          <w:rFonts w:eastAsia="Times New Roman"/>
          <w:color w:val="000000"/>
          <w:sz w:val="20"/>
          <w:szCs w:val="20"/>
        </w:rPr>
        <w:t xml:space="preserve"> the judgment; those proceedings were stayed pending the appeal referenced below.</w:t>
      </w:r>
    </w:p>
    <w:p w:rsidR="00000000" w:rsidRDefault="008214AA">
      <w:pPr>
        <w:jc w:val="both"/>
        <w:rPr>
          <w:rFonts w:eastAsia="Times New Roman"/>
        </w:rPr>
      </w:pPr>
      <w:r>
        <w:rPr>
          <w:rFonts w:eastAsia="Times New Roman"/>
          <w:color w:val="000000"/>
          <w:sz w:val="20"/>
          <w:szCs w:val="20"/>
        </w:rPr>
        <w:t xml:space="preserve">In July 2018, the Company appealed to the United States Court of Appeals for the Sixth Circuit both the 2013 court decision, which it believes is in conflict with a decision </w:t>
      </w:r>
      <w:r>
        <w:rPr>
          <w:rFonts w:eastAsia="Times New Roman"/>
          <w:color w:val="000000"/>
          <w:sz w:val="20"/>
          <w:szCs w:val="20"/>
        </w:rPr>
        <w:t>from the Fox River trial court as to Operable Unit 1 of that site and an affirmance of that decision from the Court of Appeals for the Seventh Circuit, and the 2018 court decision, on various legal grounds. The Company filed a bond to stay any execution of</w:t>
      </w:r>
      <w:r>
        <w:rPr>
          <w:rFonts w:eastAsia="Times New Roman"/>
          <w:color w:val="000000"/>
          <w:sz w:val="20"/>
          <w:szCs w:val="20"/>
        </w:rPr>
        <w:t xml:space="preserve"> the judgment pending the appeal, and its application for a stay was approved by the court and remains stayed until the Company filed its dismissal of the appeal on December 31, 2020 pursuant to a Consent Decree, noted below.</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During the pendency of the S</w:t>
      </w:r>
      <w:r>
        <w:rPr>
          <w:rFonts w:eastAsia="Times New Roman"/>
          <w:color w:val="000000"/>
          <w:sz w:val="20"/>
          <w:szCs w:val="20"/>
        </w:rPr>
        <w:t>ixth Circuit stay, the Company negotiated a settlement of the Kalamazoo River matter with the USEPA and other government agencies having oversight over the river. On December 5, 2019, the Company entered into a Consent Decree, filed with the District Court</w:t>
      </w:r>
      <w:r>
        <w:rPr>
          <w:rFonts w:eastAsia="Times New Roman"/>
          <w:color w:val="000000"/>
          <w:sz w:val="20"/>
          <w:szCs w:val="20"/>
        </w:rPr>
        <w:t xml:space="preserve"> on December 11, 2019, and on December 2, 2020, the District Court approved the Consent Decree, which has now resolved all litigation associated with the river clean-up, including the Sixth Circuit appeal. The Consent Decree requires the Company to pay GP </w:t>
      </w:r>
      <w:r>
        <w:rPr>
          <w:rFonts w:eastAsia="Times New Roman"/>
          <w:color w:val="000000"/>
          <w:sz w:val="20"/>
          <w:szCs w:val="20"/>
        </w:rPr>
        <w:t>its 40% share of past costs, to pay the USEPA and state agencies their past and future administrative costs, and to dismiss its Sixth Circuit appeal. The Consent Decree further requires the Company to take responsibility for the remediation of a portion, b</w:t>
      </w:r>
      <w:r>
        <w:rPr>
          <w:rFonts w:eastAsia="Times New Roman"/>
          <w:color w:val="000000"/>
          <w:sz w:val="20"/>
          <w:szCs w:val="20"/>
        </w:rPr>
        <w:t>ut not all, of the Kalamazoo River. The Consent Decree further provides the Company protection from other PRPs, including GP, seeking contribution for their costs associated with the clean-up anywhere on the river, thereby resolving the allocation of futur</w:t>
      </w:r>
      <w:r>
        <w:rPr>
          <w:rFonts w:eastAsia="Times New Roman"/>
          <w:color w:val="000000"/>
          <w:sz w:val="20"/>
          <w:szCs w:val="20"/>
        </w:rPr>
        <w:t>e costs left unresolved by the June 19, 2019 judgment.</w:t>
      </w:r>
    </w:p>
    <w:p w:rsidR="00000000" w:rsidRDefault="008214AA">
      <w:pPr>
        <w:jc w:val="both"/>
        <w:rPr>
          <w:rFonts w:eastAsia="Times New Roman"/>
        </w:rPr>
      </w:pPr>
    </w:p>
    <w:p w:rsidR="00000000" w:rsidRDefault="008214AA">
      <w:pPr>
        <w:jc w:val="both"/>
        <w:divId w:val="386490609"/>
        <w:rPr>
          <w:rFonts w:eastAsia="Times New Roman"/>
        </w:rPr>
      </w:pPr>
      <w:r>
        <w:rPr>
          <w:rFonts w:eastAsia="Times New Roman"/>
          <w:color w:val="000000"/>
          <w:sz w:val="20"/>
          <w:szCs w:val="20"/>
        </w:rPr>
        <w:t xml:space="preserve">NCR expects to have claims against BAT and API under the Funding Agreement discussed above for the Kalamazoo River remediation expenses. API filed for bankruptcy protection in October 2017, and thus </w:t>
      </w:r>
      <w:r>
        <w:rPr>
          <w:rFonts w:eastAsia="Times New Roman"/>
          <w:color w:val="000000"/>
          <w:sz w:val="20"/>
          <w:szCs w:val="20"/>
        </w:rPr>
        <w:t>payment of its potential share under the Funding Agreement for so-called “future sites,” which would include the Kalamazoo River site, may be at risk, but as liability under the Cost Sharing Agreement and the Funding Agreement is joint and several, the ban</w:t>
      </w:r>
      <w:r>
        <w:rPr>
          <w:rFonts w:eastAsia="Times New Roman"/>
          <w:color w:val="000000"/>
          <w:sz w:val="20"/>
          <w:szCs w:val="20"/>
        </w:rPr>
        <w:t>kruptcy is not anticipated to affect the Company’s ability to seek that amount from BAT. The Company will also have indemnity or reimbursement claims against AT&amp;T and Nokia under the arrangement discussed above in connection with the Fox River matter after</w:t>
      </w:r>
      <w:r>
        <w:rPr>
          <w:rFonts w:eastAsia="Times New Roman"/>
          <w:color w:val="000000"/>
          <w:sz w:val="20"/>
          <w:szCs w:val="20"/>
        </w:rPr>
        <w:t xml:space="preserve"> expenses have met a contractual threshold set out in the 1996 agreement referenced above in the Fox River discussion. </w:t>
      </w:r>
    </w:p>
    <w:p w:rsidR="00000000" w:rsidRDefault="008214AA">
      <w:pPr>
        <w:jc w:val="both"/>
        <w:rPr>
          <w:rFonts w:eastAsia="Times New Roman"/>
        </w:rPr>
      </w:pPr>
      <w:r>
        <w:rPr>
          <w:rFonts w:eastAsia="Times New Roman"/>
          <w:color w:val="000000"/>
          <w:sz w:val="20"/>
          <w:szCs w:val="20"/>
        </w:rPr>
        <w:t>As of September 30, 2022 and December 31, 2021, the total reserve for Kalamazoo was $93 million and $99 million, respectively. The reser</w:t>
      </w:r>
      <w:r>
        <w:rPr>
          <w:rFonts w:eastAsia="Times New Roman"/>
          <w:color w:val="000000"/>
          <w:sz w:val="20"/>
          <w:szCs w:val="20"/>
        </w:rPr>
        <w:t xml:space="preserve">ve is reported on a basis that is net of expected contributions from the Company's co-obligors and indemnitors, subject to when the applicable threshold is reached. While the Company believes its co-obligors' and indemnitors' obligations are as previously </w:t>
      </w:r>
      <w:r>
        <w:rPr>
          <w:rFonts w:eastAsia="Times New Roman"/>
          <w:color w:val="000000"/>
          <w:sz w:val="20"/>
          <w:szCs w:val="20"/>
        </w:rPr>
        <w:t>reported, the reserve reflects changes in positions taken by some of those co-obligors and indemnitors with respect to the Kalamazoo River. The contributions from its co-obligors and indemnitors are expected to range from $70 million to $150 million and th</w:t>
      </w:r>
      <w:r>
        <w:rPr>
          <w:rFonts w:eastAsia="Times New Roman"/>
          <w:color w:val="000000"/>
          <w:sz w:val="20"/>
          <w:szCs w:val="20"/>
        </w:rPr>
        <w:t>e Company will continue to pursue such contribution.</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As many aspects of the costs of remediation will not be determined for several years (and thus the high end of a range of possible costs for many areas of the site cannot be quantified at this time), t</w:t>
      </w:r>
      <w:r>
        <w:rPr>
          <w:rFonts w:eastAsia="Times New Roman"/>
          <w:color w:val="000000"/>
          <w:sz w:val="20"/>
          <w:szCs w:val="20"/>
        </w:rPr>
        <w:t xml:space="preserve">he Company has made what it considers to be reasonable estimates of the low end of a range for such costs where remedies are identified, and/or of the costs of investigations </w:t>
      </w:r>
    </w:p>
    <w:p w:rsidR="00000000" w:rsidRDefault="008214AA">
      <w:pPr>
        <w:jc w:val="center"/>
        <w:divId w:val="365301583"/>
        <w:rPr>
          <w:rFonts w:eastAsia="Times New Roman"/>
        </w:rPr>
      </w:pPr>
      <w:r>
        <w:rPr>
          <w:rFonts w:eastAsia="Times New Roman"/>
          <w:color w:val="000000"/>
          <w:sz w:val="20"/>
          <w:szCs w:val="20"/>
        </w:rPr>
        <w:t>26</w:t>
      </w:r>
    </w:p>
    <w:p w:rsidR="00000000" w:rsidRDefault="008214AA">
      <w:pPr>
        <w:rPr>
          <w:rFonts w:eastAsia="Times New Roman"/>
        </w:rPr>
      </w:pPr>
      <w:r>
        <w:rPr>
          <w:rFonts w:eastAsia="Times New Roman"/>
        </w:rPr>
        <w:pict>
          <v:rect id="_x0000_i1051" style="width:0;height:1.5pt" o:hralign="center" o:hrstd="t" o:hr="t" fillcolor="#a0a0a0" stroked="f"/>
        </w:pict>
      </w:r>
    </w:p>
    <w:p w:rsidR="00000000" w:rsidRDefault="008214AA">
      <w:pPr>
        <w:ind w:firstLine="720"/>
        <w:divId w:val="2093499805"/>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612323958"/>
        <w:rPr>
          <w:rFonts w:eastAsia="Times New Roman"/>
        </w:rPr>
      </w:pPr>
      <w:r>
        <w:rPr>
          <w:rFonts w:eastAsia="Times New Roman"/>
          <w:b/>
          <w:bCs/>
          <w:color w:val="000000"/>
          <w:sz w:val="20"/>
          <w:szCs w:val="20"/>
        </w:rPr>
        <w:t>NCR Corporation</w:t>
      </w:r>
    </w:p>
    <w:p w:rsidR="00000000" w:rsidRDefault="008214AA">
      <w:pPr>
        <w:jc w:val="center"/>
        <w:divId w:val="612323958"/>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r>
        <w:rPr>
          <w:rFonts w:eastAsia="Times New Roman"/>
          <w:color w:val="000000"/>
          <w:sz w:val="20"/>
          <w:szCs w:val="20"/>
        </w:rPr>
        <w:t>and studies for areas of the river where remedies have not yet been determined, and the reserve is informed by those estimates. The extent of NCR’s potential liability remains subject to many uncertainties, notwithstanding the settlement of this matter and</w:t>
      </w:r>
      <w:r>
        <w:rPr>
          <w:rFonts w:eastAsia="Times New Roman"/>
          <w:color w:val="000000"/>
          <w:sz w:val="20"/>
          <w:szCs w:val="20"/>
        </w:rPr>
        <w:t xml:space="preserve"> related Consent Decree noted above, particularly in as much as remedy decisions and cost estimates will not be generated until times in the future and as most of the work to be performed will take place through the 2030s. Under other assumptions or estima</w:t>
      </w:r>
      <w:r>
        <w:rPr>
          <w:rFonts w:eastAsia="Times New Roman"/>
          <w:color w:val="000000"/>
          <w:sz w:val="20"/>
          <w:szCs w:val="20"/>
        </w:rPr>
        <w:t xml:space="preserve">tes for possible costs of remediation, which the Company does not at this point consider to be reasonably estimable or verifiable, it is possible that the reserve the Company has taken to discontinued operations reflected in this paragraph could more than </w:t>
      </w:r>
      <w:r>
        <w:rPr>
          <w:rFonts w:eastAsia="Times New Roman"/>
          <w:color w:val="000000"/>
          <w:sz w:val="20"/>
          <w:szCs w:val="20"/>
        </w:rPr>
        <w:t xml:space="preserve">approximately double the reflected reserve.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Ebina</w:t>
      </w:r>
      <w:r>
        <w:rPr>
          <w:rFonts w:eastAsia="Times New Roman"/>
          <w:color w:val="000000"/>
          <w:sz w:val="20"/>
          <w:szCs w:val="20"/>
        </w:rPr>
        <w:t xml:space="preserve"> </w:t>
      </w:r>
      <w:r>
        <w:rPr>
          <w:rFonts w:eastAsia="Times New Roman"/>
          <w:color w:val="000000"/>
          <w:sz w:val="20"/>
          <w:szCs w:val="20"/>
        </w:rPr>
        <w:t>The Company is engaged in cooperative regulatory compliance activities with the government of Japan in connection with certain environmental contaminants generated in its past operations in that country. The Company has quantities of PCB and other wastes p</w:t>
      </w:r>
      <w:r>
        <w:rPr>
          <w:rFonts w:eastAsia="Times New Roman"/>
          <w:color w:val="000000"/>
          <w:sz w:val="20"/>
          <w:szCs w:val="20"/>
        </w:rPr>
        <w:t xml:space="preserve">rimarily from its former plant at Oiso, Japan, including capsulated undiluted solutions manufactured in the past, capacitors, light ballasts and PCB-affected soil from the Oiso plant that was excavated and placed in steel drums. These wastes are stored in </w:t>
      </w:r>
      <w:r>
        <w:rPr>
          <w:rFonts w:eastAsia="Times New Roman"/>
          <w:color w:val="000000"/>
          <w:sz w:val="20"/>
          <w:szCs w:val="20"/>
        </w:rPr>
        <w:t>a facility at Ebina, Japan in accordance with Japanese regulations governing such materials. Over the past several years Japan has enacted and amended legislation governing such wastes, and has set a current deadline for treating and disposing of (at gover</w:t>
      </w:r>
      <w:r>
        <w:rPr>
          <w:rFonts w:eastAsia="Times New Roman"/>
          <w:color w:val="000000"/>
          <w:sz w:val="20"/>
          <w:szCs w:val="20"/>
        </w:rPr>
        <w:t>nment-constructed disposal facilities) the highest-concentration wastes by 2027. Lower-concentration wastes can be and have been disposed of via private contractors, and as of September 30, 2022, NCR had disposed of approximately 96% of its lower-concentra</w:t>
      </w:r>
      <w:r>
        <w:rPr>
          <w:rFonts w:eastAsia="Times New Roman"/>
          <w:color w:val="000000"/>
          <w:sz w:val="20"/>
          <w:szCs w:val="20"/>
        </w:rPr>
        <w:t xml:space="preserve">tion wastes and approximately 59% of its higher-concentration wastes.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Company and its consultants have met and communicated regularly with the Japanese agency charged with administration of the law, and are working with that agency on a program to m</w:t>
      </w:r>
      <w:r>
        <w:rPr>
          <w:rFonts w:eastAsia="Times New Roman"/>
          <w:color w:val="000000"/>
          <w:sz w:val="20"/>
          <w:szCs w:val="20"/>
        </w:rPr>
        <w:t>anage disposal of the high-concentration wastes, including tests of technologies to make the disposal more efficient. The government has given its final approvals, and the Company started to dispose of the high-concentration wastes in 2021, with final dead</w:t>
      </w:r>
      <w:r>
        <w:rPr>
          <w:rFonts w:eastAsia="Times New Roman"/>
          <w:color w:val="000000"/>
          <w:sz w:val="20"/>
          <w:szCs w:val="20"/>
        </w:rPr>
        <w:t>lines for various of the government-constructed disposal sites currently set for 2022, 2023 and later. Low-concentration wastes are required to be contracted for disposal by 2027, a timetable that the Company expects to meet. In September 2019, the Company</w:t>
      </w:r>
      <w:r>
        <w:rPr>
          <w:rFonts w:eastAsia="Times New Roman"/>
          <w:color w:val="000000"/>
          <w:sz w:val="20"/>
          <w:szCs w:val="20"/>
        </w:rPr>
        <w:t>’s environmental consultants, following a series of communications and meetings with the Japanese agency, at the Company’s request prepared an estimate of remaining disposal costs over the coming several years. While the estimate is subject to a range of a</w:t>
      </w:r>
      <w:r>
        <w:rPr>
          <w:rFonts w:eastAsia="Times New Roman"/>
          <w:color w:val="000000"/>
          <w:sz w:val="20"/>
          <w:szCs w:val="20"/>
        </w:rPr>
        <w:t>ssumptions and uncertainties, including prospects of cost reduction in coordination with the agency as certain field testing to separate high-concentration and low-concentration waste progresses over the coming years, the Company adjusted its existing rese</w:t>
      </w:r>
      <w:r>
        <w:rPr>
          <w:rFonts w:eastAsia="Times New Roman"/>
          <w:color w:val="000000"/>
          <w:sz w:val="20"/>
          <w:szCs w:val="20"/>
        </w:rPr>
        <w:t>rve for the matter to take into account this cost estimate. The reserve as of September 30, 2022 and December 31, 2021 is $11 million and $16 million, respectively. The Japan environmental waste issue is treated as a compliance matter and not as litigation</w:t>
      </w:r>
      <w:r>
        <w:rPr>
          <w:rFonts w:eastAsia="Times New Roman"/>
          <w:color w:val="000000"/>
          <w:sz w:val="20"/>
          <w:szCs w:val="20"/>
        </w:rPr>
        <w:t xml:space="preserve"> or enforcement, and the Company has received no threats of litigation or enforcement.</w:t>
      </w:r>
    </w:p>
    <w:p w:rsidR="00000000" w:rsidRDefault="008214AA">
      <w:pPr>
        <w:divId w:val="320232567"/>
        <w:rPr>
          <w:rFonts w:eastAsia="Times New Roman"/>
        </w:rPr>
      </w:pPr>
    </w:p>
    <w:p w:rsidR="00000000" w:rsidRDefault="008214AA">
      <w:pPr>
        <w:jc w:val="both"/>
        <w:rPr>
          <w:rFonts w:eastAsia="Times New Roman"/>
        </w:rPr>
      </w:pPr>
      <w:r>
        <w:rPr>
          <w:rFonts w:eastAsia="Times New Roman"/>
          <w:i/>
          <w:iCs/>
          <w:color w:val="000000"/>
          <w:sz w:val="20"/>
          <w:szCs w:val="20"/>
        </w:rPr>
        <w:t>Environmental-Related Insurance Recoveries</w:t>
      </w:r>
      <w:r>
        <w:rPr>
          <w:rFonts w:eastAsia="Times New Roman"/>
          <w:color w:val="000000"/>
          <w:sz w:val="20"/>
          <w:szCs w:val="20"/>
        </w:rPr>
        <w:t xml:space="preserve"> In connection with the Fox River and other environmental sites, through September 30, 2022, NCR has received a combined gros</w:t>
      </w:r>
      <w:r>
        <w:rPr>
          <w:rFonts w:eastAsia="Times New Roman"/>
          <w:color w:val="000000"/>
          <w:sz w:val="20"/>
          <w:szCs w:val="20"/>
        </w:rPr>
        <w:t>s total of approximately $212 million in settlements reached with various of its insurance carriers. Portions of many of these settlements agreed in the 2010 through 2013 timeframe are payable to a law firm that litigated the claims on the Company's behalf</w:t>
      </w:r>
      <w:r>
        <w:rPr>
          <w:rFonts w:eastAsia="Times New Roman"/>
          <w:color w:val="000000"/>
          <w:sz w:val="20"/>
          <w:szCs w:val="20"/>
        </w:rPr>
        <w:t xml:space="preserve">. Some of the settlements cover not only the Fox River but also other environmental sites; some are limited to either the Fox River or the Kalamazoo River site. Some of the settlements are directed to defense costs and some are directed to indemnity; some </w:t>
      </w:r>
      <w:r>
        <w:rPr>
          <w:rFonts w:eastAsia="Times New Roman"/>
          <w:color w:val="000000"/>
          <w:sz w:val="20"/>
          <w:szCs w:val="20"/>
        </w:rPr>
        <w:t>settlements cover both defense costs and indemnity. The Company does not anticipate that further material insurance recoveries specific to Kalamazoo River remediation costs will be available to it, but it has recovered some amounts as a result of settlemen</w:t>
      </w:r>
      <w:r>
        <w:rPr>
          <w:rFonts w:eastAsia="Times New Roman"/>
          <w:color w:val="000000"/>
          <w:sz w:val="20"/>
          <w:szCs w:val="20"/>
        </w:rPr>
        <w:t xml:space="preserve">t discussions with certain carriers. In December 2021, the Company recovered approximately </w:t>
      </w:r>
      <w:r>
        <w:rPr>
          <w:rFonts w:eastAsia="Times New Roman"/>
          <w:color w:val="000000"/>
          <w:sz w:val="20"/>
          <w:szCs w:val="20"/>
          <w:shd w:val="clear" w:color="auto" w:fill="FFFFFF"/>
        </w:rPr>
        <w:t>$3 million</w:t>
      </w:r>
      <w:r>
        <w:rPr>
          <w:rFonts w:eastAsia="Times New Roman"/>
          <w:color w:val="000000"/>
          <w:sz w:val="20"/>
          <w:szCs w:val="20"/>
        </w:rPr>
        <w:t xml:space="preserve"> as a result of those discussions and, in the nine months ending September 30, 2022, recovered an additional $7 million. Claims with respect to Kalamazoo R</w:t>
      </w:r>
      <w:r>
        <w:rPr>
          <w:rFonts w:eastAsia="Times New Roman"/>
          <w:color w:val="000000"/>
          <w:sz w:val="20"/>
          <w:szCs w:val="20"/>
        </w:rPr>
        <w:t xml:space="preserve">iver defense costs have now been settled, with the amounts of those settlements included in the sum reported above.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Environmental Remediation Estimates</w:t>
      </w:r>
      <w:r>
        <w:rPr>
          <w:rFonts w:eastAsia="Times New Roman"/>
          <w:color w:val="000000"/>
          <w:sz w:val="20"/>
          <w:szCs w:val="20"/>
        </w:rPr>
        <w:t> It is difficult to estimate the future financial impact of environmental laws, including potential li</w:t>
      </w:r>
      <w:r>
        <w:rPr>
          <w:rFonts w:eastAsia="Times New Roman"/>
          <w:color w:val="000000"/>
          <w:sz w:val="20"/>
          <w:szCs w:val="20"/>
        </w:rPr>
        <w:t>abilities. NCR records environmental provisions when it is probable that a liability has been incurred and the amount or range of the liability is reasonably estimable; in accordance with accounting guidance, where liabilities are not expected to be quanti</w:t>
      </w:r>
      <w:r>
        <w:rPr>
          <w:rFonts w:eastAsia="Times New Roman"/>
          <w:color w:val="000000"/>
          <w:sz w:val="20"/>
          <w:szCs w:val="20"/>
        </w:rPr>
        <w:t>fiable or estimable for a period of years, the estimated costs of investigating those liabilities are recorded as a component of the reserve for that particular site. Provisions for estimated losses from environmental restoration and remediation are, depen</w:t>
      </w:r>
      <w:r>
        <w:rPr>
          <w:rFonts w:eastAsia="Times New Roman"/>
          <w:color w:val="000000"/>
          <w:sz w:val="20"/>
          <w:szCs w:val="20"/>
        </w:rPr>
        <w:t>ding on the site, based generally on internal and third-party environmental studies, estimates as to the number and participation level of other PRPs, the extent of contamination, estimated amounts for attorney and other fees, and the nature of required cl</w:t>
      </w:r>
      <w:r>
        <w:rPr>
          <w:rFonts w:eastAsia="Times New Roman"/>
          <w:color w:val="000000"/>
          <w:sz w:val="20"/>
          <w:szCs w:val="20"/>
        </w:rPr>
        <w:t>ean-up and restoration actions. Reserves are adjusted as further information develops or circumstances change. Management expects that the amounts reserved from time to time will be paid out over the period of investigation, negotiation, remediation and re</w:t>
      </w:r>
      <w:r>
        <w:rPr>
          <w:rFonts w:eastAsia="Times New Roman"/>
          <w:color w:val="000000"/>
          <w:sz w:val="20"/>
          <w:szCs w:val="20"/>
        </w:rPr>
        <w:t>storation for the applicable sites. The amounts provided for environmental matters in NCR's Condensed Consolidated Financial Statements are the estimated gross undiscounted amounts of such liabilities, without deductions for indemnity insurance, third-part</w:t>
      </w:r>
      <w:r>
        <w:rPr>
          <w:rFonts w:eastAsia="Times New Roman"/>
          <w:color w:val="000000"/>
          <w:sz w:val="20"/>
          <w:szCs w:val="20"/>
        </w:rPr>
        <w:t xml:space="preserve">y indemnity claims or recoveries from other PRPs, except as qualified in the following sentences. In those cases where insurance carriers or third-party indemnitors have agreed to pay any amounts and management believes that collectability of such amounts </w:t>
      </w:r>
      <w:r>
        <w:rPr>
          <w:rFonts w:eastAsia="Times New Roman"/>
          <w:color w:val="000000"/>
          <w:sz w:val="20"/>
          <w:szCs w:val="20"/>
        </w:rPr>
        <w:t xml:space="preserve">is probable, the amounts are recorded in the Condensed Consolidated Financial </w:t>
      </w:r>
    </w:p>
    <w:p w:rsidR="00000000" w:rsidRDefault="008214AA">
      <w:pPr>
        <w:jc w:val="center"/>
        <w:divId w:val="1774084024"/>
        <w:rPr>
          <w:rFonts w:eastAsia="Times New Roman"/>
        </w:rPr>
      </w:pPr>
      <w:r>
        <w:rPr>
          <w:rFonts w:eastAsia="Times New Roman"/>
          <w:color w:val="000000"/>
          <w:sz w:val="20"/>
          <w:szCs w:val="20"/>
        </w:rPr>
        <w:t>27</w:t>
      </w:r>
    </w:p>
    <w:p w:rsidR="00000000" w:rsidRDefault="008214AA">
      <w:pPr>
        <w:rPr>
          <w:rFonts w:eastAsia="Times New Roman"/>
        </w:rPr>
      </w:pPr>
      <w:r>
        <w:rPr>
          <w:rFonts w:eastAsia="Times New Roman"/>
        </w:rPr>
        <w:pict>
          <v:rect id="_x0000_i1052" style="width:0;height:1.5pt" o:hralign="center" o:hrstd="t" o:hr="t" fillcolor="#a0a0a0" stroked="f"/>
        </w:pict>
      </w:r>
    </w:p>
    <w:p w:rsidR="00000000" w:rsidRDefault="008214AA">
      <w:pPr>
        <w:ind w:firstLine="720"/>
        <w:divId w:val="582834891"/>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248611387"/>
        <w:rPr>
          <w:rFonts w:eastAsia="Times New Roman"/>
        </w:rPr>
      </w:pPr>
      <w:r>
        <w:rPr>
          <w:rFonts w:eastAsia="Times New Roman"/>
          <w:b/>
          <w:bCs/>
          <w:color w:val="000000"/>
          <w:sz w:val="20"/>
          <w:szCs w:val="20"/>
        </w:rPr>
        <w:t>NCR Corporation</w:t>
      </w:r>
    </w:p>
    <w:p w:rsidR="00000000" w:rsidRDefault="008214AA">
      <w:pPr>
        <w:jc w:val="center"/>
        <w:divId w:val="1248611387"/>
        <w:rPr>
          <w:rFonts w:eastAsia="Times New Roman"/>
        </w:rPr>
      </w:pPr>
      <w:r>
        <w:rPr>
          <w:rFonts w:eastAsia="Times New Roman"/>
          <w:b/>
          <w:bCs/>
          <w:color w:val="000000"/>
          <w:sz w:val="20"/>
          <w:szCs w:val="20"/>
        </w:rPr>
        <w:t>Notes to Condensed Consolidated Financial State</w:t>
      </w:r>
      <w:r>
        <w:rPr>
          <w:rFonts w:eastAsia="Times New Roman"/>
          <w:b/>
          <w:bCs/>
          <w:color w:val="000000"/>
          <w:sz w:val="20"/>
          <w:szCs w:val="20"/>
        </w:rPr>
        <w:t>ments (Unaudited)—(Continued)</w:t>
      </w:r>
    </w:p>
    <w:p w:rsidR="00000000" w:rsidRDefault="008214AA">
      <w:pPr>
        <w:jc w:val="both"/>
        <w:rPr>
          <w:rFonts w:eastAsia="Times New Roman"/>
        </w:rPr>
      </w:pPr>
      <w:r>
        <w:rPr>
          <w:rFonts w:eastAsia="Times New Roman"/>
          <w:color w:val="000000"/>
          <w:sz w:val="20"/>
          <w:szCs w:val="20"/>
        </w:rPr>
        <w:t>Statements. For the Fox River and Kalamazoo River sites, as described above, assets relating to the AT&amp;T and Nokia indemnities and to the BAT obligations are recorded as payment is supported by contractual agreements, public f</w:t>
      </w:r>
      <w:r>
        <w:rPr>
          <w:rFonts w:eastAsia="Times New Roman"/>
          <w:color w:val="000000"/>
          <w:sz w:val="20"/>
          <w:szCs w:val="20"/>
        </w:rPr>
        <w:t xml:space="preserve">ilings and/or payment history. </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Guarantees and Product Warranties</w:t>
      </w:r>
      <w:r>
        <w:rPr>
          <w:rFonts w:eastAsia="Times New Roman"/>
          <w:color w:val="000000"/>
          <w:sz w:val="20"/>
          <w:szCs w:val="20"/>
        </w:rPr>
        <w:t xml:space="preserve"> In the ordinary course of business, NCR may issue performance guarantees on behalf of its subsidiaries to certain of its customers and other parties. Some of those guarantees may be backed</w:t>
      </w:r>
      <w:r>
        <w:rPr>
          <w:rFonts w:eastAsia="Times New Roman"/>
          <w:color w:val="000000"/>
          <w:sz w:val="20"/>
          <w:szCs w:val="20"/>
        </w:rPr>
        <w:t xml:space="preserve"> by standby letters of credit, surety bonds, or similar instruments. In general, under the guarantees, NCR would be obligated to perform, or cause performance, over the term of the underlying contract in the event of an unexcused, uncured breach by its sub</w:t>
      </w:r>
      <w:r>
        <w:rPr>
          <w:rFonts w:eastAsia="Times New Roman"/>
          <w:color w:val="000000"/>
          <w:sz w:val="20"/>
          <w:szCs w:val="20"/>
        </w:rPr>
        <w:t>sidiary, or some other specified triggering event, in each case as defined by the applicable guarantee. NCR believes the likelihood of having to perform under any such guarantee is remote. As of September 30, 2022 and December 31, 2021, NCR had no material</w:t>
      </w:r>
      <w:r>
        <w:rPr>
          <w:rFonts w:eastAsia="Times New Roman"/>
          <w:color w:val="000000"/>
          <w:sz w:val="20"/>
          <w:szCs w:val="20"/>
        </w:rPr>
        <w:t xml:space="preserve"> obligations related to such guarantees, and therefore its Condensed Consolidated Financial Statements do not have any associated liability balance.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NCR provides its customers a standard manufacturer’s warranty and records, at the time of the sale, a cor</w:t>
      </w:r>
      <w:r>
        <w:rPr>
          <w:rFonts w:eastAsia="Times New Roman"/>
          <w:color w:val="000000"/>
          <w:sz w:val="20"/>
          <w:szCs w:val="20"/>
        </w:rPr>
        <w:t>responding estimated liability for potential warranty costs. Estimated future obligations due to warranty claims are based upon historical factors, such as labor rates, average repair time, travel time, number of service calls per machine and cost of repla</w:t>
      </w:r>
      <w:r>
        <w:rPr>
          <w:rFonts w:eastAsia="Times New Roman"/>
          <w:color w:val="000000"/>
          <w:sz w:val="20"/>
          <w:szCs w:val="20"/>
        </w:rPr>
        <w:t>cement parts. When a sale is consummated, the total customer revenue is recognized, provided that all revenue recognition criteria are otherwise satisfied, and the associated warranty liability is recorded using pre-established warranty percentages for the</w:t>
      </w:r>
      <w:r>
        <w:rPr>
          <w:rFonts w:eastAsia="Times New Roman"/>
          <w:color w:val="000000"/>
          <w:sz w:val="20"/>
          <w:szCs w:val="20"/>
        </w:rPr>
        <w:t xml:space="preserve"> respective product classes. Warranty reserve liabilities are presented in Other current liabilities and Other liabilities in the Condensed Consolidated Balance Sheets.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From time to time, product design or quality corrections are accomplished through mod</w:t>
      </w:r>
      <w:r>
        <w:rPr>
          <w:rFonts w:eastAsia="Times New Roman"/>
          <w:color w:val="000000"/>
          <w:sz w:val="20"/>
          <w:szCs w:val="20"/>
        </w:rPr>
        <w:t>ification programs. When identified, associated costs of labor and parts for such programs are estimated and accrued as part of the warranty reserve.</w:t>
      </w:r>
    </w:p>
    <w:p w:rsidR="00000000" w:rsidRDefault="008214AA">
      <w:pPr>
        <w:jc w:val="both"/>
        <w:rPr>
          <w:rFonts w:eastAsia="Times New Roman"/>
        </w:rPr>
      </w:pPr>
    </w:p>
    <w:p w:rsidR="00000000" w:rsidRDefault="008214AA">
      <w:pPr>
        <w:divId w:val="2139296589"/>
        <w:rPr>
          <w:rFonts w:eastAsia="Times New Roman"/>
        </w:rPr>
      </w:pPr>
      <w:r>
        <w:rPr>
          <w:rFonts w:eastAsia="Times New Roman"/>
          <w:color w:val="000000"/>
          <w:sz w:val="20"/>
          <w:szCs w:val="20"/>
        </w:rPr>
        <w:t>The Company recorded the activity related to the warranty reserve for the nine months ended September 30</w:t>
      </w:r>
      <w:r>
        <w:rPr>
          <w:rFonts w:eastAsia="Times New Roman"/>
          <w:color w:val="000000"/>
          <w:sz w:val="20"/>
          <w:szCs w:val="20"/>
        </w:rPr>
        <w:t>, 2022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757"/>
        <w:gridCol w:w="37"/>
        <w:gridCol w:w="120"/>
        <w:gridCol w:w="1031"/>
        <w:gridCol w:w="36"/>
        <w:gridCol w:w="36"/>
        <w:gridCol w:w="36"/>
        <w:gridCol w:w="36"/>
        <w:gridCol w:w="120"/>
        <w:gridCol w:w="996"/>
        <w:gridCol w:w="36"/>
      </w:tblGrid>
      <w:tr w:rsidR="00000000">
        <w:trPr>
          <w:divId w:val="1013990857"/>
          <w:jc w:val="center"/>
        </w:trPr>
        <w:tc>
          <w:tcPr>
            <w:tcW w:w="50" w:type="pct"/>
            <w:vAlign w:val="center"/>
            <w:hideMark/>
          </w:tcPr>
          <w:p w:rsidR="00000000" w:rsidRDefault="008214AA">
            <w:pPr>
              <w:rPr>
                <w:rFonts w:eastAsia="Times New Roman"/>
              </w:rPr>
            </w:pPr>
          </w:p>
        </w:tc>
        <w:tc>
          <w:tcPr>
            <w:tcW w:w="350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4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4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013990857"/>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1013990857"/>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Warranty reserve liability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013990857"/>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Beginning balance as of January 1</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13990857"/>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Accruals for warranties issued</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13990857"/>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Settlements (in cash or in kind)</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013990857"/>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 xml:space="preserve">Ending balance as of September 30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divId w:val="1312756955"/>
        <w:rPr>
          <w:rFonts w:eastAsia="Times New Roman"/>
        </w:rPr>
      </w:pPr>
      <w:r>
        <w:rPr>
          <w:rFonts w:eastAsia="Times New Roman"/>
          <w:color w:val="000000"/>
          <w:sz w:val="16"/>
          <w:szCs w:val="16"/>
        </w:rPr>
        <w:t> </w:t>
      </w:r>
    </w:p>
    <w:p w:rsidR="00000000" w:rsidRDefault="008214AA">
      <w:pPr>
        <w:jc w:val="both"/>
        <w:rPr>
          <w:rFonts w:eastAsia="Times New Roman"/>
        </w:rPr>
      </w:pPr>
      <w:r>
        <w:rPr>
          <w:rFonts w:eastAsia="Times New Roman"/>
          <w:color w:val="000000"/>
          <w:sz w:val="20"/>
          <w:szCs w:val="20"/>
        </w:rPr>
        <w:t>In addition, NCR provides its customers with certain indemnification rights. In general, NCR agrees to indemnify the customer if a third-party asserts patent or other infringement on the part of its customers for its use of the Company’s products subject t</w:t>
      </w:r>
      <w:r>
        <w:rPr>
          <w:rFonts w:eastAsia="Times New Roman"/>
          <w:color w:val="000000"/>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eastAsia="Times New Roman"/>
          <w:color w:val="000000"/>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eastAsia="Times New Roman"/>
          <w:color w:val="000000"/>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eastAsia="Times New Roman"/>
          <w:color w:val="000000"/>
          <w:sz w:val="20"/>
          <w:szCs w:val="20"/>
        </w:rPr>
        <w:t>torically, payments made by the Company under these types of agreements have not had a material effect on the Company’s condensed consolidated financial condition, results of operations or cash flows.</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Purchase Commitments</w:t>
      </w:r>
      <w:r>
        <w:rPr>
          <w:rFonts w:eastAsia="Times New Roman"/>
          <w:color w:val="000000"/>
          <w:sz w:val="20"/>
          <w:szCs w:val="20"/>
        </w:rPr>
        <w:t xml:space="preserve"> </w:t>
      </w:r>
      <w:r>
        <w:rPr>
          <w:rFonts w:eastAsia="Times New Roman"/>
          <w:color w:val="000000"/>
          <w:sz w:val="20"/>
          <w:szCs w:val="20"/>
        </w:rPr>
        <w:t>The Company has purchase commitments for materials, supplies, services, and property, plant and equipment as part of the normal course of business. This includes a long-term service agreement with Accenture, under which many of NCR's key transaction proces</w:t>
      </w:r>
      <w:r>
        <w:rPr>
          <w:rFonts w:eastAsia="Times New Roman"/>
          <w:color w:val="000000"/>
          <w:sz w:val="20"/>
          <w:szCs w:val="20"/>
        </w:rPr>
        <w:t xml:space="preserve">sing activities and functions are performed. </w:t>
      </w:r>
    </w:p>
    <w:p w:rsidR="00000000" w:rsidRDefault="008214AA">
      <w:pPr>
        <w:jc w:val="both"/>
        <w:rPr>
          <w:rFonts w:eastAsia="Times New Roman"/>
        </w:rPr>
      </w:pPr>
    </w:p>
    <w:p w:rsidR="00000000" w:rsidRDefault="008214AA">
      <w:pPr>
        <w:divId w:val="550270813"/>
        <w:rPr>
          <w:rFonts w:eastAsia="Times New Roman"/>
        </w:rPr>
      </w:pPr>
      <w:r>
        <w:rPr>
          <w:rFonts w:eastAsia="Times New Roman"/>
          <w:b/>
          <w:bCs/>
          <w:color w:val="54B948"/>
          <w:sz w:val="20"/>
          <w:szCs w:val="20"/>
        </w:rPr>
        <w:t>11. SERIES A CONVERTIBLE PREFERRED STOCK</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Holders of Series A Convertible Preferred Stock are entitled to a cumulative dividend at the rate of 5.5% per annum, payable quarterly in arrears. Beginning in the f</w:t>
      </w:r>
      <w:r>
        <w:rPr>
          <w:rFonts w:eastAsia="Times New Roman"/>
          <w:color w:val="000000"/>
          <w:sz w:val="20"/>
          <w:szCs w:val="20"/>
        </w:rPr>
        <w:t>irst quarter of 2020, dividends are payable in cash or in-kind at the option of the Company. If the Company does not declare and pay a dividend, the dividend rate will increase to 8.0% per annum until all accrued but unpaid dividends have been paid in full</w:t>
      </w:r>
      <w:r>
        <w:rPr>
          <w:rFonts w:eastAsia="Times New Roman"/>
          <w:color w:val="000000"/>
          <w:sz w:val="20"/>
          <w:szCs w:val="20"/>
        </w:rPr>
        <w:t>.</w:t>
      </w:r>
      <w:r>
        <w:rPr>
          <w:rFonts w:eastAsia="Times New Roman"/>
          <w:color w:val="000000"/>
          <w:sz w:val="20"/>
          <w:szCs w:val="20"/>
          <w:shd w:val="clear" w:color="auto" w:fill="FFFFFF"/>
        </w:rPr>
        <w:t xml:space="preserve"> During the three months ended September 30, 2022 and 2021, the Company paid cash dividends of </w:t>
      </w:r>
      <w:r>
        <w:rPr>
          <w:rFonts w:eastAsia="Times New Roman"/>
          <w:color w:val="000000"/>
          <w:sz w:val="20"/>
          <w:szCs w:val="20"/>
        </w:rPr>
        <w:t xml:space="preserve">$3 million. During the nine months ended </w:t>
      </w:r>
      <w:r>
        <w:rPr>
          <w:rFonts w:eastAsia="Times New Roman"/>
          <w:color w:val="000000"/>
          <w:sz w:val="20"/>
          <w:szCs w:val="20"/>
          <w:shd w:val="clear" w:color="auto" w:fill="FFFFFF"/>
        </w:rPr>
        <w:t>September 30, 2022 and 2021, the Company paid cash dividends of $11 million.</w:t>
      </w:r>
    </w:p>
    <w:p w:rsidR="00000000" w:rsidRDefault="008214AA">
      <w:pPr>
        <w:jc w:val="both"/>
        <w:rPr>
          <w:rFonts w:eastAsia="Times New Roman"/>
        </w:rPr>
      </w:pPr>
    </w:p>
    <w:p w:rsidR="00000000" w:rsidRDefault="008214AA">
      <w:pPr>
        <w:jc w:val="center"/>
        <w:divId w:val="1682007268"/>
        <w:rPr>
          <w:rFonts w:eastAsia="Times New Roman"/>
        </w:rPr>
      </w:pPr>
      <w:r>
        <w:rPr>
          <w:rFonts w:eastAsia="Times New Roman"/>
          <w:color w:val="000000"/>
          <w:sz w:val="20"/>
          <w:szCs w:val="20"/>
        </w:rPr>
        <w:t>28</w:t>
      </w:r>
    </w:p>
    <w:p w:rsidR="00000000" w:rsidRDefault="008214AA">
      <w:pPr>
        <w:rPr>
          <w:rFonts w:eastAsia="Times New Roman"/>
        </w:rPr>
      </w:pPr>
      <w:r>
        <w:rPr>
          <w:rFonts w:eastAsia="Times New Roman"/>
        </w:rPr>
        <w:pict>
          <v:rect id="_x0000_i1053" style="width:0;height:1.5pt" o:hralign="center" o:hrstd="t" o:hr="t" fillcolor="#a0a0a0" stroked="f"/>
        </w:pict>
      </w:r>
    </w:p>
    <w:p w:rsidR="00000000" w:rsidRDefault="008214AA">
      <w:pPr>
        <w:ind w:firstLine="720"/>
        <w:divId w:val="1758280623"/>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058432205"/>
        <w:rPr>
          <w:rFonts w:eastAsia="Times New Roman"/>
        </w:rPr>
      </w:pPr>
      <w:r>
        <w:rPr>
          <w:rFonts w:eastAsia="Times New Roman"/>
          <w:b/>
          <w:bCs/>
          <w:color w:val="000000"/>
          <w:sz w:val="20"/>
          <w:szCs w:val="20"/>
        </w:rPr>
        <w:t>NCR Corporation</w:t>
      </w:r>
    </w:p>
    <w:p w:rsidR="00000000" w:rsidRDefault="008214AA">
      <w:pPr>
        <w:jc w:val="center"/>
        <w:divId w:val="1058432205"/>
        <w:rPr>
          <w:rFonts w:eastAsia="Times New Roman"/>
        </w:rPr>
      </w:pPr>
      <w:r>
        <w:rPr>
          <w:rFonts w:eastAsia="Times New Roman"/>
          <w:b/>
          <w:bCs/>
          <w:color w:val="000000"/>
          <w:sz w:val="20"/>
          <w:szCs w:val="20"/>
        </w:rPr>
        <w:t>Notes to Condensed Consolidated Financial State</w:t>
      </w:r>
      <w:r>
        <w:rPr>
          <w:rFonts w:eastAsia="Times New Roman"/>
          <w:b/>
          <w:bCs/>
          <w:color w:val="000000"/>
          <w:sz w:val="20"/>
          <w:szCs w:val="20"/>
        </w:rPr>
        <w:t>ments (Unaudited)—(Continued)</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Series A Convertible Preferred Stock is convertible at the option of the holders at any time into shares of common stock at a conversion price of $30.00 per share, or a conversion rate of 33.333 shares of common stock pe</w:t>
      </w:r>
      <w:r>
        <w:rPr>
          <w:rFonts w:eastAsia="Times New Roman"/>
          <w:color w:val="000000"/>
          <w:sz w:val="20"/>
          <w:szCs w:val="20"/>
        </w:rPr>
        <w:t>r share of Series A Convertible Preferred Stock. As of September 30, 2022 and December 31, 2021, the maximum number of common shares that could be required to be issued upon conversion of the outstanding shares of Series A Convertible Preferred Stock was 9</w:t>
      </w:r>
      <w:r>
        <w:rPr>
          <w:rFonts w:eastAsia="Times New Roman"/>
          <w:color w:val="000000"/>
          <w:sz w:val="20"/>
          <w:szCs w:val="20"/>
        </w:rPr>
        <w:t xml:space="preserve">.2 million shares. </w:t>
      </w:r>
    </w:p>
    <w:p w:rsidR="00000000" w:rsidRDefault="008214AA">
      <w:pPr>
        <w:jc w:val="both"/>
        <w:rPr>
          <w:rFonts w:eastAsia="Times New Roman"/>
        </w:rPr>
      </w:pPr>
    </w:p>
    <w:p w:rsidR="00000000" w:rsidRDefault="008214AA">
      <w:pPr>
        <w:jc w:val="both"/>
        <w:rPr>
          <w:rFonts w:eastAsia="Times New Roman"/>
        </w:rPr>
      </w:pPr>
    </w:p>
    <w:p w:rsidR="00000000" w:rsidRDefault="008214AA">
      <w:pPr>
        <w:divId w:val="1075280650"/>
        <w:rPr>
          <w:rFonts w:eastAsia="Times New Roman"/>
        </w:rPr>
      </w:pPr>
      <w:r>
        <w:rPr>
          <w:rFonts w:eastAsia="Times New Roman"/>
          <w:b/>
          <w:bCs/>
          <w:color w:val="54B948"/>
          <w:sz w:val="20"/>
          <w:szCs w:val="20"/>
        </w:rPr>
        <w:t xml:space="preserve">12. EARNINGS PER SHARE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Basic earnings per share (“EPS”) is calculated by dividing net income or loss attributable to NCR, less any dividends (declared or cumulative undeclared), deemed dividends, accretion or decretion, redemptio</w:t>
      </w:r>
      <w:r>
        <w:rPr>
          <w:rFonts w:eastAsia="Times New Roman"/>
          <w:color w:val="000000"/>
          <w:sz w:val="20"/>
          <w:szCs w:val="20"/>
        </w:rPr>
        <w:t xml:space="preserve">n or induced conversion on our Series A Convertible Preferred Stock, by the weighted average number of shares outstanding during the period.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 computing diluted EPS, we evaluate and reflect the maximum potential dilution, for each issue or series of is</w:t>
      </w:r>
      <w:r>
        <w:rPr>
          <w:rFonts w:eastAsia="Times New Roman"/>
          <w:color w:val="000000"/>
          <w:sz w:val="20"/>
          <w:szCs w:val="20"/>
        </w:rPr>
        <w:t>sues of potential common shares in sequence from the most dilutive to the least dilutive. We adjust the numerator used in the basic EPS computation, subject to anti-dilution requirements, to add back the dividends (declared or cumulative undeclared) applic</w:t>
      </w:r>
      <w:r>
        <w:rPr>
          <w:rFonts w:eastAsia="Times New Roman"/>
          <w:color w:val="000000"/>
          <w:sz w:val="20"/>
          <w:szCs w:val="20"/>
        </w:rPr>
        <w:t xml:space="preserve">able to the Series A Convertible Preferred Stock. Such add-back would also include any adjustments to equity in the period to accrete the Series A Convertible Preferred Stock to its redemption price, or recorded upon a redemption or induced conversion. We </w:t>
      </w:r>
      <w:r>
        <w:rPr>
          <w:rFonts w:eastAsia="Times New Roman"/>
          <w:color w:val="000000"/>
          <w:sz w:val="20"/>
          <w:szCs w:val="20"/>
        </w:rPr>
        <w:t>adjust the denominator used in the basic EPS computation, subject to anti-dilution requirements, to include the dilution from potential shares resulting from the issuance of the Series A Convertible Preferred Stock, restricted stock units, and stock option</w:t>
      </w:r>
      <w:r>
        <w:rPr>
          <w:rFonts w:eastAsia="Times New Roman"/>
          <w:color w:val="000000"/>
          <w:sz w:val="20"/>
          <w:szCs w:val="20"/>
        </w:rPr>
        <w:t xml:space="preserve">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The holders of Series A Convertible Preferred Stock, unvested restricted stock units and stock options do not have non-forfeitable rights to common stock dividends or common stock dividend equivalents. Accordingly, the Series A Convertible Preferred </w:t>
      </w:r>
      <w:r>
        <w:rPr>
          <w:rFonts w:eastAsia="Times New Roman"/>
          <w:color w:val="000000"/>
          <w:sz w:val="20"/>
          <w:szCs w:val="20"/>
        </w:rPr>
        <w:t>Stock, unvested restricted stock units and stock options do not qualify as participating securities. See Note 8, “Stock Compensation Plans”, for share information on NCR’s stock compensation plans.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components of basic earnings per share are as follow</w:t>
      </w:r>
      <w:r>
        <w:rPr>
          <w:rFonts w:eastAsia="Times New Roman"/>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42"/>
        <w:gridCol w:w="3567"/>
        <w:gridCol w:w="41"/>
        <w:gridCol w:w="36"/>
        <w:gridCol w:w="36"/>
        <w:gridCol w:w="36"/>
        <w:gridCol w:w="120"/>
        <w:gridCol w:w="906"/>
        <w:gridCol w:w="36"/>
        <w:gridCol w:w="36"/>
        <w:gridCol w:w="36"/>
        <w:gridCol w:w="36"/>
        <w:gridCol w:w="120"/>
        <w:gridCol w:w="881"/>
        <w:gridCol w:w="36"/>
        <w:gridCol w:w="36"/>
        <w:gridCol w:w="36"/>
        <w:gridCol w:w="36"/>
        <w:gridCol w:w="120"/>
        <w:gridCol w:w="931"/>
        <w:gridCol w:w="36"/>
        <w:gridCol w:w="36"/>
        <w:gridCol w:w="36"/>
        <w:gridCol w:w="36"/>
        <w:gridCol w:w="120"/>
        <w:gridCol w:w="882"/>
        <w:gridCol w:w="36"/>
      </w:tblGrid>
      <w:tr w:rsidR="00000000">
        <w:trPr>
          <w:divId w:val="205676430"/>
        </w:trPr>
        <w:tc>
          <w:tcPr>
            <w:tcW w:w="50" w:type="pct"/>
            <w:vAlign w:val="center"/>
            <w:hideMark/>
          </w:tcPr>
          <w:p w:rsidR="00000000" w:rsidRDefault="008214AA">
            <w:pPr>
              <w:jc w:val="both"/>
              <w:rPr>
                <w:rFonts w:eastAsia="Times New Roman"/>
              </w:rPr>
            </w:pPr>
          </w:p>
        </w:tc>
        <w:tc>
          <w:tcPr>
            <w:tcW w:w="218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9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9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9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9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205676430"/>
          <w:trHeight w:val="340"/>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 except per share amounts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205676430"/>
          <w:trHeight w:val="340"/>
        </w:trPr>
        <w:tc>
          <w:tcPr>
            <w:tcW w:w="0" w:type="auto"/>
            <w:gridSpan w:val="3"/>
            <w:vMerge/>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205676430"/>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5676430"/>
        </w:trPr>
        <w:tc>
          <w:tcPr>
            <w:tcW w:w="0" w:type="auto"/>
            <w:gridSpan w:val="3"/>
            <w:shd w:val="clear" w:color="auto" w:fill="FFFFFF"/>
            <w:tcMar>
              <w:top w:w="30" w:type="dxa"/>
              <w:left w:w="245"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5676430"/>
        </w:trPr>
        <w:tc>
          <w:tcPr>
            <w:tcW w:w="0" w:type="auto"/>
            <w:gridSpan w:val="3"/>
            <w:shd w:val="clear" w:color="auto" w:fill="CCEEFF"/>
            <w:tcMar>
              <w:top w:w="30" w:type="dxa"/>
              <w:left w:w="245"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Dividends on Series A Convertible Preferred Stock</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5676430"/>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205676430"/>
        </w:trPr>
        <w:tc>
          <w:tcPr>
            <w:tcW w:w="0" w:type="auto"/>
            <w:gridSpan w:val="3"/>
            <w:shd w:val="clear" w:color="auto" w:fill="FFFF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b/>
                <w:bCs/>
                <w:color w:val="000000"/>
                <w:sz w:val="20"/>
                <w:szCs w:val="20"/>
              </w:rPr>
              <w:t>Income (loss) from continuing operations attributable to NCR common stockholders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5676430"/>
        </w:trPr>
        <w:tc>
          <w:tcPr>
            <w:tcW w:w="0" w:type="auto"/>
            <w:gridSpan w:val="3"/>
            <w:shd w:val="clear" w:color="auto" w:fill="CCEEFF"/>
            <w:tcMar>
              <w:top w:w="30" w:type="dxa"/>
              <w:left w:w="245"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Income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5676430"/>
        </w:trPr>
        <w:tc>
          <w:tcPr>
            <w:tcW w:w="0" w:type="auto"/>
            <w:gridSpan w:val="3"/>
            <w:shd w:val="clear" w:color="auto" w:fill="FFFF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b/>
                <w:bCs/>
                <w:color w:val="000000"/>
                <w:sz w:val="20"/>
                <w:szCs w:val="20"/>
              </w:rPr>
              <w:t>Net income (loss) attributable to NCR common stockholders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5676430"/>
          <w:trHeight w:val="300"/>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5676430"/>
        </w:trPr>
        <w:tc>
          <w:tcPr>
            <w:tcW w:w="0" w:type="auto"/>
            <w:gridSpan w:val="3"/>
            <w:shd w:val="clear" w:color="auto" w:fill="FFFF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5676430"/>
        </w:trPr>
        <w:tc>
          <w:tcPr>
            <w:tcW w:w="0" w:type="auto"/>
            <w:gridSpan w:val="3"/>
            <w:shd w:val="clear" w:color="auto" w:fill="CCEEFF"/>
            <w:tcMar>
              <w:top w:w="30" w:type="dxa"/>
              <w:left w:w="245"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Basic weighted average number of shares outstanding</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131.5 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130.8 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5676430"/>
          <w:trHeight w:val="300"/>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5676430"/>
        </w:trPr>
        <w:tc>
          <w:tcPr>
            <w:tcW w:w="0" w:type="auto"/>
            <w:gridSpan w:val="3"/>
            <w:shd w:val="clear" w:color="auto" w:fill="CCEEFF"/>
            <w:tcMar>
              <w:top w:w="30" w:type="dxa"/>
              <w:left w:w="20" w:type="dxa"/>
              <w:bottom w:w="30" w:type="dxa"/>
              <w:right w:w="20" w:type="dxa"/>
            </w:tcMar>
            <w:vAlign w:val="center"/>
            <w:hideMark/>
          </w:tcPr>
          <w:p w:rsidR="00000000" w:rsidRDefault="008214AA">
            <w:pPr>
              <w:spacing w:after="100"/>
              <w:rPr>
                <w:rFonts w:eastAsia="Times New Roman"/>
              </w:rPr>
            </w:pPr>
            <w:r>
              <w:rPr>
                <w:rFonts w:eastAsia="Times New Roman"/>
                <w:b/>
                <w:bCs/>
                <w:color w:val="000000"/>
                <w:sz w:val="20"/>
                <w:szCs w:val="20"/>
              </w:rPr>
              <w:t>Basic earnings per share: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5676430"/>
        </w:trPr>
        <w:tc>
          <w:tcPr>
            <w:tcW w:w="0" w:type="auto"/>
            <w:gridSpan w:val="3"/>
            <w:shd w:val="clear" w:color="auto" w:fill="FFFFFF"/>
            <w:tcMar>
              <w:top w:w="30" w:type="dxa"/>
              <w:left w:w="38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0.16 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5676430"/>
        </w:trPr>
        <w:tc>
          <w:tcPr>
            <w:tcW w:w="0" w:type="auto"/>
            <w:gridSpan w:val="3"/>
            <w:shd w:val="clear" w:color="auto" w:fill="CCEEFF"/>
            <w:tcMar>
              <w:top w:w="30" w:type="dxa"/>
              <w:left w:w="38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5676430"/>
        </w:trPr>
        <w:tc>
          <w:tcPr>
            <w:tcW w:w="0" w:type="auto"/>
            <w:gridSpan w:val="3"/>
            <w:shd w:val="clear" w:color="auto" w:fill="FFFFFF"/>
            <w:tcMar>
              <w:top w:w="30" w:type="dxa"/>
              <w:left w:w="380" w:type="dxa"/>
              <w:bottom w:w="30" w:type="dxa"/>
              <w:right w:w="20" w:type="dxa"/>
            </w:tcMar>
            <w:vAlign w:val="center"/>
            <w:hideMark/>
          </w:tcPr>
          <w:p w:rsidR="00000000" w:rsidRDefault="008214AA">
            <w:pPr>
              <w:spacing w:after="100"/>
              <w:rPr>
                <w:rFonts w:eastAsia="Times New Roman"/>
              </w:rPr>
            </w:pPr>
            <w:r>
              <w:rPr>
                <w:rFonts w:eastAsia="Times New Roman"/>
                <w:color w:val="000000"/>
                <w:sz w:val="20"/>
                <w:szCs w:val="20"/>
              </w:rPr>
              <w:t>Total basic earnings per share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divId w:val="2085763647"/>
        <w:rPr>
          <w:rFonts w:eastAsia="Times New Roman"/>
        </w:rPr>
      </w:pPr>
      <w:r>
        <w:rPr>
          <w:rFonts w:eastAsia="Times New Roman"/>
          <w:color w:val="000000"/>
          <w:sz w:val="20"/>
          <w:szCs w:val="20"/>
        </w:rPr>
        <w:t>29</w:t>
      </w:r>
    </w:p>
    <w:p w:rsidR="00000000" w:rsidRDefault="008214AA">
      <w:pPr>
        <w:rPr>
          <w:rFonts w:eastAsia="Times New Roman"/>
        </w:rPr>
      </w:pPr>
      <w:r>
        <w:rPr>
          <w:rFonts w:eastAsia="Times New Roman"/>
        </w:rPr>
        <w:pict>
          <v:rect id="_x0000_i1054" style="width:0;height:1.5pt" o:hralign="center" o:hrstd="t" o:hr="t" fillcolor="#a0a0a0" stroked="f"/>
        </w:pict>
      </w:r>
    </w:p>
    <w:p w:rsidR="00000000" w:rsidRDefault="008214AA">
      <w:pPr>
        <w:ind w:firstLine="720"/>
        <w:divId w:val="572273789"/>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655450321"/>
        <w:rPr>
          <w:rFonts w:eastAsia="Times New Roman"/>
        </w:rPr>
      </w:pPr>
      <w:r>
        <w:rPr>
          <w:rFonts w:eastAsia="Times New Roman"/>
          <w:b/>
          <w:bCs/>
          <w:color w:val="000000"/>
          <w:sz w:val="20"/>
          <w:szCs w:val="20"/>
        </w:rPr>
        <w:t>NCR Corporation</w:t>
      </w:r>
    </w:p>
    <w:p w:rsidR="00000000" w:rsidRDefault="008214AA">
      <w:pPr>
        <w:jc w:val="center"/>
        <w:divId w:val="655450321"/>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components of diluted earnings per share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3546"/>
        <w:gridCol w:w="41"/>
        <w:gridCol w:w="120"/>
        <w:gridCol w:w="947"/>
        <w:gridCol w:w="36"/>
        <w:gridCol w:w="36"/>
        <w:gridCol w:w="36"/>
        <w:gridCol w:w="36"/>
        <w:gridCol w:w="120"/>
        <w:gridCol w:w="947"/>
        <w:gridCol w:w="36"/>
        <w:gridCol w:w="36"/>
        <w:gridCol w:w="36"/>
        <w:gridCol w:w="36"/>
        <w:gridCol w:w="120"/>
        <w:gridCol w:w="947"/>
        <w:gridCol w:w="36"/>
        <w:gridCol w:w="36"/>
        <w:gridCol w:w="36"/>
        <w:gridCol w:w="36"/>
        <w:gridCol w:w="120"/>
        <w:gridCol w:w="888"/>
        <w:gridCol w:w="36"/>
      </w:tblGrid>
      <w:tr w:rsidR="00000000">
        <w:trPr>
          <w:divId w:val="1341197954"/>
          <w:jc w:val="center"/>
        </w:trPr>
        <w:tc>
          <w:tcPr>
            <w:tcW w:w="50" w:type="pct"/>
            <w:vAlign w:val="center"/>
            <w:hideMark/>
          </w:tcPr>
          <w:p w:rsidR="00000000" w:rsidRDefault="008214AA">
            <w:pPr>
              <w:jc w:val="both"/>
              <w:rPr>
                <w:rFonts w:eastAsia="Times New Roman"/>
              </w:rPr>
            </w:pPr>
          </w:p>
        </w:tc>
        <w:tc>
          <w:tcPr>
            <w:tcW w:w="218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341197954"/>
          <w:trHeight w:val="420"/>
          <w:jc w:val="center"/>
        </w:trPr>
        <w:tc>
          <w:tcPr>
            <w:tcW w:w="0" w:type="auto"/>
            <w:gridSpan w:val="3"/>
            <w:vMerge w:val="restart"/>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 except per share amounts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1341197954"/>
          <w:trHeight w:val="220"/>
          <w:jc w:val="center"/>
        </w:trPr>
        <w:tc>
          <w:tcPr>
            <w:tcW w:w="0" w:type="auto"/>
            <w:gridSpan w:val="3"/>
            <w:vMerge/>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1341197954"/>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341197954"/>
          <w:jc w:val="center"/>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jc w:val="center"/>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20"/>
                <w:szCs w:val="20"/>
              </w:rPr>
              <w:t>Dividends on Series A Convertible Preferred Stock</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341197954"/>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jc w:val="center"/>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341197954"/>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ind w:hanging="270"/>
              <w:divId w:val="1306352829"/>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341197954"/>
          <w:jc w:val="center"/>
        </w:trPr>
        <w:tc>
          <w:tcPr>
            <w:tcW w:w="0" w:type="auto"/>
            <w:gridSpan w:val="3"/>
            <w:shd w:val="clear" w:color="auto" w:fill="CCEE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20"/>
                <w:szCs w:val="20"/>
              </w:rPr>
              <w:t>Basic weighted average number of shares outstanding</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131.5 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130.8 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341197954"/>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341197954"/>
          <w:jc w:val="center"/>
        </w:trPr>
        <w:tc>
          <w:tcPr>
            <w:tcW w:w="0" w:type="auto"/>
            <w:gridSpan w:val="3"/>
            <w:shd w:val="clear" w:color="auto" w:fill="FFFFFF"/>
            <w:tcMar>
              <w:top w:w="30" w:type="dxa"/>
              <w:left w:w="245" w:type="dxa"/>
              <w:bottom w:w="30" w:type="dxa"/>
              <w:right w:w="20" w:type="dxa"/>
            </w:tcMar>
            <w:hideMark/>
          </w:tcPr>
          <w:p w:rsidR="00000000" w:rsidRDefault="008214AA">
            <w:pPr>
              <w:spacing w:after="100"/>
              <w:rPr>
                <w:rFonts w:eastAsia="Times New Roman"/>
              </w:rPr>
            </w:pPr>
            <w:r>
              <w:rPr>
                <w:rFonts w:eastAsia="Times New Roman"/>
                <w:color w:val="000000"/>
                <w:sz w:val="20"/>
                <w:szCs w:val="20"/>
              </w:rPr>
              <w:t>Dilutive effect of restricted stock units and stock options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Weighted average diluted shares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341197954"/>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Diluted earnings per share: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341197954"/>
          <w:jc w:val="center"/>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From continuing operations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jc w:val="center"/>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From 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1197954"/>
          <w:jc w:val="center"/>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Total diluted earnings per share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For the three months ended September 30, 2022, shares related to the as-if converted Series A Convertible Preferred Stock of 9.2 million were excluded from the dilute</w:t>
      </w:r>
      <w:r>
        <w:rPr>
          <w:rFonts w:eastAsia="Times New Roman"/>
          <w:color w:val="000000"/>
          <w:sz w:val="20"/>
          <w:szCs w:val="20"/>
        </w:rPr>
        <w:t>d share count because their effect would have been anti-dilutive. Additionally, weighted average restricted stock units and stock options of 9.0 million were excluded from the diluted share count because their effect would have been anti-dilutive.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For th</w:t>
      </w:r>
      <w:r>
        <w:rPr>
          <w:rFonts w:eastAsia="Times New Roman"/>
          <w:color w:val="000000"/>
          <w:sz w:val="20"/>
          <w:szCs w:val="20"/>
        </w:rPr>
        <w:t>e three months ended September 30, 2021, shares related to the as-if converted Series A Convertible Preferred Stock of 9.2 million were excluded from the diluted share count because their effect would have been anti-dilutive. For the three months ended Sep</w:t>
      </w:r>
      <w:r>
        <w:rPr>
          <w:rFonts w:eastAsia="Times New Roman"/>
          <w:color w:val="000000"/>
          <w:sz w:val="20"/>
          <w:szCs w:val="20"/>
        </w:rPr>
        <w:t>tember 30, 2021, weighted average restricted stock units and stock options of 0.1 million were excluded from the diluted share count because their effect would have been anti-dilutive.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For the nine months ended September 30, 2022, shares related to the a</w:t>
      </w:r>
      <w:r>
        <w:rPr>
          <w:rFonts w:eastAsia="Times New Roman"/>
          <w:color w:val="000000"/>
          <w:sz w:val="20"/>
          <w:szCs w:val="20"/>
        </w:rPr>
        <w:t xml:space="preserve">s-if converted Series A Convertible Preferred Stock of 9.2 million were excluded from the diluted share count because their effect would have been anti-dilutive. Additionally, for the nine months ended September 30, 2022, weighted average restricted stock </w:t>
      </w:r>
      <w:r>
        <w:rPr>
          <w:rFonts w:eastAsia="Times New Roman"/>
          <w:color w:val="000000"/>
          <w:sz w:val="20"/>
          <w:szCs w:val="20"/>
        </w:rPr>
        <w:t>units and options of 6.2 million were excluded from the diluted share count because their effect would have been anti-dilutive.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For the nine months ended September 30, 2021, shares related to the as-if converted Series A Convertible Preferred Stock of 9.</w:t>
      </w:r>
      <w:r>
        <w:rPr>
          <w:rFonts w:eastAsia="Times New Roman"/>
          <w:color w:val="000000"/>
          <w:sz w:val="20"/>
          <w:szCs w:val="20"/>
        </w:rPr>
        <w:t>2 million were excluded from the diluted share count because their effect would have been anti-dilutive. For the nine months ended September 30, 2021, weighted average restricted stock units and stock options of 4.7 million were excluded from the diluted s</w:t>
      </w:r>
      <w:r>
        <w:rPr>
          <w:rFonts w:eastAsia="Times New Roman"/>
          <w:color w:val="000000"/>
          <w:sz w:val="20"/>
          <w:szCs w:val="20"/>
        </w:rPr>
        <w:t>hare count because their effect would have been anti-dilutive.</w:t>
      </w:r>
    </w:p>
    <w:p w:rsidR="00000000" w:rsidRDefault="008214AA">
      <w:pPr>
        <w:divId w:val="799305811"/>
        <w:rPr>
          <w:rFonts w:eastAsia="Times New Roman"/>
        </w:rPr>
      </w:pPr>
    </w:p>
    <w:p w:rsidR="00000000" w:rsidRDefault="008214AA">
      <w:pPr>
        <w:jc w:val="both"/>
        <w:rPr>
          <w:rFonts w:eastAsia="Times New Roman"/>
        </w:rPr>
      </w:pPr>
    </w:p>
    <w:p w:rsidR="00000000" w:rsidRDefault="008214AA">
      <w:pPr>
        <w:jc w:val="center"/>
        <w:divId w:val="1189493664"/>
        <w:rPr>
          <w:rFonts w:eastAsia="Times New Roman"/>
        </w:rPr>
      </w:pPr>
      <w:r>
        <w:rPr>
          <w:rFonts w:eastAsia="Times New Roman"/>
          <w:color w:val="000000"/>
          <w:sz w:val="20"/>
          <w:szCs w:val="20"/>
        </w:rPr>
        <w:t>30</w:t>
      </w:r>
    </w:p>
    <w:p w:rsidR="00000000" w:rsidRDefault="008214AA">
      <w:pPr>
        <w:rPr>
          <w:rFonts w:eastAsia="Times New Roman"/>
        </w:rPr>
      </w:pPr>
      <w:r>
        <w:rPr>
          <w:rFonts w:eastAsia="Times New Roman"/>
        </w:rPr>
        <w:pict>
          <v:rect id="_x0000_i1055" style="width:0;height:1.5pt" o:hralign="center" o:hrstd="t" o:hr="t" fillcolor="#a0a0a0" stroked="f"/>
        </w:pict>
      </w:r>
    </w:p>
    <w:p w:rsidR="00000000" w:rsidRDefault="008214AA">
      <w:pPr>
        <w:ind w:firstLine="720"/>
        <w:divId w:val="1633169493"/>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991636146"/>
        <w:rPr>
          <w:rFonts w:eastAsia="Times New Roman"/>
        </w:rPr>
      </w:pPr>
      <w:r>
        <w:rPr>
          <w:rFonts w:eastAsia="Times New Roman"/>
          <w:b/>
          <w:bCs/>
          <w:color w:val="000000"/>
          <w:sz w:val="20"/>
          <w:szCs w:val="20"/>
        </w:rPr>
        <w:t>NCR Corporation</w:t>
      </w:r>
    </w:p>
    <w:p w:rsidR="00000000" w:rsidRDefault="008214AA">
      <w:pPr>
        <w:jc w:val="center"/>
        <w:divId w:val="991636146"/>
        <w:rPr>
          <w:rFonts w:eastAsia="Times New Roman"/>
        </w:rPr>
      </w:pPr>
      <w:r>
        <w:rPr>
          <w:rFonts w:eastAsia="Times New Roman"/>
          <w:b/>
          <w:bCs/>
          <w:color w:val="000000"/>
          <w:sz w:val="20"/>
          <w:szCs w:val="20"/>
        </w:rPr>
        <w:t>Notes to Condensed Consolidated Financial Statements (Unaudited)—(Continued)</w:t>
      </w:r>
    </w:p>
    <w:p w:rsidR="00000000" w:rsidRDefault="008214AA">
      <w:pPr>
        <w:divId w:val="78066366"/>
        <w:rPr>
          <w:rFonts w:eastAsia="Times New Roman"/>
        </w:rPr>
      </w:pPr>
      <w:r>
        <w:rPr>
          <w:rFonts w:eastAsia="Times New Roman"/>
          <w:b/>
          <w:bCs/>
          <w:color w:val="54B948"/>
          <w:sz w:val="20"/>
          <w:szCs w:val="20"/>
        </w:rPr>
        <w:t>13. DERIVATIVES AND HEDGING INSTRUMENTS</w:t>
      </w:r>
      <w:r>
        <w:rPr>
          <w:rFonts w:eastAsia="Times New Roman"/>
          <w:b/>
          <w:bCs/>
          <w:color w:val="000000"/>
          <w:sz w:val="20"/>
          <w:szCs w:val="20"/>
        </w:rPr>
        <w:t xml:space="preserve">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NCR is exposed to certain risks arising from both our business operations and economic conditions. We principally manage exposures to a wide variety of business and operational risk through management of core busi</w:t>
      </w:r>
      <w:r>
        <w:rPr>
          <w:rFonts w:eastAsia="Times New Roman"/>
          <w:color w:val="000000"/>
          <w:sz w:val="20"/>
          <w:szCs w:val="20"/>
        </w:rPr>
        <w:t xml:space="preserve">ness activities. We manage interest rate risk associated with our vault cash rental obligations and floating rate-debt by managing the amount, sources, and duration of debt funding and the use of derivative financial instruments. The Company uses interest </w:t>
      </w:r>
      <w:r>
        <w:rPr>
          <w:rFonts w:eastAsia="Times New Roman"/>
          <w:color w:val="000000"/>
          <w:sz w:val="20"/>
          <w:szCs w:val="20"/>
        </w:rPr>
        <w:t xml:space="preserve">rate cap agreements or interest rate swap contracts (“Interest Rate Derivatives”) to manage differences in the amount, timing and duration of known or expected cash payments related to our existing TLA Facility and vault cash agreements.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Further, a subs</w:t>
      </w:r>
      <w:r>
        <w:rPr>
          <w:rFonts w:eastAsia="Times New Roman"/>
          <w:color w:val="000000"/>
          <w:sz w:val="20"/>
          <w:szCs w:val="20"/>
        </w:rPr>
        <w:t>tantial portion of our operations and revenue occur outside the United States and, as such, NCR has exposure to approximately 45 functional currencies. Our results can be significantly impacted, both positively and negatively, by changes in foreign currenc</w:t>
      </w:r>
      <w:r>
        <w:rPr>
          <w:rFonts w:eastAsia="Times New Roman"/>
          <w:color w:val="000000"/>
          <w:sz w:val="20"/>
          <w:szCs w:val="20"/>
        </w:rPr>
        <w:t>y exchange rates. The Company seeks to mitigate such impact by hedging its foreign currency transaction exposure using foreign currency forward and option contracts. We do not enter into hedges for speculative purposes.</w:t>
      </w:r>
    </w:p>
    <w:p w:rsidR="00000000" w:rsidRDefault="008214AA">
      <w:pPr>
        <w:jc w:val="both"/>
        <w:rPr>
          <w:rFonts w:eastAsia="Times New Roman"/>
        </w:rPr>
      </w:pPr>
    </w:p>
    <w:p w:rsidR="00000000" w:rsidRDefault="008214AA">
      <w:pPr>
        <w:jc w:val="both"/>
        <w:rPr>
          <w:rFonts w:eastAsia="Times New Roman"/>
        </w:rPr>
      </w:pPr>
      <w:r>
        <w:rPr>
          <w:rFonts w:eastAsia="Times New Roman"/>
          <w:b/>
          <w:bCs/>
          <w:i/>
          <w:iCs/>
          <w:color w:val="000000"/>
          <w:sz w:val="20"/>
          <w:szCs w:val="20"/>
        </w:rPr>
        <w:t>Foreign Currency Exchange Risk</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w:t>
      </w:r>
      <w:r>
        <w:rPr>
          <w:rFonts w:eastAsia="Times New Roman"/>
          <w:color w:val="000000"/>
          <w:sz w:val="20"/>
          <w:szCs w:val="20"/>
        </w:rPr>
        <w:t>he accounting guidance for derivatives and hedging requires companies to recognize all derivative instruments as either assets or liabilities at fair value in the Condensed Consolidated Balance Sheets. The Company designates foreign exchange contracts as c</w:t>
      </w:r>
      <w:r>
        <w:rPr>
          <w:rFonts w:eastAsia="Times New Roman"/>
          <w:color w:val="000000"/>
          <w:sz w:val="20"/>
          <w:szCs w:val="20"/>
        </w:rPr>
        <w:t>ash flow hedges of forecasted transactions when they are determined to be highly effective at inception.</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Our risk management strategy includes hedging, on behalf of certain subsidiaries, a portion of our forecasted, non-functional currency denominated ca</w:t>
      </w:r>
      <w:r>
        <w:rPr>
          <w:rFonts w:eastAsia="Times New Roman"/>
          <w:color w:val="000000"/>
          <w:sz w:val="20"/>
          <w:szCs w:val="20"/>
        </w:rPr>
        <w:t>sh flows for a period of up to 15 months. As a result, some of the impact of currency fluctuations on nonfunctional currency denominated transactions (and hence on subsidiary operating income, as stated in the functional currency), is mitigated in the near</w:t>
      </w:r>
      <w:r>
        <w:rPr>
          <w:rFonts w:eastAsia="Times New Roman"/>
          <w:color w:val="000000"/>
          <w:sz w:val="20"/>
          <w:szCs w:val="20"/>
        </w:rPr>
        <w:t xml:space="preserve"> term. In the longer term (greater than 15 months), the subsidiaries are still subject to the effect of translating the functional currency results to United States Dollars. To manage our exposures and mitigate the impact of currency fluctuations on the op</w:t>
      </w:r>
      <w:r>
        <w:rPr>
          <w:rFonts w:eastAsia="Times New Roman"/>
          <w:color w:val="000000"/>
          <w:sz w:val="20"/>
          <w:szCs w:val="20"/>
        </w:rPr>
        <w:t>erations of our foreign subsidiaries, we hedge our main transactional exposures through the use of foreign exchange forward and option contracts. This is primarily done through the hedging of foreign currency denominated inter-company inventory purchases b</w:t>
      </w:r>
      <w:r>
        <w:rPr>
          <w:rFonts w:eastAsia="Times New Roman"/>
          <w:color w:val="000000"/>
          <w:sz w:val="20"/>
          <w:szCs w:val="20"/>
        </w:rPr>
        <w:t>y NCR’s marketing units and the foreign currency denominated inputs to our manufacturing units. If the hedge is designated as a highly effective cash flow hedge, the gains or losses are deferred into accumulated other comprehensive income (“AOCI”). The gai</w:t>
      </w:r>
      <w:r>
        <w:rPr>
          <w:rFonts w:eastAsia="Times New Roman"/>
          <w:color w:val="000000"/>
          <w:sz w:val="20"/>
          <w:szCs w:val="20"/>
        </w:rPr>
        <w:t>ns or losses from derivative contracts that are designated as highly effective cash flow hedges related to inventory purchases are recorded in cost of products when the inventory is sold to an unrelated third party. Otherwise, they are recorded in earnings</w:t>
      </w:r>
      <w:r>
        <w:rPr>
          <w:rFonts w:eastAsia="Times New Roman"/>
          <w:color w:val="000000"/>
          <w:sz w:val="20"/>
          <w:szCs w:val="20"/>
        </w:rPr>
        <w:t xml:space="preserve"> when the exchange rates change. As of September 30, 2022 and December 31, 2021, the balance in AOCI related to foreign exchange derivative transactions was zero.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We also utilize foreign exchange contracts to hedge our exposure of assets and liabilities</w:t>
      </w:r>
      <w:r>
        <w:rPr>
          <w:rFonts w:eastAsia="Times New Roman"/>
          <w:color w:val="000000"/>
          <w:sz w:val="20"/>
          <w:szCs w:val="20"/>
        </w:rPr>
        <w:t xml:space="preserve"> denominated in non-functional currencies. We recognize the gains and losses on these types of hedges in earnings as exchange rates change.</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 xml:space="preserve">Interest Rate Risk </w:t>
      </w:r>
      <w:r>
        <w:rPr>
          <w:rFonts w:eastAsia="Times New Roman"/>
          <w:color w:val="000000"/>
          <w:sz w:val="20"/>
          <w:szCs w:val="20"/>
        </w:rPr>
        <w:t>The Company designates Interest Rate Derivative contracts as cash flow hedges of forecasted tra</w:t>
      </w:r>
      <w:r>
        <w:rPr>
          <w:rFonts w:eastAsia="Times New Roman"/>
          <w:color w:val="000000"/>
          <w:sz w:val="20"/>
          <w:szCs w:val="20"/>
        </w:rPr>
        <w:t>nsactions when they are determined to be highly effective at inception.</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We utilize interest rate swap contracts or interest rate cap agreements to add stability to interest cost and to manage exposure to interest rate movements as part of our interest ra</w:t>
      </w:r>
      <w:r>
        <w:rPr>
          <w:rFonts w:eastAsia="Times New Roman"/>
          <w:color w:val="000000"/>
          <w:sz w:val="20"/>
          <w:szCs w:val="20"/>
        </w:rPr>
        <w:t xml:space="preserve">te risk management strategy. Payments and receipts related to Interest Rate Derivatives are included in cash flows from operating activities in the Condensed Consolidated Statements of Cash Flows.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 January 2022, the Company executed a $250 million not</w:t>
      </w:r>
      <w:r>
        <w:rPr>
          <w:rFonts w:eastAsia="Times New Roman"/>
          <w:color w:val="000000"/>
          <w:sz w:val="20"/>
          <w:szCs w:val="20"/>
        </w:rPr>
        <w:t>ional amount interest rate swap contract originally terminating on January 1, 2025. The interest rate swap contract had a fixed rate of 1.43% and was designated as a cash flow hedge of floating interest rate cost associated with the Company's U.S. Dollar v</w:t>
      </w:r>
      <w:r>
        <w:rPr>
          <w:rFonts w:eastAsia="Times New Roman"/>
          <w:color w:val="000000"/>
          <w:sz w:val="20"/>
          <w:szCs w:val="20"/>
        </w:rPr>
        <w:t>ault cash agreements.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In March 2022, the Company terminated the outstanding $2 billion notional amount interest rate cap agreements maturing in 2024 for proceeds of $64 million. The gains will be recognized ratably through July 1, 2024, corresponding to </w:t>
      </w:r>
      <w:r>
        <w:rPr>
          <w:rFonts w:eastAsia="Times New Roman"/>
          <w:color w:val="000000"/>
          <w:sz w:val="20"/>
          <w:szCs w:val="20"/>
        </w:rPr>
        <w:t>the term of the original interest rate cap agreements.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 March 2022, the Company executed $2.2 </w:t>
      </w:r>
      <w:r>
        <w:rPr>
          <w:rFonts w:eastAsia="Times New Roman"/>
          <w:color w:val="000000"/>
          <w:sz w:val="20"/>
          <w:szCs w:val="20"/>
        </w:rPr>
        <w:t>billion aggregate notional amount interest rate swap contracts that began April 1, 2022 and had an original termination date of April 1, 2025. These interest rate swap contracts had fixed rates ranging from 2.078% to 2.443%, and were designated as cash flo</w:t>
      </w:r>
      <w:r>
        <w:rPr>
          <w:rFonts w:eastAsia="Times New Roman"/>
          <w:color w:val="000000"/>
          <w:sz w:val="20"/>
          <w:szCs w:val="20"/>
        </w:rPr>
        <w:t xml:space="preserve">w hedges of the floating rate interest associated with the Company’s U.S. Dollar and U.K. Pound Sterling vault cash agreements and TLA Facility. </w:t>
      </w:r>
    </w:p>
    <w:p w:rsidR="00000000" w:rsidRDefault="008214AA">
      <w:pPr>
        <w:jc w:val="both"/>
        <w:rPr>
          <w:rFonts w:eastAsia="Times New Roman"/>
        </w:rPr>
      </w:pPr>
    </w:p>
    <w:p w:rsidR="00000000" w:rsidRDefault="008214AA">
      <w:pPr>
        <w:jc w:val="center"/>
        <w:divId w:val="846408608"/>
        <w:rPr>
          <w:rFonts w:eastAsia="Times New Roman"/>
        </w:rPr>
      </w:pPr>
      <w:r>
        <w:rPr>
          <w:rFonts w:eastAsia="Times New Roman"/>
          <w:color w:val="000000"/>
          <w:sz w:val="20"/>
          <w:szCs w:val="20"/>
        </w:rPr>
        <w:t>31</w:t>
      </w:r>
    </w:p>
    <w:p w:rsidR="00000000" w:rsidRDefault="008214AA">
      <w:pPr>
        <w:rPr>
          <w:rFonts w:eastAsia="Times New Roman"/>
        </w:rPr>
      </w:pPr>
      <w:r>
        <w:rPr>
          <w:rFonts w:eastAsia="Times New Roman"/>
        </w:rPr>
        <w:pict>
          <v:rect id="_x0000_i1056" style="width:0;height:1.5pt" o:hralign="center" o:hrstd="t" o:hr="t" fillcolor="#a0a0a0" stroked="f"/>
        </w:pict>
      </w:r>
    </w:p>
    <w:p w:rsidR="00000000" w:rsidRDefault="008214AA">
      <w:pPr>
        <w:ind w:firstLine="720"/>
        <w:divId w:val="1837765516"/>
        <w:rPr>
          <w:rFonts w:eastAsia="Times New Roman"/>
        </w:rPr>
      </w:pPr>
      <w:hyperlink w:anchor="if25b96f30cf14ee1a436e117fec2c043_7" w:history="1">
        <w:r>
          <w:rPr>
            <w:rStyle w:val="a3"/>
            <w:rFonts w:eastAsia="Times New Roman"/>
            <w:sz w:val="16"/>
            <w:szCs w:val="16"/>
          </w:rPr>
          <w:t>Table of C</w:t>
        </w:r>
        <w:r>
          <w:rPr>
            <w:rStyle w:val="a3"/>
            <w:rFonts w:eastAsia="Times New Roman"/>
            <w:sz w:val="16"/>
            <w:szCs w:val="16"/>
          </w:rPr>
          <w:t>ontent</w:t>
        </w:r>
      </w:hyperlink>
    </w:p>
    <w:p w:rsidR="00000000" w:rsidRDefault="008214AA">
      <w:pPr>
        <w:jc w:val="center"/>
        <w:divId w:val="25952602"/>
        <w:rPr>
          <w:rFonts w:eastAsia="Times New Roman"/>
        </w:rPr>
      </w:pPr>
      <w:r>
        <w:rPr>
          <w:rFonts w:eastAsia="Times New Roman"/>
          <w:b/>
          <w:bCs/>
          <w:color w:val="000000"/>
          <w:sz w:val="20"/>
          <w:szCs w:val="20"/>
        </w:rPr>
        <w:t>NCR Corporation</w:t>
      </w:r>
    </w:p>
    <w:p w:rsidR="00000000" w:rsidRDefault="008214AA">
      <w:pPr>
        <w:jc w:val="center"/>
        <w:divId w:val="25952602"/>
        <w:rPr>
          <w:rFonts w:eastAsia="Times New Roman"/>
        </w:rPr>
      </w:pPr>
      <w:r>
        <w:rPr>
          <w:rFonts w:eastAsia="Times New Roman"/>
          <w:b/>
          <w:bCs/>
          <w:color w:val="000000"/>
          <w:sz w:val="20"/>
          <w:szCs w:val="20"/>
        </w:rPr>
        <w:t>Notes to Condensed Consolidated Financial Statements (Unaudited)—(Continued)</w:t>
      </w:r>
    </w:p>
    <w:p w:rsidR="00000000" w:rsidRDefault="008214AA">
      <w:pPr>
        <w:jc w:val="both"/>
        <w:rPr>
          <w:rFonts w:eastAsia="Times New Roman"/>
        </w:rPr>
      </w:pPr>
      <w:r>
        <w:rPr>
          <w:rFonts w:eastAsia="Times New Roman"/>
          <w:color w:val="000000"/>
          <w:sz w:val="20"/>
          <w:szCs w:val="20"/>
        </w:rPr>
        <w:t>In June 2022, the Company terminated the outstanding $2.4 billion aggregate notional interest rate swap contracts maturing in 2025 for proceeds of $55 milli</w:t>
      </w:r>
      <w:r>
        <w:rPr>
          <w:rFonts w:eastAsia="Times New Roman"/>
          <w:color w:val="000000"/>
          <w:sz w:val="20"/>
          <w:szCs w:val="20"/>
        </w:rPr>
        <w:t>on. The gains will be recognized ratably primarily through April 1, 2025, corresponding to the term of the original interest rate swap agreements.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 June 2022, the Company executed $2.4 billion aggregate notional amount interest rate swap contracts effe</w:t>
      </w:r>
      <w:r>
        <w:rPr>
          <w:rFonts w:eastAsia="Times New Roman"/>
          <w:color w:val="000000"/>
          <w:sz w:val="20"/>
          <w:szCs w:val="20"/>
        </w:rPr>
        <w:t>ctive June 1, 2022 and terminating on April 1, 2025. These interest rate swap contracts have fixed rates ranging from 2.790% to 3.251%, and have been designated as cash flow hedges of the floating rate interest associated with the Company's U.S. Dollar and</w:t>
      </w:r>
      <w:r>
        <w:rPr>
          <w:rFonts w:eastAsia="Times New Roman"/>
          <w:color w:val="000000"/>
          <w:sz w:val="20"/>
          <w:szCs w:val="20"/>
        </w:rPr>
        <w:t xml:space="preserve"> U.K. Pound Sterling vault cash agreements.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At September 30, 2022, each of our outstanding Interest Rate Derivative agreements were determined to be highly effective. Amounts reported in Accumulated other comprehensive income related to these derivatives</w:t>
      </w:r>
      <w:r>
        <w:rPr>
          <w:rFonts w:eastAsia="Times New Roman"/>
          <w:color w:val="000000"/>
          <w:sz w:val="20"/>
          <w:szCs w:val="20"/>
        </w:rPr>
        <w:t xml:space="preserve"> will be reclassified to Cost of services as payments are made on the Company’s vault cash rental obligations. Unrealized gains on terminated interest rate swap and cap agreements reported in Accumulated other comprehensive income will be reclassified to I</w:t>
      </w:r>
      <w:r>
        <w:rPr>
          <w:rFonts w:eastAsia="Times New Roman"/>
          <w:color w:val="000000"/>
          <w:sz w:val="20"/>
          <w:szCs w:val="20"/>
        </w:rPr>
        <w:t xml:space="preserve">nterest expense and Cost of services ratably over terms corresponding to the original agreements, as described above. As of September 30, 2022 and December 31, 2021, the balance in AOCI related to Interest Rate Derivatives was $125 million and $8 million, </w:t>
      </w:r>
      <w:r>
        <w:rPr>
          <w:rFonts w:eastAsia="Times New Roman"/>
          <w:color w:val="000000"/>
          <w:sz w:val="20"/>
          <w:szCs w:val="20"/>
        </w:rPr>
        <w:t xml:space="preserve">respectively.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following tables provide information on the location and amounts of derivative fair values in the Condensed Consolidated Balance Sheets:</w:t>
      </w:r>
    </w:p>
    <w:tbl>
      <w:tblPr>
        <w:tblW w:w="4985" w:type="pct"/>
        <w:tblCellMar>
          <w:top w:w="15" w:type="dxa"/>
          <w:left w:w="15" w:type="dxa"/>
          <w:bottom w:w="15" w:type="dxa"/>
          <w:right w:w="15" w:type="dxa"/>
        </w:tblCellMar>
        <w:tblLook w:val="04A0" w:firstRow="1" w:lastRow="0" w:firstColumn="1" w:lastColumn="0" w:noHBand="0" w:noVBand="1"/>
      </w:tblPr>
      <w:tblGrid>
        <w:gridCol w:w="38"/>
        <w:gridCol w:w="2955"/>
        <w:gridCol w:w="36"/>
        <w:gridCol w:w="62"/>
        <w:gridCol w:w="1156"/>
        <w:gridCol w:w="36"/>
        <w:gridCol w:w="36"/>
        <w:gridCol w:w="36"/>
        <w:gridCol w:w="36"/>
        <w:gridCol w:w="120"/>
        <w:gridCol w:w="500"/>
        <w:gridCol w:w="36"/>
        <w:gridCol w:w="36"/>
        <w:gridCol w:w="36"/>
        <w:gridCol w:w="36"/>
        <w:gridCol w:w="121"/>
        <w:gridCol w:w="357"/>
        <w:gridCol w:w="36"/>
        <w:gridCol w:w="36"/>
        <w:gridCol w:w="36"/>
        <w:gridCol w:w="36"/>
        <w:gridCol w:w="62"/>
        <w:gridCol w:w="988"/>
        <w:gridCol w:w="36"/>
        <w:gridCol w:w="36"/>
        <w:gridCol w:w="36"/>
        <w:gridCol w:w="36"/>
        <w:gridCol w:w="121"/>
        <w:gridCol w:w="531"/>
        <w:gridCol w:w="36"/>
        <w:gridCol w:w="36"/>
        <w:gridCol w:w="36"/>
        <w:gridCol w:w="36"/>
        <w:gridCol w:w="121"/>
        <w:gridCol w:w="357"/>
        <w:gridCol w:w="36"/>
      </w:tblGrid>
      <w:tr w:rsidR="00000000">
        <w:trPr>
          <w:divId w:val="2032148583"/>
        </w:trPr>
        <w:tc>
          <w:tcPr>
            <w:tcW w:w="50" w:type="pct"/>
            <w:vAlign w:val="center"/>
            <w:hideMark/>
          </w:tcPr>
          <w:p w:rsidR="00000000" w:rsidRDefault="008214AA">
            <w:pPr>
              <w:jc w:val="both"/>
              <w:rPr>
                <w:rFonts w:eastAsia="Times New Roman"/>
              </w:rPr>
            </w:pPr>
          </w:p>
        </w:tc>
        <w:tc>
          <w:tcPr>
            <w:tcW w:w="18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5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3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5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30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3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2032148583"/>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Fair Values of Derivative Instruments</w:t>
            </w:r>
          </w:p>
        </w:tc>
      </w:tr>
      <w:tr w:rsidR="00000000">
        <w:trPr>
          <w:divId w:val="2032148583"/>
        </w:trPr>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 2022</w:t>
            </w:r>
          </w:p>
        </w:tc>
      </w:tr>
      <w:tr w:rsidR="00000000">
        <w:trPr>
          <w:divId w:val="2032148583"/>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divId w:val="1769886046"/>
              <w:rPr>
                <w:rFonts w:eastAsia="Times New Roman"/>
              </w:rPr>
            </w:pPr>
            <w:r>
              <w:rPr>
                <w:rFonts w:eastAsia="Times New Roman"/>
                <w:b/>
                <w:bCs/>
                <w:color w:val="000000"/>
                <w:sz w:val="16"/>
                <w:szCs w:val="16"/>
              </w:rPr>
              <w:t>Balance Sheet</w:t>
            </w:r>
          </w:p>
          <w:p w:rsidR="00000000" w:rsidRDefault="008214AA">
            <w:pPr>
              <w:spacing w:after="100"/>
              <w:jc w:val="center"/>
              <w:divId w:val="739137133"/>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divId w:val="1207183191"/>
              <w:rPr>
                <w:rFonts w:eastAsia="Times New Roman"/>
              </w:rPr>
            </w:pPr>
            <w:r>
              <w:rPr>
                <w:rFonts w:eastAsia="Times New Roman"/>
                <w:b/>
                <w:bCs/>
                <w:color w:val="000000"/>
                <w:sz w:val="16"/>
                <w:szCs w:val="16"/>
              </w:rPr>
              <w:t>Balance Sheet</w:t>
            </w:r>
          </w:p>
          <w:p w:rsidR="00000000" w:rsidRDefault="008214AA">
            <w:pPr>
              <w:spacing w:after="100"/>
              <w:jc w:val="center"/>
              <w:divId w:val="1369523323"/>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203214858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3214858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rate swap contracts</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 xml:space="preserve">Interest rate swap contracts </w:t>
            </w: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3214858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Foreign exchange contracts</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derivatives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Height w:val="280"/>
        </w:trPr>
        <w:tc>
          <w:tcPr>
            <w:tcW w:w="0" w:type="auto"/>
            <w:gridSpan w:val="3"/>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32148583"/>
          <w:trHeight w:val="24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32148583"/>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Fair Values of Derivative Instruments</w:t>
            </w:r>
          </w:p>
        </w:tc>
      </w:tr>
      <w:tr w:rsidR="00000000">
        <w:trPr>
          <w:divId w:val="2032148583"/>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December 31, 2021</w:t>
            </w:r>
          </w:p>
        </w:tc>
      </w:tr>
      <w:tr w:rsidR="00000000">
        <w:trPr>
          <w:divId w:val="2032148583"/>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divId w:val="1102068262"/>
              <w:rPr>
                <w:rFonts w:eastAsia="Times New Roman"/>
              </w:rPr>
            </w:pPr>
            <w:r>
              <w:rPr>
                <w:rFonts w:eastAsia="Times New Roman"/>
                <w:b/>
                <w:bCs/>
                <w:color w:val="000000"/>
                <w:sz w:val="16"/>
                <w:szCs w:val="16"/>
              </w:rPr>
              <w:t>Balance Sheet</w:t>
            </w:r>
          </w:p>
          <w:p w:rsidR="00000000" w:rsidRDefault="008214AA">
            <w:pPr>
              <w:spacing w:after="100"/>
              <w:jc w:val="center"/>
              <w:divId w:val="1265573681"/>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divId w:val="626856258"/>
              <w:rPr>
                <w:rFonts w:eastAsia="Times New Roman"/>
              </w:rPr>
            </w:pPr>
            <w:r>
              <w:rPr>
                <w:rFonts w:eastAsia="Times New Roman"/>
                <w:b/>
                <w:bCs/>
                <w:color w:val="000000"/>
                <w:sz w:val="16"/>
                <w:szCs w:val="16"/>
              </w:rPr>
              <w:t>Balance Sheet</w:t>
            </w:r>
          </w:p>
          <w:p w:rsidR="00000000" w:rsidRDefault="008214AA">
            <w:pPr>
              <w:spacing w:after="100"/>
              <w:jc w:val="center"/>
              <w:divId w:val="545796217"/>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203214858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3214858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rate cap contracts</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3214858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396 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32148583"/>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divId w:val="2032148583"/>
        <w:rPr>
          <w:rFonts w:eastAsia="Times New Roman"/>
        </w:rPr>
      </w:pPr>
      <w:r>
        <w:rPr>
          <w:rFonts w:eastAsia="Times New Roman"/>
          <w:color w:val="000000"/>
          <w:sz w:val="20"/>
          <w:szCs w:val="20"/>
        </w:rPr>
        <w:t>    </w:t>
      </w:r>
    </w:p>
    <w:p w:rsidR="00000000" w:rsidRDefault="008214AA">
      <w:pPr>
        <w:divId w:val="249853551"/>
        <w:rPr>
          <w:rFonts w:eastAsia="Times New Roman"/>
        </w:rPr>
      </w:pPr>
    </w:p>
    <w:p w:rsidR="00000000" w:rsidRDefault="008214AA">
      <w:pPr>
        <w:jc w:val="center"/>
        <w:divId w:val="745686410"/>
        <w:rPr>
          <w:rFonts w:eastAsia="Times New Roman"/>
        </w:rPr>
      </w:pPr>
      <w:r>
        <w:rPr>
          <w:rFonts w:eastAsia="Times New Roman"/>
          <w:color w:val="000000"/>
          <w:sz w:val="20"/>
          <w:szCs w:val="20"/>
        </w:rPr>
        <w:t>32</w:t>
      </w:r>
    </w:p>
    <w:p w:rsidR="00000000" w:rsidRDefault="008214AA">
      <w:pPr>
        <w:rPr>
          <w:rFonts w:eastAsia="Times New Roman"/>
        </w:rPr>
      </w:pPr>
      <w:r>
        <w:rPr>
          <w:rFonts w:eastAsia="Times New Roman"/>
        </w:rPr>
        <w:pict>
          <v:rect id="_x0000_i1057" style="width:0;height:1.5pt" o:hralign="center" o:hrstd="t" o:hr="t" fillcolor="#a0a0a0" stroked="f"/>
        </w:pict>
      </w:r>
    </w:p>
    <w:p w:rsidR="00000000" w:rsidRDefault="008214AA">
      <w:pPr>
        <w:ind w:firstLine="720"/>
        <w:divId w:val="712384905"/>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340591811"/>
        <w:rPr>
          <w:rFonts w:eastAsia="Times New Roman"/>
        </w:rPr>
      </w:pPr>
      <w:r>
        <w:rPr>
          <w:rFonts w:eastAsia="Times New Roman"/>
          <w:b/>
          <w:bCs/>
          <w:color w:val="000000"/>
          <w:sz w:val="20"/>
          <w:szCs w:val="20"/>
        </w:rPr>
        <w:t>NCR Corporation</w:t>
      </w:r>
    </w:p>
    <w:p w:rsidR="00000000" w:rsidRDefault="008214AA">
      <w:pPr>
        <w:jc w:val="center"/>
        <w:divId w:val="340591811"/>
        <w:rPr>
          <w:rFonts w:eastAsia="Times New Roman"/>
        </w:rPr>
      </w:pPr>
      <w:r>
        <w:rPr>
          <w:rFonts w:eastAsia="Times New Roman"/>
          <w:b/>
          <w:bCs/>
          <w:color w:val="000000"/>
          <w:sz w:val="20"/>
          <w:szCs w:val="20"/>
        </w:rPr>
        <w:t>Notes to Condensed Consolidated Financial Statements (Unaudited)—(Continued)</w:t>
      </w:r>
    </w:p>
    <w:p w:rsidR="00000000" w:rsidRDefault="008214AA">
      <w:pPr>
        <w:divId w:val="691342382"/>
        <w:rPr>
          <w:rFonts w:eastAsia="Times New Roman"/>
        </w:rPr>
      </w:pPr>
    </w:p>
    <w:p w:rsidR="00000000" w:rsidRDefault="008214AA">
      <w:pPr>
        <w:divId w:val="1360545520"/>
        <w:rPr>
          <w:rFonts w:eastAsia="Times New Roman"/>
        </w:rPr>
      </w:pPr>
      <w:r>
        <w:rPr>
          <w:rFonts w:eastAsia="Times New Roman"/>
          <w:color w:val="000000"/>
          <w:sz w:val="20"/>
          <w:szCs w:val="20"/>
        </w:rPr>
        <w:t>The effects of derivative instruments on the Condensed Consolidated Statements of Operations and Condensed Consolidated Statements of Comprehensive Income for the three and nine</w:t>
      </w:r>
      <w:r>
        <w:rPr>
          <w:rFonts w:eastAsia="Times New Roman"/>
          <w:color w:val="000000"/>
          <w:sz w:val="20"/>
          <w:szCs w:val="20"/>
        </w:rPr>
        <w:t xml:space="preserve"> months ended September 30, 2022 and 2021 were as follows:</w:t>
      </w:r>
    </w:p>
    <w:tbl>
      <w:tblPr>
        <w:tblW w:w="4992" w:type="pct"/>
        <w:tblCellMar>
          <w:top w:w="15" w:type="dxa"/>
          <w:left w:w="15" w:type="dxa"/>
          <w:bottom w:w="15" w:type="dxa"/>
          <w:right w:w="15" w:type="dxa"/>
        </w:tblCellMar>
        <w:tblLook w:val="04A0" w:firstRow="1" w:lastRow="0" w:firstColumn="1" w:lastColumn="0" w:noHBand="0" w:noVBand="1"/>
      </w:tblPr>
      <w:tblGrid>
        <w:gridCol w:w="74"/>
        <w:gridCol w:w="1818"/>
        <w:gridCol w:w="36"/>
        <w:gridCol w:w="122"/>
        <w:gridCol w:w="883"/>
        <w:gridCol w:w="38"/>
        <w:gridCol w:w="37"/>
        <w:gridCol w:w="37"/>
        <w:gridCol w:w="36"/>
        <w:gridCol w:w="121"/>
        <w:gridCol w:w="843"/>
        <w:gridCol w:w="37"/>
        <w:gridCol w:w="36"/>
        <w:gridCol w:w="36"/>
        <w:gridCol w:w="36"/>
        <w:gridCol w:w="37"/>
        <w:gridCol w:w="2073"/>
        <w:gridCol w:w="36"/>
        <w:gridCol w:w="36"/>
        <w:gridCol w:w="36"/>
        <w:gridCol w:w="36"/>
        <w:gridCol w:w="122"/>
        <w:gridCol w:w="711"/>
        <w:gridCol w:w="38"/>
        <w:gridCol w:w="37"/>
        <w:gridCol w:w="36"/>
        <w:gridCol w:w="36"/>
        <w:gridCol w:w="121"/>
        <w:gridCol w:w="711"/>
        <w:gridCol w:w="37"/>
      </w:tblGrid>
      <w:tr w:rsidR="00000000">
        <w:trPr>
          <w:divId w:val="1531912869"/>
        </w:trPr>
        <w:tc>
          <w:tcPr>
            <w:tcW w:w="50" w:type="pct"/>
            <w:vAlign w:val="center"/>
            <w:hideMark/>
          </w:tcPr>
          <w:p w:rsidR="00000000" w:rsidRDefault="008214AA">
            <w:pPr>
              <w:rPr>
                <w:rFonts w:eastAsia="Times New Roman"/>
              </w:rPr>
            </w:pPr>
          </w:p>
        </w:tc>
        <w:tc>
          <w:tcPr>
            <w:tcW w:w="114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29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7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7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531912869"/>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Amount of Gain (Loss) Recognized in Other Comprehensive Income (OCI) on Derivative Contracts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Amount of (Gain) Loss Reclassified from AOCI into the Condensed Consolidated Statement of Operations</w:t>
            </w:r>
          </w:p>
        </w:tc>
      </w:tr>
      <w:tr w:rsidR="00000000">
        <w:trPr>
          <w:divId w:val="1531912869"/>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Derivatives in Cash 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three months ended 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three months ended September 30, 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Location of (Gain) Loss Reclassified from AOCI into the Condensed Consolidated Statement of Operations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three months ended 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three months ended September 30, 2021</w:t>
            </w:r>
          </w:p>
        </w:tc>
      </w:tr>
      <w:tr w:rsidR="00000000">
        <w:trPr>
          <w:divId w:val="1531912869"/>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rate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services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531912869"/>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rate contracts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531912869"/>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531912869"/>
          <w:trHeight w:val="30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531912869"/>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Amount of Gain (Loss) Recognized in Other Comprehensive Income (OCI) on Derivative</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Amount of (Gain) Loss Reclassified from AOCI into the Condensed Consolidated Statement of Operations</w:t>
            </w:r>
          </w:p>
        </w:tc>
      </w:tr>
      <w:tr w:rsidR="00000000">
        <w:trPr>
          <w:divId w:val="1531912869"/>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Derivatives in Cash 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nine months ended 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nine months ended September 30, 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Location of (Gain) Loss Reclassified from AOCI into the Condensed Consolidated Statement of Operations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nine months ended 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nine months ended September 30, 2021</w:t>
            </w:r>
          </w:p>
        </w:tc>
      </w:tr>
      <w:tr w:rsidR="00000000">
        <w:trPr>
          <w:divId w:val="1531912869"/>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rate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services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531912869"/>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rate contracts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531912869"/>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bl>
    <w:p w:rsidR="00000000" w:rsidRDefault="008214AA">
      <w:pPr>
        <w:jc w:val="both"/>
        <w:divId w:val="933511700"/>
        <w:rPr>
          <w:rFonts w:eastAsia="Times New Roman"/>
        </w:rPr>
      </w:pPr>
      <w:r>
        <w:rPr>
          <w:rFonts w:eastAsia="Times New Roman"/>
          <w:color w:val="000000"/>
          <w:sz w:val="20"/>
          <w:szCs w:val="20"/>
        </w:rPr>
        <w:t>As of September 30, 2022, the Company expects to reclassify $45 </w:t>
      </w:r>
      <w:r>
        <w:rPr>
          <w:rFonts w:eastAsia="Times New Roman"/>
          <w:color w:val="000000"/>
          <w:sz w:val="20"/>
          <w:szCs w:val="20"/>
        </w:rPr>
        <w:t xml:space="preserve">million of net derivative-related gains contained in Accumulated other comprehensive loss into earnings during the next twelve months. </w:t>
      </w:r>
    </w:p>
    <w:tbl>
      <w:tblPr>
        <w:tblW w:w="4919" w:type="pct"/>
        <w:jc w:val="center"/>
        <w:tblCellMar>
          <w:top w:w="15" w:type="dxa"/>
          <w:left w:w="15" w:type="dxa"/>
          <w:bottom w:w="15" w:type="dxa"/>
          <w:right w:w="15" w:type="dxa"/>
        </w:tblCellMar>
        <w:tblLook w:val="04A0" w:firstRow="1" w:lastRow="0" w:firstColumn="1" w:lastColumn="0" w:noHBand="0" w:noVBand="1"/>
      </w:tblPr>
      <w:tblGrid>
        <w:gridCol w:w="38"/>
        <w:gridCol w:w="2135"/>
        <w:gridCol w:w="36"/>
        <w:gridCol w:w="37"/>
        <w:gridCol w:w="2173"/>
        <w:gridCol w:w="36"/>
        <w:gridCol w:w="36"/>
        <w:gridCol w:w="36"/>
        <w:gridCol w:w="36"/>
        <w:gridCol w:w="120"/>
        <w:gridCol w:w="665"/>
        <w:gridCol w:w="36"/>
        <w:gridCol w:w="36"/>
        <w:gridCol w:w="36"/>
        <w:gridCol w:w="36"/>
        <w:gridCol w:w="120"/>
        <w:gridCol w:w="665"/>
        <w:gridCol w:w="36"/>
        <w:gridCol w:w="36"/>
        <w:gridCol w:w="36"/>
        <w:gridCol w:w="36"/>
        <w:gridCol w:w="120"/>
        <w:gridCol w:w="665"/>
        <w:gridCol w:w="36"/>
        <w:gridCol w:w="36"/>
        <w:gridCol w:w="36"/>
        <w:gridCol w:w="36"/>
        <w:gridCol w:w="120"/>
        <w:gridCol w:w="665"/>
        <w:gridCol w:w="36"/>
      </w:tblGrid>
      <w:tr w:rsidR="00000000">
        <w:trPr>
          <w:jc w:val="center"/>
        </w:trPr>
        <w:tc>
          <w:tcPr>
            <w:tcW w:w="50" w:type="pct"/>
            <w:vAlign w:val="center"/>
            <w:hideMark/>
          </w:tcPr>
          <w:p w:rsidR="00000000" w:rsidRDefault="008214AA">
            <w:pPr>
              <w:jc w:val="both"/>
              <w:rPr>
                <w:rFonts w:eastAsia="Times New Roman"/>
              </w:rPr>
            </w:pPr>
          </w:p>
        </w:tc>
        <w:tc>
          <w:tcPr>
            <w:tcW w:w="133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35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Amount of Gain (Loss) Recognized in the Condensed Consolidated Statement of Operations</w:t>
            </w:r>
          </w:p>
        </w:tc>
      </w:tr>
      <w:tr w:rsidR="00000000">
        <w:trPr>
          <w:jc w:val="center"/>
        </w:trPr>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Derivatives not Designated as Hedging Instruments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Location of Gain (Loss) Recognized in the Condensed Consolidated Statement of Operations</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bl>
    <w:p w:rsidR="00000000" w:rsidRDefault="008214AA">
      <w:pPr>
        <w:divId w:val="1054542735"/>
        <w:rPr>
          <w:rFonts w:eastAsia="Times New Roman"/>
        </w:rPr>
      </w:pPr>
    </w:p>
    <w:p w:rsidR="00000000" w:rsidRDefault="008214AA">
      <w:pPr>
        <w:jc w:val="both"/>
        <w:rPr>
          <w:rFonts w:eastAsia="Times New Roman"/>
        </w:rPr>
      </w:pPr>
      <w:r>
        <w:rPr>
          <w:rFonts w:eastAsia="Times New Roman"/>
          <w:color w:val="000000"/>
          <w:sz w:val="20"/>
          <w:szCs w:val="20"/>
        </w:rPr>
        <w:t>Refer to Note 14, “</w:t>
      </w:r>
      <w:r>
        <w:rPr>
          <w:rFonts w:eastAsia="Times New Roman"/>
          <w:color w:val="000000"/>
          <w:sz w:val="20"/>
          <w:szCs w:val="20"/>
        </w:rPr>
        <w:t>Fair Value of Assets and Liabilities”, for further information on derivative assets and liabilities recorded at fair value on a recurring basis.</w:t>
      </w:r>
    </w:p>
    <w:p w:rsidR="00000000" w:rsidRDefault="008214AA">
      <w:pPr>
        <w:jc w:val="both"/>
        <w:divId w:val="1992099945"/>
        <w:rPr>
          <w:rFonts w:eastAsia="Times New Roman"/>
        </w:rPr>
      </w:pPr>
      <w:r>
        <w:rPr>
          <w:rFonts w:eastAsia="Times New Roman"/>
          <w:b/>
          <w:bCs/>
          <w:i/>
          <w:iCs/>
          <w:color w:val="000000"/>
          <w:sz w:val="20"/>
          <w:szCs w:val="20"/>
        </w:rPr>
        <w:t>Concentration of Credit Risk</w:t>
      </w:r>
    </w:p>
    <w:p w:rsidR="00000000" w:rsidRDefault="008214AA">
      <w:pPr>
        <w:jc w:val="both"/>
        <w:divId w:val="613169921"/>
        <w:rPr>
          <w:rFonts w:eastAsia="Times New Roman"/>
        </w:rPr>
      </w:pPr>
      <w:r>
        <w:rPr>
          <w:rFonts w:eastAsia="Times New Roman"/>
          <w:color w:val="000000"/>
          <w:sz w:val="20"/>
          <w:szCs w:val="20"/>
        </w:rPr>
        <w:t>NCR is potentially subject to concentrations of credit risk on accounts receivable</w:t>
      </w:r>
      <w:r>
        <w:rPr>
          <w:rFonts w:eastAsia="Times New Roman"/>
          <w:color w:val="000000"/>
          <w:sz w:val="20"/>
          <w:szCs w:val="20"/>
        </w:rPr>
        <w:t xml:space="preserve"> and financial instruments such as hedging instruments and cash and cash equivalents. Credit risk includes the risk of nonperformance by counterparties. The maximum potential loss may exceed the amount recognized on the Condensed Consolidated Balance Sheet</w:t>
      </w:r>
      <w:r>
        <w:rPr>
          <w:rFonts w:eastAsia="Times New Roman"/>
          <w:color w:val="000000"/>
          <w:sz w:val="20"/>
          <w:szCs w:val="20"/>
        </w:rPr>
        <w:t>s. Exposure to credit risk is managed through credit approvals, credit limits, selecting major international financial institutions as counterparties to hedging transactions and monitoring procedures. NCR’s business often involves large transactions with c</w:t>
      </w:r>
      <w:r>
        <w:rPr>
          <w:rFonts w:eastAsia="Times New Roman"/>
          <w:color w:val="000000"/>
          <w:sz w:val="20"/>
          <w:szCs w:val="20"/>
        </w:rPr>
        <w:t>ustomers, and if one or more of those customers were to default on its obligations under applicable contractual arrangements, the Company could be exposed to potentially significant losses. However, management believes that the reserves for potential losse</w:t>
      </w:r>
      <w:r>
        <w:rPr>
          <w:rFonts w:eastAsia="Times New Roman"/>
          <w:color w:val="000000"/>
          <w:sz w:val="20"/>
          <w:szCs w:val="20"/>
        </w:rPr>
        <w:t>s are adequate. As of September 30, 2022 and December 31, 2021, we did not have any major concentration of credit risk related to financial instruments.</w:t>
      </w:r>
    </w:p>
    <w:p w:rsidR="00000000" w:rsidRDefault="008214AA">
      <w:pPr>
        <w:jc w:val="both"/>
        <w:divId w:val="544415030"/>
        <w:rPr>
          <w:rFonts w:eastAsia="Times New Roman"/>
        </w:rPr>
      </w:pPr>
    </w:p>
    <w:p w:rsidR="00000000" w:rsidRDefault="008214AA">
      <w:pPr>
        <w:jc w:val="center"/>
        <w:divId w:val="858737023"/>
        <w:rPr>
          <w:rFonts w:eastAsia="Times New Roman"/>
        </w:rPr>
      </w:pPr>
      <w:r>
        <w:rPr>
          <w:rFonts w:eastAsia="Times New Roman"/>
          <w:color w:val="000000"/>
          <w:sz w:val="20"/>
          <w:szCs w:val="20"/>
        </w:rPr>
        <w:t>33</w:t>
      </w:r>
    </w:p>
    <w:p w:rsidR="00000000" w:rsidRDefault="008214AA">
      <w:pPr>
        <w:rPr>
          <w:rFonts w:eastAsia="Times New Roman"/>
        </w:rPr>
      </w:pPr>
      <w:r>
        <w:rPr>
          <w:rFonts w:eastAsia="Times New Roman"/>
        </w:rPr>
        <w:pict>
          <v:rect id="_x0000_i1058" style="width:0;height:1.5pt" o:hralign="center" o:hrstd="t" o:hr="t" fillcolor="#a0a0a0" stroked="f"/>
        </w:pict>
      </w:r>
    </w:p>
    <w:p w:rsidR="00000000" w:rsidRDefault="008214AA">
      <w:pPr>
        <w:ind w:firstLine="720"/>
        <w:divId w:val="408892172"/>
        <w:rPr>
          <w:rFonts w:eastAsia="Times New Roman"/>
        </w:rPr>
      </w:pPr>
      <w:hyperlink w:anchor="if25b96f30cf14ee1a436e117fec2c043_7" w:history="1">
        <w:r>
          <w:rPr>
            <w:rStyle w:val="a3"/>
            <w:rFonts w:eastAsia="Times New Roman"/>
            <w:sz w:val="16"/>
            <w:szCs w:val="16"/>
          </w:rPr>
          <w:t>Tabl</w:t>
        </w:r>
        <w:r>
          <w:rPr>
            <w:rStyle w:val="a3"/>
            <w:rFonts w:eastAsia="Times New Roman"/>
            <w:sz w:val="16"/>
            <w:szCs w:val="16"/>
          </w:rPr>
          <w:t>e of Content</w:t>
        </w:r>
      </w:hyperlink>
    </w:p>
    <w:p w:rsidR="00000000" w:rsidRDefault="008214AA">
      <w:pPr>
        <w:jc w:val="center"/>
        <w:divId w:val="1789008934"/>
        <w:rPr>
          <w:rFonts w:eastAsia="Times New Roman"/>
        </w:rPr>
      </w:pPr>
      <w:r>
        <w:rPr>
          <w:rFonts w:eastAsia="Times New Roman"/>
          <w:b/>
          <w:bCs/>
          <w:color w:val="000000"/>
          <w:sz w:val="20"/>
          <w:szCs w:val="20"/>
        </w:rPr>
        <w:t>NCR Corporation</w:t>
      </w:r>
    </w:p>
    <w:p w:rsidR="00000000" w:rsidRDefault="008214AA">
      <w:pPr>
        <w:jc w:val="center"/>
        <w:divId w:val="1789008934"/>
        <w:rPr>
          <w:rFonts w:eastAsia="Times New Roman"/>
        </w:rPr>
      </w:pPr>
      <w:r>
        <w:rPr>
          <w:rFonts w:eastAsia="Times New Roman"/>
          <w:b/>
          <w:bCs/>
          <w:color w:val="000000"/>
          <w:sz w:val="20"/>
          <w:szCs w:val="20"/>
        </w:rPr>
        <w:t>Notes to Condensed Consolidated Financial Statements (Unaudited)—(Continued)</w:t>
      </w:r>
    </w:p>
    <w:p w:rsidR="00000000" w:rsidRDefault="008214AA">
      <w:pPr>
        <w:divId w:val="1943761208"/>
        <w:rPr>
          <w:rFonts w:eastAsia="Times New Roman"/>
        </w:rPr>
      </w:pPr>
      <w:r>
        <w:rPr>
          <w:rFonts w:eastAsia="Times New Roman"/>
          <w:b/>
          <w:bCs/>
          <w:color w:val="54B948"/>
          <w:sz w:val="20"/>
          <w:szCs w:val="20"/>
        </w:rPr>
        <w:t>14. FAIR VALUE OF ASSETS AND LIABILITIES</w:t>
      </w:r>
      <w:r>
        <w:rPr>
          <w:rFonts w:eastAsia="Times New Roman"/>
          <w:b/>
          <w:bCs/>
          <w:color w:val="000000"/>
          <w:sz w:val="20"/>
          <w:szCs w:val="20"/>
        </w:rPr>
        <w:t xml:space="preserve"> </w:t>
      </w:r>
    </w:p>
    <w:p w:rsidR="00000000" w:rsidRDefault="008214AA">
      <w:pPr>
        <w:jc w:val="both"/>
        <w:divId w:val="603660365"/>
        <w:rPr>
          <w:rFonts w:eastAsia="Times New Roman"/>
        </w:rPr>
      </w:pPr>
      <w:r>
        <w:rPr>
          <w:rFonts w:eastAsia="Times New Roman"/>
          <w:b/>
          <w:bCs/>
          <w:i/>
          <w:iCs/>
          <w:color w:val="000000"/>
          <w:sz w:val="20"/>
          <w:szCs w:val="20"/>
        </w:rPr>
        <w:t>Assets and Liabilities Measured at Fair Value on a Recurring Basis</w:t>
      </w:r>
    </w:p>
    <w:p w:rsidR="00000000" w:rsidRDefault="008214AA">
      <w:pPr>
        <w:jc w:val="both"/>
        <w:divId w:val="1058823271"/>
        <w:rPr>
          <w:rFonts w:eastAsia="Times New Roman"/>
        </w:rPr>
      </w:pPr>
      <w:r>
        <w:rPr>
          <w:rFonts w:eastAsia="Times New Roman"/>
          <w:color w:val="000000"/>
          <w:sz w:val="20"/>
          <w:szCs w:val="20"/>
        </w:rPr>
        <w:t>Assets and liabilities recorded at fair v</w:t>
      </w:r>
      <w:r>
        <w:rPr>
          <w:rFonts w:eastAsia="Times New Roman"/>
          <w:color w:val="000000"/>
          <w:sz w:val="20"/>
          <w:szCs w:val="20"/>
        </w:rPr>
        <w:t>alue on a recurring basis as of September 30, 2022 and December 31, 2021 are set forth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2856"/>
        <w:gridCol w:w="39"/>
        <w:gridCol w:w="120"/>
        <w:gridCol w:w="574"/>
        <w:gridCol w:w="36"/>
        <w:gridCol w:w="36"/>
        <w:gridCol w:w="36"/>
        <w:gridCol w:w="36"/>
        <w:gridCol w:w="121"/>
        <w:gridCol w:w="1244"/>
        <w:gridCol w:w="36"/>
        <w:gridCol w:w="36"/>
        <w:gridCol w:w="36"/>
        <w:gridCol w:w="36"/>
        <w:gridCol w:w="121"/>
        <w:gridCol w:w="1223"/>
        <w:gridCol w:w="36"/>
        <w:gridCol w:w="36"/>
        <w:gridCol w:w="36"/>
        <w:gridCol w:w="36"/>
        <w:gridCol w:w="121"/>
        <w:gridCol w:w="1365"/>
        <w:gridCol w:w="36"/>
      </w:tblGrid>
      <w:tr w:rsidR="00000000">
        <w:trPr>
          <w:divId w:val="1402555128"/>
          <w:jc w:val="center"/>
        </w:trPr>
        <w:tc>
          <w:tcPr>
            <w:tcW w:w="50" w:type="pct"/>
            <w:vAlign w:val="center"/>
            <w:hideMark/>
          </w:tcPr>
          <w:p w:rsidR="00000000" w:rsidRDefault="008214AA">
            <w:pPr>
              <w:jc w:val="both"/>
              <w:rPr>
                <w:rFonts w:eastAsia="Times New Roman"/>
              </w:rPr>
            </w:pPr>
          </w:p>
        </w:tc>
        <w:tc>
          <w:tcPr>
            <w:tcW w:w="188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7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9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402555128"/>
          <w:jc w:val="center"/>
        </w:trPr>
        <w:tc>
          <w:tcPr>
            <w:tcW w:w="0" w:type="auto"/>
            <w:gridSpan w:val="3"/>
            <w:tcMar>
              <w:top w:w="30" w:type="dxa"/>
              <w:left w:w="20" w:type="dxa"/>
              <w:bottom w:w="30" w:type="dxa"/>
              <w:right w:w="20" w:type="dxa"/>
            </w:tcMar>
            <w:vAlign w:val="bottom"/>
            <w:hideMark/>
          </w:tcPr>
          <w:p w:rsidR="00000000" w:rsidRDefault="008214AA">
            <w:pPr>
              <w:spacing w:after="100"/>
              <w:divId w:val="1927760371"/>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 2022</w:t>
            </w:r>
          </w:p>
        </w:tc>
      </w:tr>
      <w:tr w:rsidR="00000000">
        <w:trPr>
          <w:divId w:val="1402555128"/>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Markets for</w:t>
            </w:r>
            <w:r>
              <w:rPr>
                <w:rFonts w:eastAsia="Times New Roman"/>
                <w:b/>
                <w:bCs/>
                <w:color w:val="000000"/>
                <w:sz w:val="16"/>
                <w:szCs w:val="16"/>
              </w:rPr>
              <w:br/>
            </w:r>
            <w:r>
              <w:rPr>
                <w:rFonts w:eastAsia="Times New Roman"/>
                <w:b/>
                <w:bCs/>
                <w:color w:val="000000"/>
                <w:sz w:val="16"/>
                <w:szCs w:val="16"/>
              </w:rPr>
              <w:t>Identical Assets</w:t>
            </w:r>
            <w:r>
              <w:rPr>
                <w:rFonts w:eastAsia="Times New Roman"/>
                <w:b/>
                <w:bCs/>
                <w:color w:val="000000"/>
                <w:sz w:val="16"/>
                <w:szCs w:val="16"/>
              </w:rPr>
              <w:b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divId w:val="1402555128"/>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402555128"/>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divId w:val="538667618"/>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02555128"/>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divId w:val="1344360953"/>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02555128"/>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divId w:val="1707213356"/>
              <w:rPr>
                <w:rFonts w:eastAsia="Times New Roman"/>
              </w:rPr>
            </w:pPr>
            <w:r>
              <w:rPr>
                <w:rFonts w:eastAsia="Times New Roman"/>
                <w:color w:val="000000"/>
                <w:sz w:val="20"/>
                <w:szCs w:val="20"/>
              </w:rPr>
              <w:t>Interest rate swap agreements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02555128"/>
          <w:jc w:val="center"/>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02555128"/>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402555128"/>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402555128"/>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divId w:val="1464426613"/>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402555128"/>
          <w:jc w:val="center"/>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divId w:val="101299469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857"/>
        <w:gridCol w:w="39"/>
        <w:gridCol w:w="120"/>
        <w:gridCol w:w="574"/>
        <w:gridCol w:w="36"/>
        <w:gridCol w:w="36"/>
        <w:gridCol w:w="36"/>
        <w:gridCol w:w="36"/>
        <w:gridCol w:w="121"/>
        <w:gridCol w:w="1244"/>
        <w:gridCol w:w="36"/>
        <w:gridCol w:w="36"/>
        <w:gridCol w:w="36"/>
        <w:gridCol w:w="36"/>
        <w:gridCol w:w="121"/>
        <w:gridCol w:w="1223"/>
        <w:gridCol w:w="36"/>
        <w:gridCol w:w="36"/>
        <w:gridCol w:w="36"/>
        <w:gridCol w:w="36"/>
        <w:gridCol w:w="121"/>
        <w:gridCol w:w="1365"/>
        <w:gridCol w:w="36"/>
      </w:tblGrid>
      <w:tr w:rsidR="00000000">
        <w:trPr>
          <w:jc w:val="center"/>
        </w:trPr>
        <w:tc>
          <w:tcPr>
            <w:tcW w:w="50" w:type="pct"/>
            <w:vAlign w:val="center"/>
            <w:hideMark/>
          </w:tcPr>
          <w:p w:rsidR="00000000" w:rsidRDefault="008214AA">
            <w:pPr>
              <w:rPr>
                <w:rFonts w:eastAsia="Times New Roman"/>
              </w:rPr>
            </w:pPr>
          </w:p>
        </w:tc>
        <w:tc>
          <w:tcPr>
            <w:tcW w:w="188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7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9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December 31, 2021</w:t>
            </w:r>
          </w:p>
        </w:tc>
      </w:tr>
      <w:tr w:rsidR="00000000">
        <w:trPr>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Markets for</w:t>
            </w:r>
            <w:r>
              <w:rPr>
                <w:rFonts w:eastAsia="Times New Roman"/>
                <w:b/>
                <w:bCs/>
                <w:color w:val="000000"/>
                <w:sz w:val="16"/>
                <w:szCs w:val="16"/>
              </w:rPr>
              <w:br/>
              <w:t>Identical Assets</w:t>
            </w:r>
            <w:r>
              <w:rPr>
                <w:rFonts w:eastAsia="Times New Roman"/>
                <w:b/>
                <w:bCs/>
                <w:color w:val="000000"/>
                <w:sz w:val="16"/>
                <w:szCs w:val="16"/>
              </w:rPr>
              <w:b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divId w:val="1788500293"/>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divId w:val="1458912186"/>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divId w:val="1522284756"/>
              <w:rPr>
                <w:rFonts w:eastAsia="Times New Roman"/>
              </w:rPr>
            </w:pPr>
            <w:r>
              <w:rPr>
                <w:rFonts w:eastAsia="Times New Roman"/>
                <w:color w:val="000000"/>
                <w:sz w:val="20"/>
                <w:szCs w:val="20"/>
              </w:rPr>
              <w:t>Interest rate cap agreements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jc w:val="center"/>
        </w:trPr>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divId w:val="1037122197"/>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divId w:val="1646159402"/>
        <w:rPr>
          <w:rFonts w:eastAsia="Times New Roman"/>
        </w:rPr>
      </w:pPr>
    </w:p>
    <w:p w:rsidR="00000000" w:rsidRDefault="008214AA">
      <w:pPr>
        <w:divId w:val="74783505"/>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Included in Cash and cash equivalents in the Condensed Consolidated Balance Sheets.</w:t>
      </w:r>
    </w:p>
    <w:p w:rsidR="00000000" w:rsidRDefault="008214AA">
      <w:pPr>
        <w:divId w:val="2105876974"/>
        <w:rPr>
          <w:rFonts w:eastAsia="Times New Roman"/>
        </w:rPr>
      </w:pPr>
      <w:r>
        <w:rPr>
          <w:rFonts w:eastAsia="Times New Roman"/>
          <w:color w:val="000000"/>
          <w:sz w:val="12"/>
          <w:szCs w:val="12"/>
        </w:rPr>
        <w:t>(2</w:t>
      </w:r>
      <w:r>
        <w:rPr>
          <w:rFonts w:eastAsia="Times New Roman"/>
          <w:color w:val="000000"/>
          <w:sz w:val="12"/>
          <w:szCs w:val="12"/>
        </w:rPr>
        <w:t>)</w:t>
      </w:r>
      <w:r>
        <w:rPr>
          <w:rFonts w:eastAsia="Times New Roman"/>
          <w:color w:val="000000"/>
          <w:sz w:val="18"/>
          <w:szCs w:val="18"/>
        </w:rPr>
        <w:t>    </w:t>
      </w:r>
      <w:r>
        <w:rPr>
          <w:rFonts w:eastAsia="Times New Roman"/>
          <w:color w:val="000000"/>
          <w:sz w:val="18"/>
          <w:szCs w:val="18"/>
        </w:rPr>
        <w:t>Included in Other current assets in the Condensed Consolidated Balance Sheets.</w:t>
      </w:r>
    </w:p>
    <w:p w:rsidR="00000000" w:rsidRDefault="008214AA">
      <w:pPr>
        <w:divId w:val="980572851"/>
        <w:rPr>
          <w:rFonts w:eastAsia="Times New Roman"/>
        </w:rPr>
      </w:pPr>
      <w:r>
        <w:rPr>
          <w:rFonts w:eastAsia="Times New Roman"/>
          <w:color w:val="000000"/>
          <w:sz w:val="12"/>
          <w:szCs w:val="12"/>
        </w:rPr>
        <w:t>(3</w:t>
      </w:r>
      <w:r>
        <w:rPr>
          <w:rFonts w:eastAsia="Times New Roman"/>
          <w:color w:val="000000"/>
          <w:sz w:val="12"/>
          <w:szCs w:val="12"/>
        </w:rPr>
        <w:t>)</w:t>
      </w:r>
      <w:r>
        <w:rPr>
          <w:rFonts w:eastAsia="Times New Roman"/>
          <w:color w:val="000000"/>
          <w:sz w:val="18"/>
          <w:szCs w:val="18"/>
        </w:rPr>
        <w:t xml:space="preserve">    Included in Other current assets and Other assets in the Condensed Consolidated Balance Sheets. </w:t>
      </w:r>
    </w:p>
    <w:p w:rsidR="00000000" w:rsidRDefault="008214AA">
      <w:pPr>
        <w:divId w:val="668748281"/>
        <w:rPr>
          <w:rFonts w:eastAsia="Times New Roman"/>
        </w:rPr>
      </w:pPr>
      <w:r>
        <w:rPr>
          <w:rFonts w:eastAsia="Times New Roman"/>
          <w:color w:val="000000"/>
          <w:sz w:val="12"/>
          <w:szCs w:val="12"/>
        </w:rPr>
        <w:t>(4</w:t>
      </w:r>
      <w:r>
        <w:rPr>
          <w:rFonts w:eastAsia="Times New Roman"/>
          <w:color w:val="000000"/>
          <w:sz w:val="12"/>
          <w:szCs w:val="12"/>
        </w:rPr>
        <w:t>)</w:t>
      </w:r>
      <w:r>
        <w:rPr>
          <w:rFonts w:eastAsia="Times New Roman"/>
          <w:color w:val="000000"/>
          <w:sz w:val="18"/>
          <w:szCs w:val="18"/>
        </w:rPr>
        <w:t>    Included in Other current liabilities in the Condensed Consolidate</w:t>
      </w:r>
      <w:r>
        <w:rPr>
          <w:rFonts w:eastAsia="Times New Roman"/>
          <w:color w:val="000000"/>
          <w:sz w:val="18"/>
          <w:szCs w:val="18"/>
        </w:rPr>
        <w:t>d Balance Sheets.</w:t>
      </w:r>
    </w:p>
    <w:p w:rsidR="00000000" w:rsidRDefault="008214AA">
      <w:pPr>
        <w:divId w:val="1977828972"/>
        <w:rPr>
          <w:rFonts w:eastAsia="Times New Roman"/>
        </w:rPr>
      </w:pPr>
    </w:p>
    <w:p w:rsidR="00000000" w:rsidRDefault="008214AA">
      <w:pPr>
        <w:jc w:val="both"/>
        <w:rPr>
          <w:rFonts w:eastAsia="Times New Roman"/>
        </w:rPr>
      </w:pPr>
      <w:r>
        <w:rPr>
          <w:rFonts w:eastAsia="Times New Roman"/>
          <w:i/>
          <w:iCs/>
          <w:color w:val="000000"/>
          <w:sz w:val="20"/>
          <w:szCs w:val="20"/>
        </w:rPr>
        <w:t xml:space="preserve">Deposits Held in Money Market Mutual Funds </w:t>
      </w:r>
      <w:r>
        <w:rPr>
          <w:rFonts w:eastAsia="Times New Roman"/>
          <w:color w:val="000000"/>
          <w:sz w:val="20"/>
          <w:szCs w:val="20"/>
        </w:rPr>
        <w:t>A portion of the Company’s excess cash is held in money market mutual funds that generate interest income based on prevailing market rates. Money market mutual fund holdings are measured at fai</w:t>
      </w:r>
      <w:r>
        <w:rPr>
          <w:rFonts w:eastAsia="Times New Roman"/>
          <w:color w:val="000000"/>
          <w:sz w:val="20"/>
          <w:szCs w:val="20"/>
        </w:rPr>
        <w:t>r value using quoted market prices and are classified within Level 1 of the valuation hierarchy.</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 xml:space="preserve">Foreign Exchange Contracts </w:t>
      </w:r>
      <w:r>
        <w:rPr>
          <w:rFonts w:eastAsia="Times New Roman"/>
          <w:color w:val="000000"/>
          <w:sz w:val="20"/>
          <w:szCs w:val="20"/>
        </w:rPr>
        <w:t>As a result of our global operating activities, we are exposed to risks from changes in foreign currency exchange rates, which may</w:t>
      </w:r>
      <w:r>
        <w:rPr>
          <w:rFonts w:eastAsia="Times New Roman"/>
          <w:color w:val="000000"/>
          <w:sz w:val="20"/>
          <w:szCs w:val="20"/>
        </w:rPr>
        <w:t xml:space="preserve"> adversely affect our financial condition. To manage our exposures and mitigate the impact of currency fluctuations on our financial results, we hedge our primary transactional exposures through the use of foreign exchange forward and option contracts. The</w:t>
      </w:r>
      <w:r>
        <w:rPr>
          <w:rFonts w:eastAsia="Times New Roman"/>
          <w:color w:val="000000"/>
          <w:sz w:val="20"/>
          <w:szCs w:val="20"/>
        </w:rPr>
        <w:t xml:space="preserve"> foreign exchange contracts are valued using the market approach based on observable market transactions of forward rates and are classified within Level 2 of the valuation hierarchy.</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Interest Rate Swap and Cap Agreements</w:t>
      </w:r>
      <w:r>
        <w:rPr>
          <w:rFonts w:eastAsia="Times New Roman"/>
          <w:color w:val="000000"/>
          <w:sz w:val="20"/>
          <w:szCs w:val="20"/>
        </w:rPr>
        <w:t xml:space="preserve"> In order to add stability to int</w:t>
      </w:r>
      <w:r>
        <w:rPr>
          <w:rFonts w:eastAsia="Times New Roman"/>
          <w:color w:val="000000"/>
          <w:sz w:val="20"/>
          <w:szCs w:val="20"/>
        </w:rPr>
        <w:t>erest expense and operating costs and to manage exposure to interest rate movements the Company utilizes interest rate swap contracts and interest rate cap agreements as part of its interest rate risk management strategy. The interest rate cap agreements a</w:t>
      </w:r>
      <w:r>
        <w:rPr>
          <w:rFonts w:eastAsia="Times New Roman"/>
          <w:color w:val="000000"/>
          <w:sz w:val="20"/>
          <w:szCs w:val="20"/>
        </w:rPr>
        <w:t>re valued using the market standard methodology of discounting the future expected cash receipts that would occur if variable interest rates rise above the strike rate of the caps. The variable interest rates used in the calculation of projected receipts o</w:t>
      </w:r>
      <w:r>
        <w:rPr>
          <w:rFonts w:eastAsia="Times New Roman"/>
          <w:color w:val="000000"/>
          <w:sz w:val="20"/>
          <w:szCs w:val="20"/>
        </w:rPr>
        <w:t>n the cap are based on an expectation of future interest rates derived from observable market interest rate curves and volatilities. The interest rate swap contracts are valued using an income model based on disparity between variable and fixed interest ra</w:t>
      </w:r>
      <w:r>
        <w:rPr>
          <w:rFonts w:eastAsia="Times New Roman"/>
          <w:color w:val="000000"/>
          <w:sz w:val="20"/>
          <w:szCs w:val="20"/>
        </w:rPr>
        <w:t xml:space="preserve">tes, the scheduled balance of underlying principal </w:t>
      </w:r>
    </w:p>
    <w:p w:rsidR="00000000" w:rsidRDefault="008214AA">
      <w:pPr>
        <w:jc w:val="center"/>
        <w:divId w:val="1080637039"/>
        <w:rPr>
          <w:rFonts w:eastAsia="Times New Roman"/>
        </w:rPr>
      </w:pPr>
      <w:r>
        <w:rPr>
          <w:rFonts w:eastAsia="Times New Roman"/>
          <w:color w:val="000000"/>
          <w:sz w:val="20"/>
          <w:szCs w:val="20"/>
        </w:rPr>
        <w:t>34</w:t>
      </w:r>
    </w:p>
    <w:p w:rsidR="00000000" w:rsidRDefault="008214AA">
      <w:pPr>
        <w:rPr>
          <w:rFonts w:eastAsia="Times New Roman"/>
        </w:rPr>
      </w:pPr>
      <w:r>
        <w:rPr>
          <w:rFonts w:eastAsia="Times New Roman"/>
        </w:rPr>
        <w:pict>
          <v:rect id="_x0000_i1059" style="width:0;height:1.5pt" o:hralign="center" o:hrstd="t" o:hr="t" fillcolor="#a0a0a0" stroked="f"/>
        </w:pict>
      </w:r>
    </w:p>
    <w:p w:rsidR="00000000" w:rsidRDefault="008214AA">
      <w:pPr>
        <w:ind w:firstLine="720"/>
        <w:divId w:val="1411124561"/>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570732186"/>
        <w:rPr>
          <w:rFonts w:eastAsia="Times New Roman"/>
        </w:rPr>
      </w:pPr>
      <w:r>
        <w:rPr>
          <w:rFonts w:eastAsia="Times New Roman"/>
          <w:b/>
          <w:bCs/>
          <w:color w:val="000000"/>
          <w:sz w:val="20"/>
          <w:szCs w:val="20"/>
        </w:rPr>
        <w:t>NCR Corporation</w:t>
      </w:r>
    </w:p>
    <w:p w:rsidR="00000000" w:rsidRDefault="008214AA">
      <w:pPr>
        <w:jc w:val="center"/>
        <w:divId w:val="1570732186"/>
        <w:rPr>
          <w:rFonts w:eastAsia="Times New Roman"/>
        </w:rPr>
      </w:pPr>
      <w:r>
        <w:rPr>
          <w:rFonts w:eastAsia="Times New Roman"/>
          <w:b/>
          <w:bCs/>
          <w:color w:val="000000"/>
          <w:sz w:val="20"/>
          <w:szCs w:val="20"/>
        </w:rPr>
        <w:t>Notes to Condensed Consolidated Financial Statements (Unaudited)—(Continu</w:t>
      </w:r>
      <w:r>
        <w:rPr>
          <w:rFonts w:eastAsia="Times New Roman"/>
          <w:b/>
          <w:bCs/>
          <w:color w:val="000000"/>
          <w:sz w:val="20"/>
          <w:szCs w:val="20"/>
        </w:rPr>
        <w:t>ed)</w:t>
      </w:r>
    </w:p>
    <w:p w:rsidR="00000000" w:rsidRDefault="008214AA">
      <w:pPr>
        <w:jc w:val="both"/>
        <w:rPr>
          <w:rFonts w:eastAsia="Times New Roman"/>
        </w:rPr>
      </w:pPr>
      <w:r>
        <w:rPr>
          <w:rFonts w:eastAsia="Times New Roman"/>
          <w:color w:val="000000"/>
          <w:sz w:val="20"/>
          <w:szCs w:val="20"/>
        </w:rPr>
        <w:t xml:space="preserve">outstanding, yield curves, and other information readily available in the market. As such, the interest rate swap contracts and interest rate cap agreements are classified in Level 2 of the fair value hierarchy. </w:t>
      </w:r>
    </w:p>
    <w:p w:rsidR="00000000" w:rsidRDefault="008214AA">
      <w:pPr>
        <w:divId w:val="1712920403"/>
        <w:rPr>
          <w:rFonts w:eastAsia="Times New Roman"/>
        </w:rPr>
      </w:pPr>
    </w:p>
    <w:p w:rsidR="00000000" w:rsidRDefault="008214AA">
      <w:pPr>
        <w:jc w:val="both"/>
        <w:rPr>
          <w:rFonts w:eastAsia="Times New Roman"/>
        </w:rPr>
      </w:pPr>
      <w:r>
        <w:rPr>
          <w:rFonts w:eastAsia="Times New Roman"/>
          <w:color w:val="000000"/>
          <w:sz w:val="20"/>
          <w:szCs w:val="20"/>
        </w:rPr>
        <w:t>We incorporate credit valuation adjustmen</w:t>
      </w:r>
      <w:r>
        <w:rPr>
          <w:rFonts w:eastAsia="Times New Roman"/>
          <w:color w:val="000000"/>
          <w:sz w:val="20"/>
          <w:szCs w:val="20"/>
        </w:rPr>
        <w:t>ts to appropriately reflect both our own nonperformance risk and the respective counterparty’s nonperformance risk in the fair value measurements. In adjusting the fair value of our derivative contracts for the effect of nonperformance risk, we consider th</w:t>
      </w:r>
      <w:r>
        <w:rPr>
          <w:rFonts w:eastAsia="Times New Roman"/>
          <w:color w:val="000000"/>
          <w:sz w:val="20"/>
          <w:szCs w:val="20"/>
        </w:rPr>
        <w:t xml:space="preserve">e impact of netting and any applicable credit enhancements. We measure the credit risk of our derivative financial instruments that are subject to master netting agreements on a net basis by counterparty portfolio.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shd w:val="clear" w:color="auto" w:fill="FFFFFF"/>
        </w:rPr>
        <w:t>Although we have determined that the m</w:t>
      </w:r>
      <w:r>
        <w:rPr>
          <w:rFonts w:eastAsia="Times New Roman"/>
          <w:color w:val="000000"/>
          <w:sz w:val="20"/>
          <w:szCs w:val="20"/>
          <w:shd w:val="clear" w:color="auto" w:fill="FFFFFF"/>
        </w:rPr>
        <w:t>ajority of the inputs used to value our derivatives fall within Level 2 of the fair value hierarchy, the credit valuation adjustments utilize Level 3 inputs to evaluate the likelihood of both our own default and counterparty default. As of September 30, 20</w:t>
      </w:r>
      <w:r>
        <w:rPr>
          <w:rFonts w:eastAsia="Times New Roman"/>
          <w:color w:val="000000"/>
          <w:sz w:val="20"/>
          <w:szCs w:val="20"/>
          <w:shd w:val="clear" w:color="auto" w:fill="FFFFFF"/>
        </w:rPr>
        <w:t>22, we determined that the credit valuation adjustments are not significant to the overall valuation of our derivatives and therefore, the valuations are classified in Level 2 of the fair value hierarchy.</w:t>
      </w:r>
    </w:p>
    <w:p w:rsidR="00000000" w:rsidRDefault="008214AA">
      <w:pPr>
        <w:jc w:val="both"/>
        <w:rPr>
          <w:rFonts w:eastAsia="Times New Roman"/>
        </w:rPr>
      </w:pPr>
    </w:p>
    <w:p w:rsidR="00000000" w:rsidRDefault="008214AA">
      <w:pPr>
        <w:divId w:val="1467047858"/>
        <w:rPr>
          <w:rFonts w:eastAsia="Times New Roman"/>
        </w:rPr>
      </w:pPr>
      <w:r>
        <w:rPr>
          <w:rFonts w:eastAsia="Times New Roman"/>
          <w:b/>
          <w:bCs/>
          <w:i/>
          <w:iCs/>
          <w:color w:val="000000"/>
          <w:sz w:val="20"/>
          <w:szCs w:val="20"/>
        </w:rPr>
        <w:t xml:space="preserve">Assets Measured at Fair Value on a Non-recurring </w:t>
      </w:r>
      <w:r>
        <w:rPr>
          <w:rFonts w:eastAsia="Times New Roman"/>
          <w:b/>
          <w:bCs/>
          <w:i/>
          <w:iCs/>
          <w:color w:val="000000"/>
          <w:sz w:val="20"/>
          <w:szCs w:val="20"/>
        </w:rPr>
        <w:t>Basis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From time to time, certain assets are measured at fair value on a nonrecurring basis using significant unobservable inputs (Level 3). NCR reviews the carrying values of investments when events and circumstances warrant and considers all available evidence </w:t>
      </w:r>
      <w:r>
        <w:rPr>
          <w:rFonts w:eastAsia="Times New Roman"/>
          <w:color w:val="000000"/>
          <w:sz w:val="20"/>
          <w:szCs w:val="20"/>
        </w:rPr>
        <w:t>in evaluating when declines in fair value are other-than-temporary declines. There were no material impairment charges or non-recurring fair value adjustments recorded during the three and nine months ended September 30, 2022 and 2021.</w:t>
      </w:r>
    </w:p>
    <w:p w:rsidR="00000000" w:rsidRDefault="008214AA">
      <w:pPr>
        <w:jc w:val="center"/>
        <w:divId w:val="1342275393"/>
        <w:rPr>
          <w:rFonts w:eastAsia="Times New Roman"/>
        </w:rPr>
      </w:pPr>
      <w:r>
        <w:rPr>
          <w:rFonts w:eastAsia="Times New Roman"/>
          <w:color w:val="000000"/>
          <w:sz w:val="20"/>
          <w:szCs w:val="20"/>
        </w:rPr>
        <w:t>35</w:t>
      </w:r>
    </w:p>
    <w:p w:rsidR="00000000" w:rsidRDefault="008214AA">
      <w:pPr>
        <w:rPr>
          <w:rFonts w:eastAsia="Times New Roman"/>
        </w:rPr>
      </w:pPr>
      <w:r>
        <w:rPr>
          <w:rFonts w:eastAsia="Times New Roman"/>
        </w:rPr>
        <w:pict>
          <v:rect id="_x0000_i1060" style="width:0;height:1.5pt" o:hralign="center" o:hrstd="t" o:hr="t" fillcolor="#a0a0a0" stroked="f"/>
        </w:pict>
      </w:r>
    </w:p>
    <w:p w:rsidR="00000000" w:rsidRDefault="008214AA">
      <w:pPr>
        <w:ind w:firstLine="720"/>
        <w:divId w:val="392698875"/>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55589286"/>
        <w:rPr>
          <w:rFonts w:eastAsia="Times New Roman"/>
        </w:rPr>
      </w:pPr>
      <w:r>
        <w:rPr>
          <w:rFonts w:eastAsia="Times New Roman"/>
          <w:b/>
          <w:bCs/>
          <w:color w:val="000000"/>
          <w:sz w:val="20"/>
          <w:szCs w:val="20"/>
        </w:rPr>
        <w:t>NCR Corporation</w:t>
      </w:r>
    </w:p>
    <w:p w:rsidR="00000000" w:rsidRDefault="008214AA">
      <w:pPr>
        <w:jc w:val="center"/>
        <w:divId w:val="55589286"/>
        <w:rPr>
          <w:rFonts w:eastAsia="Times New Roman"/>
        </w:rPr>
      </w:pPr>
      <w:r>
        <w:rPr>
          <w:rFonts w:eastAsia="Times New Roman"/>
          <w:b/>
          <w:bCs/>
          <w:color w:val="000000"/>
          <w:sz w:val="20"/>
          <w:szCs w:val="20"/>
        </w:rPr>
        <w:t>Notes to Condensed Consolidated Financial Statements (Unaudited)—(Continued)</w:t>
      </w:r>
    </w:p>
    <w:p w:rsidR="00000000" w:rsidRDefault="008214AA">
      <w:pPr>
        <w:divId w:val="1077097708"/>
        <w:rPr>
          <w:rFonts w:eastAsia="Times New Roman"/>
        </w:rPr>
      </w:pPr>
      <w:r>
        <w:rPr>
          <w:rFonts w:eastAsia="Times New Roman"/>
          <w:b/>
          <w:bCs/>
          <w:color w:val="54B948"/>
          <w:sz w:val="20"/>
          <w:szCs w:val="20"/>
        </w:rPr>
        <w:t>15. ACCUMULATED OTHER COMPREHENSIVE INCOME (LOSS)</w:t>
      </w:r>
    </w:p>
    <w:p w:rsidR="00000000" w:rsidRDefault="008214AA">
      <w:pPr>
        <w:divId w:val="1421953722"/>
        <w:rPr>
          <w:rFonts w:eastAsia="Times New Roman"/>
        </w:rPr>
      </w:pPr>
    </w:p>
    <w:p w:rsidR="00000000" w:rsidRDefault="008214AA">
      <w:pPr>
        <w:divId w:val="1810973650"/>
        <w:rPr>
          <w:rFonts w:eastAsia="Times New Roman"/>
        </w:rPr>
      </w:pPr>
    </w:p>
    <w:p w:rsidR="00000000" w:rsidRDefault="008214AA">
      <w:pPr>
        <w:divId w:val="1796756346"/>
        <w:rPr>
          <w:rFonts w:eastAsia="Times New Roman"/>
        </w:rPr>
      </w:pPr>
      <w:r>
        <w:rPr>
          <w:rFonts w:eastAsia="Times New Roman"/>
          <w:b/>
          <w:bCs/>
          <w:color w:val="000000"/>
          <w:sz w:val="20"/>
          <w:szCs w:val="20"/>
        </w:rPr>
        <w:t>Changes in Acc</w:t>
      </w:r>
      <w:r>
        <w:rPr>
          <w:rFonts w:eastAsia="Times New Roman"/>
          <w:b/>
          <w:bCs/>
          <w:color w:val="000000"/>
          <w:sz w:val="20"/>
          <w:szCs w:val="20"/>
        </w:rPr>
        <w:t>umulated Other Comprehensive Income (“AOCI”) by Component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27"/>
        <w:gridCol w:w="37"/>
        <w:gridCol w:w="121"/>
        <w:gridCol w:w="1158"/>
        <w:gridCol w:w="36"/>
        <w:gridCol w:w="121"/>
        <w:gridCol w:w="829"/>
        <w:gridCol w:w="36"/>
        <w:gridCol w:w="121"/>
        <w:gridCol w:w="1158"/>
        <w:gridCol w:w="36"/>
        <w:gridCol w:w="120"/>
        <w:gridCol w:w="831"/>
        <w:gridCol w:w="36"/>
      </w:tblGrid>
      <w:tr w:rsidR="00000000">
        <w:trPr>
          <w:divId w:val="678193362"/>
          <w:jc w:val="center"/>
        </w:trPr>
        <w:tc>
          <w:tcPr>
            <w:tcW w:w="50" w:type="pct"/>
            <w:vAlign w:val="center"/>
            <w:hideMark/>
          </w:tcPr>
          <w:p w:rsidR="00000000" w:rsidRDefault="008214AA">
            <w:pPr>
              <w:rPr>
                <w:rFonts w:eastAsia="Times New Roman"/>
              </w:rPr>
            </w:pPr>
          </w:p>
        </w:tc>
        <w:tc>
          <w:tcPr>
            <w:tcW w:w="221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678193362"/>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Currency Translation Adjustments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Changes in Employee Benefit Plans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Changes in Fair Value of Effective Cash Flow Hedges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r>
      <w:tr w:rsidR="00000000">
        <w:trPr>
          <w:divId w:val="678193362"/>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xml:space="preserve">Balance as of December 31, 2021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678193362"/>
          <w:jc w:val="center"/>
        </w:trPr>
        <w:tc>
          <w:tcPr>
            <w:tcW w:w="0" w:type="auto"/>
            <w:gridSpan w:val="3"/>
            <w:shd w:val="clear" w:color="auto" w:fill="FFFFFF"/>
            <w:tcMar>
              <w:top w:w="30" w:type="dxa"/>
              <w:left w:w="38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678193362"/>
          <w:jc w:val="center"/>
        </w:trPr>
        <w:tc>
          <w:tcPr>
            <w:tcW w:w="0" w:type="auto"/>
            <w:gridSpan w:val="3"/>
            <w:shd w:val="clear" w:color="auto" w:fill="CCEEFF"/>
            <w:tcMar>
              <w:top w:w="30" w:type="dxa"/>
              <w:left w:w="38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678193362"/>
          <w:jc w:val="center"/>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xml:space="preserve">Net current period other comprehensive (loss) income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678193362"/>
          <w:jc w:val="center"/>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xml:space="preserve">Balance as of September 30, 2022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rPr>
          <w:rFonts w:eastAsia="Times New Roman"/>
        </w:rPr>
      </w:pPr>
    </w:p>
    <w:p w:rsidR="00000000" w:rsidRDefault="008214AA">
      <w:pPr>
        <w:divId w:val="1892384495"/>
        <w:rPr>
          <w:rFonts w:eastAsia="Times New Roman"/>
        </w:rPr>
      </w:pPr>
      <w:r>
        <w:rPr>
          <w:rFonts w:eastAsia="Times New Roman"/>
          <w:b/>
          <w:bCs/>
          <w:color w:val="000000"/>
          <w:sz w:val="20"/>
          <w:szCs w:val="20"/>
        </w:rPr>
        <w:t>Reclassifications Out of AOCI</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81"/>
        <w:gridCol w:w="36"/>
        <w:gridCol w:w="38"/>
        <w:gridCol w:w="4100"/>
        <w:gridCol w:w="38"/>
        <w:gridCol w:w="121"/>
        <w:gridCol w:w="865"/>
        <w:gridCol w:w="36"/>
        <w:gridCol w:w="121"/>
        <w:gridCol w:w="865"/>
        <w:gridCol w:w="36"/>
        <w:gridCol w:w="121"/>
        <w:gridCol w:w="648"/>
        <w:gridCol w:w="37"/>
        <w:gridCol w:w="36"/>
        <w:gridCol w:w="36"/>
        <w:gridCol w:w="36"/>
        <w:gridCol w:w="120"/>
        <w:gridCol w:w="811"/>
        <w:gridCol w:w="36"/>
      </w:tblGrid>
      <w:tr w:rsidR="00000000">
        <w:trPr>
          <w:divId w:val="2009015353"/>
          <w:jc w:val="center"/>
        </w:trPr>
        <w:tc>
          <w:tcPr>
            <w:tcW w:w="5" w:type="pct"/>
            <w:vAlign w:val="center"/>
            <w:hideMark/>
          </w:tcPr>
          <w:p w:rsidR="00000000" w:rsidRDefault="008214AA">
            <w:pPr>
              <w:rPr>
                <w:rFonts w:eastAsia="Times New Roman"/>
              </w:rPr>
            </w:pPr>
          </w:p>
        </w:tc>
        <w:tc>
          <w:tcPr>
            <w:tcW w:w="8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5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9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2009015353"/>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three months ended September 30, 2022</w:t>
            </w:r>
          </w:p>
        </w:tc>
      </w:tr>
      <w:tr w:rsidR="00000000">
        <w:trPr>
          <w:divId w:val="2009015353"/>
          <w:jc w:val="center"/>
        </w:trPr>
        <w:tc>
          <w:tcPr>
            <w:tcW w:w="0" w:type="auto"/>
            <w:gridSpan w:val="6"/>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09015353"/>
          <w:jc w:val="center"/>
        </w:trPr>
        <w:tc>
          <w:tcPr>
            <w:tcW w:w="0" w:type="auto"/>
            <w:gridSpan w:val="6"/>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r>
      <w:tr w:rsidR="00000000">
        <w:trPr>
          <w:divId w:val="2009015353"/>
          <w:jc w:val="center"/>
        </w:trPr>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2009015353"/>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09015353"/>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09015353"/>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09015353"/>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09015353"/>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09015353"/>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09015353"/>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2009015353"/>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divId w:val="605431025"/>
        <w:rPr>
          <w:rFonts w:eastAsia="Times New Roman"/>
        </w:rPr>
      </w:pPr>
    </w:p>
    <w:p w:rsidR="00000000" w:rsidRDefault="008214AA">
      <w:pPr>
        <w:jc w:val="center"/>
        <w:divId w:val="115633657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73"/>
        <w:gridCol w:w="36"/>
        <w:gridCol w:w="38"/>
        <w:gridCol w:w="4079"/>
        <w:gridCol w:w="38"/>
        <w:gridCol w:w="121"/>
        <w:gridCol w:w="865"/>
        <w:gridCol w:w="36"/>
        <w:gridCol w:w="121"/>
        <w:gridCol w:w="865"/>
        <w:gridCol w:w="36"/>
        <w:gridCol w:w="121"/>
        <w:gridCol w:w="798"/>
        <w:gridCol w:w="37"/>
        <w:gridCol w:w="36"/>
        <w:gridCol w:w="36"/>
        <w:gridCol w:w="36"/>
        <w:gridCol w:w="120"/>
        <w:gridCol w:w="740"/>
        <w:gridCol w:w="36"/>
      </w:tblGrid>
      <w:tr w:rsidR="00000000">
        <w:trPr>
          <w:jc w:val="center"/>
        </w:trPr>
        <w:tc>
          <w:tcPr>
            <w:tcW w:w="5" w:type="pct"/>
            <w:vAlign w:val="center"/>
            <w:hideMark/>
          </w:tcPr>
          <w:p w:rsidR="00000000" w:rsidRDefault="008214AA">
            <w:pPr>
              <w:jc w:val="center"/>
              <w:rPr>
                <w:rFonts w:eastAsia="Times New Roman"/>
              </w:rPr>
            </w:pPr>
          </w:p>
        </w:tc>
        <w:tc>
          <w:tcPr>
            <w:tcW w:w="8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50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three months ended September 30, 2021</w:t>
            </w:r>
          </w:p>
        </w:tc>
      </w:tr>
      <w:tr w:rsidR="00000000">
        <w:trPr>
          <w:jc w:val="center"/>
        </w:trPr>
        <w:tc>
          <w:tcPr>
            <w:tcW w:w="0" w:type="auto"/>
            <w:gridSpan w:val="6"/>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rPr>
          <w:rFonts w:eastAsia="Times New Roman"/>
        </w:rPr>
      </w:pPr>
    </w:p>
    <w:p w:rsidR="00000000" w:rsidRDefault="008214AA">
      <w:pPr>
        <w:jc w:val="center"/>
        <w:rPr>
          <w:rFonts w:eastAsia="Times New Roman"/>
        </w:rPr>
      </w:pPr>
    </w:p>
    <w:p w:rsidR="00000000" w:rsidRDefault="008214AA">
      <w:pPr>
        <w:jc w:val="center"/>
        <w:rPr>
          <w:rFonts w:eastAsia="Times New Roman"/>
        </w:rPr>
      </w:pPr>
    </w:p>
    <w:p w:rsidR="00000000" w:rsidRDefault="008214AA">
      <w:pPr>
        <w:jc w:val="center"/>
        <w:rPr>
          <w:rFonts w:eastAsia="Times New Roman"/>
        </w:rPr>
      </w:pPr>
    </w:p>
    <w:p w:rsidR="00000000" w:rsidRDefault="008214AA">
      <w:pPr>
        <w:jc w:val="center"/>
        <w:rPr>
          <w:rFonts w:eastAsia="Times New Roman"/>
        </w:rPr>
      </w:pPr>
    </w:p>
    <w:p w:rsidR="00000000" w:rsidRDefault="008214AA">
      <w:pPr>
        <w:jc w:val="center"/>
        <w:divId w:val="1903516584"/>
        <w:rPr>
          <w:rFonts w:eastAsia="Times New Roman"/>
        </w:rPr>
      </w:pPr>
      <w:r>
        <w:rPr>
          <w:rFonts w:eastAsia="Times New Roman"/>
          <w:color w:val="000000"/>
          <w:sz w:val="20"/>
          <w:szCs w:val="20"/>
        </w:rPr>
        <w:t>36</w:t>
      </w:r>
    </w:p>
    <w:p w:rsidR="00000000" w:rsidRDefault="008214AA">
      <w:pPr>
        <w:rPr>
          <w:rFonts w:eastAsia="Times New Roman"/>
        </w:rPr>
      </w:pPr>
      <w:r>
        <w:rPr>
          <w:rFonts w:eastAsia="Times New Roman"/>
        </w:rPr>
        <w:pict>
          <v:rect id="_x0000_i1061" style="width:0;height:1.5pt" o:hralign="center" o:hrstd="t" o:hr="t" fillcolor="#a0a0a0" stroked="f"/>
        </w:pict>
      </w:r>
    </w:p>
    <w:p w:rsidR="00000000" w:rsidRDefault="008214AA">
      <w:pPr>
        <w:ind w:firstLine="720"/>
        <w:divId w:val="31657179"/>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112357180"/>
        <w:rPr>
          <w:rFonts w:eastAsia="Times New Roman"/>
        </w:rPr>
      </w:pPr>
      <w:r>
        <w:rPr>
          <w:rFonts w:eastAsia="Times New Roman"/>
          <w:b/>
          <w:bCs/>
          <w:color w:val="000000"/>
          <w:sz w:val="20"/>
          <w:szCs w:val="20"/>
        </w:rPr>
        <w:t>NCR Corporation</w:t>
      </w:r>
    </w:p>
    <w:p w:rsidR="00000000" w:rsidRDefault="008214AA">
      <w:pPr>
        <w:jc w:val="center"/>
        <w:divId w:val="1112357180"/>
        <w:rPr>
          <w:rFonts w:eastAsia="Times New Roman"/>
        </w:rPr>
      </w:pPr>
      <w:r>
        <w:rPr>
          <w:rFonts w:eastAsia="Times New Roman"/>
          <w:b/>
          <w:bCs/>
          <w:color w:val="000000"/>
          <w:sz w:val="20"/>
          <w:szCs w:val="20"/>
        </w:rPr>
        <w:t>Notes to Condensed Consolidated Financial Statements (Unaudited)—(Continued)</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81"/>
        <w:gridCol w:w="36"/>
        <w:gridCol w:w="38"/>
        <w:gridCol w:w="4100"/>
        <w:gridCol w:w="38"/>
        <w:gridCol w:w="121"/>
        <w:gridCol w:w="865"/>
        <w:gridCol w:w="36"/>
        <w:gridCol w:w="121"/>
        <w:gridCol w:w="865"/>
        <w:gridCol w:w="36"/>
        <w:gridCol w:w="121"/>
        <w:gridCol w:w="648"/>
        <w:gridCol w:w="37"/>
        <w:gridCol w:w="36"/>
        <w:gridCol w:w="36"/>
        <w:gridCol w:w="36"/>
        <w:gridCol w:w="120"/>
        <w:gridCol w:w="811"/>
        <w:gridCol w:w="36"/>
      </w:tblGrid>
      <w:tr w:rsidR="00000000">
        <w:trPr>
          <w:jc w:val="center"/>
        </w:trPr>
        <w:tc>
          <w:tcPr>
            <w:tcW w:w="5" w:type="pct"/>
            <w:vAlign w:val="center"/>
            <w:hideMark/>
          </w:tcPr>
          <w:p w:rsidR="00000000" w:rsidRDefault="008214AA">
            <w:pPr>
              <w:jc w:val="center"/>
              <w:rPr>
                <w:rFonts w:eastAsia="Times New Roman"/>
              </w:rPr>
            </w:pPr>
          </w:p>
        </w:tc>
        <w:tc>
          <w:tcPr>
            <w:tcW w:w="8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5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9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nine months ended September 30, 2022</w:t>
            </w:r>
          </w:p>
        </w:tc>
      </w:tr>
      <w:tr w:rsidR="00000000">
        <w:trPr>
          <w:jc w:val="center"/>
        </w:trPr>
        <w:tc>
          <w:tcPr>
            <w:tcW w:w="0" w:type="auto"/>
            <w:gridSpan w:val="6"/>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divId w:val="1239900907"/>
        <w:rPr>
          <w:rFonts w:eastAsia="Times New Roman"/>
        </w:rPr>
      </w:pPr>
    </w:p>
    <w:p w:rsidR="00000000" w:rsidRDefault="008214AA">
      <w:pPr>
        <w:jc w:val="center"/>
        <w:divId w:val="168258053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73"/>
        <w:gridCol w:w="36"/>
        <w:gridCol w:w="38"/>
        <w:gridCol w:w="4079"/>
        <w:gridCol w:w="38"/>
        <w:gridCol w:w="121"/>
        <w:gridCol w:w="865"/>
        <w:gridCol w:w="36"/>
        <w:gridCol w:w="121"/>
        <w:gridCol w:w="865"/>
        <w:gridCol w:w="36"/>
        <w:gridCol w:w="121"/>
        <w:gridCol w:w="798"/>
        <w:gridCol w:w="37"/>
        <w:gridCol w:w="36"/>
        <w:gridCol w:w="36"/>
        <w:gridCol w:w="36"/>
        <w:gridCol w:w="120"/>
        <w:gridCol w:w="740"/>
        <w:gridCol w:w="36"/>
      </w:tblGrid>
      <w:tr w:rsidR="00000000">
        <w:trPr>
          <w:divId w:val="1907835063"/>
        </w:trPr>
        <w:tc>
          <w:tcPr>
            <w:tcW w:w="5" w:type="pct"/>
            <w:vAlign w:val="center"/>
            <w:hideMark/>
          </w:tcPr>
          <w:p w:rsidR="00000000" w:rsidRDefault="008214AA">
            <w:pPr>
              <w:jc w:val="center"/>
              <w:rPr>
                <w:rFonts w:eastAsia="Times New Roman"/>
              </w:rPr>
            </w:pPr>
          </w:p>
        </w:tc>
        <w:tc>
          <w:tcPr>
            <w:tcW w:w="8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50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907835063"/>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For the nine months ended September 30, 2021</w:t>
            </w:r>
          </w:p>
        </w:tc>
      </w:tr>
      <w:tr w:rsidR="00000000">
        <w:trPr>
          <w:divId w:val="1907835063"/>
        </w:trPr>
        <w:tc>
          <w:tcPr>
            <w:tcW w:w="0" w:type="auto"/>
            <w:gridSpan w:val="6"/>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07835063"/>
        </w:trPr>
        <w:tc>
          <w:tcPr>
            <w:tcW w:w="0" w:type="auto"/>
            <w:gridSpan w:val="6"/>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Total</w:t>
            </w:r>
          </w:p>
        </w:tc>
      </w:tr>
      <w:tr w:rsidR="00000000">
        <w:trPr>
          <w:divId w:val="1907835063"/>
        </w:trPr>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07835063"/>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07835063"/>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07835063"/>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07835063"/>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07835063"/>
        </w:trPr>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907835063"/>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07835063"/>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07835063"/>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center"/>
        <w:divId w:val="1476796437"/>
        <w:rPr>
          <w:rFonts w:eastAsia="Times New Roman"/>
        </w:rPr>
      </w:pPr>
      <w:r>
        <w:rPr>
          <w:rFonts w:eastAsia="Times New Roman"/>
          <w:color w:val="000000"/>
          <w:sz w:val="20"/>
          <w:szCs w:val="20"/>
        </w:rPr>
        <w:t>37</w:t>
      </w:r>
    </w:p>
    <w:p w:rsidR="00000000" w:rsidRDefault="008214AA">
      <w:pPr>
        <w:rPr>
          <w:rFonts w:eastAsia="Times New Roman"/>
        </w:rPr>
      </w:pPr>
      <w:r>
        <w:rPr>
          <w:rFonts w:eastAsia="Times New Roman"/>
        </w:rPr>
        <w:pict>
          <v:rect id="_x0000_i1062" style="width:0;height:1.5pt" o:hralign="center" o:hrstd="t" o:hr="t" fillcolor="#a0a0a0" stroked="f"/>
        </w:pict>
      </w:r>
    </w:p>
    <w:p w:rsidR="00000000" w:rsidRDefault="008214AA">
      <w:pPr>
        <w:ind w:firstLine="720"/>
        <w:divId w:val="962613537"/>
        <w:rPr>
          <w:rFonts w:eastAsia="Times New Roman"/>
        </w:rPr>
      </w:pPr>
      <w:hyperlink w:anchor="if25b96f30cf14ee1a436e117fec2c043_7" w:history="1">
        <w:r>
          <w:rPr>
            <w:rStyle w:val="a3"/>
            <w:rFonts w:eastAsia="Times New Roman"/>
            <w:sz w:val="16"/>
            <w:szCs w:val="16"/>
          </w:rPr>
          <w:t>Table of Content</w:t>
        </w:r>
      </w:hyperlink>
    </w:p>
    <w:p w:rsidR="00000000" w:rsidRDefault="008214AA">
      <w:pPr>
        <w:jc w:val="center"/>
        <w:divId w:val="171188103"/>
        <w:rPr>
          <w:rFonts w:eastAsia="Times New Roman"/>
        </w:rPr>
      </w:pPr>
      <w:r>
        <w:rPr>
          <w:rFonts w:eastAsia="Times New Roman"/>
          <w:b/>
          <w:bCs/>
          <w:color w:val="000000"/>
          <w:sz w:val="20"/>
          <w:szCs w:val="20"/>
        </w:rPr>
        <w:t>NCR Corporation</w:t>
      </w:r>
    </w:p>
    <w:p w:rsidR="00000000" w:rsidRDefault="008214AA">
      <w:pPr>
        <w:jc w:val="center"/>
        <w:divId w:val="171188103"/>
        <w:rPr>
          <w:rFonts w:eastAsia="Times New Roman"/>
        </w:rPr>
      </w:pPr>
      <w:r>
        <w:rPr>
          <w:rFonts w:eastAsia="Times New Roman"/>
          <w:b/>
          <w:bCs/>
          <w:color w:val="000000"/>
          <w:sz w:val="20"/>
          <w:szCs w:val="20"/>
        </w:rPr>
        <w:t>Notes to Condensed Consolidated Financial Statements (Unaudited)—(Continued)</w:t>
      </w:r>
    </w:p>
    <w:p w:rsidR="00000000" w:rsidRDefault="008214AA">
      <w:pPr>
        <w:divId w:val="184905574"/>
        <w:rPr>
          <w:rFonts w:eastAsia="Times New Roman"/>
        </w:rPr>
      </w:pPr>
      <w:r>
        <w:rPr>
          <w:rFonts w:eastAsia="Times New Roman"/>
          <w:b/>
          <w:bCs/>
          <w:color w:val="54B948"/>
          <w:sz w:val="20"/>
          <w:szCs w:val="20"/>
        </w:rPr>
        <w:t>16. SUPPLEMENTAL FINANCIAL INFORMATION</w:t>
      </w:r>
      <w:r>
        <w:rPr>
          <w:rFonts w:eastAsia="Times New Roman"/>
          <w:b/>
          <w:bCs/>
          <w:color w:val="000000"/>
          <w:sz w:val="20"/>
          <w:szCs w:val="20"/>
        </w:rPr>
        <w:t xml:space="preserve"> </w:t>
      </w:r>
    </w:p>
    <w:p w:rsidR="00000000" w:rsidRDefault="008214AA">
      <w:pPr>
        <w:jc w:val="both"/>
        <w:divId w:val="1185286670"/>
        <w:rPr>
          <w:rFonts w:eastAsia="Times New Roman"/>
        </w:rPr>
      </w:pPr>
      <w:r>
        <w:rPr>
          <w:rFonts w:eastAsia="Times New Roman"/>
          <w:color w:val="000000"/>
          <w:sz w:val="20"/>
          <w:szCs w:val="20"/>
        </w:rPr>
        <w:t>The components of accounts receivable are summarized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10"/>
        <w:gridCol w:w="36"/>
        <w:gridCol w:w="121"/>
        <w:gridCol w:w="1091"/>
        <w:gridCol w:w="36"/>
        <w:gridCol w:w="36"/>
        <w:gridCol w:w="36"/>
        <w:gridCol w:w="36"/>
        <w:gridCol w:w="121"/>
        <w:gridCol w:w="1082"/>
        <w:gridCol w:w="36"/>
      </w:tblGrid>
      <w:tr w:rsidR="00000000">
        <w:trPr>
          <w:divId w:val="1342781508"/>
          <w:jc w:val="center"/>
        </w:trPr>
        <w:tc>
          <w:tcPr>
            <w:tcW w:w="50" w:type="pct"/>
            <w:vAlign w:val="center"/>
            <w:hideMark/>
          </w:tcPr>
          <w:p w:rsidR="00000000" w:rsidRDefault="008214AA">
            <w:pPr>
              <w:jc w:val="both"/>
              <w:rPr>
                <w:rFonts w:eastAsia="Times New Roman"/>
              </w:rPr>
            </w:pPr>
          </w:p>
        </w:tc>
        <w:tc>
          <w:tcPr>
            <w:tcW w:w="341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0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342781508"/>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December 31, 2021</w:t>
            </w:r>
          </w:p>
        </w:tc>
      </w:tr>
      <w:tr w:rsidR="00000000">
        <w:trPr>
          <w:divId w:val="1342781508"/>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Accounts receivable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342781508"/>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Trade</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939 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2781508"/>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2781508"/>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Accounts receivable,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2781508"/>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Less: allowance for credit losses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342781508"/>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accounts receivable,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divId w:val="878857843"/>
        <w:rPr>
          <w:rFonts w:eastAsia="Times New Roman"/>
        </w:rPr>
      </w:pPr>
      <w:r>
        <w:rPr>
          <w:rFonts w:eastAsia="Times New Roman"/>
          <w:color w:val="000000"/>
          <w:sz w:val="20"/>
          <w:szCs w:val="20"/>
        </w:rPr>
        <w:t xml:space="preserve">Our allowance for credit losses as of September 30, 2022 and December 31, 2021 was $29 million and $24 million, respectively. </w:t>
      </w:r>
      <w:r>
        <w:rPr>
          <w:rFonts w:eastAsia="Times New Roman"/>
          <w:color w:val="000000"/>
          <w:sz w:val="20"/>
          <w:szCs w:val="20"/>
          <w:shd w:val="clear" w:color="auto" w:fill="FFFFFF"/>
        </w:rPr>
        <w:t>The impact to our allowance for credit lo</w:t>
      </w:r>
      <w:r>
        <w:rPr>
          <w:rFonts w:eastAsia="Times New Roman"/>
          <w:color w:val="000000"/>
          <w:sz w:val="20"/>
          <w:szCs w:val="20"/>
        </w:rPr>
        <w:t xml:space="preserve">sses for the three and nine months ended September 30, 2022 was an expense of $7 million </w:t>
      </w:r>
      <w:r>
        <w:rPr>
          <w:rFonts w:eastAsia="Times New Roman"/>
          <w:color w:val="000000"/>
          <w:sz w:val="20"/>
          <w:szCs w:val="20"/>
        </w:rPr>
        <w:t>and $15 million, respectively. We continue to evaluate our reserves in light of the age and quality of our outstanding accounts receivable, risks to specific industries or countries, as well as the COVID-19 pandemic, and adjust the reserves accordingly. Th</w:t>
      </w:r>
      <w:r>
        <w:rPr>
          <w:rFonts w:eastAsia="Times New Roman"/>
          <w:color w:val="000000"/>
          <w:sz w:val="20"/>
          <w:szCs w:val="20"/>
        </w:rPr>
        <w:t>e impact to our allowance for credit losses for the the three months ended September 30, 2021 was a benefit of $2 million and for the nine months ended September 30, 2021 was an expense of $1 million. The Company recorded write-offs against the reserve for</w:t>
      </w:r>
      <w:r>
        <w:rPr>
          <w:rFonts w:eastAsia="Times New Roman"/>
          <w:color w:val="000000"/>
          <w:sz w:val="20"/>
          <w:szCs w:val="20"/>
        </w:rPr>
        <w:t xml:space="preserve"> the three months ended September 30, 2022 and 2021 of $4 million and $7 million, respectively. The Company recorded write-offs against the reserve for the nine months ended September 30, 2022 and 2021 of $10 million and $21 million, respectively.</w:t>
      </w:r>
    </w:p>
    <w:p w:rsidR="00000000" w:rsidRDefault="008214AA">
      <w:pPr>
        <w:divId w:val="112287324"/>
        <w:rPr>
          <w:rFonts w:eastAsia="Times New Roman"/>
        </w:rPr>
      </w:pPr>
      <w:r>
        <w:rPr>
          <w:rFonts w:eastAsia="Times New Roman"/>
          <w:color w:val="000000"/>
          <w:sz w:val="20"/>
          <w:szCs w:val="20"/>
        </w:rPr>
        <w:t>The components of inventory are summarized as follows:</w:t>
      </w:r>
    </w:p>
    <w:tbl>
      <w:tblPr>
        <w:tblW w:w="4985" w:type="pct"/>
        <w:tblCellMar>
          <w:top w:w="15" w:type="dxa"/>
          <w:left w:w="15" w:type="dxa"/>
          <w:bottom w:w="15" w:type="dxa"/>
          <w:right w:w="15" w:type="dxa"/>
        </w:tblCellMar>
        <w:tblLook w:val="04A0" w:firstRow="1" w:lastRow="0" w:firstColumn="1" w:lastColumn="0" w:noHBand="0" w:noVBand="1"/>
      </w:tblPr>
      <w:tblGrid>
        <w:gridCol w:w="40"/>
        <w:gridCol w:w="5610"/>
        <w:gridCol w:w="36"/>
        <w:gridCol w:w="121"/>
        <w:gridCol w:w="1091"/>
        <w:gridCol w:w="36"/>
        <w:gridCol w:w="36"/>
        <w:gridCol w:w="36"/>
        <w:gridCol w:w="36"/>
        <w:gridCol w:w="121"/>
        <w:gridCol w:w="1082"/>
        <w:gridCol w:w="36"/>
      </w:tblGrid>
      <w:tr w:rsidR="00000000">
        <w:trPr>
          <w:divId w:val="112287324"/>
        </w:trPr>
        <w:tc>
          <w:tcPr>
            <w:tcW w:w="50" w:type="pct"/>
            <w:vAlign w:val="center"/>
            <w:hideMark/>
          </w:tcPr>
          <w:p w:rsidR="00000000" w:rsidRDefault="008214AA">
            <w:pPr>
              <w:rPr>
                <w:rFonts w:eastAsia="Times New Roman"/>
              </w:rPr>
            </w:pPr>
          </w:p>
        </w:tc>
        <w:tc>
          <w:tcPr>
            <w:tcW w:w="341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8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0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12287324"/>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December 31, 2021</w:t>
            </w:r>
          </w:p>
        </w:tc>
      </w:tr>
      <w:tr w:rsidR="00000000">
        <w:trPr>
          <w:divId w:val="112287324"/>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12287324"/>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Work in process and raw materials</w:t>
            </w: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2287324"/>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2287324"/>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parts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12287324"/>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8214AA">
            <w:pPr>
              <w:spacing w:after="100"/>
              <w:jc w:val="right"/>
              <w:rPr>
                <w:rFonts w:eastAsia="Times New Roman"/>
              </w:rPr>
            </w:pPr>
            <w:r>
              <w:rPr>
                <w:rFonts w:eastAsia="Times New Roman"/>
                <w:color w:val="000000"/>
                <w:sz w:val="20"/>
                <w:szCs w:val="20"/>
              </w:rPr>
              <w:t>754 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8214AA">
            <w:pPr>
              <w:spacing w:after="100"/>
              <w:jc w:val="right"/>
              <w:rPr>
                <w:rFonts w:eastAsia="Times New Roman"/>
              </w:rPr>
            </w:pPr>
          </w:p>
        </w:tc>
      </w:tr>
    </w:tbl>
    <w:p w:rsidR="00000000" w:rsidRDefault="008214AA">
      <w:pPr>
        <w:divId w:val="344674491"/>
        <w:rPr>
          <w:rFonts w:eastAsia="Times New Roman"/>
        </w:rPr>
      </w:pPr>
    </w:p>
    <w:p w:rsidR="00000000" w:rsidRDefault="008214AA">
      <w:pPr>
        <w:jc w:val="center"/>
        <w:divId w:val="618416239"/>
        <w:rPr>
          <w:rFonts w:eastAsia="Times New Roman"/>
        </w:rPr>
      </w:pPr>
      <w:r>
        <w:rPr>
          <w:rFonts w:eastAsia="Times New Roman"/>
          <w:color w:val="000000"/>
          <w:sz w:val="20"/>
          <w:szCs w:val="20"/>
        </w:rPr>
        <w:t>38</w:t>
      </w:r>
    </w:p>
    <w:p w:rsidR="00000000" w:rsidRDefault="008214AA">
      <w:pPr>
        <w:rPr>
          <w:rFonts w:eastAsia="Times New Roman"/>
        </w:rPr>
      </w:pPr>
      <w:r>
        <w:rPr>
          <w:rFonts w:eastAsia="Times New Roman"/>
        </w:rPr>
        <w:pict>
          <v:rect id="_x0000_i1063" style="width:0;height:1.5pt" o:hralign="center" o:hrstd="t" o:hr="t" fillcolor="#a0a0a0" stroked="f"/>
        </w:pict>
      </w:r>
    </w:p>
    <w:p w:rsidR="00000000" w:rsidRDefault="008214AA">
      <w:pPr>
        <w:divId w:val="1566375982"/>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ind w:hanging="1170"/>
        <w:divId w:val="479932483"/>
        <w:rPr>
          <w:rFonts w:eastAsia="Times New Roman"/>
        </w:rPr>
      </w:pPr>
      <w:r>
        <w:rPr>
          <w:rFonts w:eastAsia="Times New Roman"/>
          <w:b/>
          <w:bCs/>
          <w:color w:val="000000"/>
          <w:sz w:val="20"/>
          <w:szCs w:val="20"/>
        </w:rPr>
        <w:t>Item 2.    </w:t>
      </w:r>
      <w:r>
        <w:rPr>
          <w:rFonts w:eastAsia="Times New Roman"/>
          <w:b/>
          <w:bCs/>
          <w:color w:val="000000"/>
          <w:sz w:val="20"/>
          <w:szCs w:val="20"/>
        </w:rPr>
        <w:t>MANAGEMENT'S DISCUSSION AND ANALYSIS OF FINANCIAL CONDITION AND RESULTS OF OPERATIONS (</w:t>
      </w:r>
      <w:r>
        <w:rPr>
          <w:rFonts w:eastAsia="Times New Roman"/>
          <w:color w:val="000000"/>
          <w:sz w:val="20"/>
          <w:szCs w:val="20"/>
        </w:rPr>
        <w:t>“</w:t>
      </w:r>
      <w:r>
        <w:rPr>
          <w:rFonts w:eastAsia="Times New Roman"/>
          <w:b/>
          <w:bCs/>
          <w:color w:val="000000"/>
          <w:sz w:val="20"/>
          <w:szCs w:val="20"/>
        </w:rPr>
        <w:t>MD&amp;A</w:t>
      </w:r>
      <w:r>
        <w:rPr>
          <w:rFonts w:eastAsia="Times New Roman"/>
          <w:color w:val="000000"/>
          <w:sz w:val="20"/>
          <w:szCs w:val="20"/>
        </w:rPr>
        <w:t>”</w:t>
      </w:r>
      <w:r>
        <w:rPr>
          <w:rFonts w:eastAsia="Times New Roman"/>
          <w:b/>
          <w:bCs/>
          <w:color w:val="000000"/>
          <w:sz w:val="20"/>
          <w:szCs w:val="20"/>
        </w:rPr>
        <w:t>)</w:t>
      </w:r>
    </w:p>
    <w:p w:rsidR="00000000" w:rsidRDefault="008214AA">
      <w:pPr>
        <w:jc w:val="both"/>
        <w:divId w:val="32078149"/>
        <w:rPr>
          <w:rFonts w:eastAsia="Times New Roman"/>
        </w:rPr>
      </w:pPr>
      <w:r>
        <w:rPr>
          <w:rFonts w:eastAsia="Times New Roman"/>
          <w:color w:val="000000"/>
          <w:sz w:val="20"/>
          <w:szCs w:val="20"/>
        </w:rPr>
        <w:t>The following discussion should be read in conjunction with the Condensed Consolidated Financial Statements and notes thereto included under Item 1. Financial St</w:t>
      </w:r>
      <w:r>
        <w:rPr>
          <w:rFonts w:eastAsia="Times New Roman"/>
          <w:color w:val="000000"/>
          <w:sz w:val="20"/>
          <w:szCs w:val="20"/>
        </w:rPr>
        <w:t xml:space="preserve">atements of this Form 10-Q and our Consolidated Financial Statements and notes thereto and related Management’s Discussion and Analysis of Financial Condition and Results of Operations included in our Annual Report on Form 10-K for the year ended December </w:t>
      </w:r>
      <w:r>
        <w:rPr>
          <w:rFonts w:eastAsia="Times New Roman"/>
          <w:color w:val="000000"/>
          <w:sz w:val="20"/>
          <w:szCs w:val="20"/>
        </w:rPr>
        <w:t>31, 2021 (the “2021 Form 10-K”).</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Our discussion within MD&amp;A is organized as follows: </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Overview. </w:t>
      </w:r>
      <w:r>
        <w:rPr>
          <w:rFonts w:eastAsia="Times New Roman"/>
          <w:color w:val="000000"/>
          <w:sz w:val="20"/>
          <w:szCs w:val="20"/>
        </w:rPr>
        <w:t>This section contains background information on our company, summary of significant themes and events during the quarter as well as strategic initiatives a</w:t>
      </w:r>
      <w:r>
        <w:rPr>
          <w:rFonts w:eastAsia="Times New Roman"/>
          <w:color w:val="000000"/>
          <w:sz w:val="20"/>
          <w:szCs w:val="20"/>
        </w:rPr>
        <w:t>nd trends in order to provide context for management’s discussion and analysis of our financial condition and results of operations.</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color w:val="000000"/>
          <w:sz w:val="20"/>
          <w:szCs w:val="20"/>
        </w:rPr>
        <w:t>•</w:t>
      </w:r>
      <w:r>
        <w:rPr>
          <w:rFonts w:eastAsia="Times New Roman"/>
          <w:i/>
          <w:iCs/>
          <w:color w:val="000000"/>
          <w:sz w:val="20"/>
          <w:szCs w:val="20"/>
        </w:rPr>
        <w:t>Results of operations.</w:t>
      </w:r>
      <w:r>
        <w:rPr>
          <w:rFonts w:eastAsia="Times New Roman"/>
          <w:color w:val="000000"/>
          <w:sz w:val="20"/>
          <w:szCs w:val="20"/>
        </w:rPr>
        <w:t xml:space="preserve"> This section contains an analysis of our results of operations presented in the accompanying cond</w:t>
      </w:r>
      <w:r>
        <w:rPr>
          <w:rFonts w:eastAsia="Times New Roman"/>
          <w:color w:val="000000"/>
          <w:sz w:val="20"/>
          <w:szCs w:val="20"/>
        </w:rPr>
        <w:t>ensed consolidated statements of income by comparing the results for the three and nine months ended September 30, 2022 to the results for the three and nine months ended September 30, 2021.</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color w:val="000000"/>
          <w:sz w:val="20"/>
          <w:szCs w:val="20"/>
        </w:rPr>
        <w:t>•</w:t>
      </w:r>
      <w:r>
        <w:rPr>
          <w:rFonts w:eastAsia="Times New Roman"/>
          <w:i/>
          <w:iCs/>
          <w:color w:val="000000"/>
          <w:sz w:val="20"/>
          <w:szCs w:val="20"/>
        </w:rPr>
        <w:t>Liquidity and capital resources.</w:t>
      </w:r>
      <w:r>
        <w:rPr>
          <w:rFonts w:eastAsia="Times New Roman"/>
          <w:color w:val="000000"/>
          <w:sz w:val="20"/>
          <w:szCs w:val="20"/>
        </w:rPr>
        <w:t xml:space="preserve"> This section provides an anal</w:t>
      </w:r>
      <w:r>
        <w:rPr>
          <w:rFonts w:eastAsia="Times New Roman"/>
          <w:color w:val="000000"/>
          <w:sz w:val="20"/>
          <w:szCs w:val="20"/>
        </w:rPr>
        <w:t>ysis of our cash flows and a discussion of our contractual obligations at September 30, 2022.</w:t>
      </w:r>
    </w:p>
    <w:p w:rsidR="00000000" w:rsidRDefault="008214AA">
      <w:pPr>
        <w:jc w:val="both"/>
        <w:rPr>
          <w:rFonts w:eastAsia="Times New Roman"/>
        </w:rPr>
      </w:pPr>
    </w:p>
    <w:p w:rsidR="00000000" w:rsidRDefault="008214AA">
      <w:pPr>
        <w:jc w:val="both"/>
        <w:rPr>
          <w:rFonts w:eastAsia="Times New Roman"/>
        </w:rPr>
      </w:pPr>
    </w:p>
    <w:p w:rsidR="00000000" w:rsidRDefault="008214AA">
      <w:pPr>
        <w:ind w:hanging="720"/>
        <w:divId w:val="1978293949"/>
        <w:rPr>
          <w:rFonts w:eastAsia="Times New Roman"/>
        </w:rPr>
      </w:pPr>
    </w:p>
    <w:p w:rsidR="00000000" w:rsidRDefault="008214AA">
      <w:pPr>
        <w:ind w:hanging="720"/>
        <w:jc w:val="both"/>
        <w:rPr>
          <w:rFonts w:eastAsia="Times New Roman"/>
        </w:rPr>
      </w:pPr>
      <w:r>
        <w:rPr>
          <w:rFonts w:eastAsia="Times New Roman"/>
          <w:b/>
          <w:bCs/>
          <w:color w:val="000000"/>
          <w:sz w:val="20"/>
          <w:szCs w:val="20"/>
        </w:rPr>
        <w:t>OVERVIEW</w:t>
      </w:r>
    </w:p>
    <w:p w:rsidR="00000000" w:rsidRDefault="008214AA">
      <w:pPr>
        <w:ind w:hanging="720"/>
        <w:jc w:val="both"/>
        <w:rPr>
          <w:rFonts w:eastAsia="Times New Roman"/>
        </w:rPr>
      </w:pPr>
    </w:p>
    <w:p w:rsidR="00000000" w:rsidRDefault="008214AA">
      <w:pPr>
        <w:jc w:val="both"/>
        <w:rPr>
          <w:rFonts w:eastAsia="Times New Roman"/>
        </w:rPr>
      </w:pPr>
      <w:r>
        <w:rPr>
          <w:rFonts w:eastAsia="Times New Roman"/>
          <w:b/>
          <w:bCs/>
          <w:i/>
          <w:iCs/>
          <w:color w:val="000000"/>
          <w:sz w:val="20"/>
          <w:szCs w:val="20"/>
        </w:rPr>
        <w:t>BUSINESS OVERVIEW</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NCR Corporation (“NCR”, the “Company”, “we” or “us”) was originally incorporated in 1884 and is a software- and services-led </w:t>
      </w:r>
      <w:r>
        <w:rPr>
          <w:rFonts w:eastAsia="Times New Roman"/>
          <w:color w:val="000000"/>
          <w:sz w:val="20"/>
          <w:szCs w:val="20"/>
        </w:rPr>
        <w:t>enterprise technology provider that runs stores, restaurants and self-directed banking for our customers, which includes businesses of all sizes. NCR is a global company that is headquartered in Atlanta, Georgia. Our software platform, which runs in the cl</w:t>
      </w:r>
      <w:r>
        <w:rPr>
          <w:rFonts w:eastAsia="Times New Roman"/>
          <w:color w:val="000000"/>
          <w:sz w:val="20"/>
          <w:szCs w:val="20"/>
        </w:rPr>
        <w:t>oud and includes microservices and APIs that integrate with our customers' systems, and our NCR-as-a-Service solutions bring together all of the capabilities and competencies of NCR to power the technology to run our customers’ operations. Our portfolio in</w:t>
      </w:r>
      <w:r>
        <w:rPr>
          <w:rFonts w:eastAsia="Times New Roman"/>
          <w:color w:val="000000"/>
          <w:sz w:val="20"/>
          <w:szCs w:val="20"/>
        </w:rPr>
        <w:t>cludes digital first software and services offerings for banking, retailers and restaurants, as well as payments processing and networks, multi-vendor connected device services, automated teller machines (“ATMs”), self-checkout (“SCO”), point of sale (“POS</w:t>
      </w:r>
      <w:r>
        <w:rPr>
          <w:rFonts w:eastAsia="Times New Roman"/>
          <w:color w:val="000000"/>
          <w:sz w:val="20"/>
          <w:szCs w:val="20"/>
        </w:rPr>
        <w:t>”) terminals and other self-service technologies. We also resell third-party networking products and provide related service offerings in the telecommunications and technology sector. Our solutions are designed to support our transition to becoming a softw</w:t>
      </w:r>
      <w:r>
        <w:rPr>
          <w:rFonts w:eastAsia="Times New Roman"/>
          <w:color w:val="000000"/>
          <w:sz w:val="20"/>
          <w:szCs w:val="20"/>
        </w:rPr>
        <w:t>are platform and payments company.</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Effective January 1, 2022, the Company realigned its reportable segments to correspond with changes to its operating model, management structure and organizational responsibilities. The reportable segments effective Jan</w:t>
      </w:r>
      <w:r>
        <w:rPr>
          <w:rFonts w:eastAsia="Times New Roman"/>
          <w:color w:val="000000"/>
          <w:sz w:val="20"/>
          <w:szCs w:val="20"/>
        </w:rPr>
        <w:t>uary 1, 2022 include: Retail, Hospitality, Digital Banking, Payments &amp; Network, and Self-Service Banking.</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i/>
          <w:iCs/>
          <w:color w:val="000000"/>
          <w:sz w:val="20"/>
          <w:szCs w:val="20"/>
        </w:rPr>
        <w:t>•Retail</w:t>
      </w:r>
      <w:r>
        <w:rPr>
          <w:rFonts w:eastAsia="Times New Roman"/>
          <w:color w:val="000000"/>
          <w:sz w:val="20"/>
          <w:szCs w:val="20"/>
        </w:rPr>
        <w:t xml:space="preserve"> - We offer software-led solutions to customers in the retail industry, leading with digital to connect retail operations end to end to integ</w:t>
      </w:r>
      <w:r>
        <w:rPr>
          <w:rFonts w:eastAsia="Times New Roman"/>
          <w:color w:val="000000"/>
          <w:sz w:val="20"/>
          <w:szCs w:val="20"/>
        </w:rPr>
        <w:t>rate all aspects of a customer’s operations in indoor and outdoor settings from POS, to payments, inventory management, fraud and loss prevention applications, loyalty and consumer engagement. These solutions include retail-oriented technologies such as co</w:t>
      </w:r>
      <w:r>
        <w:rPr>
          <w:rFonts w:eastAsia="Times New Roman"/>
          <w:color w:val="000000"/>
          <w:sz w:val="20"/>
          <w:szCs w:val="20"/>
        </w:rPr>
        <w:t>mprehensive API-point of sale retail software platforms and applications, hardware terminals, self-service kiosks including self-checkout ("SCO"), payment processing solutions, and bar-code scanners.</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color w:val="000000"/>
          <w:sz w:val="20"/>
          <w:szCs w:val="20"/>
        </w:rPr>
        <w:t>•</w:t>
      </w:r>
      <w:r>
        <w:rPr>
          <w:rFonts w:eastAsia="Times New Roman"/>
          <w:i/>
          <w:iCs/>
          <w:color w:val="000000"/>
          <w:sz w:val="20"/>
          <w:szCs w:val="20"/>
        </w:rPr>
        <w:t>Hospitality</w:t>
      </w:r>
      <w:r>
        <w:rPr>
          <w:rFonts w:eastAsia="Times New Roman"/>
          <w:color w:val="000000"/>
          <w:sz w:val="20"/>
          <w:szCs w:val="20"/>
        </w:rPr>
        <w:t xml:space="preserve"> </w:t>
      </w:r>
      <w:r>
        <w:rPr>
          <w:rFonts w:eastAsia="Times New Roman"/>
          <w:color w:val="000000"/>
          <w:sz w:val="20"/>
          <w:szCs w:val="20"/>
        </w:rPr>
        <w:t>- We offer technology solutions to customers in the hospitality industry, including table-service, quick-service and fast casual restaurants of all sizes, that are designed to improve operational efficiency, increase customer satisfaction, streamline order</w:t>
      </w:r>
      <w:r>
        <w:rPr>
          <w:rFonts w:eastAsia="Times New Roman"/>
          <w:color w:val="000000"/>
          <w:sz w:val="20"/>
          <w:szCs w:val="20"/>
        </w:rPr>
        <w:t xml:space="preserve"> and transaction processing and reduce operating costs. Our solutions include POS hardware and software solutions, installation, maintenance, managed and professional services as well as payment processing solutions.</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color w:val="0E101A"/>
          <w:sz w:val="20"/>
          <w:szCs w:val="20"/>
        </w:rPr>
        <w:t>•</w:t>
      </w:r>
      <w:r>
        <w:rPr>
          <w:rFonts w:eastAsia="Times New Roman"/>
          <w:i/>
          <w:iCs/>
          <w:color w:val="000000"/>
          <w:sz w:val="20"/>
          <w:szCs w:val="20"/>
        </w:rPr>
        <w:t>Digital Banking</w:t>
      </w:r>
      <w:r>
        <w:rPr>
          <w:rFonts w:eastAsia="Times New Roman"/>
          <w:color w:val="000000"/>
          <w:sz w:val="20"/>
          <w:szCs w:val="20"/>
        </w:rPr>
        <w:t xml:space="preserve"> - NCR Digital Bankin</w:t>
      </w:r>
      <w:r>
        <w:rPr>
          <w:rFonts w:eastAsia="Times New Roman"/>
          <w:color w:val="000000"/>
          <w:sz w:val="20"/>
          <w:szCs w:val="20"/>
        </w:rPr>
        <w:t>g helps financial institutions implement their digital-first platform strategy by providing solutions for account opening, account management, transaction processing, imaging, and branch services to enable financial institutions to offer a compelling custo</w:t>
      </w:r>
      <w:r>
        <w:rPr>
          <w:rFonts w:eastAsia="Times New Roman"/>
          <w:color w:val="000000"/>
          <w:sz w:val="20"/>
          <w:szCs w:val="20"/>
        </w:rPr>
        <w:t xml:space="preserve">mer experience. </w:t>
      </w:r>
    </w:p>
    <w:p w:rsidR="00000000" w:rsidRDefault="008214AA">
      <w:pPr>
        <w:jc w:val="center"/>
        <w:divId w:val="586351745"/>
        <w:rPr>
          <w:rFonts w:eastAsia="Times New Roman"/>
        </w:rPr>
      </w:pPr>
      <w:r>
        <w:rPr>
          <w:rFonts w:eastAsia="Times New Roman"/>
          <w:color w:val="000000"/>
          <w:sz w:val="20"/>
          <w:szCs w:val="20"/>
        </w:rPr>
        <w:t>39</w:t>
      </w:r>
    </w:p>
    <w:p w:rsidR="00000000" w:rsidRDefault="008214AA">
      <w:pPr>
        <w:rPr>
          <w:rFonts w:eastAsia="Times New Roman"/>
        </w:rPr>
      </w:pPr>
      <w:r>
        <w:rPr>
          <w:rFonts w:eastAsia="Times New Roman"/>
        </w:rPr>
        <w:pict>
          <v:rect id="_x0000_i1064" style="width:0;height:1.5pt" o:hralign="center" o:hrstd="t" o:hr="t" fillcolor="#a0a0a0" stroked="f"/>
        </w:pict>
      </w:r>
    </w:p>
    <w:p w:rsidR="00000000" w:rsidRDefault="008214AA">
      <w:pPr>
        <w:divId w:val="1468670611"/>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p>
    <w:p w:rsidR="00000000" w:rsidRDefault="008214AA">
      <w:pPr>
        <w:ind w:hanging="360"/>
        <w:jc w:val="both"/>
        <w:rPr>
          <w:rFonts w:eastAsia="Times New Roman"/>
        </w:rPr>
      </w:pPr>
      <w:r>
        <w:rPr>
          <w:rFonts w:eastAsia="Times New Roman"/>
          <w:i/>
          <w:iCs/>
          <w:color w:val="000000"/>
          <w:sz w:val="20"/>
          <w:szCs w:val="20"/>
        </w:rPr>
        <w:t>•Payments &amp; Network</w:t>
      </w:r>
      <w:r>
        <w:rPr>
          <w:rFonts w:eastAsia="Times New Roman"/>
          <w:color w:val="000000"/>
          <w:sz w:val="20"/>
          <w:szCs w:val="20"/>
        </w:rPr>
        <w:t xml:space="preserve"> - </w:t>
      </w:r>
      <w:r>
        <w:rPr>
          <w:rFonts w:eastAsia="Times New Roman"/>
          <w:color w:val="0E101A"/>
          <w:sz w:val="20"/>
          <w:szCs w:val="20"/>
        </w:rPr>
        <w:t>We provide a cost-eff</w:t>
      </w:r>
      <w:r>
        <w:rPr>
          <w:rFonts w:eastAsia="Times New Roman"/>
          <w:color w:val="0E101A"/>
          <w:sz w:val="20"/>
          <w:szCs w:val="20"/>
        </w:rPr>
        <w:t xml:space="preserve">ective way for financial institutions, fintechs, and neobanks to reach and serve their customers through our network of automated teller machines ("ATMs") and multi-functioning financial services kiosks. </w:t>
      </w:r>
      <w:r>
        <w:rPr>
          <w:rFonts w:eastAsia="Times New Roman"/>
          <w:color w:val="000000"/>
          <w:sz w:val="20"/>
          <w:szCs w:val="20"/>
        </w:rPr>
        <w:t>We offer credit unions, banks, digital banks, fintec</w:t>
      </w:r>
      <w:r>
        <w:rPr>
          <w:rFonts w:eastAsia="Times New Roman"/>
          <w:color w:val="000000"/>
          <w:sz w:val="20"/>
          <w:szCs w:val="20"/>
        </w:rPr>
        <w:t>hs, stored-value debit card issuers, and other consumer financial services providers access to our Allpoint retail-based ATM network, providing convenient and fee-free cash withdrawal and deposit access to their customers and cardholders as well as</w:t>
      </w:r>
      <w:r>
        <w:rPr>
          <w:rFonts w:eastAsia="Times New Roman"/>
          <w:color w:val="0E101A"/>
          <w:sz w:val="20"/>
          <w:szCs w:val="20"/>
        </w:rPr>
        <w:t xml:space="preserve"> the abi</w:t>
      </w:r>
      <w:r>
        <w:rPr>
          <w:rFonts w:eastAsia="Times New Roman"/>
          <w:color w:val="0E101A"/>
          <w:sz w:val="20"/>
          <w:szCs w:val="20"/>
        </w:rPr>
        <w:t xml:space="preserve">lity to convert a digital value to cash, or vice versa, via NCRPay360. We also provide ATM branding, management and services to financial institutions and businesses. </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color w:val="000000"/>
          <w:sz w:val="20"/>
          <w:szCs w:val="20"/>
        </w:rPr>
        <w:t>•</w:t>
      </w:r>
      <w:r>
        <w:rPr>
          <w:rFonts w:eastAsia="Times New Roman"/>
          <w:i/>
          <w:iCs/>
          <w:color w:val="000000"/>
          <w:sz w:val="20"/>
          <w:szCs w:val="20"/>
        </w:rPr>
        <w:t>Self-Service Banking</w:t>
      </w:r>
      <w:r>
        <w:rPr>
          <w:rFonts w:eastAsia="Times New Roman"/>
          <w:color w:val="000000"/>
          <w:sz w:val="20"/>
          <w:szCs w:val="20"/>
        </w:rPr>
        <w:t xml:space="preserve"> - We offer solutions to enable customers in the financial servic</w:t>
      </w:r>
      <w:r>
        <w:rPr>
          <w:rFonts w:eastAsia="Times New Roman"/>
          <w:color w:val="000000"/>
          <w:sz w:val="20"/>
          <w:szCs w:val="20"/>
        </w:rPr>
        <w:t xml:space="preserve">es industry to reduce costs, generate new revenue streams and enhance customer loyalty. These solutions include a comprehensive line of ATM hardware and software, and related installation, maintenance, and managed and professional services.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Corporate an</w:t>
      </w:r>
      <w:r>
        <w:rPr>
          <w:rFonts w:eastAsia="Times New Roman"/>
          <w:color w:val="000000"/>
          <w:sz w:val="20"/>
          <w:szCs w:val="20"/>
        </w:rPr>
        <w:t>d Other includes income and expenses related to corporate functions that are not specifically attributable to an individual reportable segment along with any immaterial operating segment(s).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Eliminations include revenues from contracts with customers and</w:t>
      </w:r>
      <w:r>
        <w:rPr>
          <w:rFonts w:eastAsia="Times New Roman"/>
          <w:color w:val="000000"/>
          <w:sz w:val="20"/>
          <w:szCs w:val="20"/>
        </w:rPr>
        <w:t xml:space="preserve"> the related costs that are reported in the Payments &amp; Network segment as well as in the Retail or Hospitality segments, including merchant acquiring services that are monetized via payments.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NCR’s reputation is founded upon over 137 years of providing q</w:t>
      </w:r>
      <w:r>
        <w:rPr>
          <w:rFonts w:eastAsia="Times New Roman"/>
          <w:color w:val="000000"/>
          <w:sz w:val="20"/>
          <w:szCs w:val="20"/>
        </w:rPr>
        <w:t xml:space="preserve">uality products, services and solutions to our customers. At the heart of our customer and other business relationships is a commitment to acting responsibly, ethically and with the highest level of integrity. This commitment is reflected in NCR’s Code of </w:t>
      </w:r>
      <w:r>
        <w:rPr>
          <w:rFonts w:eastAsia="Times New Roman"/>
          <w:color w:val="000000"/>
          <w:sz w:val="20"/>
          <w:szCs w:val="20"/>
        </w:rPr>
        <w:t>Conduct, which is available on the Corporate Governance page of our website.</w:t>
      </w:r>
    </w:p>
    <w:p w:rsidR="00000000" w:rsidRDefault="008214AA">
      <w:pPr>
        <w:jc w:val="both"/>
        <w:rPr>
          <w:rFonts w:eastAsia="Times New Roman"/>
        </w:rPr>
      </w:pPr>
      <w:r>
        <w:rPr>
          <w:rFonts w:eastAsia="Times New Roman"/>
          <w:b/>
          <w:bCs/>
          <w:i/>
          <w:iCs/>
          <w:color w:val="000000"/>
          <w:sz w:val="20"/>
          <w:szCs w:val="20"/>
        </w:rPr>
        <w:t>SIGNIFICANT THEMES AND EVENTS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As more fully discussed in later sections of this MD&amp;A, the following were significant themes and events for the third quarter of 2022.</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color w:val="000000"/>
          <w:sz w:val="20"/>
          <w:szCs w:val="20"/>
        </w:rPr>
        <w:t xml:space="preserve">•Revenue </w:t>
      </w:r>
      <w:r>
        <w:rPr>
          <w:rFonts w:eastAsia="Times New Roman"/>
          <w:color w:val="000000"/>
          <w:sz w:val="20"/>
          <w:szCs w:val="20"/>
        </w:rPr>
        <w:t>of $1,972 million, up 4% compared to the prior year period, and up 8% excluding foreign currency impacts</w:t>
      </w:r>
    </w:p>
    <w:p w:rsidR="00000000" w:rsidRDefault="008214AA">
      <w:pPr>
        <w:ind w:hanging="360"/>
        <w:jc w:val="both"/>
        <w:rPr>
          <w:rFonts w:eastAsia="Times New Roman"/>
        </w:rPr>
      </w:pPr>
      <w:r>
        <w:rPr>
          <w:rFonts w:eastAsia="Times New Roman"/>
          <w:color w:val="000000"/>
          <w:sz w:val="20"/>
          <w:szCs w:val="20"/>
        </w:rPr>
        <w:t>•Strong performance despite numerous external macro factors, such as rising interest rates, the effects of the strong U.S. dollar, supply-chain challen</w:t>
      </w:r>
      <w:r>
        <w:rPr>
          <w:rFonts w:eastAsia="Times New Roman"/>
          <w:color w:val="000000"/>
          <w:sz w:val="20"/>
          <w:szCs w:val="20"/>
        </w:rPr>
        <w:t>ges, and high component costs that continue to impact quarterly results</w:t>
      </w:r>
    </w:p>
    <w:p w:rsidR="00000000" w:rsidRDefault="008214AA">
      <w:pPr>
        <w:ind w:hanging="360"/>
        <w:jc w:val="both"/>
        <w:rPr>
          <w:rFonts w:eastAsia="Times New Roman"/>
        </w:rPr>
      </w:pPr>
      <w:r>
        <w:rPr>
          <w:rFonts w:eastAsia="Times New Roman"/>
          <w:color w:val="000000"/>
          <w:sz w:val="20"/>
          <w:szCs w:val="20"/>
        </w:rPr>
        <w:t>•Continued strength in strategic initiatives</w:t>
      </w:r>
    </w:p>
    <w:p w:rsidR="00000000" w:rsidRDefault="008214AA">
      <w:pPr>
        <w:ind w:hanging="360"/>
        <w:jc w:val="both"/>
        <w:rPr>
          <w:rFonts w:eastAsia="Times New Roman"/>
        </w:rPr>
      </w:pPr>
      <w:r>
        <w:rPr>
          <w:rFonts w:eastAsia="Times New Roman"/>
          <w:color w:val="000000"/>
          <w:sz w:val="20"/>
          <w:szCs w:val="20"/>
        </w:rPr>
        <w:t>•Planned separation of NCR into two independent, publicly traded companies was announced on September 15, 2022</w:t>
      </w:r>
    </w:p>
    <w:p w:rsidR="00000000" w:rsidRDefault="008214AA">
      <w:pPr>
        <w:jc w:val="both"/>
        <w:divId w:val="580216662"/>
        <w:rPr>
          <w:rFonts w:eastAsia="Times New Roman"/>
        </w:rPr>
      </w:pPr>
    </w:p>
    <w:p w:rsidR="00000000" w:rsidRDefault="008214AA">
      <w:pPr>
        <w:jc w:val="both"/>
        <w:rPr>
          <w:rFonts w:eastAsia="Times New Roman"/>
        </w:rPr>
      </w:pPr>
      <w:r>
        <w:rPr>
          <w:rFonts w:eastAsia="Times New Roman"/>
          <w:b/>
          <w:bCs/>
          <w:i/>
          <w:iCs/>
          <w:color w:val="000000"/>
          <w:sz w:val="20"/>
          <w:szCs w:val="20"/>
        </w:rPr>
        <w:t xml:space="preserve">STRATEGIC INITIATIVES AND </w:t>
      </w:r>
      <w:r>
        <w:rPr>
          <w:rFonts w:eastAsia="Times New Roman"/>
          <w:b/>
          <w:bCs/>
          <w:i/>
          <w:iCs/>
          <w:color w:val="000000"/>
          <w:sz w:val="20"/>
          <w:szCs w:val="20"/>
        </w:rPr>
        <w:t>TRENDS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 order to provide long-term value to all our stakeholders, we set complementary business goals and financial strategies. NCR is continuing its transition to become a software platform and payments company with a shift to a higher level of recurring reven</w:t>
      </w:r>
      <w:r>
        <w:rPr>
          <w:rFonts w:eastAsia="Times New Roman"/>
          <w:color w:val="000000"/>
          <w:sz w:val="20"/>
          <w:szCs w:val="20"/>
        </w:rPr>
        <w:t>ue. Our business goal is to be a leading enterprise technology provider that runs stores, restaurants and self-directed banking through our software platform and our NCR-as-a-Service solutions. Execution of our goals and strategy is driven by the following</w:t>
      </w:r>
      <w:r>
        <w:rPr>
          <w:rFonts w:eastAsia="Times New Roman"/>
          <w:color w:val="000000"/>
          <w:sz w:val="20"/>
          <w:szCs w:val="20"/>
        </w:rPr>
        <w:t xml:space="preserve"> key pillars: (i) focus on our customers; (ii) take care of our employees; (iii) bring high-quality, innovative products to market; and (iv) leverage our brand.</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As we strive to achieve these aspirational goals, we plan to capitalize on opportunities pres</w:t>
      </w:r>
      <w:r>
        <w:rPr>
          <w:rFonts w:eastAsia="Times New Roman"/>
          <w:color w:val="000000"/>
          <w:sz w:val="20"/>
          <w:szCs w:val="20"/>
        </w:rPr>
        <w:t>ented by the acquisitions of Cardtronics and LibertyX to accelerate our Payments &amp; Network business as we go to market with a more robust offering in this segment. We also plan to continue to improve our execution to drive solid returns and to transform ou</w:t>
      </w:r>
      <w:r>
        <w:rPr>
          <w:rFonts w:eastAsia="Times New Roman"/>
          <w:color w:val="000000"/>
          <w:sz w:val="20"/>
          <w:szCs w:val="20"/>
        </w:rPr>
        <w:t>r business to enhance value for all shareholders.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On September 15, 2022, NCR announced a plan to separate into two independent, publicly traded companies – one focused on digital commerce, the other on ATMs. The digital commerce company is expected to be</w:t>
      </w:r>
      <w:r>
        <w:rPr>
          <w:rFonts w:eastAsia="Times New Roman"/>
          <w:color w:val="000000"/>
          <w:sz w:val="20"/>
          <w:szCs w:val="20"/>
        </w:rPr>
        <w:t xml:space="preserve"> a growth business positioned to leverage NCR’s software-led model to continue transforming, connecting and running global retail, hospitality and digital banking. We believe it will enhance common solutions to drive innovation and boost operational effici</w:t>
      </w:r>
      <w:r>
        <w:rPr>
          <w:rFonts w:eastAsia="Times New Roman"/>
          <w:color w:val="000000"/>
          <w:sz w:val="20"/>
          <w:szCs w:val="20"/>
        </w:rPr>
        <w:t>ency. The digital commerce company is expected to also reinvest in the business to accelerate growth and recurring revenue.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ATM company is expected to be a cash-generative business positioned to focus on delivering ATM as a Service to a large, instal</w:t>
      </w:r>
      <w:r>
        <w:rPr>
          <w:rFonts w:eastAsia="Times New Roman"/>
          <w:color w:val="000000"/>
          <w:sz w:val="20"/>
          <w:szCs w:val="20"/>
        </w:rPr>
        <w:t xml:space="preserve">led customer base across banks and retailers. We believe it will build on NCR’s leadership in self-service banking and ATM networks to meet global demand for ATM access and leverage new ATM transaction types, including digital currency </w:t>
      </w:r>
    </w:p>
    <w:p w:rsidR="00000000" w:rsidRDefault="008214AA">
      <w:pPr>
        <w:jc w:val="center"/>
        <w:divId w:val="2077436592"/>
        <w:rPr>
          <w:rFonts w:eastAsia="Times New Roman"/>
        </w:rPr>
      </w:pPr>
      <w:r>
        <w:rPr>
          <w:rFonts w:eastAsia="Times New Roman"/>
          <w:color w:val="000000"/>
          <w:sz w:val="20"/>
          <w:szCs w:val="20"/>
        </w:rPr>
        <w:t>40</w:t>
      </w:r>
    </w:p>
    <w:p w:rsidR="00000000" w:rsidRDefault="008214AA">
      <w:pPr>
        <w:rPr>
          <w:rFonts w:eastAsia="Times New Roman"/>
        </w:rPr>
      </w:pPr>
      <w:r>
        <w:rPr>
          <w:rFonts w:eastAsia="Times New Roman"/>
        </w:rPr>
        <w:pict>
          <v:rect id="_x0000_i1065" style="width:0;height:1.5pt" o:hralign="center" o:hrstd="t" o:hr="t" fillcolor="#a0a0a0" stroked="f"/>
        </w:pict>
      </w:r>
    </w:p>
    <w:p w:rsidR="00000000" w:rsidRDefault="008214AA">
      <w:pPr>
        <w:divId w:val="1471627327"/>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color w:val="000000"/>
          <w:sz w:val="20"/>
          <w:szCs w:val="20"/>
        </w:rPr>
        <w:t>solutions, to drive market growth. The ATM company is expected to also continue shifting to a highly recurring revenue model to drive stable cash flow and capit</w:t>
      </w:r>
      <w:r>
        <w:rPr>
          <w:rFonts w:eastAsia="Times New Roman"/>
          <w:color w:val="000000"/>
          <w:sz w:val="20"/>
          <w:szCs w:val="20"/>
        </w:rPr>
        <w:t>al returns to shareholders.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separation is intended to be structured in a tax-free manner. The separation transaction will follow the satisfaction of customary conditions, including effectiveness of appropriate filings with the U.S. Securities and Exc</w:t>
      </w:r>
      <w:r>
        <w:rPr>
          <w:rFonts w:eastAsia="Times New Roman"/>
          <w:color w:val="000000"/>
          <w:sz w:val="20"/>
          <w:szCs w:val="20"/>
        </w:rPr>
        <w:t>hange Commission, and the completion of audited financial statements. The current target is to complete the separation by the end of 2023.</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Cybersecurity Risk Management</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Similar to most companies, NCR and its customers are subject to more frequent and increasingly sophisticated cybersecurity attacks. The Company maintains cybersecurity risk management policies and procedures including disclosure controls, which it regularl</w:t>
      </w:r>
      <w:r>
        <w:rPr>
          <w:rFonts w:eastAsia="Times New Roman"/>
          <w:color w:val="000000"/>
          <w:sz w:val="20"/>
          <w:szCs w:val="20"/>
        </w:rPr>
        <w:t>y evaluates for updates, for handling and responding to cybersecurity events. These policies and procedures include internal notifications and engagements and, as necessary, cooperation with law enforcement. Personnel involved in handling and responding to</w:t>
      </w:r>
      <w:r>
        <w:rPr>
          <w:rFonts w:eastAsia="Times New Roman"/>
          <w:color w:val="000000"/>
          <w:sz w:val="20"/>
          <w:szCs w:val="20"/>
        </w:rPr>
        <w:t xml:space="preserve"> cybersecurity events periodically undertake tabletop exercises to simulate an event. Our internal notification procedures include notifying the applicable Company attorneys, which, depending on the level of severity assigned to the event, may include dire</w:t>
      </w:r>
      <w:r>
        <w:rPr>
          <w:rFonts w:eastAsia="Times New Roman"/>
          <w:color w:val="000000"/>
          <w:sz w:val="20"/>
          <w:szCs w:val="20"/>
        </w:rPr>
        <w:t>ct notice to, among others, the Company’s General Counsel, Ethics &amp; Compliance Officer, and Chief Privacy Officer. Company attorneys support efforts to evaluate the materiality of any incidents, determine whether notice to third parties such as customers o</w:t>
      </w:r>
      <w:r>
        <w:rPr>
          <w:rFonts w:eastAsia="Times New Roman"/>
          <w:color w:val="000000"/>
          <w:sz w:val="20"/>
          <w:szCs w:val="20"/>
        </w:rPr>
        <w:t>r vendors is required, determine whether any prohibition on insider trading is appropriate, and assess whether disclosure to stockholders or governmental filings, including with the SEC, are required. Our internal notification procedures also include notif</w:t>
      </w:r>
      <w:r>
        <w:rPr>
          <w:rFonts w:eastAsia="Times New Roman"/>
          <w:color w:val="000000"/>
          <w:sz w:val="20"/>
          <w:szCs w:val="20"/>
        </w:rPr>
        <w:t>ying various NCR Information Technology Services managers, subject matter experts in the Company’s software department and Company leadership, depending on the level of severity assigned to the event.</w:t>
      </w:r>
    </w:p>
    <w:p w:rsidR="00000000" w:rsidRDefault="008214AA">
      <w:pPr>
        <w:jc w:val="both"/>
        <w:rPr>
          <w:rFonts w:eastAsia="Times New Roman"/>
        </w:rPr>
      </w:pPr>
    </w:p>
    <w:p w:rsidR="00000000" w:rsidRDefault="008214AA">
      <w:pPr>
        <w:divId w:val="1041587172"/>
        <w:rPr>
          <w:rFonts w:eastAsia="Times New Roman"/>
        </w:rPr>
      </w:pPr>
      <w:r>
        <w:rPr>
          <w:rFonts w:eastAsia="Times New Roman"/>
          <w:b/>
          <w:bCs/>
          <w:i/>
          <w:iCs/>
          <w:color w:val="000000"/>
          <w:sz w:val="20"/>
          <w:szCs w:val="20"/>
        </w:rPr>
        <w:t>Impacts from Geopolitical, Macroeconomic, and COVID-1</w:t>
      </w:r>
      <w:r>
        <w:rPr>
          <w:rFonts w:eastAsia="Times New Roman"/>
          <w:b/>
          <w:bCs/>
          <w:i/>
          <w:iCs/>
          <w:color w:val="000000"/>
          <w:sz w:val="20"/>
          <w:szCs w:val="20"/>
        </w:rPr>
        <w:t>9 Challenges    </w:t>
      </w:r>
    </w:p>
    <w:p w:rsidR="00000000" w:rsidRDefault="008214AA">
      <w:pPr>
        <w:divId w:val="1833065122"/>
        <w:rPr>
          <w:rFonts w:eastAsia="Times New Roman"/>
        </w:rPr>
      </w:pPr>
    </w:p>
    <w:p w:rsidR="00000000" w:rsidRDefault="008214AA">
      <w:pPr>
        <w:jc w:val="both"/>
        <w:rPr>
          <w:rFonts w:eastAsia="Times New Roman"/>
        </w:rPr>
      </w:pPr>
      <w:r>
        <w:rPr>
          <w:rFonts w:eastAsia="Times New Roman"/>
          <w:color w:val="000000"/>
          <w:sz w:val="20"/>
          <w:szCs w:val="20"/>
        </w:rPr>
        <w:t>We continue to be exposed to macroeconomic pressures as a result of the lingering impacts of the COVID-19 pandemic, supply chain challenges, foreign currency fluctuations, and spikes in commodity and energy prices as a result of geopolit</w:t>
      </w:r>
      <w:r>
        <w:rPr>
          <w:rFonts w:eastAsia="Times New Roman"/>
          <w:color w:val="000000"/>
          <w:sz w:val="20"/>
          <w:szCs w:val="20"/>
        </w:rPr>
        <w:t>ical challenges, including the war in Eastern Europe. We continue to navigate through these challenges with a sharp focus on and goal of safeguarding our employees, helping our customers and managing impacts on our supply chain. Despite the unprecedented e</w:t>
      </w:r>
      <w:r>
        <w:rPr>
          <w:rFonts w:eastAsia="Times New Roman"/>
          <w:color w:val="000000"/>
          <w:sz w:val="20"/>
          <w:szCs w:val="20"/>
        </w:rPr>
        <w:t>nvironment, our teams are executing at a high level and we are advancing our strategy.</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COVID-19 pandemic is complex and continues to evolve. While it is difficult to project the long-term impact of the pandemic, we expect it will negatively impact ou</w:t>
      </w:r>
      <w:r>
        <w:rPr>
          <w:rFonts w:eastAsia="Times New Roman"/>
          <w:color w:val="000000"/>
          <w:sz w:val="20"/>
          <w:szCs w:val="20"/>
        </w:rPr>
        <w:t>r business at least in the short-term. The ultimate impact on our overall financial condition and operating results will depend on the currently unknowable duration and severity of the pandemic, supply chain challenges and cost escalations including materi</w:t>
      </w:r>
      <w:r>
        <w:rPr>
          <w:rFonts w:eastAsia="Times New Roman"/>
          <w:color w:val="000000"/>
          <w:sz w:val="20"/>
          <w:szCs w:val="20"/>
        </w:rPr>
        <w:t>als, labor and freight, and any additional governmental and public actions taken in response.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war in Eastern Europe and related sanctions imposed on Russia and related actors have resulted in interest rate acceleration and inflation, including, but n</w:t>
      </w:r>
      <w:r>
        <w:rPr>
          <w:rFonts w:eastAsia="Times New Roman"/>
          <w:color w:val="000000"/>
          <w:sz w:val="20"/>
          <w:szCs w:val="20"/>
        </w:rPr>
        <w:t>ot limited to, a significant increase in the price of energy around the world, particularly in regions such as Europe that are significantly dependent on Russia for their energy needs, and continued commodity price increases due to disruption in the mining</w:t>
      </w:r>
      <w:r>
        <w:rPr>
          <w:rFonts w:eastAsia="Times New Roman"/>
          <w:color w:val="000000"/>
          <w:sz w:val="20"/>
          <w:szCs w:val="20"/>
        </w:rPr>
        <w:t xml:space="preserve"> industry in Ukraine and other factors. The war in Eastern Europe has also contributed to further disruption in logistics due to the shipping difficulties in and around the Black Sea and its ports, which have resulted in the rerouting of traffic to other p</w:t>
      </w:r>
      <w:r>
        <w:rPr>
          <w:rFonts w:eastAsia="Times New Roman"/>
          <w:color w:val="000000"/>
          <w:sz w:val="20"/>
          <w:szCs w:val="20"/>
        </w:rPr>
        <w:t xml:space="preserve">orts and further logistics challenges.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We expect that these factors will continue to negatively impact our business at least in the short-term. The ultimate impact on our overall financial condition and operating results will depend on the currently unk</w:t>
      </w:r>
      <w:r>
        <w:rPr>
          <w:rFonts w:eastAsia="Times New Roman"/>
          <w:color w:val="000000"/>
          <w:sz w:val="20"/>
          <w:szCs w:val="20"/>
        </w:rPr>
        <w:t>nowable duration and severity of these activities. We continue to evaluate the long-term impact that these may have on our business model, however there can be no assurance that the measures we have taken or will take will completely offset the negative im</w:t>
      </w:r>
      <w:r>
        <w:rPr>
          <w:rFonts w:eastAsia="Times New Roman"/>
          <w:color w:val="000000"/>
          <w:sz w:val="20"/>
          <w:szCs w:val="20"/>
        </w:rPr>
        <w:t xml:space="preserve">pact.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For further information on the risks posed to our business from the COVID-19 pandemic and other factors, refer to Part I, Item 1A, “Risk Factors”, of the Company's 2021 Form 10-K. For further information on exposures to foreign exchange risk, refer to Item</w:t>
      </w:r>
      <w:r>
        <w:rPr>
          <w:rFonts w:eastAsia="Times New Roman"/>
          <w:color w:val="000000"/>
          <w:sz w:val="20"/>
          <w:szCs w:val="20"/>
        </w:rPr>
        <w:t xml:space="preserve"> 3, "Quantitative and Qualitative Disclosures about Market Risk", in this Form 10-Q.</w:t>
      </w:r>
    </w:p>
    <w:p w:rsidR="00000000" w:rsidRDefault="008214AA">
      <w:pPr>
        <w:jc w:val="both"/>
        <w:rPr>
          <w:rFonts w:eastAsia="Times New Roman"/>
        </w:rPr>
      </w:pPr>
    </w:p>
    <w:p w:rsidR="00000000" w:rsidRDefault="008214AA">
      <w:pPr>
        <w:jc w:val="center"/>
        <w:divId w:val="449396374"/>
        <w:rPr>
          <w:rFonts w:eastAsia="Times New Roman"/>
        </w:rPr>
      </w:pPr>
      <w:r>
        <w:rPr>
          <w:rFonts w:eastAsia="Times New Roman"/>
          <w:color w:val="000000"/>
          <w:sz w:val="20"/>
          <w:szCs w:val="20"/>
        </w:rPr>
        <w:t>41</w:t>
      </w:r>
    </w:p>
    <w:p w:rsidR="00000000" w:rsidRDefault="008214AA">
      <w:pPr>
        <w:rPr>
          <w:rFonts w:eastAsia="Times New Roman"/>
        </w:rPr>
      </w:pPr>
      <w:r>
        <w:rPr>
          <w:rFonts w:eastAsia="Times New Roman"/>
        </w:rPr>
        <w:pict>
          <v:rect id="_x0000_i1066" style="width:0;height:1.5pt" o:hralign="center" o:hrstd="t" o:hr="t" fillcolor="#a0a0a0" stroked="f"/>
        </w:pict>
      </w:r>
    </w:p>
    <w:p w:rsidR="00000000" w:rsidRDefault="008214AA">
      <w:pPr>
        <w:divId w:val="107704019"/>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divId w:val="446389960"/>
        <w:rPr>
          <w:rFonts w:eastAsia="Times New Roman"/>
        </w:rPr>
      </w:pPr>
      <w:r>
        <w:rPr>
          <w:rFonts w:eastAsia="Times New Roman"/>
          <w:b/>
          <w:bCs/>
          <w:i/>
          <w:iCs/>
          <w:color w:val="000000"/>
          <w:sz w:val="20"/>
          <w:szCs w:val="20"/>
        </w:rPr>
        <w:t>Results from Operations</w:t>
      </w:r>
    </w:p>
    <w:p w:rsidR="00000000" w:rsidRDefault="008214AA">
      <w:pPr>
        <w:ind w:firstLine="225"/>
        <w:divId w:val="818378769"/>
        <w:rPr>
          <w:rFonts w:eastAsia="Times New Roman"/>
        </w:rPr>
      </w:pPr>
    </w:p>
    <w:p w:rsidR="00000000" w:rsidRDefault="008214AA">
      <w:pPr>
        <w:divId w:val="1325159927"/>
        <w:rPr>
          <w:rFonts w:eastAsia="Times New Roman"/>
        </w:rPr>
      </w:pPr>
      <w:r>
        <w:rPr>
          <w:rFonts w:eastAsia="Times New Roman"/>
          <w:b/>
          <w:bCs/>
          <w:i/>
          <w:iCs/>
          <w:color w:val="000000"/>
          <w:sz w:val="20"/>
          <w:szCs w:val="20"/>
        </w:rPr>
        <w:t>For the three and nine month</w:t>
      </w:r>
      <w:r>
        <w:rPr>
          <w:rFonts w:eastAsia="Times New Roman"/>
          <w:b/>
          <w:bCs/>
          <w:i/>
          <w:iCs/>
          <w:color w:val="000000"/>
          <w:sz w:val="20"/>
          <w:szCs w:val="20"/>
        </w:rPr>
        <w:t xml:space="preserve">s ended September 30, 2022 compared to the three and nine months ended September 30, 2021 </w:t>
      </w:r>
    </w:p>
    <w:p w:rsidR="00000000" w:rsidRDefault="008214AA">
      <w:pPr>
        <w:divId w:val="364520008"/>
        <w:rPr>
          <w:rFonts w:eastAsia="Times New Roman"/>
        </w:rPr>
      </w:pPr>
    </w:p>
    <w:p w:rsidR="00000000" w:rsidRDefault="008214AA">
      <w:pPr>
        <w:divId w:val="607737527"/>
        <w:rPr>
          <w:rFonts w:eastAsia="Times New Roman"/>
        </w:rPr>
      </w:pPr>
      <w:r>
        <w:rPr>
          <w:rFonts w:eastAsia="Times New Roman"/>
          <w:b/>
          <w:bCs/>
          <w:color w:val="000000"/>
          <w:sz w:val="20"/>
          <w:szCs w:val="20"/>
        </w:rPr>
        <w:t>Consolidated Results</w:t>
      </w:r>
    </w:p>
    <w:p w:rsidR="00000000" w:rsidRDefault="008214AA">
      <w:pPr>
        <w:divId w:val="1076896150"/>
        <w:rPr>
          <w:rFonts w:eastAsia="Times New Roman"/>
        </w:rPr>
      </w:pPr>
    </w:p>
    <w:p w:rsidR="00000000" w:rsidRDefault="008214AA">
      <w:pPr>
        <w:divId w:val="279073391"/>
        <w:rPr>
          <w:rFonts w:eastAsia="Times New Roman"/>
        </w:rPr>
      </w:pPr>
      <w:r>
        <w:rPr>
          <w:rFonts w:eastAsia="Times New Roman"/>
          <w:color w:val="000000"/>
          <w:sz w:val="20"/>
          <w:szCs w:val="20"/>
        </w:rPr>
        <w:t>The following tables show our results for the three and nine months ended September 30, the relative percentage that those amounts represent</w:t>
      </w:r>
      <w:r>
        <w:rPr>
          <w:rFonts w:eastAsia="Times New Roman"/>
          <w:color w:val="000000"/>
          <w:sz w:val="20"/>
          <w:szCs w:val="20"/>
        </w:rPr>
        <w:t xml:space="preserve"> to revenue, and the change in those amounts year-over-year. </w:t>
      </w:r>
    </w:p>
    <w:p w:rsidR="00000000" w:rsidRDefault="008214AA">
      <w:pPr>
        <w:divId w:val="14686640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913"/>
        <w:gridCol w:w="38"/>
        <w:gridCol w:w="36"/>
        <w:gridCol w:w="36"/>
        <w:gridCol w:w="36"/>
        <w:gridCol w:w="121"/>
        <w:gridCol w:w="786"/>
        <w:gridCol w:w="36"/>
        <w:gridCol w:w="36"/>
        <w:gridCol w:w="36"/>
        <w:gridCol w:w="36"/>
        <w:gridCol w:w="121"/>
        <w:gridCol w:w="750"/>
        <w:gridCol w:w="36"/>
        <w:gridCol w:w="36"/>
        <w:gridCol w:w="36"/>
        <w:gridCol w:w="36"/>
        <w:gridCol w:w="45"/>
        <w:gridCol w:w="731"/>
        <w:gridCol w:w="221"/>
        <w:gridCol w:w="37"/>
        <w:gridCol w:w="36"/>
        <w:gridCol w:w="36"/>
        <w:gridCol w:w="45"/>
        <w:gridCol w:w="731"/>
        <w:gridCol w:w="187"/>
        <w:gridCol w:w="36"/>
        <w:gridCol w:w="36"/>
        <w:gridCol w:w="36"/>
        <w:gridCol w:w="65"/>
        <w:gridCol w:w="713"/>
        <w:gridCol w:w="187"/>
      </w:tblGrid>
      <w:tr w:rsidR="00000000">
        <w:trPr>
          <w:divId w:val="144250324"/>
        </w:trPr>
        <w:tc>
          <w:tcPr>
            <w:tcW w:w="50" w:type="pct"/>
            <w:vAlign w:val="center"/>
            <w:hideMark/>
          </w:tcPr>
          <w:p w:rsidR="00000000" w:rsidRDefault="008214AA">
            <w:pPr>
              <w:rPr>
                <w:rFonts w:eastAsia="Times New Roman"/>
              </w:rPr>
            </w:pPr>
          </w:p>
        </w:tc>
        <w:tc>
          <w:tcPr>
            <w:tcW w:w="183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44250324"/>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rPr>
          <w:divId w:val="144250324"/>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rPr>
          <w:divId w:val="144250324"/>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4250324"/>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72.6 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4250324"/>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4250324"/>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Product gross margin</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4250324"/>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gross margin</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4250324"/>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gross margin</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4250324"/>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4250324"/>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4250324"/>
        </w:trPr>
        <w:tc>
          <w:tcPr>
            <w:tcW w:w="0" w:type="auto"/>
            <w:gridSpan w:val="3"/>
            <w:vAlign w:val="center"/>
            <w:hideMark/>
          </w:tcPr>
          <w:p w:rsidR="00000000" w:rsidRDefault="008214AA">
            <w:pPr>
              <w:spacing w:after="100"/>
              <w:jc w:val="right"/>
              <w:rPr>
                <w:rFonts w:eastAsia="Times New Roman"/>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44250324"/>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divId w:val="173258320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913"/>
        <w:gridCol w:w="38"/>
        <w:gridCol w:w="36"/>
        <w:gridCol w:w="36"/>
        <w:gridCol w:w="36"/>
        <w:gridCol w:w="120"/>
        <w:gridCol w:w="786"/>
        <w:gridCol w:w="36"/>
        <w:gridCol w:w="36"/>
        <w:gridCol w:w="36"/>
        <w:gridCol w:w="36"/>
        <w:gridCol w:w="120"/>
        <w:gridCol w:w="750"/>
        <w:gridCol w:w="36"/>
        <w:gridCol w:w="36"/>
        <w:gridCol w:w="36"/>
        <w:gridCol w:w="36"/>
        <w:gridCol w:w="45"/>
        <w:gridCol w:w="731"/>
        <w:gridCol w:w="221"/>
        <w:gridCol w:w="37"/>
        <w:gridCol w:w="36"/>
        <w:gridCol w:w="36"/>
        <w:gridCol w:w="45"/>
        <w:gridCol w:w="732"/>
        <w:gridCol w:w="187"/>
        <w:gridCol w:w="36"/>
        <w:gridCol w:w="36"/>
        <w:gridCol w:w="36"/>
        <w:gridCol w:w="65"/>
        <w:gridCol w:w="714"/>
        <w:gridCol w:w="187"/>
      </w:tblGrid>
      <w:tr w:rsidR="00000000">
        <w:trPr>
          <w:divId w:val="145635862"/>
        </w:trPr>
        <w:tc>
          <w:tcPr>
            <w:tcW w:w="50" w:type="pct"/>
            <w:vAlign w:val="center"/>
            <w:hideMark/>
          </w:tcPr>
          <w:p w:rsidR="00000000" w:rsidRDefault="008214AA">
            <w:pPr>
              <w:rPr>
                <w:rFonts w:eastAsia="Times New Roman"/>
              </w:rPr>
            </w:pPr>
          </w:p>
        </w:tc>
        <w:tc>
          <w:tcPr>
            <w:tcW w:w="183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45635862"/>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rPr>
          <w:divId w:val="145635862"/>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rPr>
          <w:divId w:val="145635862"/>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5635862"/>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3,569 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69.7 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5635862"/>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5635862"/>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Product gross margin</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5635862"/>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gross margin</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1,127 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5635862"/>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gross margin</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5635862"/>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835 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5635862"/>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45635862"/>
        </w:trPr>
        <w:tc>
          <w:tcPr>
            <w:tcW w:w="0" w:type="auto"/>
            <w:gridSpan w:val="3"/>
            <w:vAlign w:val="center"/>
            <w:hideMark/>
          </w:tcPr>
          <w:p w:rsidR="00000000" w:rsidRDefault="008214AA">
            <w:pPr>
              <w:spacing w:after="100"/>
              <w:jc w:val="right"/>
              <w:rPr>
                <w:rFonts w:eastAsia="Times New Roman"/>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rPr>
          <w:divId w:val="145635862"/>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divId w:val="1771850270"/>
        <w:rPr>
          <w:rFonts w:eastAsia="Times New Roman"/>
        </w:rPr>
      </w:pPr>
    </w:p>
    <w:p w:rsidR="00000000" w:rsidRDefault="008214AA">
      <w:pPr>
        <w:divId w:val="33699973"/>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revenue is calculated for each line item divided by total revenue, except for product gross margin and service gross margin, which</w:t>
      </w:r>
      <w:r>
        <w:rPr>
          <w:rFonts w:eastAsia="Times New Roman"/>
          <w:color w:val="000000"/>
          <w:sz w:val="18"/>
          <w:szCs w:val="18"/>
        </w:rPr>
        <w:t xml:space="preserve"> are divided by the related component of revenue.</w:t>
      </w:r>
    </w:p>
    <w:p w:rsidR="00000000" w:rsidRDefault="008214AA">
      <w:pPr>
        <w:divId w:val="1840003927"/>
        <w:rPr>
          <w:rFonts w:eastAsia="Times New Roman"/>
        </w:rPr>
      </w:pPr>
    </w:p>
    <w:p w:rsidR="00000000" w:rsidRDefault="008214AA">
      <w:pPr>
        <w:divId w:val="588387384"/>
        <w:rPr>
          <w:rFonts w:eastAsia="Times New Roman"/>
        </w:rPr>
      </w:pPr>
    </w:p>
    <w:p w:rsidR="00000000" w:rsidRDefault="008214AA">
      <w:pPr>
        <w:divId w:val="733087539"/>
        <w:rPr>
          <w:rFonts w:eastAsia="Times New Roman"/>
        </w:rPr>
      </w:pPr>
    </w:p>
    <w:p w:rsidR="00000000" w:rsidRDefault="008214AA">
      <w:pPr>
        <w:divId w:val="1099912853"/>
        <w:rPr>
          <w:rFonts w:eastAsia="Times New Roman"/>
        </w:rPr>
      </w:pPr>
    </w:p>
    <w:p w:rsidR="00000000" w:rsidRDefault="008214AA">
      <w:pPr>
        <w:jc w:val="center"/>
        <w:divId w:val="1079907462"/>
        <w:rPr>
          <w:rFonts w:eastAsia="Times New Roman"/>
        </w:rPr>
      </w:pPr>
      <w:r>
        <w:rPr>
          <w:rFonts w:eastAsia="Times New Roman"/>
          <w:color w:val="000000"/>
          <w:sz w:val="20"/>
          <w:szCs w:val="20"/>
        </w:rPr>
        <w:t>42</w:t>
      </w:r>
    </w:p>
    <w:p w:rsidR="00000000" w:rsidRDefault="008214AA">
      <w:pPr>
        <w:rPr>
          <w:rFonts w:eastAsia="Times New Roman"/>
        </w:rPr>
      </w:pPr>
      <w:r>
        <w:rPr>
          <w:rFonts w:eastAsia="Times New Roman"/>
        </w:rPr>
        <w:pict>
          <v:rect id="_x0000_i1067" style="width:0;height:1.5pt" o:hralign="center" o:hrstd="t" o:hr="t" fillcolor="#a0a0a0" stroked="f"/>
        </w:pict>
      </w:r>
    </w:p>
    <w:p w:rsidR="00000000" w:rsidRDefault="008214AA">
      <w:pPr>
        <w:divId w:val="1989705525"/>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divId w:val="475683751"/>
        <w:rPr>
          <w:rFonts w:eastAsia="Times New Roman"/>
        </w:rPr>
      </w:pPr>
      <w:r>
        <w:rPr>
          <w:rFonts w:eastAsia="Times New Roman"/>
          <w:b/>
          <w:bCs/>
          <w:color w:val="000000"/>
          <w:sz w:val="20"/>
          <w:szCs w:val="20"/>
        </w:rPr>
        <w:t>Key Strategic Financial Metrics</w:t>
      </w:r>
    </w:p>
    <w:p w:rsidR="00000000" w:rsidRDefault="008214AA">
      <w:pPr>
        <w:divId w:val="1003900047"/>
        <w:rPr>
          <w:rFonts w:eastAsia="Times New Roman"/>
        </w:rPr>
      </w:pPr>
    </w:p>
    <w:p w:rsidR="00000000" w:rsidRDefault="008214AA">
      <w:pPr>
        <w:jc w:val="both"/>
        <w:rPr>
          <w:rFonts w:eastAsia="Times New Roman"/>
        </w:rPr>
      </w:pPr>
      <w:r>
        <w:rPr>
          <w:rFonts w:eastAsia="Times New Roman"/>
          <w:color w:val="000000"/>
          <w:sz w:val="20"/>
          <w:szCs w:val="20"/>
        </w:rPr>
        <w:t xml:space="preserve">The following tables show our key strategic financial metrics for the three and nine months ended September 30, the relative percentage that those amounts represent to total revenue, and the change in those amounts year-over-year. </w:t>
      </w:r>
    </w:p>
    <w:p w:rsidR="00000000" w:rsidRDefault="008214AA">
      <w:pPr>
        <w:divId w:val="692270186"/>
        <w:rPr>
          <w:rFonts w:eastAsia="Times New Roman"/>
        </w:rPr>
      </w:pPr>
    </w:p>
    <w:p w:rsidR="00000000" w:rsidRDefault="008214AA">
      <w:pPr>
        <w:ind w:hanging="360"/>
        <w:jc w:val="both"/>
        <w:rPr>
          <w:rFonts w:eastAsia="Times New Roman"/>
        </w:rPr>
      </w:pPr>
      <w:r>
        <w:rPr>
          <w:rFonts w:eastAsia="Times New Roman"/>
          <w:b/>
          <w:bCs/>
          <w:i/>
          <w:iCs/>
          <w:color w:val="000000"/>
          <w:sz w:val="20"/>
          <w:szCs w:val="20"/>
        </w:rPr>
        <w:t>Recurring revenue as a</w:t>
      </w:r>
      <w:r>
        <w:rPr>
          <w:rFonts w:eastAsia="Times New Roman"/>
          <w:b/>
          <w:bCs/>
          <w:i/>
          <w:iCs/>
          <w:color w:val="000000"/>
          <w:sz w:val="20"/>
          <w:szCs w:val="20"/>
        </w:rPr>
        <w:t xml:space="preserve"> percentage of total revenue</w:t>
      </w:r>
    </w:p>
    <w:p w:rsidR="00000000" w:rsidRDefault="008214AA">
      <w:pPr>
        <w:divId w:val="182092508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62"/>
        <w:gridCol w:w="36"/>
        <w:gridCol w:w="36"/>
        <w:gridCol w:w="36"/>
        <w:gridCol w:w="36"/>
        <w:gridCol w:w="120"/>
        <w:gridCol w:w="773"/>
        <w:gridCol w:w="36"/>
        <w:gridCol w:w="36"/>
        <w:gridCol w:w="36"/>
        <w:gridCol w:w="36"/>
        <w:gridCol w:w="120"/>
        <w:gridCol w:w="773"/>
        <w:gridCol w:w="36"/>
        <w:gridCol w:w="36"/>
        <w:gridCol w:w="36"/>
        <w:gridCol w:w="36"/>
        <w:gridCol w:w="38"/>
        <w:gridCol w:w="712"/>
        <w:gridCol w:w="221"/>
        <w:gridCol w:w="37"/>
        <w:gridCol w:w="37"/>
        <w:gridCol w:w="36"/>
        <w:gridCol w:w="37"/>
        <w:gridCol w:w="701"/>
        <w:gridCol w:w="187"/>
        <w:gridCol w:w="36"/>
        <w:gridCol w:w="36"/>
        <w:gridCol w:w="36"/>
        <w:gridCol w:w="65"/>
        <w:gridCol w:w="689"/>
        <w:gridCol w:w="220"/>
      </w:tblGrid>
      <w:tr w:rsidR="00000000">
        <w:trPr>
          <w:divId w:val="1166896254"/>
        </w:trPr>
        <w:tc>
          <w:tcPr>
            <w:tcW w:w="50" w:type="pct"/>
            <w:vAlign w:val="center"/>
            <w:hideMark/>
          </w:tcPr>
          <w:p w:rsidR="00000000" w:rsidRDefault="008214AA">
            <w:pPr>
              <w:rPr>
                <w:rFonts w:eastAsia="Times New Roman"/>
              </w:rPr>
            </w:pPr>
          </w:p>
        </w:tc>
        <w:tc>
          <w:tcPr>
            <w:tcW w:w="188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166896254"/>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rPr>
          <w:divId w:val="1166896254"/>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rPr>
          <w:divId w:val="1166896254"/>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divId w:val="1840151925"/>
              <w:rPr>
                <w:rFonts w:eastAsia="Times New Roman"/>
              </w:rPr>
            </w:pPr>
            <w:r>
              <w:rPr>
                <w:rFonts w:eastAsia="Times New Roman"/>
                <w:color w:val="000000"/>
                <w:sz w:val="20"/>
                <w:szCs w:val="20"/>
              </w:rPr>
              <w:t>     </w:t>
            </w: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r w:rsidR="00000000">
        <w:trPr>
          <w:divId w:val="1166896254"/>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All other products and services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720 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37.9 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r w:rsidR="00000000">
        <w:trPr>
          <w:divId w:val="1166896254"/>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bl>
    <w:p w:rsidR="00000000" w:rsidRDefault="008214AA">
      <w:pPr>
        <w:divId w:val="135954990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62"/>
        <w:gridCol w:w="36"/>
        <w:gridCol w:w="36"/>
        <w:gridCol w:w="36"/>
        <w:gridCol w:w="36"/>
        <w:gridCol w:w="120"/>
        <w:gridCol w:w="773"/>
        <w:gridCol w:w="36"/>
        <w:gridCol w:w="36"/>
        <w:gridCol w:w="36"/>
        <w:gridCol w:w="36"/>
        <w:gridCol w:w="120"/>
        <w:gridCol w:w="773"/>
        <w:gridCol w:w="36"/>
        <w:gridCol w:w="36"/>
        <w:gridCol w:w="36"/>
        <w:gridCol w:w="36"/>
        <w:gridCol w:w="45"/>
        <w:gridCol w:w="705"/>
        <w:gridCol w:w="221"/>
        <w:gridCol w:w="37"/>
        <w:gridCol w:w="37"/>
        <w:gridCol w:w="36"/>
        <w:gridCol w:w="46"/>
        <w:gridCol w:w="692"/>
        <w:gridCol w:w="187"/>
        <w:gridCol w:w="36"/>
        <w:gridCol w:w="36"/>
        <w:gridCol w:w="36"/>
        <w:gridCol w:w="65"/>
        <w:gridCol w:w="689"/>
        <w:gridCol w:w="220"/>
      </w:tblGrid>
      <w:tr w:rsidR="00000000">
        <w:trPr>
          <w:divId w:val="149756511"/>
        </w:trPr>
        <w:tc>
          <w:tcPr>
            <w:tcW w:w="50" w:type="pct"/>
            <w:vAlign w:val="center"/>
            <w:hideMark/>
          </w:tcPr>
          <w:p w:rsidR="00000000" w:rsidRDefault="008214AA">
            <w:pPr>
              <w:rPr>
                <w:rFonts w:eastAsia="Times New Roman"/>
              </w:rPr>
            </w:pPr>
          </w:p>
        </w:tc>
        <w:tc>
          <w:tcPr>
            <w:tcW w:w="188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49756511"/>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rPr>
          <w:divId w:val="149756511"/>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rPr>
          <w:divId w:val="149756511"/>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divId w:val="762460887"/>
              <w:rPr>
                <w:rFonts w:eastAsia="Times New Roman"/>
              </w:rPr>
            </w:pPr>
            <w:r>
              <w:rPr>
                <w:rFonts w:eastAsia="Times New Roman"/>
                <w:color w:val="000000"/>
                <w:sz w:val="20"/>
                <w:szCs w:val="20"/>
              </w:rPr>
              <w:t>     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3,618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r w:rsidR="00000000">
        <w:trPr>
          <w:divId w:val="149756511"/>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     All other products and services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2,138 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r w:rsidR="00000000">
        <w:trPr>
          <w:divId w:val="149756511"/>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bl>
    <w:p w:rsidR="00000000" w:rsidRDefault="008214AA">
      <w:pPr>
        <w:divId w:val="921328504"/>
        <w:rPr>
          <w:rFonts w:eastAsia="Times New Roman"/>
        </w:rPr>
      </w:pPr>
    </w:p>
    <w:p w:rsidR="00000000" w:rsidRDefault="008214AA">
      <w:pPr>
        <w:ind w:hanging="270"/>
        <w:jc w:val="both"/>
        <w:rPr>
          <w:rFonts w:eastAsia="Times New Roman"/>
        </w:rPr>
      </w:pPr>
      <w:r>
        <w:rPr>
          <w:rFonts w:eastAsia="Times New Roman"/>
          <w:color w:val="000000"/>
          <w:sz w:val="12"/>
          <w:szCs w:val="12"/>
        </w:rPr>
        <w:t>(1)</w:t>
      </w:r>
      <w:r>
        <w:rPr>
          <w:rFonts w:eastAsia="Times New Roman"/>
          <w:color w:val="000000"/>
          <w:sz w:val="12"/>
          <w:szCs w:val="12"/>
        </w:rPr>
        <w:t xml:space="preserve"> </w:t>
      </w:r>
      <w:r>
        <w:rPr>
          <w:rFonts w:eastAsia="Times New Roman"/>
          <w:color w:val="000000"/>
          <w:sz w:val="18"/>
          <w:szCs w:val="18"/>
        </w:rPr>
        <w:t>Recurring rev</w:t>
      </w:r>
      <w:r>
        <w:rPr>
          <w:rFonts w:eastAsia="Times New Roman"/>
          <w:color w:val="000000"/>
          <w:sz w:val="18"/>
          <w:szCs w:val="18"/>
        </w:rPr>
        <w:t>enue includes all revenue streams from contracts where there is a predictable revenue pattern that will occur at regular intervals with a relatively high degree of certainty. This includes hardware and software maintenance revenue, cloud revenue, payment p</w:t>
      </w:r>
      <w:r>
        <w:rPr>
          <w:rFonts w:eastAsia="Times New Roman"/>
          <w:color w:val="000000"/>
          <w:sz w:val="18"/>
          <w:szCs w:val="18"/>
        </w:rPr>
        <w:t>rocessing revenue, interchange and network revenue, cryptocurrency-related revenue, and certain professional services arrangements as well as term-based software license arrangements that include customer termination rights.</w:t>
      </w:r>
    </w:p>
    <w:p w:rsidR="00000000" w:rsidRDefault="008214AA">
      <w:pPr>
        <w:ind w:hanging="270"/>
        <w:jc w:val="both"/>
        <w:rPr>
          <w:rFonts w:eastAsia="Times New Roman"/>
        </w:rPr>
      </w:pPr>
    </w:p>
    <w:p w:rsidR="00000000" w:rsidRDefault="008214AA">
      <w:pPr>
        <w:ind w:hanging="360"/>
        <w:jc w:val="both"/>
        <w:rPr>
          <w:rFonts w:eastAsia="Times New Roman"/>
        </w:rPr>
      </w:pPr>
      <w:r>
        <w:rPr>
          <w:rFonts w:eastAsia="Times New Roman"/>
          <w:b/>
          <w:bCs/>
          <w:i/>
          <w:iCs/>
          <w:color w:val="000000"/>
          <w:sz w:val="20"/>
          <w:szCs w:val="20"/>
        </w:rPr>
        <w:t>Net income (loss) from contin</w:t>
      </w:r>
      <w:r>
        <w:rPr>
          <w:rFonts w:eastAsia="Times New Roman"/>
          <w:b/>
          <w:bCs/>
          <w:i/>
          <w:iCs/>
          <w:color w:val="000000"/>
          <w:sz w:val="20"/>
          <w:szCs w:val="20"/>
        </w:rPr>
        <w:t>uing operations and Adjusted EBITD</w:t>
      </w:r>
      <w:r>
        <w:rPr>
          <w:rFonts w:eastAsia="Times New Roman"/>
          <w:b/>
          <w:bCs/>
          <w:i/>
          <w:iCs/>
          <w:color w:val="000000"/>
          <w:sz w:val="20"/>
          <w:szCs w:val="20"/>
        </w:rPr>
        <w:t>A</w:t>
      </w:r>
      <w:r>
        <w:rPr>
          <w:rFonts w:eastAsia="Times New Roman"/>
          <w:b/>
          <w:bCs/>
          <w:i/>
          <w:iCs/>
          <w:color w:val="000000"/>
          <w:sz w:val="13"/>
          <w:szCs w:val="13"/>
        </w:rPr>
        <w:t xml:space="preserve"> </w:t>
      </w:r>
      <w:r>
        <w:rPr>
          <w:rFonts w:eastAsia="Times New Roman"/>
          <w:b/>
          <w:bCs/>
          <w:i/>
          <w:iCs/>
          <w:color w:val="000000"/>
          <w:sz w:val="20"/>
          <w:szCs w:val="20"/>
        </w:rPr>
        <w:t>as a percentage of total revenue</w:t>
      </w:r>
    </w:p>
    <w:p w:rsidR="00000000" w:rsidRDefault="008214AA">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30"/>
        <w:gridCol w:w="36"/>
        <w:gridCol w:w="36"/>
        <w:gridCol w:w="36"/>
        <w:gridCol w:w="36"/>
        <w:gridCol w:w="120"/>
        <w:gridCol w:w="789"/>
        <w:gridCol w:w="36"/>
        <w:gridCol w:w="36"/>
        <w:gridCol w:w="36"/>
        <w:gridCol w:w="36"/>
        <w:gridCol w:w="120"/>
        <w:gridCol w:w="790"/>
        <w:gridCol w:w="36"/>
        <w:gridCol w:w="36"/>
        <w:gridCol w:w="36"/>
        <w:gridCol w:w="36"/>
        <w:gridCol w:w="38"/>
        <w:gridCol w:w="720"/>
        <w:gridCol w:w="221"/>
        <w:gridCol w:w="37"/>
        <w:gridCol w:w="36"/>
        <w:gridCol w:w="36"/>
        <w:gridCol w:w="37"/>
        <w:gridCol w:w="721"/>
        <w:gridCol w:w="187"/>
        <w:gridCol w:w="36"/>
        <w:gridCol w:w="36"/>
        <w:gridCol w:w="36"/>
        <w:gridCol w:w="65"/>
        <w:gridCol w:w="694"/>
        <w:gridCol w:w="187"/>
      </w:tblGrid>
      <w:tr w:rsidR="00000000">
        <w:tc>
          <w:tcPr>
            <w:tcW w:w="50" w:type="pct"/>
            <w:vAlign w:val="center"/>
            <w:hideMark/>
          </w:tcPr>
          <w:p w:rsidR="00000000" w:rsidRDefault="008214AA">
            <w:pPr>
              <w:jc w:val="both"/>
              <w:rPr>
                <w:rFonts w:eastAsia="Times New Roman"/>
              </w:rPr>
            </w:pPr>
          </w:p>
        </w:tc>
        <w:tc>
          <w:tcPr>
            <w:tcW w:w="186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Net income (loss) from continuing operations attributable to NCR</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ind w:hanging="27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30"/>
        <w:gridCol w:w="36"/>
        <w:gridCol w:w="36"/>
        <w:gridCol w:w="36"/>
        <w:gridCol w:w="36"/>
        <w:gridCol w:w="120"/>
        <w:gridCol w:w="789"/>
        <w:gridCol w:w="36"/>
        <w:gridCol w:w="36"/>
        <w:gridCol w:w="36"/>
        <w:gridCol w:w="36"/>
        <w:gridCol w:w="120"/>
        <w:gridCol w:w="790"/>
        <w:gridCol w:w="36"/>
        <w:gridCol w:w="36"/>
        <w:gridCol w:w="36"/>
        <w:gridCol w:w="36"/>
        <w:gridCol w:w="38"/>
        <w:gridCol w:w="720"/>
        <w:gridCol w:w="221"/>
        <w:gridCol w:w="37"/>
        <w:gridCol w:w="36"/>
        <w:gridCol w:w="36"/>
        <w:gridCol w:w="37"/>
        <w:gridCol w:w="721"/>
        <w:gridCol w:w="187"/>
        <w:gridCol w:w="36"/>
        <w:gridCol w:w="36"/>
        <w:gridCol w:w="36"/>
        <w:gridCol w:w="65"/>
        <w:gridCol w:w="694"/>
        <w:gridCol w:w="187"/>
      </w:tblGrid>
      <w:tr w:rsidR="00000000">
        <w:tc>
          <w:tcPr>
            <w:tcW w:w="50" w:type="pct"/>
            <w:vAlign w:val="center"/>
            <w:hideMark/>
          </w:tcPr>
          <w:p w:rsidR="00000000" w:rsidRDefault="008214AA">
            <w:pPr>
              <w:ind w:hanging="270"/>
              <w:jc w:val="both"/>
              <w:rPr>
                <w:rFonts w:eastAsia="Times New Roman"/>
              </w:rPr>
            </w:pPr>
          </w:p>
        </w:tc>
        <w:tc>
          <w:tcPr>
            <w:tcW w:w="186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Net income (loss) from continuing operations attributable to NCR</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891 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u w:val="single"/>
        </w:rPr>
        <w:t>Non-GAAP Financial Measures and Use of Certain Terms:</w:t>
      </w:r>
    </w:p>
    <w:p w:rsidR="00000000" w:rsidRDefault="008214AA">
      <w:pPr>
        <w:jc w:val="both"/>
        <w:rPr>
          <w:rFonts w:eastAsia="Times New Roman"/>
        </w:rPr>
      </w:pPr>
    </w:p>
    <w:p w:rsidR="00000000" w:rsidRDefault="008214AA">
      <w:pPr>
        <w:jc w:val="both"/>
        <w:divId w:val="464591590"/>
        <w:rPr>
          <w:rFonts w:eastAsia="Times New Roman"/>
        </w:rPr>
      </w:pPr>
      <w:r>
        <w:rPr>
          <w:rFonts w:eastAsia="Times New Roman"/>
          <w:color w:val="000000"/>
          <w:sz w:val="20"/>
          <w:szCs w:val="20"/>
        </w:rPr>
        <w:t xml:space="preserve">The term “annual recurring revenue” </w:t>
      </w:r>
      <w:r>
        <w:rPr>
          <w:rFonts w:eastAsia="Times New Roman"/>
          <w:color w:val="000000"/>
          <w:sz w:val="20"/>
          <w:szCs w:val="20"/>
        </w:rPr>
        <w:t>is recurring revenue, excluding software license sold as a subscription, for the last three months times four, plus the rolling four quarters for term-based software license arrangements that include customer termination rights.</w:t>
      </w:r>
    </w:p>
    <w:p w:rsidR="00000000" w:rsidRDefault="008214AA">
      <w:pPr>
        <w:jc w:val="both"/>
        <w:divId w:val="1886065022"/>
        <w:rPr>
          <w:rFonts w:eastAsia="Times New Roman"/>
        </w:rPr>
      </w:pPr>
      <w:r>
        <w:rPr>
          <w:rFonts w:eastAsia="Times New Roman"/>
          <w:i/>
          <w:iCs/>
          <w:color w:val="000000"/>
          <w:sz w:val="20"/>
          <w:szCs w:val="20"/>
        </w:rPr>
        <w:t>Constant Currency</w:t>
      </w:r>
      <w:r>
        <w:rPr>
          <w:rFonts w:eastAsia="Times New Roman"/>
          <w:color w:val="000000"/>
          <w:sz w:val="20"/>
          <w:szCs w:val="20"/>
        </w:rPr>
        <w:t xml:space="preserve"> NCR prese</w:t>
      </w:r>
      <w:r>
        <w:rPr>
          <w:rFonts w:eastAsia="Times New Roman"/>
          <w:color w:val="000000"/>
          <w:sz w:val="20"/>
          <w:szCs w:val="20"/>
        </w:rPr>
        <w:t>nts certain financial measures, such as period-over-period revenue growth, on a constant currency basis, which excludes the effects of foreign currency translation by translating prior period results at current period monthly average exchange rates. Due to</w:t>
      </w:r>
      <w:r>
        <w:rPr>
          <w:rFonts w:eastAsia="Times New Roman"/>
          <w:color w:val="000000"/>
          <w:sz w:val="20"/>
          <w:szCs w:val="20"/>
        </w:rPr>
        <w:t xml:space="preserve"> the overall variability of foreign exchange rates from period to period, NCR’s management uses constant currency measures to evaluate period-over-period operating performance on a more consistent and comparable basis. NCR’s management believes that presen</w:t>
      </w:r>
      <w:r>
        <w:rPr>
          <w:rFonts w:eastAsia="Times New Roman"/>
          <w:color w:val="000000"/>
          <w:sz w:val="20"/>
          <w:szCs w:val="20"/>
        </w:rPr>
        <w:t xml:space="preserve">tation of financial measures without this result may contribute to an understanding of the Company's period-over-period operating performance and provides additional insight into historical and/or future performance, which may be helpful for investors. </w:t>
      </w:r>
    </w:p>
    <w:p w:rsidR="00000000" w:rsidRDefault="008214AA">
      <w:pPr>
        <w:jc w:val="both"/>
        <w:divId w:val="403454035"/>
        <w:rPr>
          <w:rFonts w:eastAsia="Times New Roman"/>
        </w:rPr>
      </w:pPr>
    </w:p>
    <w:p w:rsidR="00000000" w:rsidRDefault="008214AA">
      <w:pPr>
        <w:jc w:val="center"/>
        <w:divId w:val="1662154805"/>
        <w:rPr>
          <w:rFonts w:eastAsia="Times New Roman"/>
        </w:rPr>
      </w:pPr>
      <w:r>
        <w:rPr>
          <w:rFonts w:eastAsia="Times New Roman"/>
          <w:color w:val="000000"/>
          <w:sz w:val="20"/>
          <w:szCs w:val="20"/>
        </w:rPr>
        <w:t>43</w:t>
      </w:r>
    </w:p>
    <w:p w:rsidR="00000000" w:rsidRDefault="008214AA">
      <w:pPr>
        <w:rPr>
          <w:rFonts w:eastAsia="Times New Roman"/>
        </w:rPr>
      </w:pPr>
      <w:r>
        <w:rPr>
          <w:rFonts w:eastAsia="Times New Roman"/>
        </w:rPr>
        <w:pict>
          <v:rect id="_x0000_i1068" style="width:0;height:1.5pt" o:hralign="center" o:hrstd="t" o:hr="t" fillcolor="#a0a0a0" stroked="f"/>
        </w:pict>
      </w:r>
    </w:p>
    <w:p w:rsidR="00000000" w:rsidRDefault="008214AA">
      <w:pPr>
        <w:divId w:val="1282998962"/>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divId w:val="28726180"/>
        <w:rPr>
          <w:rFonts w:eastAsia="Times New Roman"/>
        </w:rPr>
      </w:pPr>
      <w:r>
        <w:rPr>
          <w:rFonts w:eastAsia="Times New Roman"/>
          <w:i/>
          <w:iCs/>
          <w:color w:val="000000"/>
          <w:sz w:val="20"/>
          <w:szCs w:val="20"/>
        </w:rPr>
        <w:t xml:space="preserve">Adjusted Earnings Before Interest, Taxes, Depreciation and Amortization (“Adjusted EBITDA”) </w:t>
      </w:r>
      <w:r>
        <w:rPr>
          <w:rFonts w:eastAsia="Times New Roman"/>
          <w:color w:val="000000"/>
          <w:sz w:val="20"/>
          <w:szCs w:val="20"/>
        </w:rPr>
        <w:t>NCR's management uses the non-GAAP measure Adjus</w:t>
      </w:r>
      <w:r>
        <w:rPr>
          <w:rFonts w:eastAsia="Times New Roman"/>
          <w:color w:val="000000"/>
          <w:sz w:val="20"/>
          <w:szCs w:val="20"/>
        </w:rPr>
        <w:t>ted EBITDA because it provides useful information to investors as an indicator of strength and performance of the Company's ongoing business operations, including funding discretionary spending such as capital expenditures, strategic acquisitions, and othe</w:t>
      </w:r>
      <w:r>
        <w:rPr>
          <w:rFonts w:eastAsia="Times New Roman"/>
          <w:color w:val="000000"/>
          <w:sz w:val="20"/>
          <w:szCs w:val="20"/>
        </w:rPr>
        <w:t>r investments. NCR determines Adjusted EBITDA based on GAAP net income (loss) from continuing operations attributable to NCR plus interest expense, net; plus income tax expense (benefit); plus depreciation and amortization; plus stock-based compensation ex</w:t>
      </w:r>
      <w:r>
        <w:rPr>
          <w:rFonts w:eastAsia="Times New Roman"/>
          <w:color w:val="000000"/>
          <w:sz w:val="20"/>
          <w:szCs w:val="20"/>
        </w:rPr>
        <w:t>pense; plus other income (expense); plus pension mark-to-market adjustments, pension settlements, pension curtailments and pension special termination benefits and other special items, including amortization of acquisition-related intangibles and restructu</w:t>
      </w:r>
      <w:r>
        <w:rPr>
          <w:rFonts w:eastAsia="Times New Roman"/>
          <w:color w:val="000000"/>
          <w:sz w:val="20"/>
          <w:szCs w:val="20"/>
        </w:rPr>
        <w:t>ring charges, among others. Refer to the table below for the reconciliations of net income (loss) from continuing operations attributable to NCR (GAAP) to Adjusted EBITDA (non-GAAP).</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The war in Eastern Europe and related sa</w:t>
      </w:r>
      <w:r>
        <w:rPr>
          <w:rFonts w:eastAsia="Times New Roman"/>
          <w:color w:val="000000"/>
          <w:sz w:val="20"/>
          <w:szCs w:val="20"/>
        </w:rPr>
        <w:t xml:space="preserve">nctions imposed on Russia and related actors by the United States and other jurisdictions required us to commence the orderly wind down of our operations in Russia beginning in the first quarter of 2022. As of September 30, 2022, we have ceased operations </w:t>
      </w:r>
      <w:r>
        <w:rPr>
          <w:rFonts w:eastAsia="Times New Roman"/>
          <w:color w:val="000000"/>
          <w:sz w:val="20"/>
          <w:szCs w:val="20"/>
        </w:rPr>
        <w:t>in Russia and are in the process of dissolving our only subsidiary in Russia. As a result, for the three and nine months ended September 30, 2022, our non-GAAP presentation of the measures described above exclude the immaterial impact of our operating resu</w:t>
      </w:r>
      <w:r>
        <w:rPr>
          <w:rFonts w:eastAsia="Times New Roman"/>
          <w:color w:val="000000"/>
          <w:sz w:val="20"/>
          <w:szCs w:val="20"/>
        </w:rPr>
        <w:t>lts in Russia, as well as the impact of impairments taken to write down the carrying value of assets and liabilities, severance charges, and the assessment of collectability on revenue recognition. We consider this to be a non-recurring special item and ma</w:t>
      </w:r>
      <w:r>
        <w:rPr>
          <w:rFonts w:eastAsia="Times New Roman"/>
          <w:color w:val="000000"/>
          <w:sz w:val="20"/>
          <w:szCs w:val="20"/>
        </w:rPr>
        <w:t>nagement has reviewed the results of its business segments excluding these impacts. We have not adjusted the presentation of the prior year periods due to the immaterial impact of Russia to revenue and income from continuing operations for the three and ni</w:t>
      </w:r>
      <w:r>
        <w:rPr>
          <w:rFonts w:eastAsia="Times New Roman"/>
          <w:color w:val="000000"/>
          <w:sz w:val="20"/>
          <w:szCs w:val="20"/>
        </w:rPr>
        <w:t>ne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NCR's definitions and calculations of these non-GAAP measures may differ from similarly-titled measures reported by other companies and cannot, therefore, be compared with similarly-titled measures of other companies. </w:t>
      </w:r>
      <w:r>
        <w:rPr>
          <w:rFonts w:eastAsia="Times New Roman"/>
          <w:color w:val="000000"/>
          <w:sz w:val="20"/>
          <w:szCs w:val="20"/>
        </w:rPr>
        <w:t>These non-GAAP measures should not be considered as substitutes for, or superior to, results determined in accordance with GAAP.</w:t>
      </w:r>
    </w:p>
    <w:p w:rsidR="00000000" w:rsidRDefault="008214AA">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085"/>
        <w:gridCol w:w="37"/>
        <w:gridCol w:w="120"/>
        <w:gridCol w:w="813"/>
        <w:gridCol w:w="36"/>
        <w:gridCol w:w="36"/>
        <w:gridCol w:w="36"/>
        <w:gridCol w:w="36"/>
        <w:gridCol w:w="120"/>
        <w:gridCol w:w="755"/>
        <w:gridCol w:w="36"/>
        <w:gridCol w:w="36"/>
        <w:gridCol w:w="36"/>
        <w:gridCol w:w="36"/>
        <w:gridCol w:w="120"/>
        <w:gridCol w:w="814"/>
        <w:gridCol w:w="36"/>
        <w:gridCol w:w="36"/>
        <w:gridCol w:w="36"/>
        <w:gridCol w:w="36"/>
        <w:gridCol w:w="120"/>
        <w:gridCol w:w="815"/>
        <w:gridCol w:w="36"/>
      </w:tblGrid>
      <w:tr w:rsidR="00000000">
        <w:tc>
          <w:tcPr>
            <w:tcW w:w="50" w:type="pct"/>
            <w:vAlign w:val="center"/>
            <w:hideMark/>
          </w:tcPr>
          <w:p w:rsidR="00000000" w:rsidRDefault="008214AA">
            <w:pPr>
              <w:jc w:val="both"/>
              <w:rPr>
                <w:rFonts w:eastAsia="Times New Roman"/>
              </w:rPr>
            </w:pPr>
          </w:p>
        </w:tc>
        <w:tc>
          <w:tcPr>
            <w:tcW w:w="25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Net income (loss) from continuing operations attributable to NCR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Transformation and restructuring costs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Acquisition-related amortization of intangibles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Acquisition-related costs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Depreciation and amortization (excluding acquisition-related amortization of intangibles)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Loss on debt extinguishment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vAlign w:val="center"/>
            <w:hideMark/>
          </w:tcPr>
          <w:p w:rsidR="00000000" w:rsidRDefault="008214AA">
            <w:pPr>
              <w:spacing w:after="100"/>
              <w:jc w:val="right"/>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Russia</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Adjusted EBITDA (non-GAAP)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Revenue</w:t>
      </w:r>
    </w:p>
    <w:tbl>
      <w:tblPr>
        <w:tblW w:w="5000" w:type="pct"/>
        <w:tblCellMar>
          <w:top w:w="15" w:type="dxa"/>
          <w:left w:w="15" w:type="dxa"/>
          <w:bottom w:w="15" w:type="dxa"/>
          <w:right w:w="15" w:type="dxa"/>
        </w:tblCellMar>
        <w:tblLook w:val="04A0" w:firstRow="1" w:lastRow="0" w:firstColumn="1" w:lastColumn="0" w:noHBand="0" w:noVBand="1"/>
      </w:tblPr>
      <w:tblGrid>
        <w:gridCol w:w="38"/>
        <w:gridCol w:w="2925"/>
        <w:gridCol w:w="37"/>
        <w:gridCol w:w="36"/>
        <w:gridCol w:w="36"/>
        <w:gridCol w:w="36"/>
        <w:gridCol w:w="120"/>
        <w:gridCol w:w="787"/>
        <w:gridCol w:w="36"/>
        <w:gridCol w:w="36"/>
        <w:gridCol w:w="36"/>
        <w:gridCol w:w="36"/>
        <w:gridCol w:w="120"/>
        <w:gridCol w:w="751"/>
        <w:gridCol w:w="36"/>
        <w:gridCol w:w="36"/>
        <w:gridCol w:w="36"/>
        <w:gridCol w:w="36"/>
        <w:gridCol w:w="45"/>
        <w:gridCol w:w="732"/>
        <w:gridCol w:w="221"/>
        <w:gridCol w:w="37"/>
        <w:gridCol w:w="36"/>
        <w:gridCol w:w="36"/>
        <w:gridCol w:w="45"/>
        <w:gridCol w:w="732"/>
        <w:gridCol w:w="187"/>
        <w:gridCol w:w="36"/>
        <w:gridCol w:w="36"/>
        <w:gridCol w:w="36"/>
        <w:gridCol w:w="66"/>
        <w:gridCol w:w="700"/>
        <w:gridCol w:w="187"/>
      </w:tblGrid>
      <w:tr w:rsidR="00000000">
        <w:tc>
          <w:tcPr>
            <w:tcW w:w="50" w:type="pct"/>
            <w:vAlign w:val="center"/>
            <w:hideMark/>
          </w:tcPr>
          <w:p w:rsidR="00000000" w:rsidRDefault="008214AA">
            <w:pPr>
              <w:jc w:val="both"/>
              <w:rPr>
                <w:rFonts w:eastAsia="Times New Roman"/>
              </w:rPr>
            </w:pPr>
          </w:p>
        </w:tc>
        <w:tc>
          <w:tcPr>
            <w:tcW w:w="184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vs 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72.6 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p>
    <w:p w:rsidR="00000000" w:rsidRDefault="008214AA">
      <w:pPr>
        <w:jc w:val="center"/>
        <w:divId w:val="876430419"/>
        <w:rPr>
          <w:rFonts w:eastAsia="Times New Roman"/>
        </w:rPr>
      </w:pPr>
      <w:r>
        <w:rPr>
          <w:rFonts w:eastAsia="Times New Roman"/>
          <w:color w:val="000000"/>
          <w:sz w:val="20"/>
          <w:szCs w:val="20"/>
        </w:rPr>
        <w:t>44</w:t>
      </w:r>
    </w:p>
    <w:p w:rsidR="00000000" w:rsidRDefault="008214AA">
      <w:pPr>
        <w:rPr>
          <w:rFonts w:eastAsia="Times New Roman"/>
        </w:rPr>
      </w:pPr>
      <w:r>
        <w:rPr>
          <w:rFonts w:eastAsia="Times New Roman"/>
        </w:rPr>
        <w:pict>
          <v:rect id="_x0000_i1069" style="width:0;height:1.5pt" o:hralign="center" o:hrstd="t" o:hr="t" fillcolor="#a0a0a0" stroked="f"/>
        </w:pict>
      </w:r>
    </w:p>
    <w:p w:rsidR="00000000" w:rsidRDefault="008214AA">
      <w:pPr>
        <w:divId w:val="1880582774"/>
        <w:rPr>
          <w:rFonts w:eastAsia="Times New Roman"/>
        </w:rPr>
      </w:pPr>
      <w:hyperlink w:anchor="if25b96f30cf14ee1a436e117fec2c043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2925"/>
        <w:gridCol w:w="37"/>
        <w:gridCol w:w="36"/>
        <w:gridCol w:w="36"/>
        <w:gridCol w:w="36"/>
        <w:gridCol w:w="120"/>
        <w:gridCol w:w="787"/>
        <w:gridCol w:w="36"/>
        <w:gridCol w:w="36"/>
        <w:gridCol w:w="36"/>
        <w:gridCol w:w="36"/>
        <w:gridCol w:w="120"/>
        <w:gridCol w:w="751"/>
        <w:gridCol w:w="36"/>
        <w:gridCol w:w="36"/>
        <w:gridCol w:w="36"/>
        <w:gridCol w:w="36"/>
        <w:gridCol w:w="45"/>
        <w:gridCol w:w="732"/>
        <w:gridCol w:w="221"/>
        <w:gridCol w:w="37"/>
        <w:gridCol w:w="36"/>
        <w:gridCol w:w="36"/>
        <w:gridCol w:w="45"/>
        <w:gridCol w:w="732"/>
        <w:gridCol w:w="187"/>
        <w:gridCol w:w="36"/>
        <w:gridCol w:w="36"/>
        <w:gridCol w:w="36"/>
        <w:gridCol w:w="66"/>
        <w:gridCol w:w="700"/>
        <w:gridCol w:w="187"/>
      </w:tblGrid>
      <w:tr w:rsidR="00000000">
        <w:tc>
          <w:tcPr>
            <w:tcW w:w="50" w:type="pct"/>
            <w:vAlign w:val="center"/>
            <w:hideMark/>
          </w:tcPr>
          <w:p w:rsidR="00000000" w:rsidRDefault="008214AA">
            <w:pPr>
              <w:rPr>
                <w:rFonts w:eastAsia="Times New Roman"/>
              </w:rPr>
            </w:pPr>
          </w:p>
        </w:tc>
        <w:tc>
          <w:tcPr>
            <w:tcW w:w="184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5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vs 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3,569 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69.7 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Product revenue incl</w:t>
      </w:r>
      <w:r>
        <w:rPr>
          <w:rFonts w:eastAsia="Times New Roman"/>
          <w:color w:val="000000"/>
          <w:sz w:val="20"/>
          <w:szCs w:val="20"/>
        </w:rPr>
        <w:t xml:space="preserve">udes our hardware and software license revenue streams as well as cryptocurrency-related revenues. Service revenue includes hardware and software maintenance revenue, implementation services revenue, cloud revenue, payments processing revenue, interchange </w:t>
      </w:r>
      <w:r>
        <w:rPr>
          <w:rFonts w:eastAsia="Times New Roman"/>
          <w:color w:val="000000"/>
          <w:sz w:val="20"/>
          <w:szCs w:val="20"/>
        </w:rPr>
        <w:t>and network revenue, as well as professional services revenue.</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w:t>
      </w:r>
      <w:r>
        <w:rPr>
          <w:rFonts w:eastAsia="Times New Roman"/>
          <w:color w:val="000000"/>
          <w:sz w:val="20"/>
          <w:szCs w:val="20"/>
        </w:rPr>
        <w:t xml:space="preserve"> </w:t>
      </w:r>
      <w:r>
        <w:rPr>
          <w:rFonts w:eastAsia="Times New Roman"/>
          <w:i/>
          <w:iCs/>
          <w:color w:val="000000"/>
          <w:sz w:val="20"/>
          <w:szCs w:val="20"/>
        </w:rPr>
        <w:t>the three and nine months ended September 30, 2022 compared to the three and nine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Total revenue increased 4% for the three months ended September 30, 202</w:t>
      </w:r>
      <w:r>
        <w:rPr>
          <w:rFonts w:eastAsia="Times New Roman"/>
          <w:color w:val="000000"/>
          <w:sz w:val="20"/>
          <w:szCs w:val="20"/>
        </w:rPr>
        <w:t>2 compared to the three months ended September 30, 2021. Foreign currency fluctuations had an unfavorable impact of 4% on the revenue comparison. Product revenue for the three months ended September 30, 2022 increased 13% compared to the three months ended</w:t>
      </w:r>
      <w:r>
        <w:rPr>
          <w:rFonts w:eastAsia="Times New Roman"/>
          <w:color w:val="000000"/>
          <w:sz w:val="20"/>
          <w:szCs w:val="20"/>
        </w:rPr>
        <w:t xml:space="preserve"> September 30, 2021 due to growth in SCO, POS and ATM revenue as well as the addition of cryptocurrency revenue following the acquisition of LibertyX in January 2022, partially offset by a decline in software license revenue. Service revenue was flat for t</w:t>
      </w:r>
      <w:r>
        <w:rPr>
          <w:rFonts w:eastAsia="Times New Roman"/>
          <w:color w:val="000000"/>
          <w:sz w:val="20"/>
          <w:szCs w:val="20"/>
        </w:rPr>
        <w:t>he three months ended September 30, 2022 when compared to the prior year period due to increases in software maintenance and other software related services fully offset by a decline in hardware maintenance and professional services revenue.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Total revenu</w:t>
      </w:r>
      <w:r>
        <w:rPr>
          <w:rFonts w:eastAsia="Times New Roman"/>
          <w:color w:val="000000"/>
          <w:sz w:val="20"/>
          <w:szCs w:val="20"/>
        </w:rPr>
        <w:t xml:space="preserve">e increased 14% for the nine months ended September 30, 2022 compared to the nine months ended September 30, 2021. Foreign currency fluctuations had an unfavorable impact of 4% on the revenue comparison. Product revenue for the nine months ended September </w:t>
      </w:r>
      <w:r>
        <w:rPr>
          <w:rFonts w:eastAsia="Times New Roman"/>
          <w:color w:val="000000"/>
          <w:sz w:val="20"/>
          <w:szCs w:val="20"/>
        </w:rPr>
        <w:t>30, 2022 increased 11% compared to the nine months ended September 30, 2021 due to growth in POS and SCO revenue as well as the addition of cryptocurrency revenue following the acquisition of LibertyX in January 2022, partially offset by a slight decline i</w:t>
      </w:r>
      <w:r>
        <w:rPr>
          <w:rFonts w:eastAsia="Times New Roman"/>
          <w:color w:val="000000"/>
          <w:sz w:val="20"/>
          <w:szCs w:val="20"/>
        </w:rPr>
        <w:t>n ATM revenue. Service revenue for the nine months ended September 30, 2022 increased 15% compared to the nine months ended September 30, 2021 due to growth in software maintenance and software related services, which includes the results of Cardtronics, p</w:t>
      </w:r>
      <w:r>
        <w:rPr>
          <w:rFonts w:eastAsia="Times New Roman"/>
          <w:color w:val="000000"/>
          <w:sz w:val="20"/>
          <w:szCs w:val="20"/>
        </w:rPr>
        <w:t>artially offset by a decline in hardware maintenance revenue.</w:t>
      </w: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Gross Margin</w:t>
      </w:r>
    </w:p>
    <w:tbl>
      <w:tblPr>
        <w:tblW w:w="4970" w:type="pct"/>
        <w:tblCellMar>
          <w:top w:w="15" w:type="dxa"/>
          <w:left w:w="15" w:type="dxa"/>
          <w:bottom w:w="15" w:type="dxa"/>
          <w:right w:w="15" w:type="dxa"/>
        </w:tblCellMar>
        <w:tblLook w:val="04A0" w:firstRow="1" w:lastRow="0" w:firstColumn="1" w:lastColumn="0" w:noHBand="0" w:noVBand="1"/>
      </w:tblPr>
      <w:tblGrid>
        <w:gridCol w:w="38"/>
        <w:gridCol w:w="2865"/>
        <w:gridCol w:w="37"/>
        <w:gridCol w:w="36"/>
        <w:gridCol w:w="36"/>
        <w:gridCol w:w="36"/>
        <w:gridCol w:w="120"/>
        <w:gridCol w:w="836"/>
        <w:gridCol w:w="36"/>
        <w:gridCol w:w="36"/>
        <w:gridCol w:w="36"/>
        <w:gridCol w:w="36"/>
        <w:gridCol w:w="120"/>
        <w:gridCol w:w="701"/>
        <w:gridCol w:w="36"/>
        <w:gridCol w:w="36"/>
        <w:gridCol w:w="36"/>
        <w:gridCol w:w="36"/>
        <w:gridCol w:w="38"/>
        <w:gridCol w:w="739"/>
        <w:gridCol w:w="221"/>
        <w:gridCol w:w="37"/>
        <w:gridCol w:w="36"/>
        <w:gridCol w:w="36"/>
        <w:gridCol w:w="37"/>
        <w:gridCol w:w="727"/>
        <w:gridCol w:w="187"/>
        <w:gridCol w:w="36"/>
        <w:gridCol w:w="36"/>
        <w:gridCol w:w="36"/>
        <w:gridCol w:w="64"/>
        <w:gridCol w:w="726"/>
        <w:gridCol w:w="187"/>
      </w:tblGrid>
      <w:tr w:rsidR="00000000">
        <w:tc>
          <w:tcPr>
            <w:tcW w:w="50" w:type="pct"/>
            <w:vAlign w:val="center"/>
            <w:hideMark/>
          </w:tcPr>
          <w:p w:rsidR="00000000" w:rsidRDefault="008214AA">
            <w:pPr>
              <w:jc w:val="both"/>
              <w:rPr>
                <w:rFonts w:eastAsia="Times New Roman"/>
              </w:rPr>
            </w:pPr>
          </w:p>
        </w:tc>
        <w:tc>
          <w:tcPr>
            <w:tcW w:w="18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6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4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Product gross margin</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gross margin</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31.1 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gross margin</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w:t>
      </w:r>
      <w:r>
        <w:rPr>
          <w:rFonts w:eastAsia="Times New Roman"/>
          <w:color w:val="000000"/>
          <w:sz w:val="18"/>
          <w:szCs w:val="18"/>
        </w:rPr>
        <w:t>revenue is calculated for each line item divided by the related component of revenue.</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three months ended September 30, 2022 compared to the three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G</w:t>
      </w:r>
      <w:r>
        <w:rPr>
          <w:rFonts w:eastAsia="Times New Roman"/>
          <w:color w:val="000000"/>
          <w:sz w:val="20"/>
          <w:szCs w:val="20"/>
          <w:shd w:val="clear" w:color="auto" w:fill="FFFFFF"/>
        </w:rPr>
        <w:t xml:space="preserve">ross margin as a percentage of revenue in </w:t>
      </w:r>
      <w:r>
        <w:rPr>
          <w:rFonts w:eastAsia="Times New Roman"/>
          <w:color w:val="000000"/>
          <w:sz w:val="20"/>
          <w:szCs w:val="20"/>
        </w:rPr>
        <w:t>the three months ended</w:t>
      </w:r>
      <w:r>
        <w:rPr>
          <w:rFonts w:eastAsia="Times New Roman"/>
          <w:color w:val="000000"/>
          <w:sz w:val="20"/>
          <w:szCs w:val="20"/>
          <w:shd w:val="clear" w:color="auto" w:fill="FFFFFF"/>
        </w:rPr>
        <w:t xml:space="preserve"> </w:t>
      </w:r>
      <w:r>
        <w:rPr>
          <w:rFonts w:eastAsia="Times New Roman"/>
          <w:color w:val="000000"/>
          <w:sz w:val="20"/>
          <w:szCs w:val="20"/>
        </w:rPr>
        <w:t>September 30, 2022</w:t>
      </w:r>
      <w:r>
        <w:rPr>
          <w:rFonts w:eastAsia="Times New Roman"/>
          <w:color w:val="000000"/>
          <w:sz w:val="20"/>
          <w:szCs w:val="20"/>
          <w:shd w:val="clear" w:color="auto" w:fill="FFFFFF"/>
        </w:rPr>
        <w:t xml:space="preserve"> was 24.9% compared to 27.4% in </w:t>
      </w:r>
      <w:r>
        <w:rPr>
          <w:rFonts w:eastAsia="Times New Roman"/>
          <w:color w:val="000000"/>
          <w:sz w:val="20"/>
          <w:szCs w:val="20"/>
        </w:rPr>
        <w:t>the three months ended</w:t>
      </w:r>
      <w:r>
        <w:rPr>
          <w:rFonts w:eastAsia="Times New Roman"/>
          <w:color w:val="000000"/>
          <w:sz w:val="20"/>
          <w:szCs w:val="20"/>
          <w:shd w:val="clear" w:color="auto" w:fill="FFFFFF"/>
        </w:rPr>
        <w:t xml:space="preserve"> </w:t>
      </w:r>
      <w:r>
        <w:rPr>
          <w:rFonts w:eastAsia="Times New Roman"/>
          <w:color w:val="000000"/>
          <w:sz w:val="20"/>
          <w:szCs w:val="20"/>
        </w:rPr>
        <w:t>September 30, 2021</w:t>
      </w:r>
      <w:r>
        <w:rPr>
          <w:rFonts w:eastAsia="Times New Roman"/>
          <w:color w:val="000000"/>
          <w:sz w:val="20"/>
          <w:szCs w:val="20"/>
          <w:shd w:val="clear" w:color="auto" w:fill="FFFFFF"/>
        </w:rPr>
        <w:t xml:space="preserve">. </w:t>
      </w:r>
      <w:r>
        <w:rPr>
          <w:rFonts w:eastAsia="Times New Roman"/>
          <w:color w:val="000000"/>
          <w:sz w:val="20"/>
          <w:szCs w:val="20"/>
        </w:rPr>
        <w:t xml:space="preserve">Gross margin </w:t>
      </w:r>
      <w:r>
        <w:rPr>
          <w:rFonts w:eastAsia="Times New Roman"/>
          <w:color w:val="000000"/>
          <w:sz w:val="20"/>
          <w:szCs w:val="20"/>
          <w:shd w:val="clear" w:color="auto" w:fill="FFFFFF"/>
        </w:rPr>
        <w:t xml:space="preserve">in </w:t>
      </w:r>
      <w:r>
        <w:rPr>
          <w:rFonts w:eastAsia="Times New Roman"/>
          <w:color w:val="000000"/>
          <w:sz w:val="20"/>
          <w:szCs w:val="20"/>
        </w:rPr>
        <w:t>the three months ended September 30, 2022 included $8 million of transformation and restructuring costs and $27 million of amortization of acquisit</w:t>
      </w:r>
      <w:r>
        <w:rPr>
          <w:rFonts w:eastAsia="Times New Roman"/>
          <w:color w:val="000000"/>
          <w:sz w:val="20"/>
          <w:szCs w:val="20"/>
        </w:rPr>
        <w:t>ion-related intangible assets. Gross margin for the three months ended September 30, 2021 included $3 million of transformation and restructuring costs and $23 million of amortization of acquisition-related intangible assets. Excluding these items, gross m</w:t>
      </w:r>
      <w:r>
        <w:rPr>
          <w:rFonts w:eastAsia="Times New Roman"/>
          <w:color w:val="000000"/>
          <w:sz w:val="20"/>
          <w:szCs w:val="20"/>
        </w:rPr>
        <w:t xml:space="preserve">argin as a percentage of revenue decreased from 28.7% to 26.7% due to increases in fuel costs, component parts, and increased interest rates driving higher cost on vault cash agreements as well as other supply chain challenges that continued to negatively </w:t>
      </w:r>
      <w:r>
        <w:rPr>
          <w:rFonts w:eastAsia="Times New Roman"/>
          <w:color w:val="000000"/>
          <w:sz w:val="20"/>
          <w:szCs w:val="20"/>
        </w:rPr>
        <w:t>impact our costs as compared to the prior year. The impact of these cost increases were partially offset by cost mitigation actions implemented.</w:t>
      </w:r>
    </w:p>
    <w:p w:rsidR="00000000" w:rsidRDefault="008214AA">
      <w:pPr>
        <w:divId w:val="507065227"/>
        <w:rPr>
          <w:rFonts w:eastAsia="Times New Roman"/>
        </w:rPr>
      </w:pPr>
    </w:p>
    <w:p w:rsidR="00000000" w:rsidRDefault="008214AA">
      <w:pPr>
        <w:jc w:val="center"/>
        <w:divId w:val="2134056813"/>
        <w:rPr>
          <w:rFonts w:eastAsia="Times New Roman"/>
        </w:rPr>
      </w:pPr>
      <w:r>
        <w:rPr>
          <w:rFonts w:eastAsia="Times New Roman"/>
          <w:color w:val="000000"/>
          <w:sz w:val="20"/>
          <w:szCs w:val="20"/>
        </w:rPr>
        <w:t>45</w:t>
      </w:r>
    </w:p>
    <w:p w:rsidR="00000000" w:rsidRDefault="008214AA">
      <w:pPr>
        <w:rPr>
          <w:rFonts w:eastAsia="Times New Roman"/>
        </w:rPr>
      </w:pPr>
      <w:r>
        <w:rPr>
          <w:rFonts w:eastAsia="Times New Roman"/>
        </w:rPr>
        <w:pict>
          <v:rect id="_x0000_i1070" style="width:0;height:1.5pt" o:hralign="center" o:hrstd="t" o:hr="t" fillcolor="#a0a0a0" stroked="f"/>
        </w:pict>
      </w:r>
    </w:p>
    <w:p w:rsidR="00000000" w:rsidRDefault="008214AA">
      <w:pPr>
        <w:divId w:val="972908879"/>
        <w:rPr>
          <w:rFonts w:eastAsia="Times New Roman"/>
        </w:rPr>
      </w:pPr>
      <w:hyperlink w:anchor="if25b96f30cf14ee1a436e117fec2c043_7" w:history="1">
        <w:r>
          <w:rPr>
            <w:rStyle w:val="a3"/>
            <w:rFonts w:eastAsia="Times New Roman"/>
            <w:sz w:val="16"/>
            <w:szCs w:val="16"/>
          </w:rPr>
          <w:t>Table of Con</w:t>
        </w:r>
        <w:r>
          <w:rPr>
            <w:rStyle w:val="a3"/>
            <w:rFonts w:eastAsia="Times New Roman"/>
            <w:sz w:val="16"/>
            <w:szCs w:val="16"/>
          </w:rPr>
          <w:t>tents</w:t>
        </w:r>
      </w:hyperlink>
    </w:p>
    <w:tbl>
      <w:tblPr>
        <w:tblW w:w="4970" w:type="pct"/>
        <w:tblCellMar>
          <w:top w:w="15" w:type="dxa"/>
          <w:left w:w="15" w:type="dxa"/>
          <w:bottom w:w="15" w:type="dxa"/>
          <w:right w:w="15" w:type="dxa"/>
        </w:tblCellMar>
        <w:tblLook w:val="04A0" w:firstRow="1" w:lastRow="0" w:firstColumn="1" w:lastColumn="0" w:noHBand="0" w:noVBand="1"/>
      </w:tblPr>
      <w:tblGrid>
        <w:gridCol w:w="38"/>
        <w:gridCol w:w="2865"/>
        <w:gridCol w:w="37"/>
        <w:gridCol w:w="36"/>
        <w:gridCol w:w="36"/>
        <w:gridCol w:w="36"/>
        <w:gridCol w:w="120"/>
        <w:gridCol w:w="836"/>
        <w:gridCol w:w="36"/>
        <w:gridCol w:w="36"/>
        <w:gridCol w:w="36"/>
        <w:gridCol w:w="36"/>
        <w:gridCol w:w="120"/>
        <w:gridCol w:w="701"/>
        <w:gridCol w:w="36"/>
        <w:gridCol w:w="36"/>
        <w:gridCol w:w="36"/>
        <w:gridCol w:w="36"/>
        <w:gridCol w:w="38"/>
        <w:gridCol w:w="739"/>
        <w:gridCol w:w="221"/>
        <w:gridCol w:w="37"/>
        <w:gridCol w:w="36"/>
        <w:gridCol w:w="36"/>
        <w:gridCol w:w="37"/>
        <w:gridCol w:w="727"/>
        <w:gridCol w:w="187"/>
        <w:gridCol w:w="36"/>
        <w:gridCol w:w="36"/>
        <w:gridCol w:w="36"/>
        <w:gridCol w:w="64"/>
        <w:gridCol w:w="726"/>
        <w:gridCol w:w="187"/>
      </w:tblGrid>
      <w:tr w:rsidR="00000000">
        <w:trPr>
          <w:divId w:val="322047869"/>
        </w:trPr>
        <w:tc>
          <w:tcPr>
            <w:tcW w:w="50" w:type="pct"/>
            <w:vAlign w:val="center"/>
            <w:hideMark/>
          </w:tcPr>
          <w:p w:rsidR="00000000" w:rsidRDefault="008214AA">
            <w:pPr>
              <w:rPr>
                <w:rFonts w:eastAsia="Times New Roman"/>
              </w:rPr>
            </w:pPr>
          </w:p>
        </w:tc>
        <w:tc>
          <w:tcPr>
            <w:tcW w:w="18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6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4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322047869"/>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rPr>
          <w:divId w:val="322047869"/>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rPr>
          <w:divId w:val="322047869"/>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Product gross margin</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322047869"/>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Service gross margin</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1,127 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31.6 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322047869"/>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Total gross margin</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divId w:val="1265966166"/>
        <w:rPr>
          <w:rFonts w:eastAsia="Times New Roman"/>
        </w:rPr>
      </w:pPr>
    </w:p>
    <w:p w:rsidR="00000000" w:rsidRDefault="008214AA">
      <w:pPr>
        <w:jc w:val="both"/>
        <w:rPr>
          <w:rFonts w:eastAsia="Times New Roman"/>
        </w:rPr>
      </w:pPr>
      <w:r>
        <w:rPr>
          <w:rFonts w:eastAsia="Times New Roman"/>
          <w:i/>
          <w:iCs/>
          <w:color w:val="000000"/>
          <w:sz w:val="20"/>
          <w:szCs w:val="20"/>
        </w:rPr>
        <w:t xml:space="preserve">For the nine months </w:t>
      </w:r>
      <w:r>
        <w:rPr>
          <w:rFonts w:eastAsia="Times New Roman"/>
          <w:i/>
          <w:iCs/>
          <w:color w:val="000000"/>
          <w:sz w:val="20"/>
          <w:szCs w:val="20"/>
        </w:rPr>
        <w:t>ended September 30, 2022 compared to the nine months ended September 30, 2021</w:t>
      </w:r>
    </w:p>
    <w:p w:rsidR="00000000" w:rsidRDefault="008214AA">
      <w:pPr>
        <w:divId w:val="567763262"/>
        <w:rPr>
          <w:rFonts w:eastAsia="Times New Roman"/>
        </w:rPr>
      </w:pPr>
    </w:p>
    <w:p w:rsidR="00000000" w:rsidRDefault="008214AA">
      <w:pPr>
        <w:jc w:val="both"/>
        <w:rPr>
          <w:rFonts w:eastAsia="Times New Roman"/>
        </w:rPr>
      </w:pPr>
      <w:r>
        <w:rPr>
          <w:rFonts w:eastAsia="Times New Roman"/>
          <w:color w:val="000000"/>
          <w:sz w:val="20"/>
          <w:szCs w:val="20"/>
        </w:rPr>
        <w:t>G</w:t>
      </w:r>
      <w:r>
        <w:rPr>
          <w:rFonts w:eastAsia="Times New Roman"/>
          <w:color w:val="000000"/>
          <w:sz w:val="20"/>
          <w:szCs w:val="20"/>
          <w:shd w:val="clear" w:color="auto" w:fill="FFFFFF"/>
        </w:rPr>
        <w:t xml:space="preserve">ross margin as a percentage of revenue in </w:t>
      </w:r>
      <w:r>
        <w:rPr>
          <w:rFonts w:eastAsia="Times New Roman"/>
          <w:color w:val="000000"/>
          <w:sz w:val="20"/>
          <w:szCs w:val="20"/>
        </w:rPr>
        <w:t>the nine months ended</w:t>
      </w:r>
      <w:r>
        <w:rPr>
          <w:rFonts w:eastAsia="Times New Roman"/>
          <w:color w:val="000000"/>
          <w:sz w:val="20"/>
          <w:szCs w:val="20"/>
          <w:shd w:val="clear" w:color="auto" w:fill="FFFFFF"/>
        </w:rPr>
        <w:t xml:space="preserve"> </w:t>
      </w:r>
      <w:r>
        <w:rPr>
          <w:rFonts w:eastAsia="Times New Roman"/>
          <w:color w:val="000000"/>
          <w:sz w:val="20"/>
          <w:szCs w:val="20"/>
        </w:rPr>
        <w:t>September 30, 2022</w:t>
      </w:r>
      <w:r>
        <w:rPr>
          <w:rFonts w:eastAsia="Times New Roman"/>
          <w:color w:val="000000"/>
          <w:sz w:val="20"/>
          <w:szCs w:val="20"/>
          <w:shd w:val="clear" w:color="auto" w:fill="FFFFFF"/>
        </w:rPr>
        <w:t xml:space="preserve"> was 23.5% compared to 27.1% in </w:t>
      </w:r>
      <w:r>
        <w:rPr>
          <w:rFonts w:eastAsia="Times New Roman"/>
          <w:color w:val="000000"/>
          <w:sz w:val="20"/>
          <w:szCs w:val="20"/>
        </w:rPr>
        <w:t>the nine months ended</w:t>
      </w:r>
      <w:r>
        <w:rPr>
          <w:rFonts w:eastAsia="Times New Roman"/>
          <w:color w:val="000000"/>
          <w:sz w:val="20"/>
          <w:szCs w:val="20"/>
          <w:shd w:val="clear" w:color="auto" w:fill="FFFFFF"/>
        </w:rPr>
        <w:t xml:space="preserve"> </w:t>
      </w:r>
      <w:r>
        <w:rPr>
          <w:rFonts w:eastAsia="Times New Roman"/>
          <w:color w:val="000000"/>
          <w:sz w:val="20"/>
          <w:szCs w:val="20"/>
        </w:rPr>
        <w:t>September 30, 2021</w:t>
      </w:r>
      <w:r>
        <w:rPr>
          <w:rFonts w:eastAsia="Times New Roman"/>
          <w:color w:val="000000"/>
          <w:sz w:val="20"/>
          <w:szCs w:val="20"/>
          <w:shd w:val="clear" w:color="auto" w:fill="FFFFFF"/>
        </w:rPr>
        <w:t xml:space="preserve">. </w:t>
      </w:r>
      <w:r>
        <w:rPr>
          <w:rFonts w:eastAsia="Times New Roman"/>
          <w:color w:val="000000"/>
          <w:sz w:val="20"/>
          <w:szCs w:val="20"/>
        </w:rPr>
        <w:t xml:space="preserve">Gross margin </w:t>
      </w:r>
      <w:r>
        <w:rPr>
          <w:rFonts w:eastAsia="Times New Roman"/>
          <w:color w:val="000000"/>
          <w:sz w:val="20"/>
          <w:szCs w:val="20"/>
          <w:shd w:val="clear" w:color="auto" w:fill="FFFFFF"/>
        </w:rPr>
        <w:t xml:space="preserve">in </w:t>
      </w:r>
      <w:r>
        <w:rPr>
          <w:rFonts w:eastAsia="Times New Roman"/>
          <w:color w:val="000000"/>
          <w:sz w:val="20"/>
          <w:szCs w:val="20"/>
        </w:rPr>
        <w:t>the</w:t>
      </w:r>
      <w:r>
        <w:rPr>
          <w:rFonts w:eastAsia="Times New Roman"/>
          <w:color w:val="000000"/>
          <w:sz w:val="20"/>
          <w:szCs w:val="20"/>
        </w:rPr>
        <w:t xml:space="preserve"> nine months ended September 30, 2022 included $29 million of transformation and restructuring costs, $73 million of amortization of acquisition-related intangible assets, $1 million of acquisition-related costs, and $10 million related to operating losses</w:t>
      </w:r>
      <w:r>
        <w:rPr>
          <w:rFonts w:eastAsia="Times New Roman"/>
          <w:color w:val="000000"/>
          <w:sz w:val="20"/>
          <w:szCs w:val="20"/>
        </w:rPr>
        <w:t xml:space="preserve">, impairments and other actions taken with respect to our operations in Russia. Gross margin for the nine months ended September 30, 2021 included $14 million of transformation and restructuring costs and $39 million of amortization of acquisition-related </w:t>
      </w:r>
      <w:r>
        <w:rPr>
          <w:rFonts w:eastAsia="Times New Roman"/>
          <w:color w:val="000000"/>
          <w:sz w:val="20"/>
          <w:szCs w:val="20"/>
        </w:rPr>
        <w:t>intangible assets. Excluding these items, gross margin as a percentage of revenue decreased from 28.2% to 25.5% due to increases in fuel costs, component parts, and increased interest rates driving higher cost on vault cash agreements as well as other supp</w:t>
      </w:r>
      <w:r>
        <w:rPr>
          <w:rFonts w:eastAsia="Times New Roman"/>
          <w:color w:val="000000"/>
          <w:sz w:val="20"/>
          <w:szCs w:val="20"/>
        </w:rPr>
        <w:t>ly chain challenges that negatively impacted our costs. The impact of these cost increases were partially offset by cost mitigation actions implemented and an increase in the favorable higher margin software and services revenue.</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Selling, General and Adm</w:t>
      </w:r>
      <w:r>
        <w:rPr>
          <w:rFonts w:eastAsia="Times New Roman"/>
          <w:b/>
          <w:bCs/>
          <w:color w:val="000000"/>
          <w:sz w:val="20"/>
          <w:szCs w:val="20"/>
        </w:rPr>
        <w:t>inistrative Expenses</w:t>
      </w:r>
    </w:p>
    <w:p w:rsidR="00000000" w:rsidRDefault="008214AA">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2828"/>
        <w:gridCol w:w="36"/>
        <w:gridCol w:w="36"/>
        <w:gridCol w:w="36"/>
        <w:gridCol w:w="36"/>
        <w:gridCol w:w="120"/>
        <w:gridCol w:w="921"/>
        <w:gridCol w:w="36"/>
        <w:gridCol w:w="36"/>
        <w:gridCol w:w="36"/>
        <w:gridCol w:w="36"/>
        <w:gridCol w:w="120"/>
        <w:gridCol w:w="700"/>
        <w:gridCol w:w="36"/>
        <w:gridCol w:w="36"/>
        <w:gridCol w:w="36"/>
        <w:gridCol w:w="36"/>
        <w:gridCol w:w="38"/>
        <w:gridCol w:w="727"/>
        <w:gridCol w:w="221"/>
        <w:gridCol w:w="37"/>
        <w:gridCol w:w="37"/>
        <w:gridCol w:w="36"/>
        <w:gridCol w:w="37"/>
        <w:gridCol w:w="741"/>
        <w:gridCol w:w="187"/>
        <w:gridCol w:w="36"/>
        <w:gridCol w:w="36"/>
        <w:gridCol w:w="36"/>
        <w:gridCol w:w="65"/>
        <w:gridCol w:w="713"/>
        <w:gridCol w:w="187"/>
      </w:tblGrid>
      <w:tr w:rsidR="00000000">
        <w:tc>
          <w:tcPr>
            <w:tcW w:w="50" w:type="pct"/>
            <w:vAlign w:val="center"/>
            <w:hideMark/>
          </w:tcPr>
          <w:p w:rsidR="00000000" w:rsidRDefault="008214AA">
            <w:pPr>
              <w:jc w:val="both"/>
              <w:rPr>
                <w:rFonts w:eastAsia="Times New Roman"/>
              </w:rPr>
            </w:pPr>
          </w:p>
        </w:tc>
        <w:tc>
          <w:tcPr>
            <w:tcW w:w="178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vs 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three months ended September 30, 2022 compared to the three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Selling, general, and administrative expenses were $264 million compared to $294 million in the three months ended September 30, 2022 and 2021, respective</w:t>
      </w:r>
      <w:r>
        <w:rPr>
          <w:rFonts w:eastAsia="Times New Roman"/>
          <w:color w:val="000000"/>
          <w:sz w:val="20"/>
          <w:szCs w:val="20"/>
        </w:rPr>
        <w:t>ly. As a percentage of revenue, selling, general and administrative expenses were 13.4% compared to 15.5% in the three months ended September 30, 2022 and 2021, respectively. In the three months ended September 30, 2022, selling, general and administrative</w:t>
      </w:r>
      <w:r>
        <w:rPr>
          <w:rFonts w:eastAsia="Times New Roman"/>
          <w:color w:val="000000"/>
          <w:sz w:val="20"/>
          <w:szCs w:val="20"/>
        </w:rPr>
        <w:t xml:space="preserve"> expenses included $8 million of transformation and restructuring costs, $17 million of amortization of acquisition-related intangible assets, and $1 million of acquisition-related costs. In the three months ended September 30, 2021, selling, general and a</w:t>
      </w:r>
      <w:r>
        <w:rPr>
          <w:rFonts w:eastAsia="Times New Roman"/>
          <w:color w:val="000000"/>
          <w:sz w:val="20"/>
          <w:szCs w:val="20"/>
        </w:rPr>
        <w:t>dministrative expenses included $2 million of transformation and restructuring costs, $22 million of amortization of acquisition-related intangible assets and $8 million of acquisition-related costs. Excluding these items, selling, general and administrati</w:t>
      </w:r>
      <w:r>
        <w:rPr>
          <w:rFonts w:eastAsia="Times New Roman"/>
          <w:color w:val="000000"/>
          <w:sz w:val="20"/>
          <w:szCs w:val="20"/>
        </w:rPr>
        <w:t xml:space="preserve">ve expenses decreased slightly as a percentage of revenue from 13.8% to 12.1% primarily due to cost mitigation actions implemented. </w:t>
      </w:r>
    </w:p>
    <w:p w:rsidR="00000000" w:rsidRDefault="008214AA">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2828"/>
        <w:gridCol w:w="36"/>
        <w:gridCol w:w="36"/>
        <w:gridCol w:w="36"/>
        <w:gridCol w:w="36"/>
        <w:gridCol w:w="120"/>
        <w:gridCol w:w="921"/>
        <w:gridCol w:w="36"/>
        <w:gridCol w:w="36"/>
        <w:gridCol w:w="36"/>
        <w:gridCol w:w="36"/>
        <w:gridCol w:w="120"/>
        <w:gridCol w:w="700"/>
        <w:gridCol w:w="36"/>
        <w:gridCol w:w="36"/>
        <w:gridCol w:w="36"/>
        <w:gridCol w:w="36"/>
        <w:gridCol w:w="38"/>
        <w:gridCol w:w="727"/>
        <w:gridCol w:w="221"/>
        <w:gridCol w:w="37"/>
        <w:gridCol w:w="37"/>
        <w:gridCol w:w="36"/>
        <w:gridCol w:w="37"/>
        <w:gridCol w:w="741"/>
        <w:gridCol w:w="187"/>
        <w:gridCol w:w="36"/>
        <w:gridCol w:w="36"/>
        <w:gridCol w:w="36"/>
        <w:gridCol w:w="65"/>
        <w:gridCol w:w="713"/>
        <w:gridCol w:w="187"/>
      </w:tblGrid>
      <w:tr w:rsidR="00000000">
        <w:tc>
          <w:tcPr>
            <w:tcW w:w="50" w:type="pct"/>
            <w:vAlign w:val="center"/>
            <w:hideMark/>
          </w:tcPr>
          <w:p w:rsidR="00000000" w:rsidRDefault="008214AA">
            <w:pPr>
              <w:jc w:val="both"/>
              <w:rPr>
                <w:rFonts w:eastAsia="Times New Roman"/>
              </w:rPr>
            </w:pPr>
          </w:p>
        </w:tc>
        <w:tc>
          <w:tcPr>
            <w:tcW w:w="178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1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vs 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nine months ended September 30, 2022 compared to the nine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Selling, general, and administrative expenses were $886 million compared to $835 million in the nine months ended September 30, 2022 and 2021, respectively.</w:t>
      </w:r>
      <w:r>
        <w:rPr>
          <w:rFonts w:eastAsia="Times New Roman"/>
          <w:color w:val="000000"/>
          <w:sz w:val="20"/>
          <w:szCs w:val="20"/>
        </w:rPr>
        <w:t xml:space="preserve"> As a percentage of revenue, selling, general and administrative expenses were 15.2% compared to 16.3% in the nine months ended September 30, 2022 and 2021, respectively. In the nine months ended September 30, 2022, selling, general and administrative expe</w:t>
      </w:r>
      <w:r>
        <w:rPr>
          <w:rFonts w:eastAsia="Times New Roman"/>
          <w:color w:val="000000"/>
          <w:sz w:val="20"/>
          <w:szCs w:val="20"/>
        </w:rPr>
        <w:t>nses included $54 million of transformation and restructuring costs, $57 million of amortization of acquisition-related intangible assets, $8 million of acquisition-related costs and $6 million of costs related to actions taken with respect to our operatio</w:t>
      </w:r>
      <w:r>
        <w:rPr>
          <w:rFonts w:eastAsia="Times New Roman"/>
          <w:color w:val="000000"/>
          <w:sz w:val="20"/>
          <w:szCs w:val="20"/>
        </w:rPr>
        <w:t xml:space="preserve">ns in Russia. In the nine months ended September 30, 2021, selling, general and administrative expenses included $5 million of transformation and restructuring costs, $49 million of amortization of acquisition-related intangible assets, and $77 million of </w:t>
      </w:r>
      <w:r>
        <w:rPr>
          <w:rFonts w:eastAsia="Times New Roman"/>
          <w:color w:val="000000"/>
          <w:sz w:val="20"/>
          <w:szCs w:val="20"/>
        </w:rPr>
        <w:t xml:space="preserve">acquisition-related costs. Excluding these items, selling, general and administrative expenses decreased slightly as a percentage of revenue from 13.7% to 13.1%. </w:t>
      </w:r>
    </w:p>
    <w:p w:rsidR="00000000" w:rsidRDefault="008214AA">
      <w:pPr>
        <w:jc w:val="both"/>
        <w:rPr>
          <w:rFonts w:eastAsia="Times New Roman"/>
        </w:rPr>
      </w:pPr>
    </w:p>
    <w:p w:rsidR="00000000" w:rsidRDefault="008214AA">
      <w:pPr>
        <w:jc w:val="center"/>
        <w:divId w:val="1503932639"/>
        <w:rPr>
          <w:rFonts w:eastAsia="Times New Roman"/>
        </w:rPr>
      </w:pPr>
      <w:r>
        <w:rPr>
          <w:rFonts w:eastAsia="Times New Roman"/>
          <w:color w:val="000000"/>
          <w:sz w:val="20"/>
          <w:szCs w:val="20"/>
        </w:rPr>
        <w:t>46</w:t>
      </w:r>
    </w:p>
    <w:p w:rsidR="00000000" w:rsidRDefault="008214AA">
      <w:pPr>
        <w:rPr>
          <w:rFonts w:eastAsia="Times New Roman"/>
        </w:rPr>
      </w:pPr>
      <w:r>
        <w:rPr>
          <w:rFonts w:eastAsia="Times New Roman"/>
        </w:rPr>
        <w:pict>
          <v:rect id="_x0000_i1071" style="width:0;height:1.5pt" o:hralign="center" o:hrstd="t" o:hr="t" fillcolor="#a0a0a0" stroked="f"/>
        </w:pict>
      </w:r>
    </w:p>
    <w:p w:rsidR="00000000" w:rsidRDefault="008214AA">
      <w:pPr>
        <w:divId w:val="2050959468"/>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b/>
          <w:bCs/>
          <w:color w:val="000000"/>
          <w:sz w:val="20"/>
          <w:szCs w:val="20"/>
        </w:rPr>
        <w:t>Research and Development Expenses</w:t>
      </w:r>
    </w:p>
    <w:p w:rsidR="00000000" w:rsidRDefault="008214AA">
      <w:pPr>
        <w:divId w:val="72020385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26"/>
        <w:gridCol w:w="36"/>
        <w:gridCol w:w="36"/>
        <w:gridCol w:w="36"/>
        <w:gridCol w:w="36"/>
        <w:gridCol w:w="120"/>
        <w:gridCol w:w="786"/>
        <w:gridCol w:w="36"/>
        <w:gridCol w:w="36"/>
        <w:gridCol w:w="36"/>
        <w:gridCol w:w="36"/>
        <w:gridCol w:w="120"/>
        <w:gridCol w:w="713"/>
        <w:gridCol w:w="36"/>
        <w:gridCol w:w="36"/>
        <w:gridCol w:w="36"/>
        <w:gridCol w:w="36"/>
        <w:gridCol w:w="37"/>
        <w:gridCol w:w="754"/>
        <w:gridCol w:w="221"/>
        <w:gridCol w:w="36"/>
        <w:gridCol w:w="36"/>
        <w:gridCol w:w="36"/>
        <w:gridCol w:w="36"/>
        <w:gridCol w:w="742"/>
        <w:gridCol w:w="187"/>
        <w:gridCol w:w="36"/>
        <w:gridCol w:w="36"/>
        <w:gridCol w:w="36"/>
        <w:gridCol w:w="65"/>
        <w:gridCol w:w="726"/>
        <w:gridCol w:w="187"/>
      </w:tblGrid>
      <w:tr w:rsidR="00000000">
        <w:tc>
          <w:tcPr>
            <w:tcW w:w="50" w:type="pct"/>
            <w:vAlign w:val="center"/>
            <w:hideMark/>
          </w:tcPr>
          <w:p w:rsidR="00000000" w:rsidRDefault="008214AA">
            <w:pPr>
              <w:rPr>
                <w:rFonts w:eastAsia="Times New Roman"/>
              </w:rPr>
            </w:pPr>
          </w:p>
        </w:tc>
        <w:tc>
          <w:tcPr>
            <w:tcW w:w="184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three months ended September 30, 2022 compared to the three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Research and development expenses were $40 million compared to $69 million in the three months ended September 30, 2022 and 2021, respectively. As a perce</w:t>
      </w:r>
      <w:r>
        <w:rPr>
          <w:rFonts w:eastAsia="Times New Roman"/>
          <w:color w:val="000000"/>
          <w:sz w:val="20"/>
          <w:szCs w:val="20"/>
        </w:rPr>
        <w:t>ntage of revenue, these costs were 2.0% and 3.6% in the three months ended September 30, 2022 and 2021, respectively, and were lower due to an increase in capitalization as well as cost-mitigation actions that were implemented.</w:t>
      </w:r>
    </w:p>
    <w:p w:rsidR="00000000" w:rsidRDefault="008214AA">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26"/>
        <w:gridCol w:w="36"/>
        <w:gridCol w:w="36"/>
        <w:gridCol w:w="36"/>
        <w:gridCol w:w="36"/>
        <w:gridCol w:w="120"/>
        <w:gridCol w:w="786"/>
        <w:gridCol w:w="36"/>
        <w:gridCol w:w="36"/>
        <w:gridCol w:w="36"/>
        <w:gridCol w:w="36"/>
        <w:gridCol w:w="120"/>
        <w:gridCol w:w="713"/>
        <w:gridCol w:w="36"/>
        <w:gridCol w:w="36"/>
        <w:gridCol w:w="36"/>
        <w:gridCol w:w="36"/>
        <w:gridCol w:w="37"/>
        <w:gridCol w:w="754"/>
        <w:gridCol w:w="221"/>
        <w:gridCol w:w="36"/>
        <w:gridCol w:w="36"/>
        <w:gridCol w:w="36"/>
        <w:gridCol w:w="36"/>
        <w:gridCol w:w="742"/>
        <w:gridCol w:w="187"/>
        <w:gridCol w:w="36"/>
        <w:gridCol w:w="36"/>
        <w:gridCol w:w="36"/>
        <w:gridCol w:w="65"/>
        <w:gridCol w:w="726"/>
        <w:gridCol w:w="187"/>
      </w:tblGrid>
      <w:tr w:rsidR="00000000">
        <w:tc>
          <w:tcPr>
            <w:tcW w:w="50" w:type="pct"/>
            <w:vAlign w:val="center"/>
            <w:hideMark/>
          </w:tcPr>
          <w:p w:rsidR="00000000" w:rsidRDefault="008214AA">
            <w:pPr>
              <w:jc w:val="both"/>
              <w:rPr>
                <w:rFonts w:eastAsia="Times New Roman"/>
              </w:rPr>
            </w:pPr>
          </w:p>
        </w:tc>
        <w:tc>
          <w:tcPr>
            <w:tcW w:w="184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2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nine months ended September 30, 2022 compared to the nine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Research and development expenses were $164 million compared to $204 million in the nine months ended September 30, 2022 and 2021, respectively. As a percen</w:t>
      </w:r>
      <w:r>
        <w:rPr>
          <w:rFonts w:eastAsia="Times New Roman"/>
          <w:color w:val="000000"/>
          <w:sz w:val="20"/>
          <w:szCs w:val="20"/>
        </w:rPr>
        <w:t>tage of revenue, these costs were 2.8% and 4.0% in the nine months ended September 30, 2022 and 2021, respectively. In the nine months ended September 30, 2022, research and development expenses included $10 million of transformation and restructuring cost</w:t>
      </w:r>
      <w:r>
        <w:rPr>
          <w:rFonts w:eastAsia="Times New Roman"/>
          <w:color w:val="000000"/>
          <w:sz w:val="20"/>
          <w:szCs w:val="20"/>
        </w:rPr>
        <w:t>s. In the nine months ended September 30, 2021, research and development expenses included $1 million of transformation and restructuring costs. After considering this item, research and development expenses decreased as a percentage of revenue from 4.0% t</w:t>
      </w:r>
      <w:r>
        <w:rPr>
          <w:rFonts w:eastAsia="Times New Roman"/>
          <w:color w:val="000000"/>
          <w:sz w:val="20"/>
          <w:szCs w:val="20"/>
        </w:rPr>
        <w:t>o 2.6%, respectively, and were lower due to an increase in capitalization in 2022 as well as cost-mitigation actions that were implemented.</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Loss on Debt Extinguishment</w:t>
      </w:r>
    </w:p>
    <w:p w:rsidR="00000000" w:rsidRDefault="008214AA">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679"/>
        <w:gridCol w:w="36"/>
        <w:gridCol w:w="36"/>
        <w:gridCol w:w="36"/>
        <w:gridCol w:w="36"/>
        <w:gridCol w:w="120"/>
        <w:gridCol w:w="890"/>
        <w:gridCol w:w="36"/>
        <w:gridCol w:w="36"/>
        <w:gridCol w:w="36"/>
        <w:gridCol w:w="36"/>
        <w:gridCol w:w="120"/>
        <w:gridCol w:w="823"/>
        <w:gridCol w:w="36"/>
        <w:gridCol w:w="36"/>
        <w:gridCol w:w="36"/>
        <w:gridCol w:w="36"/>
        <w:gridCol w:w="120"/>
        <w:gridCol w:w="891"/>
        <w:gridCol w:w="36"/>
        <w:gridCol w:w="36"/>
        <w:gridCol w:w="36"/>
        <w:gridCol w:w="36"/>
        <w:gridCol w:w="120"/>
        <w:gridCol w:w="893"/>
        <w:gridCol w:w="36"/>
      </w:tblGrid>
      <w:tr w:rsidR="00000000">
        <w:tc>
          <w:tcPr>
            <w:tcW w:w="50" w:type="pct"/>
            <w:vAlign w:val="center"/>
            <w:hideMark/>
          </w:tcPr>
          <w:p w:rsidR="00000000" w:rsidRDefault="008214AA">
            <w:pPr>
              <w:jc w:val="both"/>
              <w:rPr>
                <w:rFonts w:eastAsia="Times New Roman"/>
              </w:rPr>
            </w:pPr>
          </w:p>
        </w:tc>
        <w:tc>
          <w:tcPr>
            <w:tcW w:w="227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8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8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8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8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Loss on extinguishment of debt of $42 million for the the three and nine months ended</w:t>
      </w:r>
      <w:r>
        <w:rPr>
          <w:rFonts w:eastAsia="Times New Roman"/>
          <w:i/>
          <w:iCs/>
          <w:color w:val="000000"/>
          <w:sz w:val="20"/>
          <w:szCs w:val="20"/>
        </w:rPr>
        <w:t xml:space="preserve"> </w:t>
      </w:r>
      <w:r>
        <w:rPr>
          <w:rFonts w:eastAsia="Times New Roman"/>
          <w:color w:val="000000"/>
          <w:sz w:val="20"/>
          <w:szCs w:val="20"/>
        </w:rPr>
        <w:t>Septembe</w:t>
      </w:r>
      <w:r>
        <w:rPr>
          <w:rFonts w:eastAsia="Times New Roman"/>
          <w:color w:val="000000"/>
          <w:sz w:val="20"/>
          <w:szCs w:val="20"/>
        </w:rPr>
        <w:t xml:space="preserve">r 30, 2021 is related to the premium paid for early redemption of $400 million 8.125% senior secured notes due 2025, which includes the write-off of deferred financing fees of $5 million and a cash redemption premium of $37 million. </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Interest Expense</w:t>
      </w:r>
    </w:p>
    <w:p w:rsidR="00000000" w:rsidRDefault="008214AA">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060"/>
        <w:gridCol w:w="37"/>
        <w:gridCol w:w="36"/>
        <w:gridCol w:w="36"/>
        <w:gridCol w:w="36"/>
        <w:gridCol w:w="120"/>
        <w:gridCol w:w="1146"/>
        <w:gridCol w:w="36"/>
        <w:gridCol w:w="36"/>
        <w:gridCol w:w="36"/>
        <w:gridCol w:w="36"/>
        <w:gridCol w:w="120"/>
        <w:gridCol w:w="1080"/>
        <w:gridCol w:w="36"/>
        <w:gridCol w:w="36"/>
        <w:gridCol w:w="36"/>
        <w:gridCol w:w="36"/>
        <w:gridCol w:w="50"/>
        <w:gridCol w:w="1072"/>
        <w:gridCol w:w="187"/>
      </w:tblGrid>
      <w:tr w:rsidR="00000000">
        <w:tc>
          <w:tcPr>
            <w:tcW w:w="50" w:type="pct"/>
            <w:vAlign w:val="center"/>
            <w:hideMark/>
          </w:tcPr>
          <w:p w:rsidR="00000000" w:rsidRDefault="008214AA">
            <w:pPr>
              <w:jc w:val="both"/>
              <w:rPr>
                <w:rFonts w:eastAsia="Times New Roman"/>
              </w:rPr>
            </w:pPr>
          </w:p>
        </w:tc>
        <w:tc>
          <w:tcPr>
            <w:tcW w:w="250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3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3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1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three months ended September 30, 2022 compared to the three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Interest expense was $74 million compared to $68 million in the three months ended September 30, 20</w:t>
      </w:r>
      <w:r>
        <w:rPr>
          <w:rFonts w:eastAsia="Times New Roman"/>
          <w:color w:val="000000"/>
          <w:sz w:val="20"/>
          <w:szCs w:val="20"/>
        </w:rPr>
        <w:t xml:space="preserve">22 and 2021, respectively. Interest expense is primarily related to the Company's senior unsecured notes and borrowings under the Company's Senior Secured Credit Facility. The main driver was related to the increase in interest rates on the Senior Secured </w:t>
      </w:r>
      <w:r>
        <w:rPr>
          <w:rFonts w:eastAsia="Times New Roman"/>
          <w:color w:val="000000"/>
          <w:sz w:val="20"/>
          <w:szCs w:val="20"/>
        </w:rPr>
        <w:t>Credit Facility and slightly higher average outstanding principal balances.</w:t>
      </w:r>
    </w:p>
    <w:p w:rsidR="00000000" w:rsidRDefault="008214AA">
      <w:pPr>
        <w:jc w:val="both"/>
        <w:rPr>
          <w:rFonts w:eastAsia="Times New Roman"/>
        </w:rPr>
      </w:pPr>
    </w:p>
    <w:p w:rsidR="00000000" w:rsidRDefault="008214AA">
      <w:pPr>
        <w:jc w:val="both"/>
        <w:rPr>
          <w:rFonts w:eastAsia="Times New Roman"/>
        </w:rPr>
      </w:pPr>
    </w:p>
    <w:p w:rsidR="00000000" w:rsidRDefault="008214AA">
      <w:pPr>
        <w:jc w:val="center"/>
        <w:divId w:val="1561553598"/>
        <w:rPr>
          <w:rFonts w:eastAsia="Times New Roman"/>
        </w:rPr>
      </w:pPr>
      <w:r>
        <w:rPr>
          <w:rFonts w:eastAsia="Times New Roman"/>
          <w:color w:val="000000"/>
          <w:sz w:val="20"/>
          <w:szCs w:val="20"/>
        </w:rPr>
        <w:t>47</w:t>
      </w:r>
    </w:p>
    <w:p w:rsidR="00000000" w:rsidRDefault="008214AA">
      <w:pPr>
        <w:rPr>
          <w:rFonts w:eastAsia="Times New Roman"/>
        </w:rPr>
      </w:pPr>
      <w:r>
        <w:rPr>
          <w:rFonts w:eastAsia="Times New Roman"/>
        </w:rPr>
        <w:pict>
          <v:rect id="_x0000_i1072" style="width:0;height:1.5pt" o:hralign="center" o:hrstd="t" o:hr="t" fillcolor="#a0a0a0" stroked="f"/>
        </w:pict>
      </w:r>
    </w:p>
    <w:p w:rsidR="00000000" w:rsidRDefault="008214AA">
      <w:pPr>
        <w:divId w:val="211237089"/>
        <w:rPr>
          <w:rFonts w:eastAsia="Times New Roman"/>
        </w:rPr>
      </w:pPr>
      <w:hyperlink w:anchor="if25b96f30cf14ee1a436e117fec2c043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060"/>
        <w:gridCol w:w="37"/>
        <w:gridCol w:w="36"/>
        <w:gridCol w:w="36"/>
        <w:gridCol w:w="36"/>
        <w:gridCol w:w="120"/>
        <w:gridCol w:w="1146"/>
        <w:gridCol w:w="36"/>
        <w:gridCol w:w="36"/>
        <w:gridCol w:w="36"/>
        <w:gridCol w:w="36"/>
        <w:gridCol w:w="120"/>
        <w:gridCol w:w="1080"/>
        <w:gridCol w:w="36"/>
        <w:gridCol w:w="36"/>
        <w:gridCol w:w="36"/>
        <w:gridCol w:w="36"/>
        <w:gridCol w:w="50"/>
        <w:gridCol w:w="1072"/>
        <w:gridCol w:w="187"/>
      </w:tblGrid>
      <w:tr w:rsidR="00000000">
        <w:tc>
          <w:tcPr>
            <w:tcW w:w="50" w:type="pct"/>
            <w:vAlign w:val="center"/>
            <w:hideMark/>
          </w:tcPr>
          <w:p w:rsidR="00000000" w:rsidRDefault="008214AA">
            <w:pPr>
              <w:rPr>
                <w:rFonts w:eastAsia="Times New Roman"/>
              </w:rPr>
            </w:pPr>
          </w:p>
        </w:tc>
        <w:tc>
          <w:tcPr>
            <w:tcW w:w="250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3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34"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1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bl>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nine months ended September 30, 2022 compared to the nine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Interest expense was $204 million compared to $174 million in the nine months ended September 30, 202</w:t>
      </w:r>
      <w:r>
        <w:rPr>
          <w:rFonts w:eastAsia="Times New Roman"/>
          <w:color w:val="000000"/>
          <w:sz w:val="20"/>
          <w:szCs w:val="20"/>
        </w:rPr>
        <w:t xml:space="preserve">2 and 2021, respectively. Interest expense is primarily related to the Company's senior unsecured notes and borrowings under the Company's Senior Secured Credit Facility. The main driver was related to the increase in total outstanding debt as a result of </w:t>
      </w:r>
      <w:r>
        <w:rPr>
          <w:rFonts w:eastAsia="Times New Roman"/>
          <w:color w:val="000000"/>
          <w:sz w:val="20"/>
          <w:szCs w:val="20"/>
        </w:rPr>
        <w:t>the closing of the acquisition of Cardtronics in the second quarter of 2021, combined with an increase in interest rates on the Senior Secured Credit Facility.</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Other Income (Expense), net</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Other income (expense), net was expense of $1 million and $5 mil</w:t>
      </w:r>
      <w:r>
        <w:rPr>
          <w:rFonts w:eastAsia="Times New Roman"/>
          <w:color w:val="000000"/>
          <w:sz w:val="20"/>
          <w:szCs w:val="20"/>
        </w:rPr>
        <w:t>lion in the three months ended September 30, 2022 and 2021, respectively, and income of $9 million and expense of $23 million in the nine months ended September 30, 2022 and 2021, respectively, with the components reflected in the following table:</w:t>
      </w:r>
    </w:p>
    <w:p w:rsidR="00000000" w:rsidRDefault="008214AA">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79"/>
        <w:gridCol w:w="37"/>
        <w:gridCol w:w="36"/>
        <w:gridCol w:w="36"/>
        <w:gridCol w:w="36"/>
        <w:gridCol w:w="120"/>
        <w:gridCol w:w="890"/>
        <w:gridCol w:w="36"/>
        <w:gridCol w:w="36"/>
        <w:gridCol w:w="36"/>
        <w:gridCol w:w="36"/>
        <w:gridCol w:w="120"/>
        <w:gridCol w:w="822"/>
        <w:gridCol w:w="36"/>
        <w:gridCol w:w="36"/>
        <w:gridCol w:w="36"/>
        <w:gridCol w:w="36"/>
        <w:gridCol w:w="121"/>
        <w:gridCol w:w="890"/>
        <w:gridCol w:w="37"/>
        <w:gridCol w:w="36"/>
        <w:gridCol w:w="36"/>
        <w:gridCol w:w="36"/>
        <w:gridCol w:w="120"/>
        <w:gridCol w:w="892"/>
        <w:gridCol w:w="36"/>
      </w:tblGrid>
      <w:tr w:rsidR="00000000">
        <w:trPr>
          <w:jc w:val="center"/>
        </w:trPr>
        <w:tc>
          <w:tcPr>
            <w:tcW w:w="50" w:type="pct"/>
            <w:vAlign w:val="center"/>
            <w:hideMark/>
          </w:tcPr>
          <w:p w:rsidR="00000000" w:rsidRDefault="008214AA">
            <w:pPr>
              <w:jc w:val="both"/>
              <w:rPr>
                <w:rFonts w:eastAsia="Times New Roman"/>
              </w:rPr>
            </w:pPr>
          </w:p>
        </w:tc>
        <w:tc>
          <w:tcPr>
            <w:tcW w:w="227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8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8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8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81"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Foreign currency fluctuations and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Bank-related fees</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Employee benefit plans</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Other, net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b/>
                <w:bCs/>
                <w:color w:val="000000"/>
                <w:sz w:val="20"/>
                <w:szCs w:val="20"/>
              </w:rPr>
              <w:t>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Employee benefit plans within Other income (expense), net includ</w:t>
      </w:r>
      <w:r>
        <w:rPr>
          <w:rFonts w:eastAsia="Times New Roman"/>
          <w:color w:val="000000"/>
          <w:sz w:val="20"/>
          <w:szCs w:val="20"/>
        </w:rPr>
        <w:t>es the components of pension, postemployment and postretirement expense, other than service cost. The increase in Employee benefit plans in 2022 compared to the prior year period is primarily related to actuarial gains related to the pension plans that are</w:t>
      </w:r>
      <w:r>
        <w:rPr>
          <w:rFonts w:eastAsia="Times New Roman"/>
          <w:color w:val="000000"/>
          <w:sz w:val="20"/>
          <w:szCs w:val="20"/>
        </w:rPr>
        <w:t xml:space="preserve"> being amortized throughout the year. In the nine months ended September 30, 2021, the Company incurred bank-related fees of $19 million related to certain structuring and commitment fees as a result of the financing transactions entered into during the fi</w:t>
      </w:r>
      <w:r>
        <w:rPr>
          <w:rFonts w:eastAsia="Times New Roman"/>
          <w:color w:val="000000"/>
          <w:sz w:val="20"/>
          <w:szCs w:val="20"/>
        </w:rPr>
        <w:t>rst quarter of 2021 related to the transaction with Cardtronics.</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8"/>
        <w:gridCol w:w="2737"/>
        <w:gridCol w:w="37"/>
        <w:gridCol w:w="36"/>
        <w:gridCol w:w="36"/>
        <w:gridCol w:w="36"/>
        <w:gridCol w:w="120"/>
        <w:gridCol w:w="1126"/>
        <w:gridCol w:w="36"/>
        <w:gridCol w:w="36"/>
        <w:gridCol w:w="36"/>
        <w:gridCol w:w="36"/>
        <w:gridCol w:w="120"/>
        <w:gridCol w:w="1058"/>
        <w:gridCol w:w="36"/>
        <w:gridCol w:w="36"/>
        <w:gridCol w:w="36"/>
        <w:gridCol w:w="36"/>
        <w:gridCol w:w="120"/>
        <w:gridCol w:w="1127"/>
        <w:gridCol w:w="36"/>
        <w:gridCol w:w="36"/>
        <w:gridCol w:w="36"/>
        <w:gridCol w:w="36"/>
        <w:gridCol w:w="120"/>
        <w:gridCol w:w="1127"/>
        <w:gridCol w:w="36"/>
      </w:tblGrid>
      <w:tr w:rsidR="00000000">
        <w:tc>
          <w:tcPr>
            <w:tcW w:w="50" w:type="pct"/>
            <w:vAlign w:val="center"/>
            <w:hideMark/>
          </w:tcPr>
          <w:p w:rsidR="00000000" w:rsidRDefault="008214AA">
            <w:pPr>
              <w:jc w:val="both"/>
              <w:rPr>
                <w:rFonts w:eastAsia="Times New Roman"/>
              </w:rPr>
            </w:pPr>
          </w:p>
        </w:tc>
        <w:tc>
          <w:tcPr>
            <w:tcW w:w="17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2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three months ended September 30, 2022 compared to the three months ended September 30,</w:t>
      </w:r>
      <w:r>
        <w:rPr>
          <w:rFonts w:eastAsia="Times New Roman"/>
          <w:i/>
          <w:iCs/>
          <w:color w:val="000000"/>
          <w:sz w:val="20"/>
          <w:szCs w:val="20"/>
        </w:rPr>
        <w:t xml:space="preserve">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Income tax provisions for interim (quarterly) periods are based on an estimated annual effective income tax rate calculated separately from the effect of significant, infrequent or unusual items. Income tax expense was $43 million for the three mon</w:t>
      </w:r>
      <w:r>
        <w:rPr>
          <w:rFonts w:eastAsia="Times New Roman"/>
          <w:color w:val="000000"/>
          <w:sz w:val="20"/>
          <w:szCs w:val="20"/>
        </w:rPr>
        <w:t>ths ended September 30, 2022 compared to $29 million income tax expense for the three months ended September 30, 2021. The change was primarily driven by higher income before taxes in the three months ended September 30, 2022, compared to the prior year.</w:t>
      </w:r>
      <w:r>
        <w:rPr>
          <w:rFonts w:eastAsia="Times New Roman"/>
          <w:color w:val="000000"/>
        </w:rPr>
        <w:t xml:space="preserve"> </w:t>
      </w:r>
      <w:r>
        <w:rPr>
          <w:rFonts w:eastAsia="Times New Roman"/>
          <w:color w:val="000000"/>
          <w:sz w:val="20"/>
          <w:szCs w:val="20"/>
        </w:rPr>
        <w:t>T</w:t>
      </w:r>
      <w:r>
        <w:rPr>
          <w:rFonts w:eastAsia="Times New Roman"/>
          <w:color w:val="000000"/>
          <w:sz w:val="20"/>
          <w:szCs w:val="20"/>
        </w:rPr>
        <w:t>he company did not recognize any material discrete tax expenses or benefits in either period.</w:t>
      </w:r>
    </w:p>
    <w:p w:rsidR="00000000" w:rsidRDefault="008214AA">
      <w:pPr>
        <w:jc w:val="both"/>
        <w:rPr>
          <w:rFonts w:eastAsia="Times New Roman"/>
        </w:rPr>
      </w:pPr>
      <w:r>
        <w:rPr>
          <w:rFonts w:eastAsia="Times New Roman"/>
          <w:color w:val="000000"/>
          <w:sz w:val="20"/>
          <w:szCs w:val="20"/>
        </w:rPr>
        <w:t>.</w:t>
      </w:r>
    </w:p>
    <w:p w:rsidR="00000000" w:rsidRDefault="008214AA">
      <w:pPr>
        <w:jc w:val="both"/>
        <w:rPr>
          <w:rFonts w:eastAsia="Times New Roman"/>
        </w:rPr>
      </w:pPr>
      <w:r>
        <w:rPr>
          <w:rFonts w:eastAsia="Times New Roman"/>
          <w:i/>
          <w:iCs/>
          <w:color w:val="000000"/>
          <w:sz w:val="20"/>
          <w:szCs w:val="20"/>
        </w:rPr>
        <w:t>For the nine months ended September 30, 2022 compared to the nine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Income tax expense was $56 million for the nine months ended September 30, 2022 compared to expense of $77 million for the nine months ended September 30, 2</w:t>
      </w:r>
      <w:r>
        <w:rPr>
          <w:rFonts w:eastAsia="Times New Roman"/>
          <w:color w:val="000000"/>
          <w:sz w:val="20"/>
          <w:szCs w:val="20"/>
        </w:rPr>
        <w:t>021. The change was primarily driven by discrete tax expenses and benefits. In the nine months ended September 30, 2022, the Company recognized a $7 million benefit from provision to return adjustments and a $7 million benefit related to uncertain tax posi</w:t>
      </w:r>
      <w:r>
        <w:rPr>
          <w:rFonts w:eastAsia="Times New Roman"/>
          <w:color w:val="000000"/>
          <w:sz w:val="20"/>
          <w:szCs w:val="20"/>
        </w:rPr>
        <w:t>tion settlements and statute of limitation lapses.</w:t>
      </w:r>
      <w:r>
        <w:rPr>
          <w:rFonts w:eastAsia="Times New Roman"/>
          <w:color w:val="000000"/>
        </w:rPr>
        <w:t xml:space="preserve"> </w:t>
      </w:r>
      <w:r>
        <w:rPr>
          <w:rFonts w:eastAsia="Times New Roman"/>
          <w:color w:val="000000"/>
          <w:sz w:val="20"/>
          <w:szCs w:val="20"/>
        </w:rPr>
        <w:t xml:space="preserve">In the nine months ended September </w:t>
      </w:r>
    </w:p>
    <w:p w:rsidR="00000000" w:rsidRDefault="008214AA">
      <w:pPr>
        <w:jc w:val="center"/>
        <w:divId w:val="397941169"/>
        <w:rPr>
          <w:rFonts w:eastAsia="Times New Roman"/>
        </w:rPr>
      </w:pPr>
      <w:r>
        <w:rPr>
          <w:rFonts w:eastAsia="Times New Roman"/>
          <w:color w:val="000000"/>
          <w:sz w:val="20"/>
          <w:szCs w:val="20"/>
        </w:rPr>
        <w:t>48</w:t>
      </w:r>
    </w:p>
    <w:p w:rsidR="00000000" w:rsidRDefault="008214AA">
      <w:pPr>
        <w:rPr>
          <w:rFonts w:eastAsia="Times New Roman"/>
        </w:rPr>
      </w:pPr>
      <w:r>
        <w:rPr>
          <w:rFonts w:eastAsia="Times New Roman"/>
        </w:rPr>
        <w:pict>
          <v:rect id="_x0000_i1073" style="width:0;height:1.5pt" o:hralign="center" o:hrstd="t" o:hr="t" fillcolor="#a0a0a0" stroked="f"/>
        </w:pict>
      </w:r>
    </w:p>
    <w:p w:rsidR="00000000" w:rsidRDefault="008214AA">
      <w:pPr>
        <w:divId w:val="1116097258"/>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color w:val="000000"/>
          <w:sz w:val="20"/>
          <w:szCs w:val="20"/>
        </w:rPr>
        <w:t>30, 2021, the Company recognized a $34 million expense</w:t>
      </w:r>
      <w:r>
        <w:rPr>
          <w:rFonts w:eastAsia="Times New Roman"/>
          <w:color w:val="000000"/>
          <w:sz w:val="20"/>
          <w:szCs w:val="20"/>
        </w:rPr>
        <w:t xml:space="preserve"> from recording a valuation allowance against interest limitation carryforwards in the U.S. and a $14 million benefit from the deferred tax impact of a tax law change in the U.K.</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Company is subject to numerous federal, state and foreign tax audits. W</w:t>
      </w:r>
      <w:r>
        <w:rPr>
          <w:rFonts w:eastAsia="Times New Roman"/>
          <w:color w:val="000000"/>
          <w:sz w:val="20"/>
          <w:szCs w:val="20"/>
        </w:rPr>
        <w:t xml:space="preserve">hile we believe that appropriate reserves exist for issues that might arise from these audits, should these audits be settled, the resulting tax effect could impact the tax provision and cash flows in 2022 or future periods. </w:t>
      </w:r>
    </w:p>
    <w:p w:rsidR="00000000" w:rsidRDefault="008214AA">
      <w:pPr>
        <w:divId w:val="896743749"/>
        <w:rPr>
          <w:rFonts w:eastAsia="Times New Roman"/>
        </w:rPr>
      </w:pPr>
    </w:p>
    <w:p w:rsidR="00000000" w:rsidRDefault="008214AA">
      <w:pPr>
        <w:jc w:val="both"/>
        <w:rPr>
          <w:rFonts w:eastAsia="Times New Roman"/>
        </w:rPr>
      </w:pPr>
      <w:r>
        <w:rPr>
          <w:rFonts w:eastAsia="Times New Roman"/>
          <w:b/>
          <w:bCs/>
          <w:color w:val="000000"/>
          <w:sz w:val="20"/>
          <w:szCs w:val="20"/>
        </w:rPr>
        <w:t>Income (Loss) from Discontin</w:t>
      </w:r>
      <w:r>
        <w:rPr>
          <w:rFonts w:eastAsia="Times New Roman"/>
          <w:b/>
          <w:bCs/>
          <w:color w:val="000000"/>
          <w:sz w:val="20"/>
          <w:szCs w:val="20"/>
        </w:rPr>
        <w:t>ued Operations</w:t>
      </w:r>
    </w:p>
    <w:p w:rsidR="00000000" w:rsidRDefault="008214AA">
      <w:pPr>
        <w:divId w:val="520436203"/>
        <w:rPr>
          <w:rFonts w:eastAsia="Times New Roman"/>
        </w:rPr>
      </w:pPr>
    </w:p>
    <w:p w:rsidR="00000000" w:rsidRDefault="008214AA">
      <w:pPr>
        <w:jc w:val="both"/>
        <w:rPr>
          <w:rFonts w:eastAsia="Times New Roman"/>
        </w:rPr>
      </w:pPr>
      <w:r>
        <w:rPr>
          <w:rFonts w:eastAsia="Times New Roman"/>
          <w:color w:val="000000"/>
          <w:sz w:val="20"/>
          <w:szCs w:val="20"/>
        </w:rPr>
        <w:t>There was no activity related to discontinued operations for the three months ended September 30, 2022, whereas the Company recognized income from discontinued operations, net of tax, of $5 million in the nine months ended September 30, 20</w:t>
      </w:r>
      <w:r>
        <w:rPr>
          <w:rFonts w:eastAsia="Times New Roman"/>
          <w:color w:val="000000"/>
          <w:sz w:val="20"/>
          <w:szCs w:val="20"/>
        </w:rPr>
        <w:t>22. The income from discontinued operations, net of tax, was primarily driven by insurance recoveries partially offset by immaterial updates to various environmental remediation matters. In the three and nine months ended September 30, 2021, there was no a</w:t>
      </w:r>
      <w:r>
        <w:rPr>
          <w:rFonts w:eastAsia="Times New Roman"/>
          <w:color w:val="000000"/>
          <w:sz w:val="20"/>
          <w:szCs w:val="20"/>
        </w:rPr>
        <w:t xml:space="preserve">ctivity related to discontinued operations. </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Revenue and Adjusted EBITDA by Segment</w:t>
      </w:r>
    </w:p>
    <w:p w:rsidR="00000000" w:rsidRDefault="008214AA">
      <w:pPr>
        <w:ind w:firstLine="495"/>
        <w:jc w:val="both"/>
        <w:rPr>
          <w:rFonts w:eastAsia="Times New Roman"/>
        </w:rPr>
      </w:pPr>
    </w:p>
    <w:p w:rsidR="00000000" w:rsidRDefault="008214AA">
      <w:pPr>
        <w:jc w:val="both"/>
        <w:rPr>
          <w:rFonts w:eastAsia="Times New Roman"/>
        </w:rPr>
      </w:pPr>
      <w:r>
        <w:rPr>
          <w:rFonts w:eastAsia="Times New Roman"/>
          <w:color w:val="000000"/>
          <w:sz w:val="20"/>
          <w:szCs w:val="20"/>
        </w:rPr>
        <w:t>The Company manages and reports its businesses in the following segments: Retail, Hospitality, Digital Banking, Payments &amp; Network, and Self-Service Banking. Segments a</w:t>
      </w:r>
      <w:r>
        <w:rPr>
          <w:rFonts w:eastAsia="Times New Roman"/>
          <w:color w:val="000000"/>
          <w:sz w:val="20"/>
          <w:szCs w:val="20"/>
        </w:rPr>
        <w:t>re measured for profitability by the Company’s chief operating decision maker based on revenue and segment Adjusted EBITDA. Adjusted EBITDA is defined as GAAP net income (loss) from continuing operations attributable to NCR plus interest expense, net; plus</w:t>
      </w:r>
      <w:r>
        <w:rPr>
          <w:rFonts w:eastAsia="Times New Roman"/>
          <w:color w:val="000000"/>
          <w:sz w:val="20"/>
          <w:szCs w:val="20"/>
        </w:rPr>
        <w:t xml:space="preserve"> income tax expense (benefit); plus depreciation and amortization; plus stock-based compensation expense; plus other income (expense); plus pension mark-to-market adjustments, pension settlements, pension curtailments and pension special termination benefi</w:t>
      </w:r>
      <w:r>
        <w:rPr>
          <w:rFonts w:eastAsia="Times New Roman"/>
          <w:color w:val="000000"/>
          <w:sz w:val="20"/>
          <w:szCs w:val="20"/>
        </w:rPr>
        <w:t>ts and other special items, including amortization of acquisition-related intangibles, restructuring charges, among others. The special items are considered non-operational so are excluded from the Adjusted EBITDA metric utilized by our chief operating dec</w:t>
      </w:r>
      <w:r>
        <w:rPr>
          <w:rFonts w:eastAsia="Times New Roman"/>
          <w:color w:val="000000"/>
          <w:sz w:val="20"/>
          <w:szCs w:val="20"/>
        </w:rPr>
        <w:t>ision maker in evaluating segment performance and are separately delineated to reconcile back to total reported income (loss) from continuing operations attributable to NCR. This format is useful to investors because it allows analysis and comparability of</w:t>
      </w:r>
      <w:r>
        <w:rPr>
          <w:rFonts w:eastAsia="Times New Roman"/>
          <w:color w:val="000000"/>
          <w:sz w:val="20"/>
          <w:szCs w:val="20"/>
        </w:rPr>
        <w:t xml:space="preserve"> operating trends. It also includes the same information that is used by NCR management to make decisions regarding the segments and to assess our financial performance.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Corporate and Other includes income and expenses related to corporate functions that are not specifically attributable to an individual reportable segment along with any immaterial operating segment(s).</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The war in Eastern E</w:t>
      </w:r>
      <w:r>
        <w:rPr>
          <w:rFonts w:eastAsia="Times New Roman"/>
          <w:color w:val="000000"/>
          <w:sz w:val="20"/>
          <w:szCs w:val="20"/>
        </w:rPr>
        <w:t>urope and related sanctions imposed on Russia and related actors by the United States and other jurisdictions required us to commence the orderly wind down of our operations in Russia beginning in the first quarter of 2022. As of September 30, 2022, we hav</w:t>
      </w:r>
      <w:r>
        <w:rPr>
          <w:rFonts w:eastAsia="Times New Roman"/>
          <w:color w:val="000000"/>
          <w:sz w:val="20"/>
          <w:szCs w:val="20"/>
        </w:rPr>
        <w:t>e ceased operations in Russia and are in the process of dissolving our only subsidiary in Russia. As a result, for the three and nine months ended September 30, 2022, our non-GAAP presentation of the measures described above exclude the immaterial impact o</w:t>
      </w:r>
      <w:r>
        <w:rPr>
          <w:rFonts w:eastAsia="Times New Roman"/>
          <w:color w:val="000000"/>
          <w:sz w:val="20"/>
          <w:szCs w:val="20"/>
        </w:rPr>
        <w:t>f our operating results in Russia, as well as the impact of impairments taken to write down the carrying value of assets and liabilities, severance charges, and the assessment of collectability on revenue recognition. We consider this to be a non-recurring</w:t>
      </w:r>
      <w:r>
        <w:rPr>
          <w:rFonts w:eastAsia="Times New Roman"/>
          <w:color w:val="000000"/>
          <w:sz w:val="20"/>
          <w:szCs w:val="20"/>
        </w:rPr>
        <w:t xml:space="preserve"> special item and management has reviewed the results of its business segments excluding these impacts. We have not adjusted the presentation of the prior year periods due to the immaterial impact of Russia to revenue and income from continuing operations </w:t>
      </w:r>
      <w:r>
        <w:rPr>
          <w:rFonts w:eastAsia="Times New Roman"/>
          <w:color w:val="000000"/>
          <w:sz w:val="20"/>
          <w:szCs w:val="20"/>
        </w:rPr>
        <w:t>for the three and nine months ended September 30, 2021.</w:t>
      </w: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center"/>
        <w:divId w:val="101455724"/>
        <w:rPr>
          <w:rFonts w:eastAsia="Times New Roman"/>
        </w:rPr>
      </w:pPr>
      <w:r>
        <w:rPr>
          <w:rFonts w:eastAsia="Times New Roman"/>
          <w:color w:val="000000"/>
          <w:sz w:val="20"/>
          <w:szCs w:val="20"/>
        </w:rPr>
        <w:t>49</w:t>
      </w:r>
    </w:p>
    <w:p w:rsidR="00000000" w:rsidRDefault="008214AA">
      <w:pPr>
        <w:rPr>
          <w:rFonts w:eastAsia="Times New Roman"/>
        </w:rPr>
      </w:pPr>
      <w:r>
        <w:rPr>
          <w:rFonts w:eastAsia="Times New Roman"/>
        </w:rPr>
        <w:pict>
          <v:rect id="_x0000_i1074" style="width:0;height:1.5pt" o:hralign="center" o:hrstd="t" o:hr="t" fillcolor="#a0a0a0" stroked="f"/>
        </w:pict>
      </w:r>
    </w:p>
    <w:p w:rsidR="00000000" w:rsidRDefault="008214AA">
      <w:pPr>
        <w:divId w:val="747846728"/>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color w:val="000000"/>
          <w:sz w:val="20"/>
          <w:szCs w:val="20"/>
        </w:rPr>
        <w:t>The following tables show our segment revenue and Adjusted EBITDA for the three and nine months ended September 30, the relative percentage that</w:t>
      </w:r>
      <w:r>
        <w:rPr>
          <w:rFonts w:eastAsia="Times New Roman"/>
          <w:color w:val="000000"/>
          <w:sz w:val="20"/>
          <w:szCs w:val="20"/>
        </w:rPr>
        <w:t xml:space="preserve"> those amounts represent to segment revenue, and the change in those amounts year-over-year. </w:t>
      </w:r>
    </w:p>
    <w:p w:rsidR="00000000" w:rsidRDefault="008214AA">
      <w:pPr>
        <w:divId w:val="1312979331"/>
        <w:rPr>
          <w:rFonts w:eastAsia="Times New Roman"/>
        </w:rPr>
      </w:pPr>
    </w:p>
    <w:tbl>
      <w:tblPr>
        <w:tblW w:w="4788" w:type="pct"/>
        <w:tblCellMar>
          <w:top w:w="15" w:type="dxa"/>
          <w:left w:w="15" w:type="dxa"/>
          <w:bottom w:w="15" w:type="dxa"/>
          <w:right w:w="15" w:type="dxa"/>
        </w:tblCellMar>
        <w:tblLook w:val="04A0" w:firstRow="1" w:lastRow="0" w:firstColumn="1" w:lastColumn="0" w:noHBand="0" w:noVBand="1"/>
      </w:tblPr>
      <w:tblGrid>
        <w:gridCol w:w="44"/>
        <w:gridCol w:w="1892"/>
        <w:gridCol w:w="37"/>
        <w:gridCol w:w="36"/>
        <w:gridCol w:w="36"/>
        <w:gridCol w:w="36"/>
        <w:gridCol w:w="120"/>
        <w:gridCol w:w="577"/>
        <w:gridCol w:w="36"/>
        <w:gridCol w:w="36"/>
        <w:gridCol w:w="36"/>
        <w:gridCol w:w="36"/>
        <w:gridCol w:w="120"/>
        <w:gridCol w:w="554"/>
        <w:gridCol w:w="36"/>
        <w:gridCol w:w="36"/>
        <w:gridCol w:w="36"/>
        <w:gridCol w:w="36"/>
        <w:gridCol w:w="57"/>
        <w:gridCol w:w="616"/>
        <w:gridCol w:w="221"/>
        <w:gridCol w:w="37"/>
        <w:gridCol w:w="37"/>
        <w:gridCol w:w="37"/>
        <w:gridCol w:w="57"/>
        <w:gridCol w:w="616"/>
        <w:gridCol w:w="187"/>
        <w:gridCol w:w="36"/>
        <w:gridCol w:w="36"/>
        <w:gridCol w:w="36"/>
        <w:gridCol w:w="71"/>
        <w:gridCol w:w="682"/>
        <w:gridCol w:w="187"/>
        <w:gridCol w:w="36"/>
        <w:gridCol w:w="36"/>
        <w:gridCol w:w="36"/>
        <w:gridCol w:w="48"/>
        <w:gridCol w:w="958"/>
        <w:gridCol w:w="187"/>
      </w:tblGrid>
      <w:tr w:rsidR="00000000">
        <w:trPr>
          <w:divId w:val="1958023757"/>
        </w:trPr>
        <w:tc>
          <w:tcPr>
            <w:tcW w:w="50" w:type="pct"/>
            <w:vAlign w:val="center"/>
            <w:hideMark/>
          </w:tcPr>
          <w:p w:rsidR="00000000" w:rsidRDefault="008214AA">
            <w:pPr>
              <w:rPr>
                <w:rFonts w:eastAsia="Times New Roman"/>
              </w:rPr>
            </w:pPr>
          </w:p>
        </w:tc>
        <w:tc>
          <w:tcPr>
            <w:tcW w:w="128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5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5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4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 Constant Currency</w:t>
            </w:r>
          </w:p>
        </w:tc>
      </w:tr>
      <w:tr w:rsidR="00000000">
        <w:trPr>
          <w:divId w:val="1958023757"/>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rPr>
          <w:divId w:val="1958023757"/>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28.5 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w:t>
            </w:r>
          </w:p>
        </w:tc>
      </w:tr>
      <w:tr w:rsidR="00000000">
        <w:trPr>
          <w:divId w:val="1958023757"/>
        </w:trPr>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Hospitality</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w:t>
            </w:r>
          </w:p>
        </w:tc>
      </w:tr>
      <w:tr w:rsidR="00000000">
        <w:trPr>
          <w:divId w:val="1958023757"/>
        </w:trPr>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Digital Banking</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w:t>
            </w:r>
          </w:p>
        </w:tc>
      </w:tr>
      <w:tr w:rsidR="00000000">
        <w:trPr>
          <w:divId w:val="1958023757"/>
        </w:trPr>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Payments &amp; Network</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304 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w:t>
            </w:r>
          </w:p>
        </w:tc>
      </w:tr>
      <w:tr w:rsidR="00000000">
        <w:trPr>
          <w:divId w:val="1958023757"/>
        </w:trPr>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637 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958023757"/>
        </w:trPr>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958023757"/>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divId w:val="1055735993"/>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958023757"/>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segment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divId w:val="1958023757"/>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w:t>
            </w:r>
          </w:p>
        </w:tc>
      </w:tr>
      <w:tr w:rsidR="00000000">
        <w:trPr>
          <w:divId w:val="1958023757"/>
          <w:trHeight w:val="120"/>
        </w:trPr>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Adjusted EBITDA by Segment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Digital Banking</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40.6 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Payments &amp; Network</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36.5 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Self-Service Banking</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Corporate and Other</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(109)</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(193.1)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(145.3)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divId w:val="589393888"/>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62.5 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58023757"/>
        </w:trPr>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Adjusted EBITDA</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bl>
    <w:p w:rsidR="00000000" w:rsidRDefault="008214AA">
      <w:pPr>
        <w:divId w:val="865600902"/>
        <w:rPr>
          <w:rFonts w:eastAsia="Times New Roman"/>
        </w:rPr>
      </w:pPr>
    </w:p>
    <w:p w:rsidR="00000000" w:rsidRDefault="008214AA">
      <w:pPr>
        <w:ind w:hanging="180"/>
        <w:divId w:val="2112816237"/>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revenue is calculated for each line item divided by total rev</w:t>
      </w:r>
      <w:r>
        <w:rPr>
          <w:rFonts w:eastAsia="Times New Roman"/>
          <w:color w:val="000000"/>
          <w:sz w:val="18"/>
          <w:szCs w:val="18"/>
        </w:rPr>
        <w:t>enue, except for Adjusted EBITDA, which are divided by the related component of revenue.</w:t>
      </w:r>
    </w:p>
    <w:p w:rsidR="00000000" w:rsidRDefault="008214AA">
      <w:pPr>
        <w:ind w:hanging="180"/>
        <w:jc w:val="both"/>
        <w:rPr>
          <w:rFonts w:eastAsia="Times New Roman"/>
        </w:rPr>
      </w:pPr>
      <w:r>
        <w:rPr>
          <w:rFonts w:eastAsia="Times New Roman"/>
          <w:color w:val="000000"/>
          <w:sz w:val="12"/>
          <w:szCs w:val="12"/>
        </w:rPr>
        <w:t>(2)</w:t>
      </w:r>
      <w:r>
        <w:rPr>
          <w:rFonts w:eastAsia="Times New Roman"/>
          <w:color w:val="000000"/>
          <w:sz w:val="12"/>
          <w:szCs w:val="12"/>
        </w:rPr>
        <w:t xml:space="preserve"> </w:t>
      </w:r>
      <w:r>
        <w:rPr>
          <w:rFonts w:eastAsia="Times New Roman"/>
          <w:color w:val="000000"/>
          <w:sz w:val="18"/>
          <w:szCs w:val="18"/>
        </w:rPr>
        <w:t>Eliminations include revenues from contracts with customers and the related costs that are reported in the Payments &amp; Network segment as well as in the Retail or H</w:t>
      </w:r>
      <w:r>
        <w:rPr>
          <w:rFonts w:eastAsia="Times New Roman"/>
          <w:color w:val="000000"/>
          <w:sz w:val="18"/>
          <w:szCs w:val="18"/>
        </w:rPr>
        <w:t>ospitality segments, including merchant acquiring services that are monetized via payments.</w:t>
      </w:r>
    </w:p>
    <w:p w:rsidR="00000000" w:rsidRDefault="008214AA">
      <w:pPr>
        <w:ind w:hanging="180"/>
        <w:jc w:val="both"/>
        <w:rPr>
          <w:rFonts w:eastAsia="Times New Roman"/>
        </w:rPr>
      </w:pPr>
    </w:p>
    <w:p w:rsidR="00000000" w:rsidRDefault="008214AA">
      <w:pPr>
        <w:jc w:val="center"/>
        <w:divId w:val="1068307837"/>
        <w:rPr>
          <w:rFonts w:eastAsia="Times New Roman"/>
        </w:rPr>
      </w:pPr>
      <w:r>
        <w:rPr>
          <w:rFonts w:eastAsia="Times New Roman"/>
          <w:color w:val="000000"/>
          <w:sz w:val="20"/>
          <w:szCs w:val="20"/>
        </w:rPr>
        <w:t>50</w:t>
      </w:r>
    </w:p>
    <w:p w:rsidR="00000000" w:rsidRDefault="008214AA">
      <w:pPr>
        <w:rPr>
          <w:rFonts w:eastAsia="Times New Roman"/>
        </w:rPr>
      </w:pPr>
      <w:r>
        <w:rPr>
          <w:rFonts w:eastAsia="Times New Roman"/>
        </w:rPr>
        <w:pict>
          <v:rect id="_x0000_i1075" style="width:0;height:1.5pt" o:hralign="center" o:hrstd="t" o:hr="t" fillcolor="#a0a0a0" stroked="f"/>
        </w:pict>
      </w:r>
    </w:p>
    <w:p w:rsidR="00000000" w:rsidRDefault="008214AA">
      <w:pPr>
        <w:divId w:val="1570074020"/>
        <w:rPr>
          <w:rFonts w:eastAsia="Times New Roman"/>
        </w:rPr>
      </w:pPr>
      <w:hyperlink w:anchor="if25b96f30cf14ee1a436e117fec2c043_7" w:history="1">
        <w:r>
          <w:rPr>
            <w:rStyle w:val="a3"/>
            <w:rFonts w:eastAsia="Times New Roman"/>
            <w:sz w:val="16"/>
            <w:szCs w:val="16"/>
          </w:rPr>
          <w:t>Table of Contents</w:t>
        </w:r>
      </w:hyperlink>
    </w:p>
    <w:tbl>
      <w:tblPr>
        <w:tblW w:w="4788" w:type="pct"/>
        <w:tblCellMar>
          <w:top w:w="15" w:type="dxa"/>
          <w:left w:w="15" w:type="dxa"/>
          <w:bottom w:w="15" w:type="dxa"/>
          <w:right w:w="15" w:type="dxa"/>
        </w:tblCellMar>
        <w:tblLook w:val="04A0" w:firstRow="1" w:lastRow="0" w:firstColumn="1" w:lastColumn="0" w:noHBand="0" w:noVBand="1"/>
      </w:tblPr>
      <w:tblGrid>
        <w:gridCol w:w="44"/>
        <w:gridCol w:w="1892"/>
        <w:gridCol w:w="37"/>
        <w:gridCol w:w="36"/>
        <w:gridCol w:w="36"/>
        <w:gridCol w:w="36"/>
        <w:gridCol w:w="120"/>
        <w:gridCol w:w="577"/>
        <w:gridCol w:w="36"/>
        <w:gridCol w:w="36"/>
        <w:gridCol w:w="36"/>
        <w:gridCol w:w="36"/>
        <w:gridCol w:w="120"/>
        <w:gridCol w:w="554"/>
        <w:gridCol w:w="36"/>
        <w:gridCol w:w="36"/>
        <w:gridCol w:w="36"/>
        <w:gridCol w:w="36"/>
        <w:gridCol w:w="57"/>
        <w:gridCol w:w="616"/>
        <w:gridCol w:w="221"/>
        <w:gridCol w:w="37"/>
        <w:gridCol w:w="37"/>
        <w:gridCol w:w="37"/>
        <w:gridCol w:w="57"/>
        <w:gridCol w:w="616"/>
        <w:gridCol w:w="187"/>
        <w:gridCol w:w="36"/>
        <w:gridCol w:w="36"/>
        <w:gridCol w:w="36"/>
        <w:gridCol w:w="71"/>
        <w:gridCol w:w="682"/>
        <w:gridCol w:w="187"/>
        <w:gridCol w:w="36"/>
        <w:gridCol w:w="36"/>
        <w:gridCol w:w="36"/>
        <w:gridCol w:w="48"/>
        <w:gridCol w:w="958"/>
        <w:gridCol w:w="187"/>
      </w:tblGrid>
      <w:tr w:rsidR="00000000">
        <w:tc>
          <w:tcPr>
            <w:tcW w:w="50" w:type="pct"/>
            <w:vAlign w:val="center"/>
            <w:hideMark/>
          </w:tcPr>
          <w:p w:rsidR="00000000" w:rsidRDefault="008214AA">
            <w:pPr>
              <w:rPr>
                <w:rFonts w:eastAsia="Times New Roman"/>
              </w:rPr>
            </w:pPr>
          </w:p>
        </w:tc>
        <w:tc>
          <w:tcPr>
            <w:tcW w:w="128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3"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5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5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8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4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Increase (Decrease) Constant Currency</w:t>
            </w:r>
          </w:p>
        </w:tc>
      </w:tr>
      <w:tr w:rsidR="00000000">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1,623 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Hospitality</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618 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Digital Banking</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Payments &amp; Network</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1,930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1,910 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divId w:val="1932011645"/>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segment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divId w:val="1568418406"/>
              <w:rPr>
                <w:rFonts w:eastAsia="Times New Roman"/>
              </w:rPr>
            </w:pPr>
            <w:r>
              <w:rPr>
                <w:rFonts w:eastAsia="Times New Roman"/>
                <w:color w:val="000000"/>
                <w:sz w:val="20"/>
                <w:szCs w:val="20"/>
              </w:rPr>
              <w:t>Other adjustment</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5,835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rPr>
          <w:trHeight w:val="120"/>
        </w:trPr>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Adjusted EBITDA by Segment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323 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19.9 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Hospitality</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Digital Banking</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42.4 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Payments &amp; Network</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Corporate and Other</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(307)</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(265)</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(164.2)</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(115.7)</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214AA">
            <w:pPr>
              <w:spacing w:after="100"/>
              <w:divId w:val="731730552"/>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66.7 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Adjusted EBITDA</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990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rPr>
                <w:rFonts w:eastAsia="Times New Roman"/>
                <w:sz w:val="20"/>
                <w:szCs w:val="20"/>
              </w:rPr>
            </w:pPr>
          </w:p>
        </w:tc>
      </w:tr>
    </w:tbl>
    <w:p w:rsidR="00000000" w:rsidRDefault="008214AA">
      <w:pPr>
        <w:ind w:hanging="180"/>
        <w:jc w:val="both"/>
        <w:rPr>
          <w:rFonts w:eastAsia="Times New Roman"/>
        </w:rPr>
      </w:pPr>
    </w:p>
    <w:p w:rsidR="00000000" w:rsidRDefault="008214AA">
      <w:pPr>
        <w:ind w:hanging="180"/>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revenue is calculated for each line item divided by total rev</w:t>
      </w:r>
      <w:r>
        <w:rPr>
          <w:rFonts w:eastAsia="Times New Roman"/>
          <w:color w:val="000000"/>
          <w:sz w:val="18"/>
          <w:szCs w:val="18"/>
        </w:rPr>
        <w:t>enue, except for Adjusted EBITDA, which are divided by the related component of revenue.</w:t>
      </w:r>
    </w:p>
    <w:p w:rsidR="00000000" w:rsidRDefault="008214AA">
      <w:pPr>
        <w:ind w:hanging="180"/>
        <w:jc w:val="both"/>
        <w:rPr>
          <w:rFonts w:eastAsia="Times New Roman"/>
        </w:rPr>
      </w:pPr>
      <w:r>
        <w:rPr>
          <w:rFonts w:eastAsia="Times New Roman"/>
          <w:color w:val="000000"/>
          <w:sz w:val="12"/>
          <w:szCs w:val="12"/>
        </w:rPr>
        <w:t>(2)</w:t>
      </w:r>
      <w:r>
        <w:rPr>
          <w:rFonts w:eastAsia="Times New Roman"/>
          <w:color w:val="000000"/>
          <w:sz w:val="12"/>
          <w:szCs w:val="12"/>
        </w:rPr>
        <w:t xml:space="preserve"> </w:t>
      </w:r>
      <w:r>
        <w:rPr>
          <w:rFonts w:eastAsia="Times New Roman"/>
          <w:color w:val="000000"/>
          <w:sz w:val="18"/>
          <w:szCs w:val="18"/>
        </w:rPr>
        <w:t>Eliminations include revenues from contracts with customers and the related costs that are reported in the Payments &amp; Network segment as well as in the Retail or H</w:t>
      </w:r>
      <w:r>
        <w:rPr>
          <w:rFonts w:eastAsia="Times New Roman"/>
          <w:color w:val="000000"/>
          <w:sz w:val="18"/>
          <w:szCs w:val="18"/>
        </w:rPr>
        <w:t>ospitality segments, including merchant acquiring services that are monetized via payments.</w:t>
      </w:r>
    </w:p>
    <w:p w:rsidR="00000000" w:rsidRDefault="008214AA">
      <w:pPr>
        <w:ind w:hanging="180"/>
        <w:jc w:val="both"/>
        <w:rPr>
          <w:rFonts w:eastAsia="Times New Roman"/>
        </w:rPr>
      </w:pPr>
      <w:r>
        <w:rPr>
          <w:rFonts w:eastAsia="Times New Roman"/>
          <w:color w:val="000000"/>
          <w:sz w:val="12"/>
          <w:szCs w:val="12"/>
        </w:rPr>
        <w:t>(3</w:t>
      </w:r>
      <w:r>
        <w:rPr>
          <w:rFonts w:eastAsia="Times New Roman"/>
          <w:color w:val="000000"/>
          <w:sz w:val="12"/>
          <w:szCs w:val="12"/>
        </w:rPr>
        <w:t>)</w:t>
      </w:r>
      <w:r>
        <w:rPr>
          <w:rFonts w:eastAsia="Times New Roman"/>
          <w:color w:val="000000"/>
          <w:sz w:val="18"/>
          <w:szCs w:val="18"/>
        </w:rPr>
        <w:t xml:space="preserve"> Other adjustment reflects the revenue attributable to the Company's operations in Russia that were excluded from management's measure of revenue due to our anno</w:t>
      </w:r>
      <w:r>
        <w:rPr>
          <w:rFonts w:eastAsia="Times New Roman"/>
          <w:color w:val="000000"/>
          <w:sz w:val="18"/>
          <w:szCs w:val="18"/>
        </w:rPr>
        <w:t>uncement to suspend sales to Russia and anticipated orderly wind down of our operations in Russia. The revenue attributable to the Russian operations for the prior period of $33 million is included in the respective segments.</w:t>
      </w:r>
    </w:p>
    <w:p w:rsidR="00000000" w:rsidRDefault="008214AA">
      <w:pPr>
        <w:ind w:hanging="180"/>
        <w:jc w:val="both"/>
        <w:rPr>
          <w:rFonts w:eastAsia="Times New Roman"/>
        </w:rPr>
      </w:pPr>
    </w:p>
    <w:p w:rsidR="00000000" w:rsidRDefault="008214AA">
      <w:pPr>
        <w:jc w:val="both"/>
        <w:rPr>
          <w:rFonts w:eastAsia="Times New Roman"/>
        </w:rPr>
      </w:pPr>
      <w:r>
        <w:rPr>
          <w:rFonts w:eastAsia="Times New Roman"/>
          <w:color w:val="000000"/>
          <w:sz w:val="20"/>
          <w:szCs w:val="20"/>
        </w:rPr>
        <w:t>The following table provides</w:t>
      </w:r>
      <w:r>
        <w:rPr>
          <w:rFonts w:eastAsia="Times New Roman"/>
          <w:color w:val="000000"/>
          <w:sz w:val="20"/>
          <w:szCs w:val="20"/>
        </w:rPr>
        <w:t xml:space="preserve"> a reconciliation of segment and total revenue percentage growth (GAAP) to revenue percentage growth constant currency (non-GAAP) for the three and nine months ended</w:t>
      </w:r>
      <w:r>
        <w:rPr>
          <w:rFonts w:eastAsia="Times New Roman"/>
          <w:i/>
          <w:iCs/>
          <w:color w:val="000000"/>
          <w:sz w:val="20"/>
          <w:szCs w:val="20"/>
        </w:rPr>
        <w:t xml:space="preserve"> </w:t>
      </w:r>
      <w:r>
        <w:rPr>
          <w:rFonts w:eastAsia="Times New Roman"/>
          <w:color w:val="000000"/>
          <w:sz w:val="20"/>
          <w:szCs w:val="20"/>
        </w:rPr>
        <w:t>September 30, 2022.</w:t>
      </w:r>
    </w:p>
    <w:p w:rsidR="00000000" w:rsidRDefault="008214AA">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199"/>
        <w:gridCol w:w="39"/>
        <w:gridCol w:w="51"/>
        <w:gridCol w:w="753"/>
        <w:gridCol w:w="37"/>
        <w:gridCol w:w="36"/>
        <w:gridCol w:w="36"/>
        <w:gridCol w:w="36"/>
        <w:gridCol w:w="36"/>
        <w:gridCol w:w="84"/>
        <w:gridCol w:w="773"/>
        <w:gridCol w:w="220"/>
        <w:gridCol w:w="36"/>
        <w:gridCol w:w="36"/>
        <w:gridCol w:w="36"/>
        <w:gridCol w:w="99"/>
        <w:gridCol w:w="1012"/>
        <w:gridCol w:w="220"/>
        <w:gridCol w:w="36"/>
        <w:gridCol w:w="36"/>
        <w:gridCol w:w="36"/>
        <w:gridCol w:w="55"/>
        <w:gridCol w:w="805"/>
        <w:gridCol w:w="220"/>
        <w:gridCol w:w="36"/>
        <w:gridCol w:w="36"/>
        <w:gridCol w:w="36"/>
        <w:gridCol w:w="84"/>
        <w:gridCol w:w="773"/>
        <w:gridCol w:w="220"/>
        <w:gridCol w:w="36"/>
        <w:gridCol w:w="36"/>
        <w:gridCol w:w="36"/>
        <w:gridCol w:w="99"/>
        <w:gridCol w:w="1012"/>
        <w:gridCol w:w="220"/>
        <w:gridCol w:w="36"/>
        <w:gridCol w:w="36"/>
        <w:gridCol w:w="36"/>
        <w:gridCol w:w="55"/>
        <w:gridCol w:w="805"/>
        <w:gridCol w:w="220"/>
      </w:tblGrid>
      <w:tr w:rsidR="00000000">
        <w:tc>
          <w:tcPr>
            <w:tcW w:w="50" w:type="pct"/>
            <w:vAlign w:val="center"/>
            <w:hideMark/>
          </w:tcPr>
          <w:p w:rsidR="00000000" w:rsidRDefault="008214AA">
            <w:pPr>
              <w:jc w:val="both"/>
              <w:rPr>
                <w:rFonts w:eastAsia="Times New Roman"/>
              </w:rPr>
            </w:pPr>
          </w:p>
        </w:tc>
        <w:tc>
          <w:tcPr>
            <w:tcW w:w="19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6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1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4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6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51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18"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74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8"/>
                <w:szCs w:val="18"/>
              </w:rPr>
              <w:t>Three months ended September 30, 2022</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8"/>
                <w:szCs w:val="18"/>
              </w:rPr>
              <w:t>Nine months ended September 30, 2022</w:t>
            </w:r>
          </w:p>
        </w:tc>
      </w:tr>
      <w:tr w:rsidR="00000000">
        <w:tc>
          <w:tcPr>
            <w:tcW w:w="0" w:type="auto"/>
            <w:gridSpan w:val="6"/>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in millions</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8"/>
                <w:szCs w:val="18"/>
              </w:rPr>
              <w:t>Revenue Growth % (GAAP)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8"/>
                <w:szCs w:val="18"/>
              </w:rPr>
              <w:t>Favorable (Unfavorable) FX Impact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8"/>
                <w:szCs w:val="18"/>
              </w:rPr>
              <w:t xml:space="preserve">Revenue Growth % </w:t>
            </w:r>
            <w:r>
              <w:rPr>
                <w:rFonts w:eastAsia="Times New Roman"/>
                <w:b/>
                <w:bCs/>
                <w:color w:val="000000"/>
                <w:sz w:val="18"/>
                <w:szCs w:val="18"/>
              </w:rPr>
              <w:br/>
            </w:r>
            <w:r>
              <w:rPr>
                <w:rFonts w:eastAsia="Times New Roman"/>
                <w:b/>
                <w:bCs/>
                <w:color w:val="000000"/>
                <w:sz w:val="18"/>
                <w:szCs w:val="18"/>
              </w:rPr>
              <w:t>Constant Currency (non-GAAP)</w:t>
            </w:r>
          </w:p>
        </w:tc>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8"/>
                <w:szCs w:val="18"/>
              </w:rPr>
              <w:t>Revenue Growth % (GAAP)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8"/>
                <w:szCs w:val="18"/>
              </w:rPr>
              <w:t>Favorable (Unfavorable) FX Impact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8"/>
                <w:szCs w:val="18"/>
              </w:rPr>
              <w:t xml:space="preserve">Revenue Growth % </w:t>
            </w:r>
            <w:r>
              <w:rPr>
                <w:rFonts w:eastAsia="Times New Roman"/>
                <w:b/>
                <w:bCs/>
                <w:color w:val="000000"/>
                <w:sz w:val="18"/>
                <w:szCs w:val="18"/>
              </w:rPr>
              <w:br/>
              <w:t>Constant Currency (non-GAAP)</w:t>
            </w:r>
          </w:p>
        </w:tc>
      </w:tr>
      <w:tr w:rsidR="00000000">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Retail</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Hospitality</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Digital Banking</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Payments &amp; Network</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Self-Service Banking</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Other</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Eliminations</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FFFF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segment revenue</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r w:rsidR="00000000">
        <w:tc>
          <w:tcPr>
            <w:tcW w:w="0" w:type="auto"/>
            <w:gridSpan w:val="3"/>
            <w:vAlign w:val="center"/>
            <w:hideMark/>
          </w:tcPr>
          <w:p w:rsidR="00000000" w:rsidRDefault="008214AA">
            <w:pPr>
              <w:spacing w:after="100"/>
              <w:jc w:val="right"/>
              <w:rPr>
                <w:rFonts w:eastAsia="Times New Roman"/>
              </w:rPr>
            </w:pPr>
          </w:p>
        </w:tc>
        <w:tc>
          <w:tcPr>
            <w:tcW w:w="0" w:type="auto"/>
            <w:gridSpan w:val="3"/>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r>
      <w:tr w:rsidR="00000000">
        <w:tc>
          <w:tcPr>
            <w:tcW w:w="0" w:type="auto"/>
            <w:gridSpan w:val="6"/>
            <w:shd w:val="clear" w:color="auto" w:fill="CCEEFF"/>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20"/>
                <w:szCs w:val="20"/>
              </w:rPr>
              <w:t>Total revenue</w:t>
            </w:r>
          </w:p>
        </w:tc>
        <w:tc>
          <w:tcPr>
            <w:tcW w:w="0" w:type="auto"/>
            <w:vAlign w:val="center"/>
            <w:hideMark/>
          </w:tcPr>
          <w:p w:rsidR="00000000" w:rsidRDefault="008214AA">
            <w:pPr>
              <w:spacing w:after="100"/>
              <w:rPr>
                <w:rFonts w:eastAsia="Times New Roman"/>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p>
        </w:tc>
      </w:tr>
      <w:tr w:rsidR="00000000">
        <w:tc>
          <w:tcPr>
            <w:tcW w:w="0" w:type="auto"/>
            <w:gridSpan w:val="3"/>
            <w:vAlign w:val="center"/>
            <w:hideMark/>
          </w:tcPr>
          <w:p w:rsidR="00000000" w:rsidRDefault="008214AA">
            <w:pPr>
              <w:spacing w:after="100"/>
              <w:jc w:val="right"/>
              <w:rPr>
                <w:rFonts w:eastAsia="Times New Roman"/>
              </w:rPr>
            </w:pPr>
          </w:p>
        </w:tc>
        <w:tc>
          <w:tcPr>
            <w:tcW w:w="0" w:type="auto"/>
            <w:gridSpan w:val="3"/>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r w:rsidR="00000000">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c>
          <w:tcPr>
            <w:tcW w:w="0" w:type="auto"/>
            <w:gridSpan w:val="3"/>
            <w:vAlign w:val="center"/>
            <w:hideMark/>
          </w:tcPr>
          <w:p w:rsidR="00000000" w:rsidRDefault="008214AA">
            <w:pPr>
              <w:spacing w:after="100"/>
              <w:rPr>
                <w:rFonts w:eastAsia="Times New Roman"/>
                <w:sz w:val="20"/>
                <w:szCs w:val="20"/>
              </w:rPr>
            </w:pPr>
          </w:p>
        </w:tc>
      </w:tr>
    </w:tbl>
    <w:p w:rsidR="00000000" w:rsidRDefault="008214AA">
      <w:pPr>
        <w:divId w:val="415322091"/>
        <w:rPr>
          <w:rFonts w:eastAsia="Times New Roman"/>
        </w:rPr>
      </w:pPr>
    </w:p>
    <w:p w:rsidR="00000000" w:rsidRDefault="008214AA">
      <w:pPr>
        <w:divId w:val="151532987"/>
        <w:rPr>
          <w:rFonts w:eastAsia="Times New Roman"/>
        </w:rPr>
      </w:pPr>
    </w:p>
    <w:p w:rsidR="00000000" w:rsidRDefault="008214AA">
      <w:pPr>
        <w:jc w:val="center"/>
        <w:divId w:val="1710571863"/>
        <w:rPr>
          <w:rFonts w:eastAsia="Times New Roman"/>
        </w:rPr>
      </w:pPr>
      <w:r>
        <w:rPr>
          <w:rFonts w:eastAsia="Times New Roman"/>
          <w:color w:val="000000"/>
          <w:sz w:val="20"/>
          <w:szCs w:val="20"/>
        </w:rPr>
        <w:t>51</w:t>
      </w:r>
    </w:p>
    <w:p w:rsidR="00000000" w:rsidRDefault="008214AA">
      <w:pPr>
        <w:rPr>
          <w:rFonts w:eastAsia="Times New Roman"/>
        </w:rPr>
      </w:pPr>
      <w:r>
        <w:rPr>
          <w:rFonts w:eastAsia="Times New Roman"/>
        </w:rPr>
        <w:pict>
          <v:rect id="_x0000_i1076" style="width:0;height:1.5pt" o:hralign="center" o:hrstd="t" o:hr="t" fillcolor="#a0a0a0" stroked="f"/>
        </w:pict>
      </w:r>
    </w:p>
    <w:p w:rsidR="00000000" w:rsidRDefault="008214AA">
      <w:pPr>
        <w:divId w:val="679235865"/>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b/>
          <w:bCs/>
          <w:color w:val="000000"/>
          <w:sz w:val="20"/>
          <w:szCs w:val="20"/>
        </w:rPr>
        <w:t>Segment Revenue</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three and nine months ended September 30, 2022 compared to the three and nine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Retail revenue increased 6% for the three months ended September 30, 2022 compared to the prior year period and increased 4% for the nin</w:t>
      </w:r>
      <w:r>
        <w:rPr>
          <w:rFonts w:eastAsia="Times New Roman"/>
          <w:color w:val="000000"/>
          <w:sz w:val="20"/>
          <w:szCs w:val="20"/>
        </w:rPr>
        <w:t>e months ended September 30, 2022 compared to the prior year period. Foreign currency fluctuations had an unfavorable impact of 6% and 4% on the three and nine month revenue comparisons, respectively. Revenue results for the quarter-to-date period were pri</w:t>
      </w:r>
      <w:r>
        <w:rPr>
          <w:rFonts w:eastAsia="Times New Roman"/>
          <w:color w:val="000000"/>
          <w:sz w:val="20"/>
          <w:szCs w:val="20"/>
        </w:rPr>
        <w:t>marily due to higher self checkout hardware and point-of-sale solutions revenue partially offset by a decrease in software license, point-of-sale hardware, and hardware maintenance revenue. For the nine months ended September 30, 2022, the increase in reve</w:t>
      </w:r>
      <w:r>
        <w:rPr>
          <w:rFonts w:eastAsia="Times New Roman"/>
          <w:color w:val="000000"/>
          <w:sz w:val="20"/>
          <w:szCs w:val="20"/>
        </w:rPr>
        <w:t>nue compared to the prior period is due to an increase in self checkout and point-of-sale hardware revenue and an increase in point-of-sale solutions revenue partially offset by a decrease in software license and hardware maintenance revenue.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Hospitality</w:t>
      </w:r>
      <w:r>
        <w:rPr>
          <w:rFonts w:eastAsia="Times New Roman"/>
          <w:color w:val="000000"/>
          <w:sz w:val="20"/>
          <w:szCs w:val="20"/>
        </w:rPr>
        <w:t xml:space="preserve"> revenue increased 6% and 11% for the three and nine months ended September 30, 2022, respectively, compared to the prior year period, driven primarily by an increase in point-of-sale hardware, as well as increases in hardware maintenance and software reve</w:t>
      </w:r>
      <w:r>
        <w:rPr>
          <w:rFonts w:eastAsia="Times New Roman"/>
          <w:color w:val="000000"/>
          <w:sz w:val="20"/>
          <w:szCs w:val="20"/>
        </w:rPr>
        <w:t>nues.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Digital Banking revenue increased 7% and 6% for the three and nine months ended September 30, 2022, respectively, compared to the prior year periods, due to an increase in software license and cloud services revenues.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Payments &amp; Network revenue </w:t>
      </w:r>
      <w:r>
        <w:rPr>
          <w:rFonts w:eastAsia="Times New Roman"/>
          <w:color w:val="000000"/>
          <w:sz w:val="20"/>
          <w:szCs w:val="20"/>
        </w:rPr>
        <w:t xml:space="preserve">increased 11% for the three months ended September 30, 2022 and increased significantly for the nine months ended September 30, 2022 compared to the prior year periods. For the three months ended September 30, 2022, the increase in revenue compared to the </w:t>
      </w:r>
      <w:r>
        <w:rPr>
          <w:rFonts w:eastAsia="Times New Roman"/>
          <w:color w:val="000000"/>
          <w:sz w:val="20"/>
          <w:szCs w:val="20"/>
        </w:rPr>
        <w:t>prior year period is due to cryptocurrency transaction processing revenue following the acquisition of LibertyX in January 2022 as well as additional payments processing revenue. For the nine months ended September 30, 2022, the revenue increase is primari</w:t>
      </w:r>
      <w:r>
        <w:rPr>
          <w:rFonts w:eastAsia="Times New Roman"/>
          <w:color w:val="000000"/>
          <w:sz w:val="20"/>
          <w:szCs w:val="20"/>
        </w:rPr>
        <w:t>ly due to additional payments processing revenue from the acquisition of Cardtronics, which occurred on June 21, 2021. Additionally, the nine months ended</w:t>
      </w:r>
      <w:r>
        <w:rPr>
          <w:rFonts w:eastAsia="Times New Roman"/>
          <w:i/>
          <w:iCs/>
          <w:color w:val="000000"/>
          <w:sz w:val="20"/>
          <w:szCs w:val="20"/>
        </w:rPr>
        <w:t xml:space="preserve"> </w:t>
      </w:r>
      <w:r>
        <w:rPr>
          <w:rFonts w:eastAsia="Times New Roman"/>
          <w:color w:val="000000"/>
          <w:sz w:val="20"/>
          <w:szCs w:val="20"/>
        </w:rPr>
        <w:t>September 30, 2022 includes cryptocurrency transaction processing revenue following the acquisition o</w:t>
      </w:r>
      <w:r>
        <w:rPr>
          <w:rFonts w:eastAsia="Times New Roman"/>
          <w:color w:val="000000"/>
          <w:sz w:val="20"/>
          <w:szCs w:val="20"/>
        </w:rPr>
        <w:t xml:space="preserve">f LibertyX in January 2022. </w:t>
      </w:r>
    </w:p>
    <w:p w:rsidR="00000000" w:rsidRDefault="008214AA">
      <w:pPr>
        <w:divId w:val="294412399"/>
        <w:rPr>
          <w:rFonts w:eastAsia="Times New Roman"/>
        </w:rPr>
      </w:pPr>
    </w:p>
    <w:p w:rsidR="00000000" w:rsidRDefault="008214AA">
      <w:pPr>
        <w:jc w:val="both"/>
        <w:rPr>
          <w:rFonts w:eastAsia="Times New Roman"/>
        </w:rPr>
      </w:pPr>
      <w:r>
        <w:rPr>
          <w:rFonts w:eastAsia="Times New Roman"/>
          <w:color w:val="000000"/>
          <w:sz w:val="20"/>
          <w:szCs w:val="20"/>
        </w:rPr>
        <w:t>Self-Service Banking revenue growth was flat for the three months ended September 30, 2022 and increased 1% for nine months ended September 30, 2022, compared to the prior year periods. Foreign currency fluctuations had an unfavorable impact of 6% and 4% o</w:t>
      </w:r>
      <w:r>
        <w:rPr>
          <w:rFonts w:eastAsia="Times New Roman"/>
          <w:color w:val="000000"/>
          <w:sz w:val="20"/>
          <w:szCs w:val="20"/>
        </w:rPr>
        <w:t>n the three and nine month revenue comparisons, respectively. For the three months ended September 30, 2022, increases in ATM hardware revenue compared to the prior year period were fully offset by declines in software related revenues. For the nine months</w:t>
      </w:r>
      <w:r>
        <w:rPr>
          <w:rFonts w:eastAsia="Times New Roman"/>
          <w:color w:val="000000"/>
          <w:sz w:val="20"/>
          <w:szCs w:val="20"/>
        </w:rPr>
        <w:t xml:space="preserve"> ended September 30, 2022, the increase in revenue compared to prior year period is due to an increase in services revenues, including hardware maintenance and professional services partially offset by a decline in ATM hardware sales. The decline in ATM ha</w:t>
      </w:r>
      <w:r>
        <w:rPr>
          <w:rFonts w:eastAsia="Times New Roman"/>
          <w:color w:val="000000"/>
          <w:sz w:val="20"/>
          <w:szCs w:val="20"/>
        </w:rPr>
        <w:t>rdware sales for the year-to-date period was due in part to supply chain challenges that resulted in temporary order fulfillment delays during the first quarter of 2022. Software and services revenue as a percent of total Self-Service Banking segment reven</w:t>
      </w:r>
      <w:r>
        <w:rPr>
          <w:rFonts w:eastAsia="Times New Roman"/>
          <w:color w:val="000000"/>
          <w:sz w:val="20"/>
          <w:szCs w:val="20"/>
        </w:rPr>
        <w:t xml:space="preserve">ue was 69% in the third quarter of 2022 and 2021.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For the operations grouped as Other, revenue decreased 23% and 18% for the three and nine months ended September 30, 2022, respectively, compared to the prior year period, primarily due to a decrease in </w:t>
      </w:r>
      <w:r>
        <w:rPr>
          <w:rFonts w:eastAsia="Times New Roman"/>
          <w:color w:val="000000"/>
          <w:sz w:val="20"/>
          <w:szCs w:val="20"/>
        </w:rPr>
        <w:t>hardware maintenance revenue in the telecommunications and technology business.</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Segment Adjusted EBITDA</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 the three and nine months ended September 30, 2022 compared to the three and nine months ended September 30,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Retail Adjusted EBITDA incre</w:t>
      </w:r>
      <w:r>
        <w:rPr>
          <w:rFonts w:eastAsia="Times New Roman"/>
          <w:color w:val="000000"/>
          <w:sz w:val="20"/>
          <w:szCs w:val="20"/>
        </w:rPr>
        <w:t>ased 23% and declined 7% for the three and nine months ended September 30, 2022, respectively, compared to the prior year period. The increase in Adjusted EBITDA for the three months ended September 30, 2022 compared to the prior year period is primarily d</w:t>
      </w:r>
      <w:r>
        <w:rPr>
          <w:rFonts w:eastAsia="Times New Roman"/>
          <w:color w:val="000000"/>
          <w:sz w:val="20"/>
          <w:szCs w:val="20"/>
        </w:rPr>
        <w:t>ue to cost mitigation and pricing actions as well as product mix during the quarter. For the nine months ended September 30, 2022, the decline in Adjusted EBITDA compared to the prior year period is primarily driven by product cost and mix, increased labor</w:t>
      </w:r>
      <w:r>
        <w:rPr>
          <w:rFonts w:eastAsia="Times New Roman"/>
          <w:color w:val="000000"/>
          <w:sz w:val="20"/>
          <w:szCs w:val="20"/>
        </w:rPr>
        <w:t xml:space="preserve"> costs, and other supply chain challenges.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Hospitality Adjusted EBITDA increased 16% for the three and nine months ended September 30, 2022, respectively, compared to the prior year period, primarily driven by an increase in revenue driven by subscriptio</w:t>
      </w:r>
      <w:r>
        <w:rPr>
          <w:rFonts w:eastAsia="Times New Roman"/>
          <w:color w:val="000000"/>
          <w:sz w:val="20"/>
          <w:szCs w:val="20"/>
        </w:rPr>
        <w:t xml:space="preserve">n and payments processing. These improvements were partially offset by supply chain challenges and increased fuel costs which drove up component and other costs, particularly in transaction services and hardware. </w:t>
      </w:r>
    </w:p>
    <w:p w:rsidR="00000000" w:rsidRDefault="008214AA">
      <w:pPr>
        <w:jc w:val="both"/>
        <w:rPr>
          <w:rFonts w:eastAsia="Times New Roman"/>
        </w:rPr>
      </w:pPr>
    </w:p>
    <w:p w:rsidR="00000000" w:rsidRDefault="008214AA">
      <w:pPr>
        <w:jc w:val="center"/>
        <w:divId w:val="639578294"/>
        <w:rPr>
          <w:rFonts w:eastAsia="Times New Roman"/>
        </w:rPr>
      </w:pPr>
      <w:r>
        <w:rPr>
          <w:rFonts w:eastAsia="Times New Roman"/>
          <w:color w:val="000000"/>
          <w:sz w:val="20"/>
          <w:szCs w:val="20"/>
        </w:rPr>
        <w:t>52</w:t>
      </w:r>
    </w:p>
    <w:p w:rsidR="00000000" w:rsidRDefault="008214AA">
      <w:pPr>
        <w:rPr>
          <w:rFonts w:eastAsia="Times New Roman"/>
        </w:rPr>
      </w:pPr>
      <w:r>
        <w:rPr>
          <w:rFonts w:eastAsia="Times New Roman"/>
        </w:rPr>
        <w:pict>
          <v:rect id="_x0000_i1077" style="width:0;height:1.5pt" o:hralign="center" o:hrstd="t" o:hr="t" fillcolor="#a0a0a0" stroked="f"/>
        </w:pict>
      </w:r>
    </w:p>
    <w:p w:rsidR="00000000" w:rsidRDefault="008214AA">
      <w:pPr>
        <w:divId w:val="1370253732"/>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color w:val="000000"/>
          <w:sz w:val="20"/>
          <w:szCs w:val="20"/>
        </w:rPr>
        <w:t xml:space="preserve">Digital Banking Adjusted EBITDA increased 15% and 7% for the three and nine months ended September 30, 2022, respectively, compared to the prior year period, driven by an increase </w:t>
      </w:r>
      <w:r>
        <w:rPr>
          <w:rFonts w:eastAsia="Times New Roman"/>
          <w:color w:val="000000"/>
          <w:sz w:val="20"/>
          <w:szCs w:val="20"/>
        </w:rPr>
        <w:t>in recurring revenue.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Payments &amp; Network Adjusted EBITDA increased by 3% for the three months ended September 30, 2022 whereas it increased significantly for the nine months ended September 30, 2022 compared to the prior year period. This was primarily d</w:t>
      </w:r>
      <w:r>
        <w:rPr>
          <w:rFonts w:eastAsia="Times New Roman"/>
          <w:color w:val="000000"/>
          <w:sz w:val="20"/>
          <w:szCs w:val="20"/>
        </w:rPr>
        <w:t>ue to additional payments processing revenue from the acquisition of Cardtronics, which occurred in the second quarter of 2021. Payments &amp; Network Adjusted EBITDA for the three and nine months ended September 30, 2022 has been negatively impacted by higher</w:t>
      </w:r>
      <w:r>
        <w:rPr>
          <w:rFonts w:eastAsia="Times New Roman"/>
          <w:color w:val="000000"/>
          <w:sz w:val="20"/>
          <w:szCs w:val="20"/>
        </w:rPr>
        <w:t xml:space="preserve"> interest rates, which increases the cost of our vault cash rental obligations.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Self-Service Banking Adjusted EBITDA declined 3% and 6% for the three and nine months ended September 30, 2022, respectively, compared to the prior year period. The decrease </w:t>
      </w:r>
      <w:r>
        <w:rPr>
          <w:rFonts w:eastAsia="Times New Roman"/>
          <w:color w:val="000000"/>
          <w:sz w:val="20"/>
          <w:szCs w:val="20"/>
        </w:rPr>
        <w:t>in Adjusted EBITDA for the three and nine months ended September 30, 2022 compared to the prior year period was primarily due to supply chain challenges and increased fuel costs which drove up component and other costs, particularly in ATM hardware, hardwa</w:t>
      </w:r>
      <w:r>
        <w:rPr>
          <w:rFonts w:eastAsia="Times New Roman"/>
          <w:color w:val="000000"/>
          <w:sz w:val="20"/>
          <w:szCs w:val="20"/>
        </w:rPr>
        <w:t>re maintenance and transaction services. These headwinds were partially offset by an increase in recurring revenue.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Corporate and Other Adjusted EBITDA loss increased 3% and 16% for the three and nine months ended September 30, 2022, respectively, compar</w:t>
      </w:r>
      <w:r>
        <w:rPr>
          <w:rFonts w:eastAsia="Times New Roman"/>
          <w:color w:val="000000"/>
          <w:sz w:val="20"/>
          <w:szCs w:val="20"/>
        </w:rPr>
        <w:t>ed to the prior year period, primarily due to infrastructure costs of the Cardtronics business that was acquired on June 21, 2021.</w:t>
      </w: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u w:val="single"/>
        </w:rPr>
        <w:t>Financial Condition, Liquidity, and Capital Resources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Cash provided by operating activities was $245 million in the nin</w:t>
      </w:r>
      <w:r>
        <w:rPr>
          <w:rFonts w:eastAsia="Times New Roman"/>
          <w:color w:val="000000"/>
          <w:sz w:val="20"/>
          <w:szCs w:val="20"/>
        </w:rPr>
        <w:t>e months ended September 30, 2022 compared to cash provided by operating activities of $807 million in the nine months ended September 30, 2021. The decrease in cash provided by operating activities in the nine months ended September 30, 2022 was driven by</w:t>
      </w:r>
      <w:r>
        <w:rPr>
          <w:rFonts w:eastAsia="Times New Roman"/>
          <w:color w:val="000000"/>
          <w:sz w:val="20"/>
          <w:szCs w:val="20"/>
        </w:rPr>
        <w:t xml:space="preserve"> the unfavorable movement in net working capital accounts, partially offset by cash received upon termination of interest rate swap contracts in the first and second quarters of 2022. Additionally, cash provided by operating activities in the nine months e</w:t>
      </w:r>
      <w:r>
        <w:rPr>
          <w:rFonts w:eastAsia="Times New Roman"/>
          <w:color w:val="000000"/>
          <w:sz w:val="20"/>
          <w:szCs w:val="20"/>
        </w:rPr>
        <w:t>nded September 30, 2021 reflects the agreement entered into during the third quarter of 2021 to sell short-term receivables from certain trade accounts to an unaffiliated financial institution, which provided a $274 million benefit to operating cash flows.</w:t>
      </w:r>
      <w:r>
        <w:rPr>
          <w:rFonts w:eastAsia="Times New Roman"/>
          <w:color w:val="000000"/>
          <w:sz w:val="20"/>
          <w:szCs w:val="20"/>
        </w:rPr>
        <w:t xml:space="preserve"> Refer to Note 6, “Trade Receivables Facility”, of the Notes to Condensed Consolidated Financial Statements included in Item 1 of this Report for more information.</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NCR’s management uses a non-GAAP measure called “free cash flow” </w:t>
      </w:r>
      <w:r>
        <w:rPr>
          <w:rFonts w:eastAsia="Times New Roman"/>
          <w:color w:val="000000"/>
          <w:sz w:val="20"/>
          <w:szCs w:val="20"/>
        </w:rPr>
        <w:t>to assess the financial performance of the Company. We define free cash flow as net cash provided by (used in) operating activities less capital expenditures for property, plant and equipment, less additions to capitalized software, plus/minus restricted c</w:t>
      </w:r>
      <w:r>
        <w:rPr>
          <w:rFonts w:eastAsia="Times New Roman"/>
          <w:color w:val="000000"/>
          <w:sz w:val="20"/>
          <w:szCs w:val="20"/>
        </w:rPr>
        <w:t>ash settlement activity, plus acquisition-related items, less the impact from the initial sale of trade accounts receivables under the agreement entered into during the 3rd quarter of 2021, and plus pension contributions and settlements. We believe free ca</w:t>
      </w:r>
      <w:r>
        <w:rPr>
          <w:rFonts w:eastAsia="Times New Roman"/>
          <w:color w:val="000000"/>
          <w:sz w:val="20"/>
          <w:szCs w:val="20"/>
        </w:rPr>
        <w:t>sh flow information is useful for investors because it relates the operating cash flows from the Company’s continuing and discontinued operations to the capital that is spent to continue and improve business operations. In particular, free cash flow indica</w:t>
      </w:r>
      <w:r>
        <w:rPr>
          <w:rFonts w:eastAsia="Times New Roman"/>
          <w:color w:val="000000"/>
          <w:sz w:val="20"/>
          <w:szCs w:val="20"/>
        </w:rPr>
        <w:t>tes the amount of cash available after capital expenditures for, among other things, investments in the Company’s existing businesses, strategic acquisitions, repurchases of NCR stock and repayment of debt obligations. Free cash flow does not represent the</w:t>
      </w:r>
      <w:r>
        <w:rPr>
          <w:rFonts w:eastAsia="Times New Roman"/>
          <w:color w:val="000000"/>
          <w:sz w:val="20"/>
          <w:szCs w:val="20"/>
        </w:rPr>
        <w:t xml:space="preserve"> residual cash flow available for discretionary expenditures, since there may be other non-discretionary expenditures that are not deducted from the measure. Free cash flow does not have a uniform definition under GAAP, and therefore NCR’s definition may d</w:t>
      </w:r>
      <w:r>
        <w:rPr>
          <w:rFonts w:eastAsia="Times New Roman"/>
          <w:color w:val="000000"/>
          <w:sz w:val="20"/>
          <w:szCs w:val="20"/>
        </w:rPr>
        <w:t xml:space="preserve">iffer from other companies’ definitions of this measure. This non-GAAP measure should not be considered a substitute for, or superior to, cash flows from operating activities under GAAP. </w:t>
      </w: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p>
    <w:p w:rsidR="00000000" w:rsidRDefault="008214AA">
      <w:pPr>
        <w:jc w:val="center"/>
        <w:divId w:val="1799226265"/>
        <w:rPr>
          <w:rFonts w:eastAsia="Times New Roman"/>
        </w:rPr>
      </w:pPr>
      <w:r>
        <w:rPr>
          <w:rFonts w:eastAsia="Times New Roman"/>
          <w:color w:val="000000"/>
          <w:sz w:val="20"/>
          <w:szCs w:val="20"/>
        </w:rPr>
        <w:t>53</w:t>
      </w:r>
    </w:p>
    <w:p w:rsidR="00000000" w:rsidRDefault="008214AA">
      <w:pPr>
        <w:rPr>
          <w:rFonts w:eastAsia="Times New Roman"/>
        </w:rPr>
      </w:pPr>
      <w:r>
        <w:rPr>
          <w:rFonts w:eastAsia="Times New Roman"/>
        </w:rPr>
        <w:pict>
          <v:rect id="_x0000_i1078" style="width:0;height:1.5pt" o:hralign="center" o:hrstd="t" o:hr="t" fillcolor="#a0a0a0" stroked="f"/>
        </w:pict>
      </w:r>
    </w:p>
    <w:p w:rsidR="00000000" w:rsidRDefault="008214AA">
      <w:pPr>
        <w:divId w:val="1977371134"/>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color w:val="000000"/>
          <w:sz w:val="20"/>
          <w:szCs w:val="20"/>
        </w:rPr>
        <w:t>The table below reconciles net cash provided by operating activities to NCR’s non-GAAP measure of free cash flow for the nine months ended September 30, 2022 :</w:t>
      </w:r>
    </w:p>
    <w:tbl>
      <w:tblPr>
        <w:tblW w:w="4992" w:type="pct"/>
        <w:tblCellMar>
          <w:top w:w="15" w:type="dxa"/>
          <w:left w:w="15" w:type="dxa"/>
          <w:bottom w:w="15" w:type="dxa"/>
          <w:right w:w="15" w:type="dxa"/>
        </w:tblCellMar>
        <w:tblLook w:val="04A0" w:firstRow="1" w:lastRow="0" w:firstColumn="1" w:lastColumn="0" w:noHBand="0" w:noVBand="1"/>
      </w:tblPr>
      <w:tblGrid>
        <w:gridCol w:w="40"/>
        <w:gridCol w:w="5842"/>
        <w:gridCol w:w="37"/>
        <w:gridCol w:w="120"/>
        <w:gridCol w:w="994"/>
        <w:gridCol w:w="36"/>
        <w:gridCol w:w="36"/>
        <w:gridCol w:w="36"/>
        <w:gridCol w:w="36"/>
        <w:gridCol w:w="120"/>
        <w:gridCol w:w="960"/>
        <w:gridCol w:w="36"/>
      </w:tblGrid>
      <w:tr w:rsidR="00000000">
        <w:trPr>
          <w:divId w:val="1962344884"/>
        </w:trPr>
        <w:tc>
          <w:tcPr>
            <w:tcW w:w="50" w:type="pct"/>
            <w:vAlign w:val="center"/>
            <w:hideMark/>
          </w:tcPr>
          <w:p w:rsidR="00000000" w:rsidRDefault="008214AA">
            <w:pPr>
              <w:jc w:val="both"/>
              <w:rPr>
                <w:rFonts w:eastAsia="Times New Roman"/>
              </w:rPr>
            </w:pPr>
          </w:p>
        </w:tc>
        <w:tc>
          <w:tcPr>
            <w:tcW w:w="354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26"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62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962344884"/>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Nine months ended September 30</w:t>
            </w:r>
          </w:p>
        </w:tc>
      </w:tr>
      <w:tr w:rsidR="00000000">
        <w:trPr>
          <w:divId w:val="1962344884"/>
        </w:trPr>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2021</w:t>
            </w:r>
          </w:p>
        </w:tc>
      </w:tr>
      <w:tr w:rsidR="00000000">
        <w:trPr>
          <w:divId w:val="1962344884"/>
        </w:trPr>
        <w:tc>
          <w:tcPr>
            <w:tcW w:w="0" w:type="auto"/>
            <w:gridSpan w:val="3"/>
            <w:shd w:val="clear" w:color="auto" w:fill="CCEE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62344884"/>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Expenditures for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62344884"/>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Additions to capitalized software</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62344884"/>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Restricted cash settlement activity</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62344884"/>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Transaction costs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62344884"/>
        </w:trPr>
        <w:tc>
          <w:tcPr>
            <w:tcW w:w="0" w:type="auto"/>
            <w:gridSpan w:val="3"/>
            <w:shd w:val="clear" w:color="auto" w:fill="FFFF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Initial sale of trade accounts receivable</w:t>
            </w: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(274)</w:t>
            </w:r>
          </w:p>
        </w:tc>
        <w:tc>
          <w:tcPr>
            <w:tcW w:w="0" w:type="auto"/>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62344884"/>
        </w:trPr>
        <w:tc>
          <w:tcPr>
            <w:tcW w:w="0" w:type="auto"/>
            <w:gridSpan w:val="3"/>
            <w:shd w:val="clear" w:color="auto" w:fill="CCEEFF"/>
            <w:tcMar>
              <w:top w:w="30" w:type="dxa"/>
              <w:left w:w="380" w:type="dxa"/>
              <w:bottom w:w="30" w:type="dxa"/>
              <w:right w:w="20" w:type="dxa"/>
            </w:tcMar>
            <w:hideMark/>
          </w:tcPr>
          <w:p w:rsidR="00000000" w:rsidRDefault="008214AA">
            <w:pPr>
              <w:spacing w:after="100"/>
              <w:rPr>
                <w:rFonts w:eastAsia="Times New Roman"/>
              </w:rPr>
            </w:pPr>
            <w:r>
              <w:rPr>
                <w:rFonts w:eastAsia="Times New Roman"/>
                <w:color w:val="000000"/>
                <w:sz w:val="20"/>
                <w:szCs w:val="20"/>
              </w:rPr>
              <w:t>Pension contributions</w:t>
            </w: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214AA">
            <w:pPr>
              <w:spacing w:after="100"/>
              <w:jc w:val="right"/>
              <w:rPr>
                <w:rFonts w:eastAsia="Times New Roman"/>
              </w:rPr>
            </w:pPr>
          </w:p>
        </w:tc>
      </w:tr>
      <w:tr w:rsidR="00000000">
        <w:trPr>
          <w:divId w:val="1962344884"/>
        </w:trPr>
        <w:tc>
          <w:tcPr>
            <w:tcW w:w="0" w:type="auto"/>
            <w:gridSpan w:val="3"/>
            <w:shd w:val="clear" w:color="auto" w:fill="FFFFFF"/>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Free cash flow (non-GAAP)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b/>
                <w:bCs/>
                <w:color w:val="000000"/>
                <w:sz w:val="20"/>
                <w:szCs w:val="20"/>
              </w:rPr>
              <w:t>(38)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21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21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214AA">
            <w:pPr>
              <w:spacing w:after="100"/>
              <w:jc w:val="right"/>
              <w:rPr>
                <w:rFonts w:eastAsia="Times New Roman"/>
              </w:rPr>
            </w:pPr>
            <w:r>
              <w:rPr>
                <w:rFonts w:eastAsia="Times New Roman"/>
                <w:color w:val="000000"/>
                <w:sz w:val="20"/>
                <w:szCs w:val="20"/>
              </w:rPr>
              <w:t>360 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214AA">
            <w:pPr>
              <w:spacing w:after="100"/>
              <w:jc w:val="right"/>
              <w:rPr>
                <w:rFonts w:eastAsia="Times New Roman"/>
              </w:rPr>
            </w:pPr>
          </w:p>
        </w:tc>
      </w:tr>
    </w:tbl>
    <w:p w:rsidR="00000000" w:rsidRDefault="008214AA">
      <w:pPr>
        <w:divId w:val="1687293398"/>
        <w:rPr>
          <w:rFonts w:eastAsia="Times New Roman"/>
        </w:rPr>
      </w:pPr>
    </w:p>
    <w:p w:rsidR="00000000" w:rsidRDefault="008214AA">
      <w:pPr>
        <w:jc w:val="both"/>
        <w:rPr>
          <w:rFonts w:eastAsia="Times New Roman"/>
        </w:rPr>
      </w:pPr>
      <w:r>
        <w:rPr>
          <w:rFonts w:eastAsia="Times New Roman"/>
          <w:color w:val="000000"/>
          <w:sz w:val="20"/>
          <w:szCs w:val="20"/>
        </w:rPr>
        <w:t xml:space="preserve">Financing activities and certain other investing activities are not included in our calculation of free cash flow. Other investing activities primarily include business acquisitions, divestitures and investments. During the nine months ended September 30, </w:t>
      </w:r>
      <w:r>
        <w:rPr>
          <w:rFonts w:eastAsia="Times New Roman"/>
          <w:color w:val="000000"/>
          <w:sz w:val="20"/>
          <w:szCs w:val="20"/>
        </w:rPr>
        <w:t xml:space="preserve">2022, the payments for business combinations totaled $12 million, net of cash acquired, for the cash consideration paid primarily related to the acquisition of the India ATM Business of FIS Payment Solutions &amp; Services Private Limited completed in July of </w:t>
      </w:r>
      <w:r>
        <w:rPr>
          <w:rFonts w:eastAsia="Times New Roman"/>
          <w:color w:val="000000"/>
          <w:sz w:val="20"/>
          <w:szCs w:val="20"/>
        </w:rPr>
        <w:t>2022 and the LibertyX acquisition completed in January of 2022. The LibertyX acquisition was completed via issuance of NCR common stock in exchange for the outstanding shares of LibertyX. During the nine months ended September 30, 2021, the payments for bu</w:t>
      </w:r>
      <w:r>
        <w:rPr>
          <w:rFonts w:eastAsia="Times New Roman"/>
          <w:color w:val="000000"/>
          <w:sz w:val="20"/>
          <w:szCs w:val="20"/>
        </w:rPr>
        <w:t>siness acquisitions was $2,466 million, mainly related to the acquisition of Cardtronics completed in the second quarter of 2021.</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Our financing activities include borrowings and repayments of credit facilities and notes. Financing activities during the nine months ended September 30, 2022 also included dividends paid on the Series A preferred stock of $11 million, proceeds from emplo</w:t>
      </w:r>
      <w:r>
        <w:rPr>
          <w:rFonts w:eastAsia="Times New Roman"/>
          <w:color w:val="000000"/>
          <w:sz w:val="20"/>
          <w:szCs w:val="20"/>
        </w:rPr>
        <w:t>yee stock plans of $19 million as well as tax withholding payments on behalf of employees for stock based awards that vested of $38 million. Financing activities during the nine months ended September 30, 2021 included dividends paid on the Series A prefer</w:t>
      </w:r>
      <w:r>
        <w:rPr>
          <w:rFonts w:eastAsia="Times New Roman"/>
          <w:color w:val="000000"/>
          <w:sz w:val="20"/>
          <w:szCs w:val="20"/>
        </w:rPr>
        <w:t>red stock of $11 million, proceeds from stock employee plans of $33 million, and tax withholding payments on behalf of employees for stock based awards that vested of $28 million.</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During the nine months ended September 30, 2021, in connection with the ac</w:t>
      </w:r>
      <w:r>
        <w:rPr>
          <w:rFonts w:eastAsia="Times New Roman"/>
          <w:color w:val="000000"/>
          <w:sz w:val="20"/>
          <w:szCs w:val="20"/>
        </w:rPr>
        <w:t>quisition of Cardtronics, we issued new senior unsecured notes for an aggregate principal amount of $1.2 billion and amended and restated the Senior Secured Credit Facility to add an incremental term loan for $1.505 billion, of which $200 million converted</w:t>
      </w:r>
      <w:r>
        <w:rPr>
          <w:rFonts w:eastAsia="Times New Roman"/>
          <w:color w:val="000000"/>
          <w:sz w:val="20"/>
          <w:szCs w:val="20"/>
        </w:rPr>
        <w:t xml:space="preserve"> into the Revolving Credit Facility. Additionally, we paid $52 million of deferred financing fees related to these transactions. </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Long Term Borrowings</w:t>
      </w:r>
      <w:r>
        <w:rPr>
          <w:rFonts w:eastAsia="Times New Roman"/>
          <w:color w:val="000000"/>
          <w:sz w:val="20"/>
          <w:szCs w:val="20"/>
        </w:rPr>
        <w:t xml:space="preserve"> The Senior Secured Credit Facility consists of term loan facilities in an aggregate principal amount of</w:t>
      </w:r>
      <w:r>
        <w:rPr>
          <w:rFonts w:eastAsia="Times New Roman"/>
          <w:color w:val="000000"/>
          <w:sz w:val="20"/>
          <w:szCs w:val="20"/>
        </w:rPr>
        <w:t xml:space="preserve"> $2.055 billion, of which $1.91 billion was outstanding as of September 30, 2022. Additionally, the Senior Secured Credit Facility provides for a five-year Revolving Credit Facility with an aggregate principal amount of $1.3 billion, of which $558 million </w:t>
      </w:r>
      <w:r>
        <w:rPr>
          <w:rFonts w:eastAsia="Times New Roman"/>
          <w:color w:val="000000"/>
          <w:sz w:val="20"/>
          <w:szCs w:val="20"/>
        </w:rPr>
        <w:t xml:space="preserve">was outstanding as of September 30, 2022. The Revolving Credit Facility also contains a sub-facility to be used for letters of credit, and as of September 30, 2022, there were $24 million letters of credit outstanding.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As of September 30, 2022, we had o</w:t>
      </w:r>
      <w:r>
        <w:rPr>
          <w:rFonts w:eastAsia="Times New Roman"/>
          <w:color w:val="000000"/>
          <w:sz w:val="20"/>
          <w:szCs w:val="20"/>
        </w:rPr>
        <w:t>utstanding $1.2 billion in aggregate principal balance of 5.125% senior unsecured notes due in 2029, $500 million in aggregate principal balance of 5.750% senior unsecured notes due in 2027, $650 million aggregate principal balance of 5.000% senior unsecur</w:t>
      </w:r>
      <w:r>
        <w:rPr>
          <w:rFonts w:eastAsia="Times New Roman"/>
          <w:color w:val="000000"/>
          <w:sz w:val="20"/>
          <w:szCs w:val="20"/>
        </w:rPr>
        <w:t>ed notes due in 2028, $500 million in aggregate principal balance of 6.125% senior unsecured notes due in 2029, and $450 million in aggregate principal balance of 5.250% senior unsecured notes due in 2030.</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See Note 5, “Debt Obligations”, of the Notes to </w:t>
      </w:r>
      <w:r>
        <w:rPr>
          <w:rFonts w:eastAsia="Times New Roman"/>
          <w:color w:val="000000"/>
          <w:sz w:val="20"/>
          <w:szCs w:val="20"/>
        </w:rPr>
        <w:t>Condensed Consolidated Financial Statements included in Item 1 of this Report for further information on the Senior Secured Credit Facility.</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 xml:space="preserve">Employee Benefit Plans </w:t>
      </w:r>
      <w:r>
        <w:rPr>
          <w:rFonts w:eastAsia="Times New Roman"/>
          <w:color w:val="000000"/>
          <w:sz w:val="20"/>
          <w:szCs w:val="20"/>
        </w:rPr>
        <w:t>In 2022, we expect to make contributions of $17 million to our international pension plans</w:t>
      </w:r>
      <w:r>
        <w:rPr>
          <w:rFonts w:eastAsia="Times New Roman"/>
          <w:color w:val="000000"/>
          <w:sz w:val="20"/>
          <w:szCs w:val="20"/>
        </w:rPr>
        <w:t>, $80 million to our postemployment plan and $1 million to our postretirement plan. For additional information, refer to Note 9, “Employee Benefit Plans” of the Notes to Condensed Consolidated Financial Statements.</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Series A Convertible Preferred Stock</w:t>
      </w:r>
      <w:r>
        <w:rPr>
          <w:rFonts w:eastAsia="Times New Roman"/>
          <w:color w:val="000000"/>
          <w:sz w:val="20"/>
          <w:szCs w:val="20"/>
        </w:rPr>
        <w:t xml:space="preserve"> As</w:t>
      </w:r>
      <w:r>
        <w:rPr>
          <w:rFonts w:eastAsia="Times New Roman"/>
          <w:color w:val="000000"/>
          <w:sz w:val="20"/>
          <w:szCs w:val="20"/>
        </w:rPr>
        <w:t xml:space="preserve"> of September 30, 2022, the redemption value of the Series A Preferred Stock was approximately $276 million. Holders of Series A Convertible Preferred Stock are entitled to a cumulative dividend at the rate of 5.5% per annum, payable quarterly in arrears. </w:t>
      </w:r>
      <w:r>
        <w:rPr>
          <w:rFonts w:eastAsia="Times New Roman"/>
          <w:color w:val="000000"/>
          <w:sz w:val="20"/>
          <w:szCs w:val="20"/>
        </w:rPr>
        <w:t xml:space="preserve">Beginning in the first quarter of 2020, dividends are payable in cash or in-kind at </w:t>
      </w:r>
    </w:p>
    <w:p w:rsidR="00000000" w:rsidRDefault="008214AA">
      <w:pPr>
        <w:jc w:val="center"/>
        <w:divId w:val="1218320888"/>
        <w:rPr>
          <w:rFonts w:eastAsia="Times New Roman"/>
        </w:rPr>
      </w:pPr>
      <w:r>
        <w:rPr>
          <w:rFonts w:eastAsia="Times New Roman"/>
          <w:color w:val="000000"/>
          <w:sz w:val="20"/>
          <w:szCs w:val="20"/>
        </w:rPr>
        <w:t>54</w:t>
      </w:r>
    </w:p>
    <w:p w:rsidR="00000000" w:rsidRDefault="008214AA">
      <w:pPr>
        <w:rPr>
          <w:rFonts w:eastAsia="Times New Roman"/>
        </w:rPr>
      </w:pPr>
      <w:r>
        <w:rPr>
          <w:rFonts w:eastAsia="Times New Roman"/>
        </w:rPr>
        <w:pict>
          <v:rect id="_x0000_i1079" style="width:0;height:1.5pt" o:hralign="center" o:hrstd="t" o:hr="t" fillcolor="#a0a0a0" stroked="f"/>
        </w:pict>
      </w:r>
    </w:p>
    <w:p w:rsidR="00000000" w:rsidRDefault="008214AA">
      <w:pPr>
        <w:divId w:val="1504662314"/>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color w:val="000000"/>
          <w:sz w:val="20"/>
          <w:szCs w:val="20"/>
        </w:rPr>
        <w:t>the option of the Company. During the nine months ended September 30, 2022 and 2021, the Company paid cash dividends of $11 million, respectively.</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Series A Convertible Preferred Stock is convertible at the option of the holders at any time into share</w:t>
      </w:r>
      <w:r>
        <w:rPr>
          <w:rFonts w:eastAsia="Times New Roman"/>
          <w:color w:val="000000"/>
          <w:sz w:val="20"/>
          <w:szCs w:val="20"/>
        </w:rPr>
        <w:t>s of common stock at a conversion price of $30.00 per share, or a conversion rate of 33.333 shares of common stock per share of Series A Convertible Preferred Stock. As of September 30, 2022 and December 31, 2021, the maximum number of common shares that c</w:t>
      </w:r>
      <w:r>
        <w:rPr>
          <w:rFonts w:eastAsia="Times New Roman"/>
          <w:color w:val="000000"/>
          <w:sz w:val="20"/>
          <w:szCs w:val="20"/>
        </w:rPr>
        <w:t>ould be required to be issued upon conversion of the outstanding shares of the Series A Convertible Preferred Stock was 9.2 million shares.</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 xml:space="preserve">Cash and Cash Equivalents Held by Foreign Subsidiaries </w:t>
      </w:r>
      <w:r>
        <w:rPr>
          <w:rFonts w:eastAsia="Times New Roman"/>
          <w:color w:val="000000"/>
          <w:sz w:val="20"/>
          <w:szCs w:val="20"/>
        </w:rPr>
        <w:t>Cash and cash equivalents held by the Company's foreign sub</w:t>
      </w:r>
      <w:r>
        <w:rPr>
          <w:rFonts w:eastAsia="Times New Roman"/>
          <w:color w:val="000000"/>
          <w:sz w:val="20"/>
          <w:szCs w:val="20"/>
        </w:rPr>
        <w:t>sidiaries at September 30, 2022 and December 31, 2021 were $328 million</w:t>
      </w:r>
      <w:r>
        <w:rPr>
          <w:rFonts w:eastAsia="Times New Roman"/>
          <w:color w:val="000000"/>
          <w:sz w:val="20"/>
          <w:szCs w:val="20"/>
          <w:shd w:val="clear" w:color="auto" w:fill="FFFFFF"/>
        </w:rPr>
        <w:t xml:space="preserve"> </w:t>
      </w:r>
      <w:r>
        <w:rPr>
          <w:rFonts w:eastAsia="Times New Roman"/>
          <w:color w:val="000000"/>
          <w:sz w:val="20"/>
          <w:szCs w:val="20"/>
        </w:rPr>
        <w:t>and $412 million, respectively. Under current tax laws and regulations, if cash and cash equivalents and short-term investments held outside the U.S. are distributed to the U.S. in the</w:t>
      </w:r>
      <w:r>
        <w:rPr>
          <w:rFonts w:eastAsia="Times New Roman"/>
          <w:color w:val="000000"/>
          <w:sz w:val="20"/>
          <w:szCs w:val="20"/>
        </w:rPr>
        <w:t xml:space="preserve"> form of dividends or otherwise, we may be subject to additional U.S. income taxes and foreign withholding taxes, which could be significant.</w:t>
      </w:r>
    </w:p>
    <w:p w:rsidR="00000000" w:rsidRDefault="008214AA">
      <w:pPr>
        <w:jc w:val="both"/>
        <w:rPr>
          <w:rFonts w:eastAsia="Times New Roman"/>
        </w:rPr>
      </w:pPr>
    </w:p>
    <w:p w:rsidR="00000000" w:rsidRDefault="008214AA">
      <w:pPr>
        <w:jc w:val="both"/>
        <w:rPr>
          <w:rFonts w:eastAsia="Times New Roman"/>
        </w:rPr>
      </w:pPr>
      <w:r>
        <w:rPr>
          <w:rFonts w:eastAsia="Times New Roman"/>
          <w:b/>
          <w:bCs/>
          <w:color w:val="000000"/>
          <w:sz w:val="20"/>
          <w:szCs w:val="20"/>
        </w:rPr>
        <w:t xml:space="preserve">Summary </w:t>
      </w:r>
      <w:r>
        <w:rPr>
          <w:rFonts w:eastAsia="Times New Roman"/>
          <w:color w:val="000000"/>
          <w:sz w:val="20"/>
          <w:szCs w:val="20"/>
        </w:rPr>
        <w:t>As of September 30, 2022, our cash and cash equivalents totaled $434 million and our total debt was $5.7</w:t>
      </w:r>
      <w:r>
        <w:rPr>
          <w:rFonts w:eastAsia="Times New Roman"/>
          <w:color w:val="000000"/>
          <w:sz w:val="20"/>
          <w:szCs w:val="20"/>
        </w:rPr>
        <w:t>7 billion, excluding deferred fees. As of September 30, 2022, our borrowing capacity under the Revolving Credit Facility was approximately $718 million. Our ability to generate positive cash flows from operations is dependent on general economic conditions</w:t>
      </w:r>
      <w:r>
        <w:rPr>
          <w:rFonts w:eastAsia="Times New Roman"/>
          <w:color w:val="000000"/>
          <w:sz w:val="20"/>
          <w:szCs w:val="20"/>
        </w:rPr>
        <w:t>, the competitive environment in our industry, and is subject to the business and other risk factors described in Item 1A of Part I of the Company’s 2021 Annual Report on Form 10-K and Item 1A of Part II of this Quarterly Report on Form 10-Q (as applicable</w:t>
      </w:r>
      <w:r>
        <w:rPr>
          <w:rFonts w:eastAsia="Times New Roman"/>
          <w:color w:val="000000"/>
          <w:sz w:val="20"/>
          <w:szCs w:val="20"/>
        </w:rPr>
        <w:t>). If we are unable to generate sufficient cash flows from operations, or otherwise comply with the terms of our credit facilities, we may be required to seek additional financing alternatives.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We believe that we have sufficient liquidity based on our cu</w:t>
      </w:r>
      <w:r>
        <w:rPr>
          <w:rFonts w:eastAsia="Times New Roman"/>
          <w:color w:val="000000"/>
          <w:sz w:val="20"/>
          <w:szCs w:val="20"/>
        </w:rPr>
        <w:t xml:space="preserve">rrent cash position, cash flows from operations and existing financing to meet our expected pension, postemployment, and postretirement plan contributions, remediation payments related to environmental matters, debt servicing obligations, payments related </w:t>
      </w:r>
      <w:r>
        <w:rPr>
          <w:rFonts w:eastAsia="Times New Roman"/>
          <w:color w:val="000000"/>
          <w:sz w:val="20"/>
          <w:szCs w:val="20"/>
        </w:rPr>
        <w:t>to transformation and restructuring initiatives, and in the long-term (i.e., beyond September 30, 2023) to meet our material cash requirements.</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u w:val="single"/>
        </w:rPr>
        <w:t>Material Cash Requirements from Contractual and Other Obligations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There have been no significant changes in our contractual and other commercial obligations as described in our Form 10-K for the year ended December 31, 2021. </w:t>
      </w:r>
    </w:p>
    <w:p w:rsidR="00000000" w:rsidRDefault="008214AA">
      <w:pPr>
        <w:jc w:val="both"/>
        <w:divId w:val="1609461582"/>
        <w:rPr>
          <w:rFonts w:eastAsia="Times New Roman"/>
        </w:rPr>
      </w:pPr>
      <w:r>
        <w:rPr>
          <w:rFonts w:eastAsia="Times New Roman"/>
          <w:i/>
          <w:iCs/>
          <w:color w:val="000000"/>
          <w:sz w:val="20"/>
          <w:szCs w:val="20"/>
          <w:u w:val="single"/>
        </w:rPr>
        <w:t>Critical Accounting Policies and Estimates</w:t>
      </w:r>
    </w:p>
    <w:p w:rsidR="00000000" w:rsidRDefault="008214AA">
      <w:pPr>
        <w:jc w:val="both"/>
        <w:divId w:val="477111913"/>
        <w:rPr>
          <w:rFonts w:eastAsia="Times New Roman"/>
        </w:rPr>
      </w:pPr>
      <w:r>
        <w:rPr>
          <w:rFonts w:eastAsia="Times New Roman"/>
          <w:color w:val="000000"/>
          <w:sz w:val="20"/>
          <w:szCs w:val="20"/>
        </w:rPr>
        <w:t xml:space="preserve">Critical accounting policies are those that are most </w:t>
      </w:r>
      <w:r>
        <w:rPr>
          <w:rFonts w:eastAsia="Times New Roman"/>
          <w:color w:val="000000"/>
          <w:sz w:val="20"/>
          <w:szCs w:val="20"/>
        </w:rPr>
        <w:t>important to the portrayal of our financial position and results of operations. These policies require highly subjective or complex judgments, often employing the use of estimates about the effect of matters that are inherently uncertain. Our most critical</w:t>
      </w:r>
      <w:r>
        <w:rPr>
          <w:rFonts w:eastAsia="Times New Roman"/>
          <w:color w:val="000000"/>
          <w:sz w:val="20"/>
          <w:szCs w:val="20"/>
        </w:rPr>
        <w:t xml:space="preserve"> accounting estimates pertain to revenue recognition, inventory valuation, goodwill and intangible assets, pension, postretirement and postemployment benefits, environmental and legal contingencies, and income taxes, which are described in Item 7. of our 2</w:t>
      </w:r>
      <w:r>
        <w:rPr>
          <w:rFonts w:eastAsia="Times New Roman"/>
          <w:color w:val="000000"/>
          <w:sz w:val="20"/>
          <w:szCs w:val="20"/>
        </w:rPr>
        <w:t>021 Form 10-K. </w:t>
      </w:r>
    </w:p>
    <w:p w:rsidR="00000000" w:rsidRDefault="008214AA">
      <w:pPr>
        <w:jc w:val="both"/>
        <w:divId w:val="778109319"/>
        <w:rPr>
          <w:rFonts w:eastAsia="Times New Roman"/>
        </w:rPr>
      </w:pPr>
      <w:r>
        <w:rPr>
          <w:rFonts w:eastAsia="Times New Roman"/>
          <w:i/>
          <w:iCs/>
          <w:color w:val="000000"/>
          <w:sz w:val="20"/>
          <w:szCs w:val="20"/>
          <w:u w:val="single"/>
        </w:rPr>
        <w:t>New Accounting Pronouncements</w:t>
      </w:r>
    </w:p>
    <w:p w:rsidR="00000000" w:rsidRDefault="008214AA">
      <w:pPr>
        <w:jc w:val="both"/>
        <w:divId w:val="315036150"/>
        <w:rPr>
          <w:rFonts w:eastAsia="Times New Roman"/>
        </w:rPr>
      </w:pPr>
      <w:r>
        <w:rPr>
          <w:rFonts w:eastAsia="Times New Roman"/>
          <w:color w:val="000000"/>
          <w:sz w:val="20"/>
          <w:szCs w:val="20"/>
        </w:rPr>
        <w:t>See discussion in Note 1, “Basis of Presentation and Summary of Significant Accounting Policies” of the Notes to Condensed Consolidated Financial Statements for new accounting pronouncements.</w:t>
      </w:r>
    </w:p>
    <w:p w:rsidR="00000000" w:rsidRDefault="008214AA">
      <w:pPr>
        <w:jc w:val="both"/>
        <w:divId w:val="273560909"/>
        <w:rPr>
          <w:rFonts w:eastAsia="Times New Roman"/>
        </w:rPr>
      </w:pPr>
      <w:r>
        <w:rPr>
          <w:rFonts w:eastAsia="Times New Roman"/>
          <w:i/>
          <w:iCs/>
          <w:color w:val="000000"/>
          <w:sz w:val="20"/>
          <w:szCs w:val="20"/>
          <w:u w:val="single"/>
        </w:rPr>
        <w:t>Forward-Looking St</w:t>
      </w:r>
      <w:r>
        <w:rPr>
          <w:rFonts w:eastAsia="Times New Roman"/>
          <w:i/>
          <w:iCs/>
          <w:color w:val="000000"/>
          <w:sz w:val="20"/>
          <w:szCs w:val="20"/>
          <w:u w:val="single"/>
        </w:rPr>
        <w:t>atements</w:t>
      </w:r>
    </w:p>
    <w:p w:rsidR="00000000" w:rsidRDefault="008214AA">
      <w:pPr>
        <w:jc w:val="both"/>
        <w:rPr>
          <w:rFonts w:eastAsia="Times New Roman"/>
        </w:rPr>
      </w:pPr>
      <w:r>
        <w:rPr>
          <w:rFonts w:eastAsia="Times New Roman"/>
          <w:color w:val="000000"/>
          <w:sz w:val="20"/>
          <w:szCs w:val="20"/>
        </w:rPr>
        <w:t>This quarterly report on Form 10-Q contains “forward-looking statements” within the meaning of Section 27A of the Securities Act of 1933, as amended and Section 21E of the Securities Exchange Act of 1934, as amended, pursuant to the safe harbor pr</w:t>
      </w:r>
      <w:r>
        <w:rPr>
          <w:rFonts w:eastAsia="Times New Roman"/>
          <w:color w:val="000000"/>
          <w:sz w:val="20"/>
          <w:szCs w:val="20"/>
        </w:rPr>
        <w:t>ovisions of the Private Securities Litigation Reform Act of 1995 (the “Act”).</w:t>
      </w:r>
      <w:r>
        <w:rPr>
          <w:rFonts w:eastAsia="Times New Roman"/>
          <w:color w:val="000000"/>
        </w:rPr>
        <w:t xml:space="preserve"> </w:t>
      </w:r>
      <w:r>
        <w:rPr>
          <w:rFonts w:eastAsia="Times New Roman"/>
          <w:color w:val="000000"/>
          <w:sz w:val="20"/>
          <w:szCs w:val="20"/>
        </w:rPr>
        <w:t>Forward-looking statements use words such as “expect,” “anticipate,” “outlook,” “intend,” “plan,” “confident,” “believe,” “will,” “should,” “would,” “potential,” “positioning,” “</w:t>
      </w:r>
      <w:r>
        <w:rPr>
          <w:rFonts w:eastAsia="Times New Roman"/>
          <w:color w:val="000000"/>
          <w:sz w:val="20"/>
          <w:szCs w:val="20"/>
        </w:rPr>
        <w:t>proposed,” “planned,” “likely,” “objective,” “could,” “may,” and words of similar meaning, as well as other words or expressions referencing future events, conditions or circumstances. We intend these forward-looking statements to be covered by the safe ha</w:t>
      </w:r>
      <w:r>
        <w:rPr>
          <w:rFonts w:eastAsia="Times New Roman"/>
          <w:color w:val="000000"/>
          <w:sz w:val="20"/>
          <w:szCs w:val="20"/>
        </w:rPr>
        <w:t>rbor provisions for forward-looking statements contained in the Act. Statements that describe or relate to NCR’s plans, goals, intentions, strategies, or financial outlook, and statements that do not relate to historical or current fact, are examples of fo</w:t>
      </w:r>
      <w:r>
        <w:rPr>
          <w:rFonts w:eastAsia="Times New Roman"/>
          <w:color w:val="000000"/>
          <w:sz w:val="20"/>
          <w:szCs w:val="20"/>
        </w:rPr>
        <w:t>rward-looking statements. Forward-looking statements are based on our current beliefs, expectations and assumptions, which may not prove to be accurate, and involve a number of known and unknown risks and uncertainties, many of which are out of NCR’s contr</w:t>
      </w:r>
      <w:r>
        <w:rPr>
          <w:rFonts w:eastAsia="Times New Roman"/>
          <w:color w:val="000000"/>
          <w:sz w:val="20"/>
          <w:szCs w:val="20"/>
        </w:rPr>
        <w:t xml:space="preserve">ol. Forward-looking statements are not guarantees of future performance, and there are a </w:t>
      </w:r>
    </w:p>
    <w:p w:rsidR="00000000" w:rsidRDefault="008214AA">
      <w:pPr>
        <w:jc w:val="center"/>
        <w:divId w:val="1962032267"/>
        <w:rPr>
          <w:rFonts w:eastAsia="Times New Roman"/>
        </w:rPr>
      </w:pPr>
      <w:r>
        <w:rPr>
          <w:rFonts w:eastAsia="Times New Roman"/>
          <w:color w:val="000000"/>
          <w:sz w:val="20"/>
          <w:szCs w:val="20"/>
        </w:rPr>
        <w:t>55</w:t>
      </w:r>
    </w:p>
    <w:p w:rsidR="00000000" w:rsidRDefault="008214AA">
      <w:pPr>
        <w:rPr>
          <w:rFonts w:eastAsia="Times New Roman"/>
        </w:rPr>
      </w:pPr>
      <w:r>
        <w:rPr>
          <w:rFonts w:eastAsia="Times New Roman"/>
        </w:rPr>
        <w:pict>
          <v:rect id="_x0000_i1080" style="width:0;height:1.5pt" o:hralign="center" o:hrstd="t" o:hr="t" fillcolor="#a0a0a0" stroked="f"/>
        </w:pict>
      </w:r>
    </w:p>
    <w:p w:rsidR="00000000" w:rsidRDefault="008214AA">
      <w:pPr>
        <w:divId w:val="102236540"/>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color w:val="000000"/>
          <w:sz w:val="20"/>
          <w:szCs w:val="20"/>
        </w:rPr>
        <w:t>number of important factors that could cause actua</w:t>
      </w:r>
      <w:r>
        <w:rPr>
          <w:rFonts w:eastAsia="Times New Roman"/>
          <w:color w:val="000000"/>
          <w:sz w:val="20"/>
          <w:szCs w:val="20"/>
        </w:rPr>
        <w:t xml:space="preserve">l outcomes and results to differ materially from the results contemplated by such forward-looking statements, including those factors relating to: </w:t>
      </w:r>
    </w:p>
    <w:p w:rsidR="00000000" w:rsidRDefault="008214AA">
      <w:pPr>
        <w:ind w:hanging="360"/>
        <w:jc w:val="both"/>
        <w:rPr>
          <w:rFonts w:eastAsia="Times New Roman"/>
        </w:rPr>
      </w:pPr>
      <w:r>
        <w:rPr>
          <w:rFonts w:eastAsia="Times New Roman"/>
          <w:color w:val="000000"/>
          <w:sz w:val="20"/>
          <w:szCs w:val="20"/>
        </w:rPr>
        <w:t>•Strategy and Technology: transforming our business model; development and introduction of new solutions; co</w:t>
      </w:r>
      <w:r>
        <w:rPr>
          <w:rFonts w:eastAsia="Times New Roman"/>
          <w:color w:val="000000"/>
          <w:sz w:val="20"/>
          <w:szCs w:val="20"/>
        </w:rPr>
        <w:t xml:space="preserve">mpetition in the technology industry; integration of acquisitions and management of alliance activities; our multinational operations; </w:t>
      </w:r>
    </w:p>
    <w:p w:rsidR="00000000" w:rsidRDefault="008214AA">
      <w:pPr>
        <w:ind w:hanging="360"/>
        <w:jc w:val="both"/>
        <w:rPr>
          <w:rFonts w:eastAsia="Times New Roman"/>
        </w:rPr>
      </w:pPr>
      <w:r>
        <w:rPr>
          <w:rFonts w:eastAsia="Times New Roman"/>
          <w:color w:val="000000"/>
          <w:sz w:val="20"/>
          <w:szCs w:val="20"/>
        </w:rPr>
        <w:t>•Business Operations: domestic and global economic and credit conditions; risks and uncertainties from the payments-rela</w:t>
      </w:r>
      <w:r>
        <w:rPr>
          <w:rFonts w:eastAsia="Times New Roman"/>
          <w:color w:val="000000"/>
          <w:sz w:val="20"/>
          <w:szCs w:val="20"/>
        </w:rPr>
        <w:t xml:space="preserve">ted business and industry; disruptions in our data center hosting and public cloud facilities; retention and attraction of key employees; defects, errors, installation difficulties or development delays; failure of third-party suppliers; the impact of the </w:t>
      </w:r>
      <w:r>
        <w:rPr>
          <w:rFonts w:eastAsia="Times New Roman"/>
          <w:color w:val="000000"/>
          <w:sz w:val="20"/>
          <w:szCs w:val="20"/>
        </w:rPr>
        <w:t>coronavirus (COVID-19) pandemic and geopolitical and macroeconomic challenges; environmental exposures from historical and ongoing manufacturing activities; and climate change</w:t>
      </w:r>
    </w:p>
    <w:p w:rsidR="00000000" w:rsidRDefault="008214AA">
      <w:pPr>
        <w:ind w:hanging="360"/>
        <w:jc w:val="both"/>
        <w:rPr>
          <w:rFonts w:eastAsia="Times New Roman"/>
        </w:rPr>
      </w:pPr>
      <w:r>
        <w:rPr>
          <w:rFonts w:eastAsia="Times New Roman"/>
          <w:color w:val="000000"/>
          <w:sz w:val="20"/>
          <w:szCs w:val="20"/>
        </w:rPr>
        <w:t>•Data Privacy &amp; Security: impact of data protection, cybersecurity and data priv</w:t>
      </w:r>
      <w:r>
        <w:rPr>
          <w:rFonts w:eastAsia="Times New Roman"/>
          <w:color w:val="000000"/>
          <w:sz w:val="20"/>
          <w:szCs w:val="20"/>
        </w:rPr>
        <w:t xml:space="preserve">acy including any related issues </w:t>
      </w:r>
    </w:p>
    <w:p w:rsidR="00000000" w:rsidRDefault="008214AA">
      <w:pPr>
        <w:ind w:hanging="360"/>
        <w:jc w:val="both"/>
        <w:rPr>
          <w:rFonts w:eastAsia="Times New Roman"/>
        </w:rPr>
      </w:pPr>
      <w:r>
        <w:rPr>
          <w:rFonts w:eastAsia="Times New Roman"/>
          <w:color w:val="000000"/>
          <w:sz w:val="20"/>
          <w:szCs w:val="20"/>
        </w:rPr>
        <w:t>•Finance and Accounting: our level of indebtedness; the terms governing our indebtedness; incurrence of additional debt or similar liabilities or obligations; access or renewal of financing sources; our cash flow sufficien</w:t>
      </w:r>
      <w:r>
        <w:rPr>
          <w:rFonts w:eastAsia="Times New Roman"/>
          <w:color w:val="000000"/>
          <w:sz w:val="20"/>
          <w:szCs w:val="20"/>
        </w:rPr>
        <w:t xml:space="preserve">cy to service our indebtedness; interest rate risks; the terms governing our trade receivables facility; the impact of certain changes in control relating to acceleration of our indebtedness, our obligations under other financing arrangements, or required </w:t>
      </w:r>
      <w:r>
        <w:rPr>
          <w:rFonts w:eastAsia="Times New Roman"/>
          <w:color w:val="000000"/>
          <w:sz w:val="20"/>
          <w:szCs w:val="20"/>
        </w:rPr>
        <w:t xml:space="preserve">repurchase of our senior unsecured notes; and any lowering or withdrawal of the ratings assigned to our debt securities by rating agencies; our pension liabilities; and write down of the value of certain significant assets </w:t>
      </w:r>
    </w:p>
    <w:p w:rsidR="00000000" w:rsidRDefault="008214AA">
      <w:pPr>
        <w:ind w:hanging="360"/>
        <w:jc w:val="both"/>
        <w:rPr>
          <w:rFonts w:eastAsia="Times New Roman"/>
        </w:rPr>
      </w:pPr>
      <w:r>
        <w:rPr>
          <w:rFonts w:eastAsia="Times New Roman"/>
          <w:color w:val="000000"/>
          <w:sz w:val="20"/>
          <w:szCs w:val="20"/>
        </w:rPr>
        <w:t xml:space="preserve">•Law and Compliance: protection </w:t>
      </w:r>
      <w:r>
        <w:rPr>
          <w:rFonts w:eastAsia="Times New Roman"/>
          <w:color w:val="000000"/>
          <w:sz w:val="20"/>
          <w:szCs w:val="20"/>
        </w:rPr>
        <w:t xml:space="preserve">of our intellectual property; changes to our tax rates and additional income tax liabilities; uncertainties regarding regulations, lawsuits and other related matters; and changes to cryptocurrency regulations </w:t>
      </w:r>
    </w:p>
    <w:p w:rsidR="00000000" w:rsidRDefault="008214AA">
      <w:pPr>
        <w:ind w:hanging="360"/>
        <w:jc w:val="both"/>
        <w:rPr>
          <w:rFonts w:eastAsia="Times New Roman"/>
        </w:rPr>
      </w:pPr>
      <w:r>
        <w:rPr>
          <w:rFonts w:eastAsia="Times New Roman"/>
          <w:color w:val="000000"/>
          <w:sz w:val="20"/>
          <w:szCs w:val="20"/>
        </w:rPr>
        <w:t>•</w:t>
      </w:r>
      <w:r>
        <w:rPr>
          <w:rFonts w:eastAsia="Times New Roman"/>
          <w:color w:val="000000"/>
          <w:sz w:val="20"/>
          <w:szCs w:val="20"/>
        </w:rPr>
        <w:t>Governance: impact of the terms of our Series A Convertible Preferred (“Series A”) Stock relating to voting power, share dilution and market price of our common stock; rights, preferences and privileges of Series A stockholders compared to the rights of ou</w:t>
      </w:r>
      <w:r>
        <w:rPr>
          <w:rFonts w:eastAsia="Times New Roman"/>
          <w:color w:val="000000"/>
          <w:sz w:val="20"/>
          <w:szCs w:val="20"/>
        </w:rPr>
        <w:t>r common stockholders; and actions or proposals from stockholders that do not align with our business strategies or the interests of our other stockholders</w:t>
      </w:r>
    </w:p>
    <w:p w:rsidR="00000000" w:rsidRDefault="008214AA">
      <w:pPr>
        <w:ind w:hanging="360"/>
        <w:jc w:val="both"/>
        <w:rPr>
          <w:rFonts w:eastAsia="Times New Roman"/>
        </w:rPr>
      </w:pPr>
      <w:r>
        <w:rPr>
          <w:rFonts w:eastAsia="Times New Roman"/>
          <w:color w:val="000000"/>
          <w:sz w:val="20"/>
          <w:szCs w:val="20"/>
        </w:rPr>
        <w:t>•Planned Separation: an unexpected failure to complete, or unexpected delays in completing, the nece</w:t>
      </w:r>
      <w:r>
        <w:rPr>
          <w:rFonts w:eastAsia="Times New Roman"/>
          <w:color w:val="000000"/>
          <w:sz w:val="20"/>
          <w:szCs w:val="20"/>
        </w:rPr>
        <w:t xml:space="preserve">ssary actions for the planned separation, or to obtain the necessary approvals to complete these actions; that the potential strategic benefits, synergies or opportunities expected from the separation may not be realized or may take longer to realize than </w:t>
      </w:r>
      <w:r>
        <w:rPr>
          <w:rFonts w:eastAsia="Times New Roman"/>
          <w:color w:val="000000"/>
          <w:sz w:val="20"/>
          <w:szCs w:val="20"/>
        </w:rPr>
        <w:t>expected; costs of implementation of the separation and any changes to the configuration of businesses included in the separation if implemented; the potential inability to access or reduced access to the capital markets or increased cost of borrowings, in</w:t>
      </w:r>
      <w:r>
        <w:rPr>
          <w:rFonts w:eastAsia="Times New Roman"/>
          <w:color w:val="000000"/>
          <w:sz w:val="20"/>
          <w:szCs w:val="20"/>
        </w:rPr>
        <w:t>cluding as a result of a credit rating downgrade; the potential adverse reactions to the planned separation by customers, suppliers, strategic partners or key personnel and potential difficulties in maintaining relationships with such persons and risks ass</w:t>
      </w:r>
      <w:r>
        <w:rPr>
          <w:rFonts w:eastAsia="Times New Roman"/>
          <w:color w:val="000000"/>
          <w:sz w:val="20"/>
          <w:szCs w:val="20"/>
        </w:rPr>
        <w:t xml:space="preserve">ociated with third party contracts containing consent and/or other provisions that may be triggered by the planned separation; the risk that any newly formed entity to house the digital commerce or ATM business would have no credit rating and may not have </w:t>
      </w:r>
      <w:r>
        <w:rPr>
          <w:rFonts w:eastAsia="Times New Roman"/>
          <w:color w:val="000000"/>
          <w:sz w:val="20"/>
          <w:szCs w:val="20"/>
        </w:rPr>
        <w:t>access to the capital markets on acceptable terms; unforeseen tax liabilities or changes in tax law; requests or requirements of governmental authorities related to certain existing liabilities; and the ability to obtain or consummate financing or refinanc</w:t>
      </w:r>
      <w:r>
        <w:rPr>
          <w:rFonts w:eastAsia="Times New Roman"/>
          <w:color w:val="000000"/>
          <w:sz w:val="20"/>
          <w:szCs w:val="20"/>
        </w:rPr>
        <w:t xml:space="preserve">ing related to the transaction upon acceptable terms or at all. </w:t>
      </w:r>
    </w:p>
    <w:p w:rsidR="00000000" w:rsidRDefault="008214AA">
      <w:pPr>
        <w:divId w:val="1914778598"/>
        <w:rPr>
          <w:rFonts w:eastAsia="Times New Roman"/>
        </w:rPr>
      </w:pPr>
    </w:p>
    <w:p w:rsidR="00000000" w:rsidRDefault="008214AA">
      <w:pPr>
        <w:jc w:val="both"/>
        <w:rPr>
          <w:rFonts w:eastAsia="Times New Roman"/>
        </w:rPr>
      </w:pPr>
      <w:r>
        <w:rPr>
          <w:rFonts w:eastAsia="Times New Roman"/>
          <w:color w:val="000000"/>
          <w:sz w:val="20"/>
          <w:szCs w:val="20"/>
        </w:rPr>
        <w:t>Should one or more of these risks or uncertainties materialize, or should underlying assumptions prove incorrect, actual results may vary materially from those set forth in the forward-look</w:t>
      </w:r>
      <w:r>
        <w:rPr>
          <w:rFonts w:eastAsia="Times New Roman"/>
          <w:color w:val="000000"/>
          <w:sz w:val="20"/>
          <w:szCs w:val="20"/>
        </w:rPr>
        <w:t xml:space="preserve">ing statements. There can be no guarantee that the planned separation will be completed in the expected form or within the expected time frame or at all. Nor can there be any guarantee that the digital commerce business and ATM business after a separation </w:t>
      </w:r>
      <w:r>
        <w:rPr>
          <w:rFonts w:eastAsia="Times New Roman"/>
          <w:color w:val="000000"/>
          <w:sz w:val="20"/>
          <w:szCs w:val="20"/>
        </w:rPr>
        <w:t>will be able to realize any of the potential strategic benefits, synergies or opportunities as a result of these actions. Neither can there be any guarantee that shareholders will achieve any particular level of shareholder returns. Nor can there be any gu</w:t>
      </w:r>
      <w:r>
        <w:rPr>
          <w:rFonts w:eastAsia="Times New Roman"/>
          <w:color w:val="000000"/>
          <w:sz w:val="20"/>
          <w:szCs w:val="20"/>
        </w:rPr>
        <w:t>arantee that the planned separation will enhance value for shareholders, or that NCR or any of its divisions, or separate digital commerce and ATM business, will be commercially successful in the future, or achieve any particular credit rating or financial</w:t>
      </w:r>
      <w:r>
        <w:rPr>
          <w:rFonts w:eastAsia="Times New Roman"/>
          <w:color w:val="000000"/>
          <w:sz w:val="20"/>
          <w:szCs w:val="20"/>
        </w:rPr>
        <w:t xml:space="preserve"> results. Additional information concerning these and other factors can be found in the Company’s filings with the U.S. Securities and Exchange Commission, including the Company’s most recent annual report on Form 10-K, quarterly reports on Form 10-Q and c</w:t>
      </w:r>
      <w:r>
        <w:rPr>
          <w:rFonts w:eastAsia="Times New Roman"/>
          <w:color w:val="000000"/>
          <w:sz w:val="20"/>
          <w:szCs w:val="20"/>
        </w:rPr>
        <w:t>urrent reports on Form 8-K. Any forward-looking statement speaks only as of the date on which it is made. The Company does not undertake any obligation to publicly update or revise any forward-looking statements, whether as a result of new information, fut</w:t>
      </w:r>
      <w:r>
        <w:rPr>
          <w:rFonts w:eastAsia="Times New Roman"/>
          <w:color w:val="000000"/>
          <w:sz w:val="20"/>
          <w:szCs w:val="20"/>
        </w:rPr>
        <w:t>ure events or otherwise, except as required by law.</w:t>
      </w:r>
    </w:p>
    <w:p w:rsidR="00000000" w:rsidRDefault="008214AA">
      <w:pPr>
        <w:divId w:val="536813801"/>
        <w:rPr>
          <w:rFonts w:eastAsia="Times New Roman"/>
        </w:rPr>
      </w:pPr>
    </w:p>
    <w:p w:rsidR="00000000" w:rsidRDefault="008214AA">
      <w:pPr>
        <w:divId w:val="526018937"/>
        <w:rPr>
          <w:rFonts w:eastAsia="Times New Roman"/>
        </w:rPr>
      </w:pPr>
      <w:r>
        <w:rPr>
          <w:rFonts w:eastAsia="Times New Roman"/>
          <w:i/>
          <w:iCs/>
          <w:color w:val="000000"/>
          <w:sz w:val="20"/>
          <w:szCs w:val="20"/>
          <w:u w:val="single"/>
        </w:rPr>
        <w:t>Information About NCR</w:t>
      </w:r>
    </w:p>
    <w:p w:rsidR="00000000" w:rsidRDefault="008214AA">
      <w:pPr>
        <w:divId w:val="1783720734"/>
        <w:rPr>
          <w:rFonts w:eastAsia="Times New Roman"/>
        </w:rPr>
      </w:pPr>
    </w:p>
    <w:p w:rsidR="00000000" w:rsidRDefault="008214AA">
      <w:pPr>
        <w:jc w:val="both"/>
        <w:rPr>
          <w:rFonts w:eastAsia="Times New Roman"/>
        </w:rPr>
      </w:pPr>
      <w:r>
        <w:rPr>
          <w:rFonts w:eastAsia="Times New Roman"/>
          <w:color w:val="000000"/>
          <w:sz w:val="20"/>
          <w:szCs w:val="20"/>
        </w:rPr>
        <w:t>NCR encourages investors to visit its web site (</w:t>
      </w:r>
      <w:r>
        <w:rPr>
          <w:rFonts w:eastAsia="Times New Roman"/>
          <w:color w:val="0000FF"/>
          <w:sz w:val="20"/>
          <w:szCs w:val="20"/>
          <w:u w:val="single"/>
        </w:rPr>
        <w:t>http://www.ncr.com</w:t>
      </w:r>
      <w:r>
        <w:rPr>
          <w:rFonts w:eastAsia="Times New Roman"/>
          <w:color w:val="000000"/>
          <w:sz w:val="20"/>
          <w:szCs w:val="20"/>
        </w:rPr>
        <w:t>), which is updated regularly with financial and other important information about NCR. The contents of the Comp</w:t>
      </w:r>
      <w:r>
        <w:rPr>
          <w:rFonts w:eastAsia="Times New Roman"/>
          <w:color w:val="000000"/>
          <w:sz w:val="20"/>
          <w:szCs w:val="20"/>
        </w:rPr>
        <w:t>any’s web site are not incorporated into this quarterly report or the Company’s other filings with the U.S. Securities and Exchange Commission.</w:t>
      </w:r>
    </w:p>
    <w:p w:rsidR="00000000" w:rsidRDefault="008214AA">
      <w:pPr>
        <w:jc w:val="center"/>
        <w:divId w:val="205023992"/>
        <w:rPr>
          <w:rFonts w:eastAsia="Times New Roman"/>
        </w:rPr>
      </w:pPr>
      <w:r>
        <w:rPr>
          <w:rFonts w:eastAsia="Times New Roman"/>
          <w:color w:val="000000"/>
          <w:sz w:val="20"/>
          <w:szCs w:val="20"/>
        </w:rPr>
        <w:t>56</w:t>
      </w:r>
    </w:p>
    <w:p w:rsidR="00000000" w:rsidRDefault="008214AA">
      <w:pPr>
        <w:rPr>
          <w:rFonts w:eastAsia="Times New Roman"/>
        </w:rPr>
      </w:pPr>
      <w:r>
        <w:rPr>
          <w:rFonts w:eastAsia="Times New Roman"/>
        </w:rPr>
        <w:pict>
          <v:rect id="_x0000_i1081" style="width:0;height:1.5pt" o:hralign="center" o:hrstd="t" o:hr="t" fillcolor="#a0a0a0" stroked="f"/>
        </w:pict>
      </w:r>
    </w:p>
    <w:p w:rsidR="00000000" w:rsidRDefault="008214AA">
      <w:pPr>
        <w:divId w:val="1115372880"/>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ind w:hanging="1170"/>
        <w:jc w:val="both"/>
        <w:rPr>
          <w:rFonts w:eastAsia="Times New Roman"/>
        </w:rPr>
      </w:pPr>
      <w:r>
        <w:rPr>
          <w:rFonts w:eastAsia="Times New Roman"/>
          <w:b/>
          <w:bCs/>
          <w:color w:val="000000"/>
          <w:sz w:val="20"/>
          <w:szCs w:val="20"/>
        </w:rPr>
        <w:t>Item 3.    QUANTITATIVE AND QUALITATIVE DISCLOSURES ABOUT MARKET RISK</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Market Risk</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We are exposed to market risks primarily from changes in foreign currency exchange rates and i</w:t>
      </w:r>
      <w:r>
        <w:rPr>
          <w:rFonts w:eastAsia="Times New Roman"/>
          <w:color w:val="000000"/>
          <w:sz w:val="20"/>
          <w:szCs w:val="20"/>
        </w:rPr>
        <w:t>nterest rates. It is our policy to manage our foreign exchange exposure and debt structure in order to manage capital costs, control financial risks and maintain financial flexibility over the long term. In managing market risks, we employ derivatives acco</w:t>
      </w:r>
      <w:r>
        <w:rPr>
          <w:rFonts w:eastAsia="Times New Roman"/>
          <w:color w:val="000000"/>
          <w:sz w:val="20"/>
          <w:szCs w:val="20"/>
        </w:rPr>
        <w:t xml:space="preserve">rding to documented policies and procedures, including foreign currency contracts and interest rate swaps. We do not use derivatives for trading or speculative purposes.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Foreign Exchange Risk</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shd w:val="clear" w:color="auto" w:fill="FFFFFF"/>
        </w:rPr>
        <w:t>Since a substantial portion of our operations and revenue o</w:t>
      </w:r>
      <w:r>
        <w:rPr>
          <w:rFonts w:eastAsia="Times New Roman"/>
          <w:color w:val="000000"/>
          <w:sz w:val="20"/>
          <w:szCs w:val="20"/>
          <w:shd w:val="clear" w:color="auto" w:fill="FFFFFF"/>
        </w:rPr>
        <w:t>ccur outside the United States, and in currencies other than the U.S. Dollar, our results can be significantly impacted by changes in foreign currency exchange rates. We have exposure to approximately 45 functional currencies and are exposed to foreign cur</w:t>
      </w:r>
      <w:r>
        <w:rPr>
          <w:rFonts w:eastAsia="Times New Roman"/>
          <w:color w:val="000000"/>
          <w:sz w:val="20"/>
          <w:szCs w:val="20"/>
          <w:shd w:val="clear" w:color="auto" w:fill="FFFFFF"/>
        </w:rPr>
        <w:t>rency exchange risk with respect to our sales, profits and assets and liabilities denominated in currencies other than the U.S. Dollar. Although we use financial instruments to hedge certain foreign currency risks, we are not fully protected against foreig</w:t>
      </w:r>
      <w:r>
        <w:rPr>
          <w:rFonts w:eastAsia="Times New Roman"/>
          <w:color w:val="000000"/>
          <w:sz w:val="20"/>
          <w:szCs w:val="20"/>
          <w:shd w:val="clear" w:color="auto" w:fill="FFFFFF"/>
        </w:rPr>
        <w:t>n currency fluctuations and our reported results of operations could be affected by changes in foreign currency exchange rates. To manage our exposures and mitigate the impact of currency fluctuations on the operations of our foreign subsidiaries, we hedge</w:t>
      </w:r>
      <w:r>
        <w:rPr>
          <w:rFonts w:eastAsia="Times New Roman"/>
          <w:color w:val="000000"/>
          <w:sz w:val="20"/>
          <w:szCs w:val="20"/>
          <w:shd w:val="clear" w:color="auto" w:fill="FFFFFF"/>
        </w:rPr>
        <w:t xml:space="preserve"> our main transactional exposures through the use of foreign exchange forward and option contracts. This is primarily done through the hedging of foreign currency denominated inter-company inventory purchases by the marketing units and the foreign currency</w:t>
      </w:r>
      <w:r>
        <w:rPr>
          <w:rFonts w:eastAsia="Times New Roman"/>
          <w:color w:val="000000"/>
          <w:sz w:val="20"/>
          <w:szCs w:val="20"/>
          <w:shd w:val="clear" w:color="auto" w:fill="FFFFFF"/>
        </w:rPr>
        <w:t xml:space="preserve"> denominated inputs to our manufacturing units. All of these transactions are forecasted. If these contracts are designated as highly effective cash flow hedges, the gains or losses are deferred into accumulated other comprehensive income (</w:t>
      </w:r>
      <w:r>
        <w:rPr>
          <w:rFonts w:eastAsia="Times New Roman"/>
          <w:color w:val="000000"/>
          <w:sz w:val="20"/>
          <w:szCs w:val="20"/>
        </w:rPr>
        <w:t>“</w:t>
      </w:r>
      <w:r>
        <w:rPr>
          <w:rFonts w:eastAsia="Times New Roman"/>
          <w:color w:val="000000"/>
          <w:sz w:val="20"/>
          <w:szCs w:val="20"/>
          <w:shd w:val="clear" w:color="auto" w:fill="FFFFFF"/>
        </w:rPr>
        <w:t>AOCI</w:t>
      </w:r>
      <w:r>
        <w:rPr>
          <w:rFonts w:eastAsia="Times New Roman"/>
          <w:color w:val="000000"/>
          <w:sz w:val="20"/>
          <w:szCs w:val="20"/>
        </w:rPr>
        <w:t>”</w:t>
      </w:r>
      <w:r>
        <w:rPr>
          <w:rFonts w:eastAsia="Times New Roman"/>
          <w:color w:val="000000"/>
          <w:sz w:val="20"/>
          <w:szCs w:val="20"/>
          <w:shd w:val="clear" w:color="auto" w:fill="FFFFFF"/>
        </w:rPr>
        <w:t>). The gai</w:t>
      </w:r>
      <w:r>
        <w:rPr>
          <w:rFonts w:eastAsia="Times New Roman"/>
          <w:color w:val="000000"/>
          <w:sz w:val="20"/>
          <w:szCs w:val="20"/>
          <w:shd w:val="clear" w:color="auto" w:fill="FFFFFF"/>
        </w:rPr>
        <w:t>ns or losses from derivative contracts that are designated as highly effective cash flow hedges related to inventory purchases are recorded in cost of products when the inventory is sold to an unrelated third party. Otherwise, the gains or losses from thes</w:t>
      </w:r>
      <w:r>
        <w:rPr>
          <w:rFonts w:eastAsia="Times New Roman"/>
          <w:color w:val="000000"/>
          <w:sz w:val="20"/>
          <w:szCs w:val="20"/>
          <w:shd w:val="clear" w:color="auto" w:fill="FFFFFF"/>
        </w:rPr>
        <w:t>e contracts are recognized in earnings as exchange rates change. We also use derivatives not designated as hedging instruments consisting primarily of forward contracts to hedge foreign currency denominated balance sheet exposures. For these derivatives we</w:t>
      </w:r>
      <w:r>
        <w:rPr>
          <w:rFonts w:eastAsia="Times New Roman"/>
          <w:color w:val="000000"/>
          <w:sz w:val="20"/>
          <w:szCs w:val="20"/>
          <w:shd w:val="clear" w:color="auto" w:fill="FFFFFF"/>
        </w:rPr>
        <w:t xml:space="preserve"> recognize gains and losses in the same period as the remeasurement losses and gains of the related foreign currency-denominated exposures.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shd w:val="clear" w:color="auto" w:fill="FFFFFF"/>
        </w:rPr>
        <w:t>We utilize non-exchange traded financial instruments, such as foreign exchange forward and option contracts, that</w:t>
      </w:r>
      <w:r>
        <w:rPr>
          <w:rFonts w:eastAsia="Times New Roman"/>
          <w:color w:val="000000"/>
          <w:sz w:val="20"/>
          <w:szCs w:val="20"/>
          <w:shd w:val="clear" w:color="auto" w:fill="FFFFFF"/>
        </w:rPr>
        <w:t xml:space="preserve"> we purchase exclusively from highly rated financial institutions. We record these contracts on our balance sheet at fair market value based upon market price quotations from the financial institutions. We do not enter into non-exchange traded contracts th</w:t>
      </w:r>
      <w:r>
        <w:rPr>
          <w:rFonts w:eastAsia="Times New Roman"/>
          <w:color w:val="000000"/>
          <w:sz w:val="20"/>
          <w:szCs w:val="20"/>
          <w:shd w:val="clear" w:color="auto" w:fill="FFFFFF"/>
        </w:rPr>
        <w:t>at require the use of fair value estimation techniques, but if we did, they could have a material impact on our financial results.</w:t>
      </w:r>
      <w:r>
        <w:rPr>
          <w:rFonts w:eastAsia="Times New Roman"/>
          <w:color w:val="000000"/>
          <w:sz w:val="20"/>
          <w:szCs w:val="20"/>
        </w:rPr>
        <w:t xml:space="preserve">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shd w:val="clear" w:color="auto" w:fill="FFFFFF"/>
        </w:rPr>
        <w:t>For purposes of analyzing potential risk, we use sensitivity analysis to quantify potential impacts that market rate chang</w:t>
      </w:r>
      <w:r>
        <w:rPr>
          <w:rFonts w:eastAsia="Times New Roman"/>
          <w:color w:val="000000"/>
          <w:sz w:val="20"/>
          <w:szCs w:val="20"/>
          <w:shd w:val="clear" w:color="auto" w:fill="FFFFFF"/>
        </w:rPr>
        <w:t>es may have on the fair values of our hedge portfolio related to firmly committed or forecasted transactions. The sensitivity analysis represents the hypothetical changes in value of the hedge position and does not reflect the related gain or loss on the f</w:t>
      </w:r>
      <w:r>
        <w:rPr>
          <w:rFonts w:eastAsia="Times New Roman"/>
          <w:color w:val="000000"/>
          <w:sz w:val="20"/>
          <w:szCs w:val="20"/>
          <w:shd w:val="clear" w:color="auto" w:fill="FFFFFF"/>
        </w:rPr>
        <w:t>orecasted underlying transaction. A 10% appreciation in the value of the U.S. Dollar against foreign currencies from the prevailing market rates would have resulted in a corresponding decrease in the fair value of the hedge portfolio of $2 million as of Se</w:t>
      </w:r>
      <w:r>
        <w:rPr>
          <w:rFonts w:eastAsia="Times New Roman"/>
          <w:color w:val="000000"/>
          <w:sz w:val="20"/>
          <w:szCs w:val="20"/>
          <w:shd w:val="clear" w:color="auto" w:fill="FFFFFF"/>
        </w:rPr>
        <w:t>ptember 30, 2022. A 10% depreciation in the value of the U.S. Dollar against foreign currencies from the prevailing market rates would have resulted in a corresponding increase in the fair value of the hedge portfolio of $2 million as of September 30, 2022</w:t>
      </w:r>
      <w:r>
        <w:rPr>
          <w:rFonts w:eastAsia="Times New Roman"/>
          <w:color w:val="000000"/>
          <w:sz w:val="20"/>
          <w:szCs w:val="20"/>
          <w:shd w:val="clear" w:color="auto" w:fill="FFFFFF"/>
        </w:rPr>
        <w:t xml:space="preserve">. The Company expects that any increase or decrease in the fair value of the portfolio would be substantially offset by increases or decreases in the underlying exposures being hedged.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U.S. Dollar was stronger in the third quarter of 2022 compared t</w:t>
      </w:r>
      <w:r>
        <w:rPr>
          <w:rFonts w:eastAsia="Times New Roman"/>
          <w:color w:val="000000"/>
          <w:sz w:val="20"/>
          <w:szCs w:val="20"/>
        </w:rPr>
        <w:t>o the third quarter of 2021 based on comparable weighted averages for our functional currencies. This excludes the effects of our hedging activities and, therefore, does not reflect the actual impact of fluctuations in exchange rates on our operating incom</w:t>
      </w:r>
      <w:r>
        <w:rPr>
          <w:rFonts w:eastAsia="Times New Roman"/>
          <w:color w:val="000000"/>
          <w:sz w:val="20"/>
          <w:szCs w:val="20"/>
        </w:rPr>
        <w:t>e.</w:t>
      </w:r>
      <w:r>
        <w:rPr>
          <w:rFonts w:eastAsia="Times New Roman"/>
          <w:color w:val="000000"/>
          <w:sz w:val="20"/>
          <w:szCs w:val="20"/>
          <w:shd w:val="clear" w:color="auto" w:fill="FFFFFF"/>
        </w:rPr>
        <w:t xml:space="preserve"> </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shd w:val="clear" w:color="auto" w:fill="FFFFFF"/>
        </w:rPr>
        <w:t>Interest Rate Risk</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shd w:val="clear" w:color="auto" w:fill="FFFFFF"/>
        </w:rPr>
        <w:t>We are subject to interest rate risk principally in relation to variable-rate debt. Approximately 57% of our borrowings were on a fixed rate basis as of September 30, 2022. The increase in pre-tax interest expense for the nine months ended September 30, 20</w:t>
      </w:r>
      <w:r>
        <w:rPr>
          <w:rFonts w:eastAsia="Times New Roman"/>
          <w:color w:val="000000"/>
          <w:sz w:val="20"/>
          <w:szCs w:val="20"/>
          <w:shd w:val="clear" w:color="auto" w:fill="FFFFFF"/>
        </w:rPr>
        <w:t xml:space="preserve">22 from a hypothetical 100 basis point increase in variable interest rates would be approximately </w:t>
      </w:r>
      <w:r>
        <w:rPr>
          <w:rFonts w:eastAsia="Times New Roman"/>
          <w:color w:val="000000"/>
          <w:sz w:val="20"/>
          <w:szCs w:val="20"/>
        </w:rPr>
        <w:t>$17 million</w:t>
      </w:r>
      <w:r>
        <w:rPr>
          <w:rFonts w:eastAsia="Times New Roman"/>
          <w:color w:val="000000"/>
          <w:sz w:val="20"/>
          <w:szCs w:val="20"/>
          <w:shd w:val="clear" w:color="auto" w:fill="FFFFFF"/>
        </w:rPr>
        <w:t>. As of September 30, 2022, we do not have any outstanding interest rate derivative contracts related to our variable rate debt.</w:t>
      </w:r>
    </w:p>
    <w:p w:rsidR="00000000" w:rsidRDefault="008214AA">
      <w:pPr>
        <w:jc w:val="both"/>
        <w:rPr>
          <w:rFonts w:eastAsia="Times New Roman"/>
        </w:rPr>
      </w:pPr>
    </w:p>
    <w:p w:rsidR="00000000" w:rsidRDefault="008214AA">
      <w:pPr>
        <w:jc w:val="center"/>
        <w:divId w:val="560213733"/>
        <w:rPr>
          <w:rFonts w:eastAsia="Times New Roman"/>
        </w:rPr>
      </w:pPr>
      <w:r>
        <w:rPr>
          <w:rFonts w:eastAsia="Times New Roman"/>
          <w:color w:val="000000"/>
          <w:sz w:val="20"/>
          <w:szCs w:val="20"/>
        </w:rPr>
        <w:t>57</w:t>
      </w:r>
    </w:p>
    <w:p w:rsidR="00000000" w:rsidRDefault="008214AA">
      <w:pPr>
        <w:rPr>
          <w:rFonts w:eastAsia="Times New Roman"/>
        </w:rPr>
      </w:pPr>
      <w:r>
        <w:rPr>
          <w:rFonts w:eastAsia="Times New Roman"/>
        </w:rPr>
        <w:pict>
          <v:rect id="_x0000_i1082" style="width:0;height:1.5pt" o:hralign="center" o:hrstd="t" o:hr="t" fillcolor="#a0a0a0" stroked="f"/>
        </w:pict>
      </w:r>
    </w:p>
    <w:p w:rsidR="00000000" w:rsidRDefault="008214AA">
      <w:pPr>
        <w:divId w:val="1447431665"/>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color w:val="000000"/>
          <w:sz w:val="20"/>
          <w:szCs w:val="20"/>
        </w:rPr>
        <w:t>Additionally, as our ATM vault cash rental expense is based on market rates of interest, it is sensitive to changes in applicable interest rates in the resp</w:t>
      </w:r>
      <w:r>
        <w:rPr>
          <w:rFonts w:eastAsia="Times New Roman"/>
          <w:color w:val="000000"/>
          <w:sz w:val="20"/>
          <w:szCs w:val="20"/>
        </w:rPr>
        <w:t>ective countries in which we operate. We pay a monthly fee on the average outstanding vault cash balances in our ATMs under floating rate formulas based on a spread above various interbank offered rates. The increase in vault cash rental expense for the th</w:t>
      </w:r>
      <w:r>
        <w:rPr>
          <w:rFonts w:eastAsia="Times New Roman"/>
          <w:color w:val="000000"/>
          <w:sz w:val="20"/>
          <w:szCs w:val="20"/>
        </w:rPr>
        <w:t xml:space="preserve">ree months ended </w:t>
      </w:r>
      <w:r>
        <w:rPr>
          <w:rFonts w:eastAsia="Times New Roman"/>
          <w:color w:val="000000"/>
          <w:sz w:val="20"/>
          <w:szCs w:val="20"/>
          <w:shd w:val="clear" w:color="auto" w:fill="FFFFFF"/>
        </w:rPr>
        <w:t>September 30, 2022</w:t>
      </w:r>
      <w:r>
        <w:rPr>
          <w:rFonts w:eastAsia="Times New Roman"/>
          <w:color w:val="000000"/>
          <w:sz w:val="20"/>
          <w:szCs w:val="20"/>
        </w:rPr>
        <w:t xml:space="preserve"> from a hypothetical 100 basis point increase in variable interest rates would be approximately $10 million, excluding the impact from outstanding interest rate swap agreements.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We utilize interest rate swap contracts a</w:t>
      </w:r>
      <w:r>
        <w:rPr>
          <w:rFonts w:eastAsia="Times New Roman"/>
          <w:color w:val="000000"/>
          <w:sz w:val="20"/>
          <w:szCs w:val="20"/>
        </w:rPr>
        <w:t>nd interest rate cap agreements to add stability to interest expense and to manage exposure to interest rate movements as part of our interest rate risk management strategy. Payments and receipts related to interest rate cap agreements and interest rate sw</w:t>
      </w:r>
      <w:r>
        <w:rPr>
          <w:rFonts w:eastAsia="Times New Roman"/>
          <w:color w:val="000000"/>
          <w:sz w:val="20"/>
          <w:szCs w:val="20"/>
        </w:rPr>
        <w:t>ap contracts are included in cash flows from operating activities in the Condensed Consolidated Statements of Cash Flows. Refer to Note 13, “Derivatives and Hedging Instruments”, for further information on our interest rate derivative contracts in effect a</w:t>
      </w:r>
      <w:r>
        <w:rPr>
          <w:rFonts w:eastAsia="Times New Roman"/>
          <w:color w:val="000000"/>
          <w:sz w:val="20"/>
          <w:szCs w:val="20"/>
        </w:rPr>
        <w:t xml:space="preserve">s of </w:t>
      </w:r>
      <w:r>
        <w:rPr>
          <w:rFonts w:eastAsia="Times New Roman"/>
          <w:color w:val="000000"/>
          <w:sz w:val="20"/>
          <w:szCs w:val="20"/>
          <w:shd w:val="clear" w:color="auto" w:fill="FFFFFF"/>
        </w:rPr>
        <w:t>September 30, 2022</w:t>
      </w:r>
      <w:r>
        <w:rPr>
          <w:rFonts w:eastAsia="Times New Roman"/>
          <w:color w:val="000000"/>
          <w:sz w:val="20"/>
          <w:szCs w:val="20"/>
        </w:rPr>
        <w:t>.</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Concentrations of Credit Risk</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We are potentially subject to concentrations of credit risk on accounts </w:t>
      </w:r>
      <w:r>
        <w:rPr>
          <w:rFonts w:eastAsia="Times New Roman"/>
          <w:color w:val="000000"/>
          <w:sz w:val="20"/>
          <w:szCs w:val="20"/>
        </w:rPr>
        <w:t>receivable and financial instruments, such as hedging instruments and cash and cash equivalents. Credit risk includes the risk of nonperformance by counterparties. The maximum potential loss may exceed the amount recognized on the balance sheet. Exposure t</w:t>
      </w:r>
      <w:r>
        <w:rPr>
          <w:rFonts w:eastAsia="Times New Roman"/>
          <w:color w:val="000000"/>
          <w:sz w:val="20"/>
          <w:szCs w:val="20"/>
        </w:rPr>
        <w:t>o credit risk is managed through credit approvals, credit limits, selecting major international financial institutions as counterparties to hedging transactions, and monitoring procedures. Our business often involves large transactions with customers for w</w:t>
      </w:r>
      <w:r>
        <w:rPr>
          <w:rFonts w:eastAsia="Times New Roman"/>
          <w:color w:val="000000"/>
          <w:sz w:val="20"/>
          <w:szCs w:val="20"/>
        </w:rPr>
        <w:t>hich we do not require collateral. If one or more of those customers were to default in its obligations under applicable contractual arrangements, we could be exposed to potentially significant losses. Moreover, a prolonged downturn in the global economy c</w:t>
      </w:r>
      <w:r>
        <w:rPr>
          <w:rFonts w:eastAsia="Times New Roman"/>
          <w:color w:val="000000"/>
          <w:sz w:val="20"/>
          <w:szCs w:val="20"/>
        </w:rPr>
        <w:t>ould have an adverse impact on the ability of our customers to pay their obligations on a timely basis. We believe that the reserves for potential losses are adequate. As of September 30, 2022, we did not have any significant concentration of credit risk r</w:t>
      </w:r>
      <w:r>
        <w:rPr>
          <w:rFonts w:eastAsia="Times New Roman"/>
          <w:color w:val="000000"/>
          <w:sz w:val="20"/>
          <w:szCs w:val="20"/>
        </w:rPr>
        <w:t>elated to financial instruments.</w:t>
      </w:r>
    </w:p>
    <w:p w:rsidR="00000000" w:rsidRDefault="008214AA">
      <w:pPr>
        <w:jc w:val="both"/>
        <w:rPr>
          <w:rFonts w:eastAsia="Times New Roman"/>
        </w:rPr>
      </w:pPr>
    </w:p>
    <w:p w:rsidR="00000000" w:rsidRDefault="008214AA">
      <w:pPr>
        <w:ind w:hanging="1170"/>
        <w:jc w:val="both"/>
        <w:rPr>
          <w:rFonts w:eastAsia="Times New Roman"/>
        </w:rPr>
      </w:pPr>
      <w:r>
        <w:rPr>
          <w:rFonts w:eastAsia="Times New Roman"/>
          <w:b/>
          <w:bCs/>
          <w:color w:val="000000"/>
          <w:sz w:val="20"/>
          <w:szCs w:val="20"/>
        </w:rPr>
        <w:t>Item 4.    CONTROLS AND PROCEDURES</w:t>
      </w:r>
    </w:p>
    <w:p w:rsidR="00000000" w:rsidRDefault="008214AA">
      <w:pPr>
        <w:jc w:val="both"/>
        <w:rPr>
          <w:rFonts w:eastAsia="Times New Roman"/>
        </w:rPr>
      </w:pPr>
    </w:p>
    <w:p w:rsidR="00000000" w:rsidRDefault="008214AA">
      <w:pPr>
        <w:jc w:val="both"/>
        <w:rPr>
          <w:rFonts w:eastAsia="Times New Roman"/>
        </w:rPr>
      </w:pPr>
      <w:r>
        <w:rPr>
          <w:rFonts w:eastAsia="Times New Roman"/>
          <w:i/>
          <w:iCs/>
          <w:color w:val="000000"/>
          <w:sz w:val="20"/>
          <w:szCs w:val="20"/>
        </w:rPr>
        <w:t>Evaluation of Disclosure Controls and Procedures</w:t>
      </w:r>
    </w:p>
    <w:p w:rsidR="00000000" w:rsidRDefault="008214AA">
      <w:pPr>
        <w:jc w:val="both"/>
        <w:divId w:val="1008480836"/>
        <w:rPr>
          <w:rFonts w:eastAsia="Times New Roman"/>
        </w:rPr>
      </w:pPr>
      <w:r>
        <w:rPr>
          <w:rFonts w:eastAsia="Times New Roman"/>
          <w:color w:val="000000"/>
          <w:sz w:val="20"/>
          <w:szCs w:val="20"/>
        </w:rPr>
        <w:t>NCR has established disclosure controls and procedures (as defined in Rules 13a-15(e) and 15d-15(e) of the Securities Exchange Act of 1</w:t>
      </w:r>
      <w:r>
        <w:rPr>
          <w:rFonts w:eastAsia="Times New Roman"/>
          <w:color w:val="000000"/>
          <w:sz w:val="20"/>
          <w:szCs w:val="20"/>
        </w:rPr>
        <w:t>934 (the Exchange Act)) to provide reasonable assurance that information required to be disclosed by NCR in the reports that it files or submits under the Exchange Act is recorded, processed, summarized and reported within the time periods specified in the</w:t>
      </w:r>
      <w:r>
        <w:rPr>
          <w:rFonts w:eastAsia="Times New Roman"/>
          <w:color w:val="000000"/>
          <w:sz w:val="20"/>
          <w:szCs w:val="20"/>
        </w:rPr>
        <w:t xml:space="preserve"> SEC’s rules and forms. Disclosure controls and procedures include, without limitation, controls and procedures designed to provide reasonable assurance that information required to be disclosed by NCR in the reports that it files or submits under the Exch</w:t>
      </w:r>
      <w:r>
        <w:rPr>
          <w:rFonts w:eastAsia="Times New Roman"/>
          <w:color w:val="000000"/>
          <w:sz w:val="20"/>
          <w:szCs w:val="20"/>
        </w:rPr>
        <w:t>ange Act is accumulated and communicated to NCR’s management, including its Chief Executive and Chief Financial Officers, as appropriate to allow timely decisions regarding required disclosure. Based on their evaluation as of the end of the third quarter o</w:t>
      </w:r>
      <w:r>
        <w:rPr>
          <w:rFonts w:eastAsia="Times New Roman"/>
          <w:color w:val="000000"/>
          <w:sz w:val="20"/>
          <w:szCs w:val="20"/>
        </w:rPr>
        <w:t>f 2022, conducted under their supervision and with the participation of management, the Company’s Chief Executive and Chief Financial Officers have concluded that NCR’s disclosure controls and procedures are effective to meet such objectives and that NCR’s</w:t>
      </w:r>
      <w:r>
        <w:rPr>
          <w:rFonts w:eastAsia="Times New Roman"/>
          <w:color w:val="000000"/>
          <w:sz w:val="20"/>
          <w:szCs w:val="20"/>
        </w:rPr>
        <w:t xml:space="preserve"> disclosure controls and procedures adequately alert them on a timely basis to material information relating to the Company (including its consolidated subsidiaries) required to be included in NCR’s Exchange Act filings. </w:t>
      </w:r>
    </w:p>
    <w:p w:rsidR="00000000" w:rsidRDefault="008214AA">
      <w:pPr>
        <w:jc w:val="both"/>
        <w:divId w:val="1914973942"/>
        <w:rPr>
          <w:rFonts w:eastAsia="Times New Roman"/>
        </w:rPr>
      </w:pPr>
      <w:r>
        <w:rPr>
          <w:rFonts w:eastAsia="Times New Roman"/>
          <w:i/>
          <w:iCs/>
          <w:color w:val="000000"/>
          <w:sz w:val="20"/>
          <w:szCs w:val="20"/>
        </w:rPr>
        <w:t>Changes in Internal Control over F</w:t>
      </w:r>
      <w:r>
        <w:rPr>
          <w:rFonts w:eastAsia="Times New Roman"/>
          <w:i/>
          <w:iCs/>
          <w:color w:val="000000"/>
          <w:sz w:val="20"/>
          <w:szCs w:val="20"/>
        </w:rPr>
        <w:t>inancial Reporting</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In the third quarter of 2022, we began implementing a new enterprise resource planning (“</w:t>
      </w:r>
      <w:r>
        <w:rPr>
          <w:rFonts w:eastAsia="Times New Roman"/>
          <w:color w:val="000000"/>
          <w:sz w:val="20"/>
          <w:szCs w:val="20"/>
          <w:shd w:val="clear" w:color="auto" w:fill="FFFFFF"/>
        </w:rPr>
        <w:t>ERP</w:t>
      </w:r>
      <w:r>
        <w:rPr>
          <w:rFonts w:eastAsia="Times New Roman"/>
          <w:color w:val="000000"/>
          <w:sz w:val="20"/>
          <w:szCs w:val="20"/>
        </w:rPr>
        <w:t>”) system, which will replace many of our existing core financial systems. The ERP system is designed to accurately maintain our financial reco</w:t>
      </w:r>
      <w:r>
        <w:rPr>
          <w:rFonts w:eastAsia="Times New Roman"/>
          <w:color w:val="000000"/>
          <w:sz w:val="20"/>
          <w:szCs w:val="20"/>
        </w:rPr>
        <w:t xml:space="preserve">rds used to report operating results. The implementation will occur in phases and began this quarter. On a quarterly basis, we will continue to evaluate whether there are material changes that impact our internal control over financial reporting.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Other </w:t>
      </w:r>
      <w:r>
        <w:rPr>
          <w:rFonts w:eastAsia="Times New Roman"/>
          <w:color w:val="000000"/>
          <w:sz w:val="20"/>
          <w:szCs w:val="20"/>
        </w:rPr>
        <w:t>than the ERP system implementation, there have been no changes in our internal control over financial reporting that occurred during the three months ended September 30, 2022 that have materially affected, or are reasonably likely to materially affect, our</w:t>
      </w:r>
      <w:r>
        <w:rPr>
          <w:rFonts w:eastAsia="Times New Roman"/>
          <w:color w:val="000000"/>
          <w:sz w:val="20"/>
          <w:szCs w:val="20"/>
        </w:rPr>
        <w:t xml:space="preserve"> internal control over financial reporting.</w:t>
      </w:r>
    </w:p>
    <w:p w:rsidR="00000000" w:rsidRDefault="008214AA">
      <w:pPr>
        <w:jc w:val="both"/>
        <w:rPr>
          <w:rFonts w:eastAsia="Times New Roman"/>
        </w:rPr>
      </w:pPr>
    </w:p>
    <w:p w:rsidR="00000000" w:rsidRDefault="008214AA">
      <w:pPr>
        <w:jc w:val="center"/>
        <w:divId w:val="496728682"/>
        <w:rPr>
          <w:rFonts w:eastAsia="Times New Roman"/>
        </w:rPr>
      </w:pPr>
      <w:r>
        <w:rPr>
          <w:rFonts w:eastAsia="Times New Roman"/>
          <w:color w:val="000000"/>
          <w:sz w:val="20"/>
          <w:szCs w:val="20"/>
        </w:rPr>
        <w:t>58</w:t>
      </w:r>
    </w:p>
    <w:p w:rsidR="00000000" w:rsidRDefault="008214AA">
      <w:pPr>
        <w:rPr>
          <w:rFonts w:eastAsia="Times New Roman"/>
        </w:rPr>
      </w:pPr>
      <w:r>
        <w:rPr>
          <w:rFonts w:eastAsia="Times New Roman"/>
        </w:rPr>
        <w:pict>
          <v:rect id="_x0000_i1083" style="width:0;height:1.5pt" o:hralign="center" o:hrstd="t" o:hr="t" fillcolor="#a0a0a0" stroked="f"/>
        </w:pict>
      </w:r>
    </w:p>
    <w:p w:rsidR="00000000" w:rsidRDefault="008214AA">
      <w:pPr>
        <w:divId w:val="1605914143"/>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center"/>
        <w:rPr>
          <w:rFonts w:eastAsia="Times New Roman"/>
        </w:rPr>
      </w:pPr>
      <w:r>
        <w:rPr>
          <w:rFonts w:eastAsia="Times New Roman"/>
          <w:b/>
          <w:bCs/>
          <w:color w:val="000000"/>
          <w:sz w:val="20"/>
          <w:szCs w:val="20"/>
        </w:rPr>
        <w:t>Part II. Other Information</w:t>
      </w:r>
    </w:p>
    <w:p w:rsidR="00000000" w:rsidRDefault="008214AA">
      <w:pPr>
        <w:divId w:val="1523202653"/>
        <w:rPr>
          <w:rFonts w:eastAsia="Times New Roman"/>
        </w:rPr>
      </w:pPr>
    </w:p>
    <w:p w:rsidR="00000000" w:rsidRDefault="008214AA">
      <w:pPr>
        <w:ind w:hanging="1170"/>
        <w:jc w:val="both"/>
        <w:rPr>
          <w:rFonts w:eastAsia="Times New Roman"/>
        </w:rPr>
      </w:pPr>
      <w:r>
        <w:rPr>
          <w:rFonts w:eastAsia="Times New Roman"/>
          <w:b/>
          <w:bCs/>
          <w:color w:val="000000"/>
          <w:sz w:val="20"/>
          <w:szCs w:val="20"/>
        </w:rPr>
        <w:t>Item 1.    LEGAL PROCEEDINGS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information required by this item is included in Note 10, “Commitments and Contingencies” of the Notes to Condensed Consolidated Financial Statements in this quarterly report and is incorporated herein by reference.</w:t>
      </w:r>
    </w:p>
    <w:p w:rsidR="00000000" w:rsidRDefault="008214AA">
      <w:pPr>
        <w:divId w:val="632560657"/>
        <w:rPr>
          <w:rFonts w:eastAsia="Times New Roman"/>
        </w:rPr>
      </w:pPr>
    </w:p>
    <w:p w:rsidR="00000000" w:rsidRDefault="008214AA">
      <w:pPr>
        <w:jc w:val="both"/>
        <w:rPr>
          <w:rFonts w:eastAsia="Times New Roman"/>
        </w:rPr>
      </w:pPr>
      <w:r>
        <w:rPr>
          <w:rFonts w:eastAsia="Times New Roman"/>
          <w:b/>
          <w:bCs/>
          <w:color w:val="000000"/>
          <w:sz w:val="20"/>
          <w:szCs w:val="20"/>
        </w:rPr>
        <w:t>Item 1A.    RISK FACTORS</w:t>
      </w:r>
    </w:p>
    <w:p w:rsidR="00000000" w:rsidRDefault="008214AA">
      <w:pPr>
        <w:jc w:val="both"/>
        <w:rPr>
          <w:rFonts w:eastAsia="Times New Roman"/>
        </w:rPr>
      </w:pP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following information with respect to the planned separation of NCR into two independent, publicly traded companies supplements the disclosure set forth under Part I, Item IA (“Risk Factors”) of the Company's 2021 Annual Report on Form 10-K (“Form 10-K</w:t>
      </w:r>
      <w:r>
        <w:rPr>
          <w:rFonts w:eastAsia="Times New Roman"/>
          <w:color w:val="000000"/>
          <w:sz w:val="20"/>
          <w:szCs w:val="20"/>
        </w:rPr>
        <w:t>”). Additional risks and uncertainties not presently known to us or that are currently not believed to be significant to our business may also affect our actual results and could harm our business, financial conditions and results of operations. If any add</w:t>
      </w:r>
      <w:r>
        <w:rPr>
          <w:rFonts w:eastAsia="Times New Roman"/>
          <w:color w:val="000000"/>
          <w:sz w:val="20"/>
          <w:szCs w:val="20"/>
        </w:rPr>
        <w:t xml:space="preserve">itional risks and uncertainties actually occur, our business, results of operations and financial condition could be materially and adversely affected. </w:t>
      </w:r>
    </w:p>
    <w:p w:rsidR="00000000" w:rsidRDefault="008214AA">
      <w:pPr>
        <w:jc w:val="both"/>
        <w:rPr>
          <w:rFonts w:eastAsia="Times New Roman"/>
        </w:rPr>
      </w:pPr>
    </w:p>
    <w:p w:rsidR="00000000" w:rsidRDefault="008214AA">
      <w:pPr>
        <w:jc w:val="both"/>
        <w:rPr>
          <w:rFonts w:eastAsia="Times New Roman"/>
        </w:rPr>
      </w:pPr>
      <w:r>
        <w:rPr>
          <w:rFonts w:eastAsia="Times New Roman"/>
          <w:b/>
          <w:bCs/>
          <w:i/>
          <w:iCs/>
          <w:color w:val="000000"/>
          <w:sz w:val="20"/>
          <w:szCs w:val="20"/>
        </w:rPr>
        <w:t>The planned separation of NCR into two independent, publicly traded companies – one focused on digita</w:t>
      </w:r>
      <w:r>
        <w:rPr>
          <w:rFonts w:eastAsia="Times New Roman"/>
          <w:b/>
          <w:bCs/>
          <w:i/>
          <w:iCs/>
          <w:color w:val="000000"/>
          <w:sz w:val="20"/>
          <w:szCs w:val="20"/>
        </w:rPr>
        <w:t>l commerce, the other on ATMs, is subject to various risks and uncertainties and may not be completed in accordance with the expected plans or anticipated timeline, or at all, and will involve significant time, expense, and resources, which could disrupt o</w:t>
      </w:r>
      <w:r>
        <w:rPr>
          <w:rFonts w:eastAsia="Times New Roman"/>
          <w:b/>
          <w:bCs/>
          <w:i/>
          <w:iCs/>
          <w:color w:val="000000"/>
          <w:sz w:val="20"/>
          <w:szCs w:val="20"/>
        </w:rPr>
        <w:t>r adversely affect our business.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On September 15, 2022, NCR announced a plan to separate into two independent, publicly traded companies – one focused on digital commerce, the other on ATMs. The current target is to complete the separation by the end of </w:t>
      </w:r>
      <w:r>
        <w:rPr>
          <w:rFonts w:eastAsia="Times New Roman"/>
          <w:color w:val="000000"/>
          <w:sz w:val="20"/>
          <w:szCs w:val="20"/>
        </w:rPr>
        <w:t>2023. We cannot assure that the transactions will be completed on the anticipated timeline or at all or that the terms of the separations will not change. The transactions will follow the satisfaction of customary conditions, including effectiveness of app</w:t>
      </w:r>
      <w:r>
        <w:rPr>
          <w:rFonts w:eastAsia="Times New Roman"/>
          <w:color w:val="000000"/>
          <w:sz w:val="20"/>
          <w:szCs w:val="20"/>
        </w:rPr>
        <w:t>ropriate filings with the U.S. Securities and Exchange Commission, and the completion of audited financial statements. The failure to satisfy any of the required conditions could delay the completion of the separation for a significant period of time or pr</w:t>
      </w:r>
      <w:r>
        <w:rPr>
          <w:rFonts w:eastAsia="Times New Roman"/>
          <w:color w:val="000000"/>
          <w:sz w:val="20"/>
          <w:szCs w:val="20"/>
        </w:rPr>
        <w:t>event it from occurring at all.</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ability to obtain or consummate financing or refinancing related to the transaction upon acceptable terms, or at all (including not having a credit rating and not having access to the capital markets for any newly form</w:t>
      </w:r>
      <w:r>
        <w:rPr>
          <w:rFonts w:eastAsia="Times New Roman"/>
          <w:color w:val="000000"/>
          <w:sz w:val="20"/>
          <w:szCs w:val="20"/>
        </w:rPr>
        <w:t>ed entity that houses the digital commerce or ATM business); risks associated with third party contracts containing consent and/or other provisions that may be triggered by the planned separation and; unanticipated developments, including changes in the co</w:t>
      </w:r>
      <w:r>
        <w:rPr>
          <w:rFonts w:eastAsia="Times New Roman"/>
          <w:color w:val="000000"/>
          <w:sz w:val="20"/>
          <w:szCs w:val="20"/>
        </w:rPr>
        <w:t>mpetitive conditions of our markets, delays in obtaining various tax opinions or rulings, negotiating challenges, the uncertainty of the financial markets, changes in the law, requests or requirements of governmental authorities related to existing liabili</w:t>
      </w:r>
      <w:r>
        <w:rPr>
          <w:rFonts w:eastAsia="Times New Roman"/>
          <w:color w:val="000000"/>
          <w:sz w:val="20"/>
          <w:szCs w:val="20"/>
        </w:rPr>
        <w:t>ties and challenges in executing the separation of the two businesses, could delay or prevent the completion of the planned separation, or cause the planned separation to occur on terms or conditions that are different or less favorable than initially expe</w:t>
      </w:r>
      <w:r>
        <w:rPr>
          <w:rFonts w:eastAsia="Times New Roman"/>
          <w:color w:val="000000"/>
          <w:sz w:val="20"/>
          <w:szCs w:val="20"/>
        </w:rPr>
        <w:t>cted. Any changes to the planned separation or delay in completing the planned separation could cause us not to realize some or all of the expected benefits, or realize them on a different timeline than initially expected. Further, our Board of Directors c</w:t>
      </w:r>
      <w:r>
        <w:rPr>
          <w:rFonts w:eastAsia="Times New Roman"/>
          <w:color w:val="000000"/>
          <w:sz w:val="20"/>
          <w:szCs w:val="20"/>
        </w:rPr>
        <w:t xml:space="preserve">ould decide, either because of a failure of conditions or because of market or other factors, to abandon the planned separation.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Whether or not we complete the planned separation, our ongoing business may be adversely affected and we may be subject to c</w:t>
      </w:r>
      <w:r>
        <w:rPr>
          <w:rFonts w:eastAsia="Times New Roman"/>
          <w:color w:val="000000"/>
          <w:sz w:val="20"/>
          <w:szCs w:val="20"/>
        </w:rPr>
        <w:t>ertain risks and consequences as a result of pursuing the planned separation, including the following:</w:t>
      </w:r>
    </w:p>
    <w:p w:rsidR="00000000" w:rsidRDefault="008214AA">
      <w:pPr>
        <w:jc w:val="both"/>
        <w:rPr>
          <w:rFonts w:eastAsia="Times New Roman"/>
        </w:rPr>
      </w:pPr>
    </w:p>
    <w:p w:rsidR="00000000" w:rsidRDefault="008214AA">
      <w:pPr>
        <w:ind w:hanging="360"/>
        <w:jc w:val="both"/>
        <w:rPr>
          <w:rFonts w:eastAsia="Times New Roman"/>
        </w:rPr>
      </w:pPr>
      <w:r>
        <w:rPr>
          <w:rFonts w:eastAsia="Times New Roman"/>
          <w:color w:val="000000"/>
          <w:sz w:val="20"/>
          <w:szCs w:val="20"/>
        </w:rPr>
        <w:t>•We have incurred expenses in connection with the planned separation, and expect that the process of completing the planned separation will be time-con</w:t>
      </w:r>
      <w:r>
        <w:rPr>
          <w:rFonts w:eastAsia="Times New Roman"/>
          <w:color w:val="000000"/>
          <w:sz w:val="20"/>
          <w:szCs w:val="20"/>
        </w:rPr>
        <w:t>suming and involve significant additional costs and expenses, which may not yield a discernible benefit if the planned separation is not completed.</w:t>
      </w:r>
    </w:p>
    <w:p w:rsidR="00000000" w:rsidRDefault="008214AA">
      <w:pPr>
        <w:ind w:hanging="360"/>
        <w:jc w:val="both"/>
        <w:rPr>
          <w:rFonts w:eastAsia="Times New Roman"/>
        </w:rPr>
      </w:pPr>
      <w:r>
        <w:rPr>
          <w:rFonts w:eastAsia="Times New Roman"/>
          <w:color w:val="000000"/>
          <w:sz w:val="20"/>
          <w:szCs w:val="20"/>
        </w:rPr>
        <w:t>•Executing the planned separation will require significant time and attention from our senior management and</w:t>
      </w:r>
      <w:r>
        <w:rPr>
          <w:rFonts w:eastAsia="Times New Roman"/>
          <w:color w:val="000000"/>
          <w:sz w:val="20"/>
          <w:szCs w:val="20"/>
        </w:rPr>
        <w:t xml:space="preserve"> employees, which may divert management’s attention from operating and growing our business and could adversely affect our business, financial results, and results of operations. Our employees may also be distracted due to uncertainty about their future ro</w:t>
      </w:r>
      <w:r>
        <w:rPr>
          <w:rFonts w:eastAsia="Times New Roman"/>
          <w:color w:val="000000"/>
          <w:sz w:val="20"/>
          <w:szCs w:val="20"/>
        </w:rPr>
        <w:t>les with the separate companies.</w:t>
      </w:r>
    </w:p>
    <w:p w:rsidR="00000000" w:rsidRDefault="008214AA">
      <w:pPr>
        <w:ind w:hanging="360"/>
        <w:jc w:val="both"/>
        <w:rPr>
          <w:rFonts w:eastAsia="Times New Roman"/>
        </w:rPr>
      </w:pPr>
      <w:r>
        <w:rPr>
          <w:rFonts w:eastAsia="Times New Roman"/>
          <w:color w:val="000000"/>
          <w:sz w:val="20"/>
          <w:szCs w:val="20"/>
        </w:rPr>
        <w:t xml:space="preserve">•We may also experience increased difficulties in attracting, retaining, and motivating employees during the pendency, and following completion, of the transactions, which could harm our businesses. </w:t>
      </w:r>
    </w:p>
    <w:p w:rsidR="00000000" w:rsidRDefault="008214AA">
      <w:pPr>
        <w:ind w:hanging="360"/>
        <w:jc w:val="both"/>
        <w:rPr>
          <w:rFonts w:eastAsia="Times New Roman"/>
        </w:rPr>
      </w:pPr>
      <w:r>
        <w:rPr>
          <w:rFonts w:eastAsia="Times New Roman"/>
          <w:color w:val="000000"/>
          <w:sz w:val="20"/>
          <w:szCs w:val="20"/>
        </w:rPr>
        <w:t>•If the planned separat</w:t>
      </w:r>
      <w:r>
        <w:rPr>
          <w:rFonts w:eastAsia="Times New Roman"/>
          <w:color w:val="000000"/>
          <w:sz w:val="20"/>
          <w:szCs w:val="20"/>
        </w:rPr>
        <w:t>ion is not completed, we will still be required to pay certain costs and expenses incurred in connection therewith, such as legal, accounting, and other professional fees.</w:t>
      </w:r>
    </w:p>
    <w:p w:rsidR="00000000" w:rsidRDefault="008214AA">
      <w:pPr>
        <w:ind w:hanging="360"/>
        <w:jc w:val="both"/>
        <w:rPr>
          <w:rFonts w:eastAsia="Times New Roman"/>
        </w:rPr>
      </w:pPr>
      <w:r>
        <w:rPr>
          <w:rFonts w:eastAsia="Times New Roman"/>
          <w:color w:val="000000"/>
          <w:sz w:val="20"/>
          <w:szCs w:val="20"/>
        </w:rPr>
        <w:t>•Some of our customers or suppliers may delay or defer decisions or may end their re</w:t>
      </w:r>
      <w:r>
        <w:rPr>
          <w:rFonts w:eastAsia="Times New Roman"/>
          <w:color w:val="000000"/>
          <w:sz w:val="20"/>
          <w:szCs w:val="20"/>
        </w:rPr>
        <w:t>lationships with us.</w:t>
      </w:r>
    </w:p>
    <w:p w:rsidR="00000000" w:rsidRDefault="008214AA">
      <w:pPr>
        <w:ind w:hanging="360"/>
        <w:jc w:val="both"/>
        <w:rPr>
          <w:rFonts w:eastAsia="Times New Roman"/>
        </w:rPr>
      </w:pPr>
      <w:r>
        <w:rPr>
          <w:rFonts w:eastAsia="Times New Roman"/>
          <w:color w:val="000000"/>
          <w:sz w:val="20"/>
          <w:szCs w:val="20"/>
        </w:rPr>
        <w:t>•We may experience negative reactions from the financial markets if we fail to complete the planned separation or fail to complete it on a timely basis.</w:t>
      </w:r>
    </w:p>
    <w:p w:rsidR="00000000" w:rsidRDefault="008214AA">
      <w:pPr>
        <w:ind w:hanging="360"/>
        <w:jc w:val="both"/>
        <w:rPr>
          <w:rFonts w:eastAsia="Times New Roman"/>
        </w:rPr>
      </w:pPr>
      <w:r>
        <w:rPr>
          <w:rFonts w:eastAsia="Times New Roman"/>
          <w:color w:val="000000"/>
          <w:sz w:val="20"/>
          <w:szCs w:val="20"/>
        </w:rPr>
        <w:t>•The announcement of the planned separation may cause some investors to sell our s</w:t>
      </w:r>
      <w:r>
        <w:rPr>
          <w:rFonts w:eastAsia="Times New Roman"/>
          <w:color w:val="000000"/>
          <w:sz w:val="20"/>
          <w:szCs w:val="20"/>
        </w:rPr>
        <w:t>hares, creating greater volatility in the trading price of our shares and potentially causing market prices to decline.</w:t>
      </w:r>
    </w:p>
    <w:p w:rsidR="00000000" w:rsidRDefault="008214AA">
      <w:pPr>
        <w:jc w:val="center"/>
        <w:divId w:val="1209998828"/>
        <w:rPr>
          <w:rFonts w:eastAsia="Times New Roman"/>
        </w:rPr>
      </w:pPr>
      <w:r>
        <w:rPr>
          <w:rFonts w:eastAsia="Times New Roman"/>
          <w:color w:val="000000"/>
          <w:sz w:val="20"/>
          <w:szCs w:val="20"/>
        </w:rPr>
        <w:t>59</w:t>
      </w:r>
    </w:p>
    <w:p w:rsidR="00000000" w:rsidRDefault="008214AA">
      <w:pPr>
        <w:rPr>
          <w:rFonts w:eastAsia="Times New Roman"/>
        </w:rPr>
      </w:pPr>
      <w:r>
        <w:rPr>
          <w:rFonts w:eastAsia="Times New Roman"/>
        </w:rPr>
        <w:pict>
          <v:rect id="_x0000_i1084" style="width:0;height:1.5pt" o:hralign="center" o:hrstd="t" o:hr="t" fillcolor="#a0a0a0" stroked="f"/>
        </w:pict>
      </w:r>
    </w:p>
    <w:p w:rsidR="00000000" w:rsidRDefault="008214AA">
      <w:pPr>
        <w:divId w:val="1018851949"/>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ind w:hanging="360"/>
        <w:jc w:val="both"/>
        <w:rPr>
          <w:rFonts w:eastAsia="Times New Roman"/>
        </w:rPr>
      </w:pPr>
      <w:r>
        <w:rPr>
          <w:rFonts w:eastAsia="Times New Roman"/>
          <w:color w:val="000000"/>
          <w:sz w:val="20"/>
          <w:szCs w:val="20"/>
        </w:rPr>
        <w:t>•We may experience t</w:t>
      </w:r>
      <w:r>
        <w:rPr>
          <w:rFonts w:eastAsia="Times New Roman"/>
          <w:color w:val="000000"/>
          <w:sz w:val="20"/>
          <w:szCs w:val="20"/>
        </w:rPr>
        <w:t>he inability to access or reduced access to the capital markets or increased cost of borrowing.</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Any of the above factors could cause the separation (or the failure to execute the separation) to have a material adverse effect on our business, financial co</w:t>
      </w:r>
      <w:r>
        <w:rPr>
          <w:rFonts w:eastAsia="Times New Roman"/>
          <w:color w:val="000000"/>
          <w:sz w:val="20"/>
          <w:szCs w:val="20"/>
        </w:rPr>
        <w:t>ndition, results of operations, and the trading price of our common stock.</w:t>
      </w:r>
    </w:p>
    <w:p w:rsidR="00000000" w:rsidRDefault="008214AA">
      <w:pPr>
        <w:jc w:val="both"/>
        <w:rPr>
          <w:rFonts w:eastAsia="Times New Roman"/>
        </w:rPr>
      </w:pPr>
    </w:p>
    <w:p w:rsidR="00000000" w:rsidRDefault="008214AA">
      <w:pPr>
        <w:jc w:val="both"/>
        <w:rPr>
          <w:rFonts w:eastAsia="Times New Roman"/>
        </w:rPr>
      </w:pPr>
      <w:r>
        <w:rPr>
          <w:rFonts w:eastAsia="Times New Roman"/>
          <w:b/>
          <w:bCs/>
          <w:i/>
          <w:iCs/>
          <w:color w:val="000000"/>
          <w:sz w:val="20"/>
          <w:szCs w:val="20"/>
        </w:rPr>
        <w:t>The planned separation may not achieve the anticipated benefits and will expose us to new risks as the digital commerce company and the ATM company will have different financial p</w:t>
      </w:r>
      <w:r>
        <w:rPr>
          <w:rFonts w:eastAsia="Times New Roman"/>
          <w:b/>
          <w:bCs/>
          <w:i/>
          <w:iCs/>
          <w:color w:val="000000"/>
          <w:sz w:val="20"/>
          <w:szCs w:val="20"/>
        </w:rPr>
        <w:t>rofiles and each will be a smaller, less diversified company than NCR as it exists today.</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We may not realize the anticipated strategic, financial, operational, or other benefits from the planned separation. We cannot predict with certainty when the benef</w:t>
      </w:r>
      <w:r>
        <w:rPr>
          <w:rFonts w:eastAsia="Times New Roman"/>
          <w:color w:val="000000"/>
          <w:sz w:val="20"/>
          <w:szCs w:val="20"/>
        </w:rPr>
        <w:t>its expected from the planned separation will occur or the extent to which they will be achieved, or that the costs or dis-synergies of the transaction will not exceed the anticipated amounts. The planned separation will result in the digital commerce comp</w:t>
      </w:r>
      <w:r>
        <w:rPr>
          <w:rFonts w:eastAsia="Times New Roman"/>
          <w:color w:val="000000"/>
          <w:sz w:val="20"/>
          <w:szCs w:val="20"/>
        </w:rPr>
        <w:t>any and the ATM company being smaller, less diversified companies with more limited businesses concentrated in their respective industries than NCR as a whole. As a result, each company may be more vulnerable to changing market conditions, which could have</w:t>
      </w:r>
      <w:r>
        <w:rPr>
          <w:rFonts w:eastAsia="Times New Roman"/>
          <w:color w:val="000000"/>
          <w:sz w:val="20"/>
          <w:szCs w:val="20"/>
        </w:rPr>
        <w:t xml:space="preserve"> a material adverse effect on its business, financial condition and results of operations. In addition, the diversification of revenues, costs, and cash flows will diminish, such that each company’s results of operations, cash flows, working capital, effec</w:t>
      </w:r>
      <w:r>
        <w:rPr>
          <w:rFonts w:eastAsia="Times New Roman"/>
          <w:color w:val="000000"/>
          <w:sz w:val="20"/>
          <w:szCs w:val="20"/>
        </w:rPr>
        <w:t>tive tax rate, and financing requirements may be subject to increased volatility and its ability to fund capital expenditures and investments, pay dividends and service debt may be diminished. The announcement and/or completion of the planned separation ma</w:t>
      </w:r>
      <w:r>
        <w:rPr>
          <w:rFonts w:eastAsia="Times New Roman"/>
          <w:color w:val="000000"/>
          <w:sz w:val="20"/>
          <w:szCs w:val="20"/>
        </w:rPr>
        <w:t>y cause uncertainty for or disruptions with our customers, partners, suppliers, and employees, which may negatively impact these relationships or our operations. In addition, we will incur one-time costs and ongoing costs in connection with, or as a result</w:t>
      </w:r>
      <w:r>
        <w:rPr>
          <w:rFonts w:eastAsia="Times New Roman"/>
          <w:color w:val="000000"/>
          <w:sz w:val="20"/>
          <w:szCs w:val="20"/>
        </w:rPr>
        <w:t xml:space="preserve"> of, the planned separation, including costs of operating as independent, publicly-traded companies that the two companies will no longer be able to share. Those costs may exceed our estimates or could negate some of the benefits we expect to realize. If w</w:t>
      </w:r>
      <w:r>
        <w:rPr>
          <w:rFonts w:eastAsia="Times New Roman"/>
          <w:color w:val="000000"/>
          <w:sz w:val="20"/>
          <w:szCs w:val="20"/>
        </w:rPr>
        <w:t>e do not realize the intended benefits or if our costs exceed our estimates, we or the business that is spun off could suffer a material adverse effect on the business, financial condition, results of operations, and trading price of us or the separated bu</w:t>
      </w:r>
      <w:r>
        <w:rPr>
          <w:rFonts w:eastAsia="Times New Roman"/>
          <w:color w:val="000000"/>
          <w:sz w:val="20"/>
          <w:szCs w:val="20"/>
        </w:rPr>
        <w:t>siness.</w:t>
      </w:r>
    </w:p>
    <w:p w:rsidR="00000000" w:rsidRDefault="008214AA">
      <w:pPr>
        <w:jc w:val="both"/>
        <w:rPr>
          <w:rFonts w:eastAsia="Times New Roman"/>
        </w:rPr>
      </w:pPr>
    </w:p>
    <w:p w:rsidR="00000000" w:rsidRDefault="008214AA">
      <w:pPr>
        <w:jc w:val="both"/>
        <w:rPr>
          <w:rFonts w:eastAsia="Times New Roman"/>
        </w:rPr>
      </w:pPr>
      <w:r>
        <w:rPr>
          <w:rFonts w:eastAsia="Times New Roman"/>
          <w:b/>
          <w:bCs/>
          <w:i/>
          <w:iCs/>
          <w:color w:val="000000"/>
          <w:sz w:val="20"/>
          <w:szCs w:val="20"/>
        </w:rPr>
        <w:t xml:space="preserve">If the planned separation is completed, the trading price of our common stock may decline and may experience greater volatility.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Upon completion of the planned separation, because the trading price for our shares will no longer reflect the value of the </w:t>
      </w:r>
      <w:r>
        <w:rPr>
          <w:rFonts w:eastAsia="Times New Roman"/>
          <w:color w:val="000000"/>
          <w:sz w:val="20"/>
          <w:szCs w:val="20"/>
        </w:rPr>
        <w:t>separated business, such trading price may be lower than immediately prior to the separation. In addition, until the market has fully analyzed our value without the separated business, the price of our shares may experience greater volatility. If the plann</w:t>
      </w:r>
      <w:r>
        <w:rPr>
          <w:rFonts w:eastAsia="Times New Roman"/>
          <w:color w:val="000000"/>
          <w:sz w:val="20"/>
          <w:szCs w:val="20"/>
        </w:rPr>
        <w:t>ed separation is completed, our shares may not match some holders’ investment strategies or meet minimum criteria for inclusion in stock market indices or portfolios, which could cause certain investors to sell their shares, which could lead to declines in</w:t>
      </w:r>
      <w:r>
        <w:rPr>
          <w:rFonts w:eastAsia="Times New Roman"/>
          <w:color w:val="000000"/>
          <w:sz w:val="20"/>
          <w:szCs w:val="20"/>
        </w:rPr>
        <w:t xml:space="preserve"> the trading price of our common stock. Further, there can be no assurance that the combined value of the shares of the digital commerce company and the ATM company following the separation will be equal to or greater than what the value of our common stoc</w:t>
      </w:r>
      <w:r>
        <w:rPr>
          <w:rFonts w:eastAsia="Times New Roman"/>
          <w:color w:val="000000"/>
          <w:sz w:val="20"/>
          <w:szCs w:val="20"/>
        </w:rPr>
        <w:t>k would have been had the planned separation not occurred.</w:t>
      </w:r>
    </w:p>
    <w:p w:rsidR="00000000" w:rsidRDefault="008214AA">
      <w:pPr>
        <w:jc w:val="both"/>
        <w:rPr>
          <w:rFonts w:eastAsia="Times New Roman"/>
        </w:rPr>
      </w:pPr>
    </w:p>
    <w:p w:rsidR="00000000" w:rsidRDefault="008214AA">
      <w:pPr>
        <w:ind w:hanging="1170"/>
        <w:jc w:val="both"/>
        <w:rPr>
          <w:rFonts w:eastAsia="Times New Roman"/>
        </w:rPr>
      </w:pPr>
    </w:p>
    <w:p w:rsidR="00000000" w:rsidRDefault="008214AA">
      <w:pPr>
        <w:ind w:hanging="1170"/>
        <w:jc w:val="both"/>
        <w:rPr>
          <w:rFonts w:eastAsia="Times New Roman"/>
        </w:rPr>
      </w:pPr>
      <w:r>
        <w:rPr>
          <w:rFonts w:eastAsia="Times New Roman"/>
          <w:b/>
          <w:bCs/>
          <w:color w:val="000000"/>
          <w:sz w:val="20"/>
          <w:szCs w:val="20"/>
        </w:rPr>
        <w:t>Item 2.    UNREGISTERED SALES OF EQUITY SECURITIES AND USE OF PROCEEDS</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On October 19, 2016, the Board approved a share repurchase program, with no expiration from the date of authorization, f</w:t>
      </w:r>
      <w:r>
        <w:rPr>
          <w:rFonts w:eastAsia="Times New Roman"/>
          <w:color w:val="000000"/>
          <w:sz w:val="20"/>
          <w:szCs w:val="20"/>
        </w:rPr>
        <w:t>or the systematic repurchase of the Company’s common stock to offset the dilutive effects of the Company’s employee stock purchase plan, equity awards and in-kind dividends on the Company’s Series A Convertible Preferred Stock. Availability under this prog</w:t>
      </w:r>
      <w:r>
        <w:rPr>
          <w:rFonts w:eastAsia="Times New Roman"/>
          <w:color w:val="000000"/>
          <w:sz w:val="20"/>
          <w:szCs w:val="20"/>
        </w:rPr>
        <w:t>ram accrues quarterly based on the average value of dilutive issuances during the quarter.</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 xml:space="preserve">On March 12, 2017, the Board approved a second share repurchase program, with no expiration from the date of authorization, that provides for the repurchase of up </w:t>
      </w:r>
      <w:r>
        <w:rPr>
          <w:rFonts w:eastAsia="Times New Roman"/>
          <w:color w:val="000000"/>
          <w:sz w:val="20"/>
          <w:szCs w:val="20"/>
        </w:rPr>
        <w:t xml:space="preserve">to $300 million of the Company’s common stock. On July 25, 2018, the Board authorized an incremental $200 million of share repurchases under this program. </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As of September 30, 2022, $153 million was available for repurchases under the March 2017 program, and approximately $790 million was available for repurchases under the October 2016 dilution offset program. The timing and amount of repurchases under these</w:t>
      </w:r>
      <w:r>
        <w:rPr>
          <w:rFonts w:eastAsia="Times New Roman"/>
          <w:color w:val="000000"/>
          <w:sz w:val="20"/>
          <w:szCs w:val="20"/>
        </w:rPr>
        <w:t xml:space="preserve"> programs depend upon market conditions and may be made from time to time in open market purchases, privately negotiated transactions, accelerated stock repurchase programs, issuer self-tender offers or otherwise. The repurchases will be made in compliance</w:t>
      </w:r>
      <w:r>
        <w:rPr>
          <w:rFonts w:eastAsia="Times New Roman"/>
          <w:color w:val="000000"/>
          <w:sz w:val="20"/>
          <w:szCs w:val="20"/>
        </w:rPr>
        <w:t xml:space="preserve"> with applicable securities laws and may be discontinued at any time.</w:t>
      </w:r>
    </w:p>
    <w:p w:rsidR="00000000" w:rsidRDefault="008214AA">
      <w:pPr>
        <w:jc w:val="both"/>
        <w:rPr>
          <w:rFonts w:eastAsia="Times New Roman"/>
        </w:rPr>
      </w:pPr>
    </w:p>
    <w:p w:rsidR="00000000" w:rsidRDefault="008214AA">
      <w:pPr>
        <w:jc w:val="both"/>
        <w:rPr>
          <w:rFonts w:eastAsia="Times New Roman"/>
        </w:rPr>
      </w:pPr>
      <w:r>
        <w:rPr>
          <w:rFonts w:eastAsia="Times New Roman"/>
          <w:color w:val="000000"/>
          <w:sz w:val="20"/>
          <w:szCs w:val="20"/>
        </w:rPr>
        <w:t>The Company occasionally purchases vested restricted stock or exercised stock options at the current market price to cover withholding taxes</w:t>
      </w:r>
      <w:r>
        <w:rPr>
          <w:rFonts w:eastAsia="Times New Roman"/>
          <w:color w:val="000000"/>
          <w:sz w:val="20"/>
          <w:szCs w:val="20"/>
          <w:shd w:val="clear" w:color="auto" w:fill="FFFFFF"/>
        </w:rPr>
        <w:t>. For the three months ended September 30, 2</w:t>
      </w:r>
      <w:r>
        <w:rPr>
          <w:rFonts w:eastAsia="Times New Roman"/>
          <w:color w:val="000000"/>
          <w:sz w:val="20"/>
          <w:szCs w:val="20"/>
          <w:shd w:val="clear" w:color="auto" w:fill="FFFFFF"/>
        </w:rPr>
        <w:t xml:space="preserve">022, less than </w:t>
      </w:r>
      <w:r>
        <w:rPr>
          <w:rFonts w:eastAsia="Times New Roman"/>
          <w:color w:val="000000"/>
          <w:sz w:val="20"/>
          <w:szCs w:val="20"/>
        </w:rPr>
        <w:t>0.1 million</w:t>
      </w:r>
      <w:r>
        <w:rPr>
          <w:rFonts w:eastAsia="Times New Roman"/>
          <w:color w:val="000000"/>
          <w:sz w:val="20"/>
          <w:szCs w:val="20"/>
          <w:shd w:val="clear" w:color="auto" w:fill="FFFFFF"/>
        </w:rPr>
        <w:t xml:space="preserve"> shares were purchased at an average price of </w:t>
      </w:r>
      <w:r>
        <w:rPr>
          <w:rFonts w:eastAsia="Times New Roman"/>
          <w:color w:val="000000"/>
          <w:sz w:val="20"/>
          <w:szCs w:val="20"/>
        </w:rPr>
        <w:t>$31.65</w:t>
      </w:r>
      <w:r>
        <w:rPr>
          <w:rFonts w:eastAsia="Times New Roman"/>
          <w:color w:val="000000"/>
          <w:sz w:val="20"/>
          <w:szCs w:val="20"/>
          <w:shd w:val="clear" w:color="auto" w:fill="FFFFFF"/>
        </w:rPr>
        <w:t xml:space="preserve"> per share.</w:t>
      </w:r>
    </w:p>
    <w:p w:rsidR="00000000" w:rsidRDefault="008214AA">
      <w:pPr>
        <w:jc w:val="both"/>
        <w:rPr>
          <w:rFonts w:eastAsia="Times New Roman"/>
        </w:rPr>
      </w:pPr>
    </w:p>
    <w:p w:rsidR="00000000" w:rsidRDefault="008214AA">
      <w:pPr>
        <w:jc w:val="center"/>
        <w:divId w:val="616180586"/>
        <w:rPr>
          <w:rFonts w:eastAsia="Times New Roman"/>
        </w:rPr>
      </w:pPr>
      <w:r>
        <w:rPr>
          <w:rFonts w:eastAsia="Times New Roman"/>
          <w:color w:val="000000"/>
          <w:sz w:val="20"/>
          <w:szCs w:val="20"/>
        </w:rPr>
        <w:t>60</w:t>
      </w:r>
    </w:p>
    <w:p w:rsidR="00000000" w:rsidRDefault="008214AA">
      <w:pPr>
        <w:rPr>
          <w:rFonts w:eastAsia="Times New Roman"/>
        </w:rPr>
      </w:pPr>
      <w:r>
        <w:rPr>
          <w:rFonts w:eastAsia="Times New Roman"/>
        </w:rPr>
        <w:pict>
          <v:rect id="_x0000_i1085" style="width:0;height:1.5pt" o:hralign="center" o:hrstd="t" o:hr="t" fillcolor="#a0a0a0" stroked="f"/>
        </w:pict>
      </w:r>
    </w:p>
    <w:p w:rsidR="00000000" w:rsidRDefault="008214AA">
      <w:pPr>
        <w:divId w:val="765031538"/>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both"/>
        <w:rPr>
          <w:rFonts w:eastAsia="Times New Roman"/>
        </w:rPr>
      </w:pPr>
      <w:r>
        <w:rPr>
          <w:rFonts w:eastAsia="Times New Roman"/>
          <w:color w:val="000000"/>
          <w:sz w:val="20"/>
          <w:szCs w:val="20"/>
        </w:rPr>
        <w:t>The Company’s ability to repurchase its common s</w:t>
      </w:r>
      <w:r>
        <w:rPr>
          <w:rFonts w:eastAsia="Times New Roman"/>
          <w:color w:val="000000"/>
          <w:sz w:val="20"/>
          <w:szCs w:val="20"/>
        </w:rPr>
        <w:t>tock is restricted under the Company’s Senior Secured Credit Facility and terms of the indentures for the Company’s senior unsecured notes, which prohibit certain share repurchases, including during the occurrence of an event of default, and establish limi</w:t>
      </w:r>
      <w:r>
        <w:rPr>
          <w:rFonts w:eastAsia="Times New Roman"/>
          <w:color w:val="000000"/>
          <w:sz w:val="20"/>
          <w:szCs w:val="20"/>
        </w:rPr>
        <w:t>ts on the amount that the Company is permitted to allocate to share repurchases and other restricted payments. The limitations are calculated using formulas based generally on 50% of the Company’s consolidated net income for the period beginning in the thi</w:t>
      </w:r>
      <w:r>
        <w:rPr>
          <w:rFonts w:eastAsia="Times New Roman"/>
          <w:color w:val="000000"/>
          <w:sz w:val="20"/>
          <w:szCs w:val="20"/>
        </w:rPr>
        <w:t>rd quarter of 2012 through the end of the most recently ended fiscal quarter, subject to certain other adjustments and deductions, with certain prescribed minimums. These formulas are described in greater detail in the Company’s Senior Secured Credit Facil</w:t>
      </w:r>
      <w:r>
        <w:rPr>
          <w:rFonts w:eastAsia="Times New Roman"/>
          <w:color w:val="000000"/>
          <w:sz w:val="20"/>
          <w:szCs w:val="20"/>
        </w:rPr>
        <w:t>ity and the indentures for the Company’s senior unsecured notes, each of which is filed with the SEC.</w:t>
      </w:r>
    </w:p>
    <w:p w:rsidR="00000000" w:rsidRDefault="008214AA">
      <w:pPr>
        <w:jc w:val="center"/>
        <w:divId w:val="10954081"/>
        <w:rPr>
          <w:rFonts w:eastAsia="Times New Roman"/>
        </w:rPr>
      </w:pPr>
      <w:r>
        <w:rPr>
          <w:rFonts w:eastAsia="Times New Roman"/>
          <w:color w:val="000000"/>
          <w:sz w:val="20"/>
          <w:szCs w:val="20"/>
        </w:rPr>
        <w:t>61</w:t>
      </w:r>
    </w:p>
    <w:p w:rsidR="00000000" w:rsidRDefault="008214AA">
      <w:pPr>
        <w:rPr>
          <w:rFonts w:eastAsia="Times New Roman"/>
        </w:rPr>
      </w:pPr>
      <w:r>
        <w:rPr>
          <w:rFonts w:eastAsia="Times New Roman"/>
        </w:rPr>
        <w:pict>
          <v:rect id="_x0000_i1086" style="width:0;height:1.5pt" o:hralign="center" o:hrstd="t" o:hr="t" fillcolor="#a0a0a0" stroked="f"/>
        </w:pict>
      </w:r>
    </w:p>
    <w:p w:rsidR="00000000" w:rsidRDefault="008214AA">
      <w:pPr>
        <w:divId w:val="158690362"/>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ind w:hanging="450"/>
        <w:divId w:val="1140076193"/>
        <w:rPr>
          <w:rFonts w:eastAsia="Times New Roman"/>
        </w:rPr>
      </w:pPr>
      <w:r>
        <w:rPr>
          <w:rFonts w:eastAsia="Times New Roman"/>
          <w:b/>
          <w:bCs/>
          <w:color w:val="000000"/>
          <w:sz w:val="20"/>
          <w:szCs w:val="20"/>
        </w:rPr>
        <w:t>    Item 6.     EXHIBITS</w:t>
      </w:r>
    </w:p>
    <w:tbl>
      <w:tblPr>
        <w:tblW w:w="4919" w:type="pct"/>
        <w:tblCellMar>
          <w:top w:w="15" w:type="dxa"/>
          <w:left w:w="15" w:type="dxa"/>
          <w:bottom w:w="15" w:type="dxa"/>
          <w:right w:w="15" w:type="dxa"/>
        </w:tblCellMar>
        <w:tblLook w:val="04A0" w:firstRow="1" w:lastRow="0" w:firstColumn="1" w:lastColumn="0" w:noHBand="0" w:noVBand="1"/>
      </w:tblPr>
      <w:tblGrid>
        <w:gridCol w:w="67"/>
        <w:gridCol w:w="769"/>
        <w:gridCol w:w="36"/>
        <w:gridCol w:w="68"/>
        <w:gridCol w:w="7194"/>
        <w:gridCol w:w="37"/>
      </w:tblGrid>
      <w:tr w:rsidR="00000000">
        <w:trPr>
          <w:divId w:val="1943605651"/>
        </w:trPr>
        <w:tc>
          <w:tcPr>
            <w:tcW w:w="50" w:type="pct"/>
            <w:vAlign w:val="center"/>
            <w:hideMark/>
          </w:tcPr>
          <w:p w:rsidR="00000000" w:rsidRDefault="008214AA">
            <w:pPr>
              <w:ind w:hanging="450"/>
              <w:rPr>
                <w:rFonts w:eastAsia="Times New Roman"/>
              </w:rPr>
            </w:pPr>
          </w:p>
        </w:tc>
        <w:tc>
          <w:tcPr>
            <w:tcW w:w="47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4410"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1943605651"/>
        </w:trPr>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hyperlink r:id="rId5" w:history="1">
              <w:r>
                <w:rPr>
                  <w:rStyle w:val="a3"/>
                  <w:rFonts w:eastAsia="Times New Roman"/>
                  <w:sz w:val="20"/>
                  <w:szCs w:val="20"/>
                </w:rPr>
                <w:t>10.1</w:t>
              </w:r>
            </w:hyperlink>
          </w:p>
        </w:tc>
        <w:tc>
          <w:tcPr>
            <w:tcW w:w="0" w:type="auto"/>
            <w:gridSpan w:val="3"/>
            <w:tcMar>
              <w:top w:w="30" w:type="dxa"/>
              <w:left w:w="20" w:type="dxa"/>
              <w:bottom w:w="30" w:type="dxa"/>
              <w:right w:w="20" w:type="dxa"/>
            </w:tcMar>
            <w:hideMark/>
          </w:tcPr>
          <w:p w:rsidR="00000000" w:rsidRDefault="008214AA">
            <w:pPr>
              <w:spacing w:after="100"/>
              <w:divId w:val="2113477085"/>
              <w:rPr>
                <w:rFonts w:eastAsia="Times New Roman"/>
              </w:rPr>
            </w:pPr>
            <w:r>
              <w:rPr>
                <w:rFonts w:eastAsia="Times New Roman"/>
                <w:color w:val="000000"/>
                <w:sz w:val="20"/>
                <w:szCs w:val="20"/>
              </w:rPr>
              <w:t>First Amendment to the Receivables Purchase Agreement, dated as of August 22, 2022, by and among NCR Receivables LLC, NCR Canada Receivables, LP, NCR Corporation, NCR Canada Corp., MUFG Bank, Ltd., Vict</w:t>
            </w:r>
            <w:r>
              <w:rPr>
                <w:rFonts w:eastAsia="Times New Roman"/>
                <w:color w:val="000000"/>
                <w:sz w:val="20"/>
                <w:szCs w:val="20"/>
              </w:rPr>
              <w:t>ory Receivables Corporation, PNC Bank, National Association, and PNC Capital Markets LLC.</w:t>
            </w:r>
          </w:p>
        </w:tc>
      </w:tr>
      <w:tr w:rsidR="00000000">
        <w:trPr>
          <w:divId w:val="1943605651"/>
          <w:trHeight w:val="10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43605651"/>
        </w:trPr>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hyperlink r:id="rId6" w:history="1">
              <w:r>
                <w:rPr>
                  <w:rStyle w:val="a3"/>
                  <w:rFonts w:eastAsia="Times New Roman"/>
                  <w:sz w:val="20"/>
                  <w:szCs w:val="20"/>
                </w:rPr>
                <w:t>10.2</w:t>
              </w:r>
            </w:hyperlink>
          </w:p>
        </w:tc>
        <w:tc>
          <w:tcPr>
            <w:tcW w:w="0" w:type="auto"/>
            <w:gridSpan w:val="3"/>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Second Amendment to the Receivables Purchase Agreement, dated as of September 20, 2022, by and among NCR Receivables LLC, NCR Canada Receivables, LP, NCR Corporation, NCR Canada Corp., MUFG Bank, Ltd., Victory Receivables Corporation, PNC Bank, National As</w:t>
            </w:r>
            <w:r>
              <w:rPr>
                <w:rFonts w:eastAsia="Times New Roman"/>
                <w:color w:val="000000"/>
                <w:sz w:val="20"/>
                <w:szCs w:val="20"/>
              </w:rPr>
              <w:t>sociation, and PNC Capital Markets LLC.</w:t>
            </w:r>
          </w:p>
        </w:tc>
      </w:tr>
      <w:tr w:rsidR="00000000">
        <w:trPr>
          <w:divId w:val="1943605651"/>
          <w:trHeight w:val="10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43605651"/>
        </w:trPr>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hyperlink r:id="rId7"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divId w:val="1943605651"/>
          <w:trHeight w:val="100"/>
        </w:trPr>
        <w:tc>
          <w:tcPr>
            <w:tcW w:w="0" w:type="auto"/>
            <w:gridSpan w:val="3"/>
            <w:tcMar>
              <w:top w:w="0" w:type="dxa"/>
              <w:left w:w="20" w:type="dxa"/>
              <w:bottom w:w="0" w:type="dxa"/>
              <w:right w:w="20" w:type="dxa"/>
            </w:tcMar>
            <w:vAlign w:val="center"/>
            <w:hideMark/>
          </w:tcPr>
          <w:p w:rsidR="00000000" w:rsidRDefault="008214AA">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43605651"/>
        </w:trPr>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hyperlink r:id="rId8"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divId w:val="1943605651"/>
          <w:trHeight w:val="120"/>
        </w:trPr>
        <w:tc>
          <w:tcPr>
            <w:tcW w:w="0" w:type="auto"/>
            <w:gridSpan w:val="3"/>
            <w:tcMar>
              <w:top w:w="0" w:type="dxa"/>
              <w:left w:w="20" w:type="dxa"/>
              <w:bottom w:w="0" w:type="dxa"/>
              <w:right w:w="20" w:type="dxa"/>
            </w:tcMar>
            <w:vAlign w:val="center"/>
            <w:hideMark/>
          </w:tcPr>
          <w:p w:rsidR="00000000" w:rsidRDefault="008214AA">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43605651"/>
        </w:trPr>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hyperlink r:id="rId9" w:history="1">
              <w:r>
                <w:rPr>
                  <w:rStyle w:val="a3"/>
                  <w:rFonts w:eastAsia="Times New Roman"/>
                  <w:sz w:val="20"/>
                  <w:szCs w:val="20"/>
                </w:rPr>
                <w:t>32</w:t>
              </w:r>
            </w:hyperlink>
          </w:p>
        </w:tc>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r>
              <w:rPr>
                <w:rFonts w:eastAsia="Times New Roman"/>
                <w:color w:val="000000"/>
                <w:sz w:val="20"/>
                <w:szCs w:val="20"/>
              </w:rPr>
              <w:t>Certification pursuant to 18 U.S.C. Sect</w:t>
            </w:r>
            <w:r>
              <w:rPr>
                <w:rFonts w:eastAsia="Times New Roman"/>
                <w:color w:val="000000"/>
                <w:sz w:val="20"/>
                <w:szCs w:val="20"/>
              </w:rPr>
              <w:t>ion 1350 as adopted pursuant to Section 906 of the Sarbanes-Oxley Act of 2002.</w:t>
            </w:r>
          </w:p>
        </w:tc>
      </w:tr>
      <w:tr w:rsidR="00000000">
        <w:trPr>
          <w:divId w:val="1943605651"/>
          <w:trHeight w:val="120"/>
        </w:trPr>
        <w:tc>
          <w:tcPr>
            <w:tcW w:w="0" w:type="auto"/>
            <w:gridSpan w:val="3"/>
            <w:tcMar>
              <w:top w:w="0" w:type="dxa"/>
              <w:left w:w="20" w:type="dxa"/>
              <w:bottom w:w="0" w:type="dxa"/>
              <w:right w:w="20" w:type="dxa"/>
            </w:tcMar>
            <w:vAlign w:val="center"/>
            <w:hideMark/>
          </w:tcPr>
          <w:p w:rsidR="00000000" w:rsidRDefault="008214AA">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43605651"/>
        </w:trPr>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8214AA">
            <w:pPr>
              <w:spacing w:after="100"/>
              <w:jc w:val="both"/>
              <w:rPr>
                <w:rFonts w:eastAsia="Times New Roman"/>
              </w:rPr>
            </w:pPr>
            <w:r>
              <w:rPr>
                <w:rFonts w:eastAsia="Times New Roman"/>
                <w:color w:val="000000"/>
                <w:sz w:val="20"/>
                <w:szCs w:val="20"/>
              </w:rPr>
              <w:t>The following materials from NCR Corporation’</w:t>
            </w:r>
            <w:r>
              <w:rPr>
                <w:rFonts w:eastAsia="Times New Roman"/>
                <w:color w:val="000000"/>
                <w:sz w:val="20"/>
                <w:szCs w:val="20"/>
              </w:rPr>
              <w:t>s Quarterly Report on Form 10-Q for the quarter ended September 30, 2022, formatted in iXBRL (Inline Extensible Business Reporting Language): (i) our condensed consolidated statements of operations for the three and nine months ended September 30, 2022 and</w:t>
            </w:r>
            <w:r>
              <w:rPr>
                <w:rFonts w:eastAsia="Times New Roman"/>
                <w:color w:val="000000"/>
                <w:sz w:val="20"/>
                <w:szCs w:val="20"/>
              </w:rPr>
              <w:t xml:space="preserve"> 2021; (ii) our condensed consolidated statements of comprehensive income for the three and nine months ended September 30, 2022 and 2021; (iii) our condensed consolidated balance sheets as of September 30, 2022 and December 31, 2021; (iv) our condensed co</w:t>
            </w:r>
            <w:r>
              <w:rPr>
                <w:rFonts w:eastAsia="Times New Roman"/>
                <w:color w:val="000000"/>
                <w:sz w:val="20"/>
                <w:szCs w:val="20"/>
              </w:rPr>
              <w:t>nsolidated statements of cash flows for the nine months ended September 30, 2022 and 2021; (v) our condensed consolidated statements of changes in stockholder's equity for the three and nine months ended September 30, 2022 and 2021; and (vi) the notes to o</w:t>
            </w:r>
            <w:r>
              <w:rPr>
                <w:rFonts w:eastAsia="Times New Roman"/>
                <w:color w:val="000000"/>
                <w:sz w:val="20"/>
                <w:szCs w:val="20"/>
              </w:rPr>
              <w:t>ur condensed consolidated financial statements.</w:t>
            </w:r>
          </w:p>
        </w:tc>
      </w:tr>
      <w:tr w:rsidR="00000000">
        <w:trPr>
          <w:divId w:val="1943605651"/>
          <w:trHeight w:val="120"/>
        </w:trPr>
        <w:tc>
          <w:tcPr>
            <w:tcW w:w="0" w:type="auto"/>
            <w:gridSpan w:val="3"/>
            <w:tcMar>
              <w:top w:w="0" w:type="dxa"/>
              <w:left w:w="20" w:type="dxa"/>
              <w:bottom w:w="0" w:type="dxa"/>
              <w:right w:w="20" w:type="dxa"/>
            </w:tcMar>
            <w:vAlign w:val="center"/>
            <w:hideMark/>
          </w:tcPr>
          <w:p w:rsidR="00000000" w:rsidRDefault="008214AA">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1943605651"/>
        </w:trPr>
        <w:tc>
          <w:tcPr>
            <w:tcW w:w="0" w:type="auto"/>
            <w:gridSpan w:val="3"/>
            <w:tcMar>
              <w:top w:w="30" w:type="dxa"/>
              <w:left w:w="20" w:type="dxa"/>
              <w:bottom w:w="30" w:type="dxa"/>
              <w:right w:w="20" w:type="dxa"/>
            </w:tcMar>
            <w:hideMark/>
          </w:tcPr>
          <w:p w:rsidR="00000000" w:rsidRDefault="008214AA">
            <w:pPr>
              <w:spacing w:after="100"/>
              <w:jc w:val="both"/>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8214AA">
            <w:pPr>
              <w:spacing w:after="100"/>
              <w:jc w:val="both"/>
              <w:rPr>
                <w:rFonts w:eastAsia="Times New Roman"/>
              </w:rPr>
            </w:pPr>
            <w:r>
              <w:rPr>
                <w:rFonts w:eastAsia="Times New Roman"/>
                <w:color w:val="000000"/>
                <w:sz w:val="20"/>
                <w:szCs w:val="20"/>
              </w:rPr>
              <w:t>Cover Page Interactive Data File, formatted in Inline XBRL and contained in Exhibit 101.</w:t>
            </w:r>
          </w:p>
        </w:tc>
      </w:tr>
    </w:tbl>
    <w:p w:rsidR="00000000" w:rsidRDefault="008214AA">
      <w:pPr>
        <w:divId w:val="1043165722"/>
        <w:rPr>
          <w:rFonts w:eastAsia="Times New Roman"/>
        </w:rPr>
      </w:pPr>
      <w:r>
        <w:rPr>
          <w:rFonts w:eastAsia="Times New Roman"/>
          <w:color w:val="000000"/>
          <w:sz w:val="20"/>
          <w:szCs w:val="20"/>
        </w:rPr>
        <w:t>* Management contracts or compensatory plans/arrangements.</w:t>
      </w:r>
    </w:p>
    <w:p w:rsidR="00000000" w:rsidRDefault="008214AA">
      <w:pPr>
        <w:divId w:val="185336208"/>
        <w:rPr>
          <w:rFonts w:eastAsia="Times New Roman"/>
        </w:rPr>
      </w:pPr>
    </w:p>
    <w:p w:rsidR="00000000" w:rsidRDefault="008214AA">
      <w:pPr>
        <w:jc w:val="center"/>
        <w:divId w:val="1983269095"/>
        <w:rPr>
          <w:rFonts w:eastAsia="Times New Roman"/>
        </w:rPr>
      </w:pPr>
      <w:r>
        <w:rPr>
          <w:rFonts w:eastAsia="Times New Roman"/>
          <w:color w:val="000000"/>
          <w:sz w:val="20"/>
          <w:szCs w:val="20"/>
        </w:rPr>
        <w:t>62</w:t>
      </w:r>
    </w:p>
    <w:p w:rsidR="00000000" w:rsidRDefault="008214AA">
      <w:pPr>
        <w:rPr>
          <w:rFonts w:eastAsia="Times New Roman"/>
        </w:rPr>
      </w:pPr>
      <w:r>
        <w:rPr>
          <w:rFonts w:eastAsia="Times New Roman"/>
        </w:rPr>
        <w:pict>
          <v:rect id="_x0000_i1087" style="width:0;height:1.5pt" o:hralign="center" o:hrstd="t" o:hr="t" fillcolor="#a0a0a0" stroked="f"/>
        </w:pict>
      </w:r>
    </w:p>
    <w:p w:rsidR="00000000" w:rsidRDefault="008214AA">
      <w:pPr>
        <w:divId w:val="2101903108"/>
        <w:rPr>
          <w:rFonts w:eastAsia="Times New Roman"/>
        </w:rPr>
      </w:pPr>
      <w:hyperlink w:anchor="if25b96f30cf14ee1a436e117fec2c043_7" w:history="1">
        <w:r>
          <w:rPr>
            <w:rStyle w:val="a3"/>
            <w:rFonts w:eastAsia="Times New Roman"/>
            <w:sz w:val="16"/>
            <w:szCs w:val="16"/>
          </w:rPr>
          <w:t>Table of Contents</w:t>
        </w:r>
      </w:hyperlink>
    </w:p>
    <w:p w:rsidR="00000000" w:rsidRDefault="008214AA">
      <w:pPr>
        <w:jc w:val="center"/>
        <w:rPr>
          <w:rFonts w:eastAsia="Times New Roman"/>
        </w:rPr>
      </w:pPr>
      <w:r>
        <w:rPr>
          <w:rFonts w:eastAsia="Times New Roman"/>
          <w:b/>
          <w:bCs/>
          <w:color w:val="000000"/>
          <w:sz w:val="20"/>
          <w:szCs w:val="20"/>
        </w:rPr>
        <w:t>SIGNATURES</w:t>
      </w:r>
    </w:p>
    <w:p w:rsidR="00000000" w:rsidRDefault="008214AA">
      <w:pPr>
        <w:divId w:val="1834296042"/>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8214AA">
      <w:pPr>
        <w:divId w:val="1837569455"/>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82"/>
        <w:gridCol w:w="384"/>
        <w:gridCol w:w="36"/>
        <w:gridCol w:w="37"/>
        <w:gridCol w:w="3437"/>
        <w:gridCol w:w="36"/>
        <w:gridCol w:w="81"/>
        <w:gridCol w:w="240"/>
        <w:gridCol w:w="37"/>
        <w:gridCol w:w="37"/>
        <w:gridCol w:w="116"/>
        <w:gridCol w:w="37"/>
        <w:gridCol w:w="64"/>
        <w:gridCol w:w="3633"/>
        <w:gridCol w:w="36"/>
      </w:tblGrid>
      <w:tr w:rsidR="00000000">
        <w:trPr>
          <w:divId w:val="806900578"/>
        </w:trPr>
        <w:tc>
          <w:tcPr>
            <w:tcW w:w="50" w:type="pct"/>
            <w:vAlign w:val="center"/>
            <w:hideMark/>
          </w:tcPr>
          <w:p w:rsidR="00000000" w:rsidRDefault="008214AA">
            <w:pPr>
              <w:rPr>
                <w:rFonts w:eastAsia="Times New Roman"/>
              </w:rPr>
            </w:pPr>
          </w:p>
        </w:tc>
        <w:tc>
          <w:tcPr>
            <w:tcW w:w="237"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082"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14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9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c>
          <w:tcPr>
            <w:tcW w:w="50" w:type="pct"/>
            <w:vAlign w:val="center"/>
            <w:hideMark/>
          </w:tcPr>
          <w:p w:rsidR="00000000" w:rsidRDefault="008214AA">
            <w:pPr>
              <w:spacing w:after="100"/>
              <w:rPr>
                <w:rFonts w:eastAsia="Times New Roman"/>
                <w:sz w:val="20"/>
                <w:szCs w:val="20"/>
              </w:rPr>
            </w:pPr>
          </w:p>
        </w:tc>
        <w:tc>
          <w:tcPr>
            <w:tcW w:w="2199" w:type="pct"/>
            <w:vAlign w:val="center"/>
            <w:hideMark/>
          </w:tcPr>
          <w:p w:rsidR="00000000" w:rsidRDefault="008214AA">
            <w:pPr>
              <w:spacing w:after="100"/>
              <w:rPr>
                <w:rFonts w:eastAsia="Times New Roman"/>
                <w:sz w:val="20"/>
                <w:szCs w:val="20"/>
              </w:rPr>
            </w:pPr>
          </w:p>
        </w:tc>
        <w:tc>
          <w:tcPr>
            <w:tcW w:w="5" w:type="pct"/>
            <w:vAlign w:val="center"/>
            <w:hideMark/>
          </w:tcPr>
          <w:p w:rsidR="00000000" w:rsidRDefault="008214AA">
            <w:pPr>
              <w:spacing w:after="100"/>
              <w:rPr>
                <w:rFonts w:eastAsia="Times New Roman"/>
                <w:sz w:val="20"/>
                <w:szCs w:val="20"/>
              </w:rPr>
            </w:pPr>
          </w:p>
        </w:tc>
      </w:tr>
      <w:tr w:rsidR="00000000">
        <w:trPr>
          <w:divId w:val="806900578"/>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8214AA">
            <w:pPr>
              <w:spacing w:after="100"/>
              <w:rPr>
                <w:rFonts w:eastAsia="Times New Roman"/>
              </w:rPr>
            </w:pPr>
            <w:r>
              <w:rPr>
                <w:rFonts w:eastAsia="Times New Roman"/>
                <w:color w:val="000000"/>
                <w:sz w:val="20"/>
                <w:szCs w:val="20"/>
              </w:rPr>
              <w:t>NCR CORPORATION</w:t>
            </w:r>
          </w:p>
        </w:tc>
      </w:tr>
      <w:tr w:rsidR="00000000">
        <w:trPr>
          <w:divId w:val="806900578"/>
          <w:trHeight w:val="300"/>
        </w:trPr>
        <w:tc>
          <w:tcPr>
            <w:tcW w:w="0" w:type="auto"/>
            <w:gridSpan w:val="3"/>
            <w:tcMar>
              <w:top w:w="0" w:type="dxa"/>
              <w:left w:w="20" w:type="dxa"/>
              <w:bottom w:w="0" w:type="dxa"/>
              <w:right w:w="20" w:type="dxa"/>
            </w:tcMar>
            <w:vAlign w:val="center"/>
            <w:hideMark/>
          </w:tcPr>
          <w:p w:rsidR="00000000" w:rsidRDefault="00821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8214AA">
            <w:pPr>
              <w:spacing w:after="100"/>
              <w:rPr>
                <w:rFonts w:eastAsia="Times New Roman"/>
                <w:sz w:val="20"/>
                <w:szCs w:val="20"/>
              </w:rPr>
            </w:pPr>
          </w:p>
        </w:tc>
      </w:tr>
      <w:tr w:rsidR="00000000">
        <w:trPr>
          <w:divId w:val="806900578"/>
        </w:trPr>
        <w:tc>
          <w:tcPr>
            <w:tcW w:w="0" w:type="auto"/>
            <w:gridSpan w:val="3"/>
            <w:tcMar>
              <w:top w:w="30" w:type="dxa"/>
              <w:left w:w="20" w:type="dxa"/>
              <w:bottom w:w="30" w:type="dxa"/>
              <w:right w:w="20" w:type="dxa"/>
            </w:tcMar>
            <w:hideMark/>
          </w:tcPr>
          <w:p w:rsidR="00000000" w:rsidRDefault="008214AA">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20"/>
                <w:szCs w:val="20"/>
              </w:rPr>
              <w:t>October 31, 2022</w:t>
            </w:r>
          </w:p>
        </w:tc>
        <w:tc>
          <w:tcPr>
            <w:tcW w:w="0" w:type="auto"/>
            <w:gridSpan w:val="3"/>
            <w:tcMar>
              <w:top w:w="30" w:type="dxa"/>
              <w:left w:w="20" w:type="dxa"/>
              <w:bottom w:w="30" w:type="dxa"/>
              <w:right w:w="20" w:type="dxa"/>
            </w:tcMar>
            <w:hideMark/>
          </w:tcPr>
          <w:p w:rsidR="00000000" w:rsidRDefault="008214AA">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8214AA">
            <w:pPr>
              <w:spacing w:after="100"/>
              <w:jc w:val="center"/>
              <w:rPr>
                <w:rFonts w:eastAsia="Times New Roman"/>
              </w:rPr>
            </w:pPr>
            <w:r>
              <w:rPr>
                <w:rFonts w:eastAsia="Times New Roman"/>
                <w:color w:val="000000"/>
                <w:sz w:val="20"/>
                <w:szCs w:val="20"/>
              </w:rPr>
              <w:t>/s/ Timothy C. Oliver</w:t>
            </w:r>
          </w:p>
        </w:tc>
      </w:tr>
      <w:tr w:rsidR="00000000">
        <w:trPr>
          <w:divId w:val="806900578"/>
        </w:trPr>
        <w:tc>
          <w:tcPr>
            <w:tcW w:w="0" w:type="auto"/>
            <w:gridSpan w:val="3"/>
            <w:tcMar>
              <w:top w:w="0" w:type="dxa"/>
              <w:left w:w="20" w:type="dxa"/>
              <w:bottom w:w="0" w:type="dxa"/>
              <w:right w:w="20" w:type="dxa"/>
            </w:tcMar>
            <w:vAlign w:val="center"/>
            <w:hideMark/>
          </w:tcPr>
          <w:p w:rsidR="00000000" w:rsidRDefault="00821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214A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214AA">
            <w:pPr>
              <w:spacing w:after="100"/>
              <w:jc w:val="center"/>
              <w:rPr>
                <w:rFonts w:eastAsia="Times New Roman"/>
              </w:rPr>
            </w:pPr>
            <w:r>
              <w:rPr>
                <w:rFonts w:eastAsia="Times New Roman"/>
                <w:b/>
                <w:bCs/>
                <w:color w:val="000000"/>
                <w:sz w:val="16"/>
                <w:szCs w:val="16"/>
              </w:rPr>
              <w:t>Timothy C. Oliver</w:t>
            </w:r>
            <w:r>
              <w:rPr>
                <w:rFonts w:eastAsia="Times New Roman"/>
                <w:b/>
                <w:bCs/>
                <w:color w:val="000000"/>
                <w:sz w:val="16"/>
                <w:szCs w:val="16"/>
              </w:rPr>
              <w:br/>
              <w:t>Senior Executive Vice President and Chief Financial Officer</w:t>
            </w:r>
          </w:p>
        </w:tc>
      </w:tr>
    </w:tbl>
    <w:p w:rsidR="00000000" w:rsidRDefault="008214AA">
      <w:pPr>
        <w:divId w:val="806900578"/>
        <w:rPr>
          <w:rFonts w:eastAsia="Times New Roman"/>
        </w:rPr>
      </w:pPr>
      <w:r>
        <w:rPr>
          <w:rFonts w:eastAsia="Times New Roman"/>
          <w:color w:val="000000"/>
          <w:sz w:val="20"/>
          <w:szCs w:val="20"/>
        </w:rPr>
        <w:t>    </w:t>
      </w:r>
    </w:p>
    <w:p w:rsidR="008214AA" w:rsidRDefault="008214AA">
      <w:pPr>
        <w:jc w:val="center"/>
        <w:divId w:val="18893017"/>
        <w:rPr>
          <w:rFonts w:eastAsia="Times New Roman"/>
        </w:rPr>
      </w:pPr>
      <w:r>
        <w:rPr>
          <w:rFonts w:eastAsia="Times New Roman"/>
          <w:color w:val="000000"/>
          <w:sz w:val="20"/>
          <w:szCs w:val="20"/>
        </w:rPr>
        <w:t>63</w:t>
      </w:r>
    </w:p>
    <w:sectPr w:rsidR="008214A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14AA"/>
    <w:rsid w:val="008214AA"/>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xbrl.org/2006/xbrldi"/>
  <w:attachedSchema w:val="http://xbrl.sec.gov/country/2022"/>
  <w:attachedSchema w:val="http://www.sec.gov/inlineXBRL/transformation/2015-08-31"/>
  <w:attachedSchema w:val="http://www.xbrl.org/inlineXBRL/transformation/2020-02-12"/>
  <w:attachedSchema w:val="http://fasb.org/us-gaap/2022"/>
  <w:attachedSchema w:val="http://www.ncr.com/20220930"/>
  <w:attachedSchema w:val="http://fasb.org/srt/2022"/>
  <w:attachedSchema w:val="http://www.xbrl.org/2003/instance"/>
  <w:attachedSchema w:val="http://www.xbrl.org/2003/iso4217"/>
  <w:attachedSchema w:val="http://www.xbrl.org/2009/utr"/>
  <w:attachedSchema w:val="http://www.w3.org/1999/xlink"/>
  <w:attachedSchema w:val="http://www.xbrl.org/2003/linkbase"/>
  <w:attachedSchema w:val="http://xbrl.sec.gov/dei/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276">
      <w:marLeft w:val="0"/>
      <w:marRight w:val="0"/>
      <w:marTop w:val="0"/>
      <w:marBottom w:val="0"/>
      <w:divBdr>
        <w:top w:val="none" w:sz="0" w:space="0" w:color="auto"/>
        <w:left w:val="none" w:sz="0" w:space="0" w:color="auto"/>
        <w:bottom w:val="none" w:sz="0" w:space="0" w:color="auto"/>
        <w:right w:val="none" w:sz="0" w:space="0" w:color="auto"/>
      </w:divBdr>
    </w:div>
    <w:div w:id="25952602">
      <w:marLeft w:val="0"/>
      <w:marRight w:val="0"/>
      <w:marTop w:val="0"/>
      <w:marBottom w:val="0"/>
      <w:divBdr>
        <w:top w:val="none" w:sz="0" w:space="0" w:color="auto"/>
        <w:left w:val="none" w:sz="0" w:space="0" w:color="auto"/>
        <w:bottom w:val="none" w:sz="0" w:space="0" w:color="auto"/>
        <w:right w:val="none" w:sz="0" w:space="0" w:color="auto"/>
      </w:divBdr>
      <w:divsChild>
        <w:div w:id="1837765516">
          <w:marLeft w:val="0"/>
          <w:marRight w:val="0"/>
          <w:marTop w:val="0"/>
          <w:marBottom w:val="0"/>
          <w:divBdr>
            <w:top w:val="none" w:sz="0" w:space="0" w:color="auto"/>
            <w:left w:val="none" w:sz="0" w:space="0" w:color="auto"/>
            <w:bottom w:val="none" w:sz="0" w:space="0" w:color="auto"/>
            <w:right w:val="none" w:sz="0" w:space="0" w:color="auto"/>
          </w:divBdr>
        </w:div>
      </w:divsChild>
    </w:div>
    <w:div w:id="28343783">
      <w:marLeft w:val="0"/>
      <w:marRight w:val="0"/>
      <w:marTop w:val="0"/>
      <w:marBottom w:val="0"/>
      <w:divBdr>
        <w:top w:val="none" w:sz="0" w:space="0" w:color="auto"/>
        <w:left w:val="none" w:sz="0" w:space="0" w:color="auto"/>
        <w:bottom w:val="none" w:sz="0" w:space="0" w:color="auto"/>
        <w:right w:val="none" w:sz="0" w:space="0" w:color="auto"/>
      </w:divBdr>
      <w:divsChild>
        <w:div w:id="346367612">
          <w:marLeft w:val="0"/>
          <w:marRight w:val="0"/>
          <w:marTop w:val="0"/>
          <w:marBottom w:val="0"/>
          <w:divBdr>
            <w:top w:val="none" w:sz="0" w:space="0" w:color="auto"/>
            <w:left w:val="none" w:sz="0" w:space="0" w:color="auto"/>
            <w:bottom w:val="none" w:sz="0" w:space="0" w:color="auto"/>
            <w:right w:val="none" w:sz="0" w:space="0" w:color="auto"/>
          </w:divBdr>
        </w:div>
      </w:divsChild>
    </w:div>
    <w:div w:id="28726180">
      <w:marLeft w:val="0"/>
      <w:marRight w:val="0"/>
      <w:marTop w:val="0"/>
      <w:marBottom w:val="60"/>
      <w:divBdr>
        <w:top w:val="none" w:sz="0" w:space="0" w:color="auto"/>
        <w:left w:val="none" w:sz="0" w:space="0" w:color="auto"/>
        <w:bottom w:val="none" w:sz="0" w:space="0" w:color="auto"/>
        <w:right w:val="none" w:sz="0" w:space="0" w:color="auto"/>
      </w:divBdr>
    </w:div>
    <w:div w:id="29187622">
      <w:marLeft w:val="0"/>
      <w:marRight w:val="0"/>
      <w:marTop w:val="200"/>
      <w:marBottom w:val="0"/>
      <w:divBdr>
        <w:top w:val="none" w:sz="0" w:space="0" w:color="auto"/>
        <w:left w:val="none" w:sz="0" w:space="0" w:color="auto"/>
        <w:bottom w:val="none" w:sz="0" w:space="0" w:color="auto"/>
        <w:right w:val="none" w:sz="0" w:space="0" w:color="auto"/>
      </w:divBdr>
      <w:divsChild>
        <w:div w:id="856845898">
          <w:marLeft w:val="0"/>
          <w:marRight w:val="0"/>
          <w:marTop w:val="0"/>
          <w:marBottom w:val="0"/>
          <w:divBdr>
            <w:top w:val="none" w:sz="0" w:space="0" w:color="auto"/>
            <w:left w:val="none" w:sz="0" w:space="0" w:color="auto"/>
            <w:bottom w:val="none" w:sz="0" w:space="0" w:color="auto"/>
            <w:right w:val="none" w:sz="0" w:space="0" w:color="auto"/>
          </w:divBdr>
        </w:div>
        <w:div w:id="590625230">
          <w:marLeft w:val="0"/>
          <w:marRight w:val="0"/>
          <w:marTop w:val="0"/>
          <w:marBottom w:val="0"/>
          <w:divBdr>
            <w:top w:val="none" w:sz="0" w:space="0" w:color="auto"/>
            <w:left w:val="none" w:sz="0" w:space="0" w:color="auto"/>
            <w:bottom w:val="none" w:sz="0" w:space="0" w:color="auto"/>
            <w:right w:val="none" w:sz="0" w:space="0" w:color="auto"/>
          </w:divBdr>
        </w:div>
        <w:div w:id="1024475319">
          <w:marLeft w:val="0"/>
          <w:marRight w:val="0"/>
          <w:marTop w:val="0"/>
          <w:marBottom w:val="0"/>
          <w:divBdr>
            <w:top w:val="none" w:sz="0" w:space="0" w:color="auto"/>
            <w:left w:val="none" w:sz="0" w:space="0" w:color="auto"/>
            <w:bottom w:val="none" w:sz="0" w:space="0" w:color="auto"/>
            <w:right w:val="none" w:sz="0" w:space="0" w:color="auto"/>
          </w:divBdr>
        </w:div>
        <w:div w:id="925115021">
          <w:marLeft w:val="0"/>
          <w:marRight w:val="0"/>
          <w:marTop w:val="0"/>
          <w:marBottom w:val="0"/>
          <w:divBdr>
            <w:top w:val="none" w:sz="0" w:space="0" w:color="auto"/>
            <w:left w:val="none" w:sz="0" w:space="0" w:color="auto"/>
            <w:bottom w:val="none" w:sz="0" w:space="0" w:color="auto"/>
            <w:right w:val="none" w:sz="0" w:space="0" w:color="auto"/>
          </w:divBdr>
        </w:div>
        <w:div w:id="45877973">
          <w:marLeft w:val="0"/>
          <w:marRight w:val="0"/>
          <w:marTop w:val="0"/>
          <w:marBottom w:val="0"/>
          <w:divBdr>
            <w:top w:val="none" w:sz="0" w:space="0" w:color="auto"/>
            <w:left w:val="none" w:sz="0" w:space="0" w:color="auto"/>
            <w:bottom w:val="none" w:sz="0" w:space="0" w:color="auto"/>
            <w:right w:val="none" w:sz="0" w:space="0" w:color="auto"/>
          </w:divBdr>
        </w:div>
        <w:div w:id="510799182">
          <w:marLeft w:val="0"/>
          <w:marRight w:val="0"/>
          <w:marTop w:val="0"/>
          <w:marBottom w:val="0"/>
          <w:divBdr>
            <w:top w:val="none" w:sz="0" w:space="0" w:color="auto"/>
            <w:left w:val="none" w:sz="0" w:space="0" w:color="auto"/>
            <w:bottom w:val="none" w:sz="0" w:space="0" w:color="auto"/>
            <w:right w:val="none" w:sz="0" w:space="0" w:color="auto"/>
          </w:divBdr>
        </w:div>
        <w:div w:id="735395410">
          <w:marLeft w:val="0"/>
          <w:marRight w:val="0"/>
          <w:marTop w:val="0"/>
          <w:marBottom w:val="0"/>
          <w:divBdr>
            <w:top w:val="none" w:sz="0" w:space="0" w:color="auto"/>
            <w:left w:val="none" w:sz="0" w:space="0" w:color="auto"/>
            <w:bottom w:val="none" w:sz="0" w:space="0" w:color="auto"/>
            <w:right w:val="none" w:sz="0" w:space="0" w:color="auto"/>
          </w:divBdr>
        </w:div>
        <w:div w:id="2071342607">
          <w:marLeft w:val="0"/>
          <w:marRight w:val="0"/>
          <w:marTop w:val="0"/>
          <w:marBottom w:val="0"/>
          <w:divBdr>
            <w:top w:val="none" w:sz="0" w:space="0" w:color="auto"/>
            <w:left w:val="none" w:sz="0" w:space="0" w:color="auto"/>
            <w:bottom w:val="none" w:sz="0" w:space="0" w:color="auto"/>
            <w:right w:val="none" w:sz="0" w:space="0" w:color="auto"/>
          </w:divBdr>
        </w:div>
        <w:div w:id="308556575">
          <w:marLeft w:val="0"/>
          <w:marRight w:val="0"/>
          <w:marTop w:val="0"/>
          <w:marBottom w:val="0"/>
          <w:divBdr>
            <w:top w:val="none" w:sz="0" w:space="0" w:color="auto"/>
            <w:left w:val="none" w:sz="0" w:space="0" w:color="auto"/>
            <w:bottom w:val="none" w:sz="0" w:space="0" w:color="auto"/>
            <w:right w:val="none" w:sz="0" w:space="0" w:color="auto"/>
          </w:divBdr>
        </w:div>
        <w:div w:id="1153183847">
          <w:marLeft w:val="0"/>
          <w:marRight w:val="0"/>
          <w:marTop w:val="0"/>
          <w:marBottom w:val="0"/>
          <w:divBdr>
            <w:top w:val="none" w:sz="0" w:space="0" w:color="auto"/>
            <w:left w:val="none" w:sz="0" w:space="0" w:color="auto"/>
            <w:bottom w:val="none" w:sz="0" w:space="0" w:color="auto"/>
            <w:right w:val="none" w:sz="0" w:space="0" w:color="auto"/>
          </w:divBdr>
        </w:div>
        <w:div w:id="1818304438">
          <w:marLeft w:val="0"/>
          <w:marRight w:val="0"/>
          <w:marTop w:val="0"/>
          <w:marBottom w:val="0"/>
          <w:divBdr>
            <w:top w:val="none" w:sz="0" w:space="0" w:color="auto"/>
            <w:left w:val="none" w:sz="0" w:space="0" w:color="auto"/>
            <w:bottom w:val="none" w:sz="0" w:space="0" w:color="auto"/>
            <w:right w:val="none" w:sz="0" w:space="0" w:color="auto"/>
          </w:divBdr>
        </w:div>
        <w:div w:id="236482314">
          <w:marLeft w:val="0"/>
          <w:marRight w:val="0"/>
          <w:marTop w:val="0"/>
          <w:marBottom w:val="0"/>
          <w:divBdr>
            <w:top w:val="none" w:sz="0" w:space="0" w:color="auto"/>
            <w:left w:val="none" w:sz="0" w:space="0" w:color="auto"/>
            <w:bottom w:val="none" w:sz="0" w:space="0" w:color="auto"/>
            <w:right w:val="none" w:sz="0" w:space="0" w:color="auto"/>
          </w:divBdr>
        </w:div>
        <w:div w:id="1863081741">
          <w:marLeft w:val="0"/>
          <w:marRight w:val="0"/>
          <w:marTop w:val="0"/>
          <w:marBottom w:val="0"/>
          <w:divBdr>
            <w:top w:val="none" w:sz="0" w:space="0" w:color="auto"/>
            <w:left w:val="none" w:sz="0" w:space="0" w:color="auto"/>
            <w:bottom w:val="none" w:sz="0" w:space="0" w:color="auto"/>
            <w:right w:val="none" w:sz="0" w:space="0" w:color="auto"/>
          </w:divBdr>
        </w:div>
        <w:div w:id="179901675">
          <w:marLeft w:val="0"/>
          <w:marRight w:val="0"/>
          <w:marTop w:val="0"/>
          <w:marBottom w:val="0"/>
          <w:divBdr>
            <w:top w:val="none" w:sz="0" w:space="0" w:color="auto"/>
            <w:left w:val="none" w:sz="0" w:space="0" w:color="auto"/>
            <w:bottom w:val="none" w:sz="0" w:space="0" w:color="auto"/>
            <w:right w:val="none" w:sz="0" w:space="0" w:color="auto"/>
          </w:divBdr>
        </w:div>
        <w:div w:id="408431575">
          <w:marLeft w:val="0"/>
          <w:marRight w:val="0"/>
          <w:marTop w:val="0"/>
          <w:marBottom w:val="0"/>
          <w:divBdr>
            <w:top w:val="none" w:sz="0" w:space="0" w:color="auto"/>
            <w:left w:val="none" w:sz="0" w:space="0" w:color="auto"/>
            <w:bottom w:val="none" w:sz="0" w:space="0" w:color="auto"/>
            <w:right w:val="none" w:sz="0" w:space="0" w:color="auto"/>
          </w:divBdr>
        </w:div>
        <w:div w:id="1649166986">
          <w:marLeft w:val="0"/>
          <w:marRight w:val="0"/>
          <w:marTop w:val="0"/>
          <w:marBottom w:val="0"/>
          <w:divBdr>
            <w:top w:val="none" w:sz="0" w:space="0" w:color="auto"/>
            <w:left w:val="none" w:sz="0" w:space="0" w:color="auto"/>
            <w:bottom w:val="none" w:sz="0" w:space="0" w:color="auto"/>
            <w:right w:val="none" w:sz="0" w:space="0" w:color="auto"/>
          </w:divBdr>
        </w:div>
      </w:divsChild>
    </w:div>
    <w:div w:id="32078149">
      <w:marLeft w:val="0"/>
      <w:marRight w:val="0"/>
      <w:marTop w:val="100"/>
      <w:marBottom w:val="0"/>
      <w:divBdr>
        <w:top w:val="none" w:sz="0" w:space="0" w:color="auto"/>
        <w:left w:val="none" w:sz="0" w:space="0" w:color="auto"/>
        <w:bottom w:val="none" w:sz="0" w:space="0" w:color="auto"/>
        <w:right w:val="none" w:sz="0" w:space="0" w:color="auto"/>
      </w:divBdr>
    </w:div>
    <w:div w:id="33699973">
      <w:marLeft w:val="0"/>
      <w:marRight w:val="0"/>
      <w:marTop w:val="0"/>
      <w:marBottom w:val="0"/>
      <w:divBdr>
        <w:top w:val="none" w:sz="0" w:space="0" w:color="auto"/>
        <w:left w:val="none" w:sz="0" w:space="0" w:color="auto"/>
        <w:bottom w:val="none" w:sz="0" w:space="0" w:color="auto"/>
        <w:right w:val="none" w:sz="0" w:space="0" w:color="auto"/>
      </w:divBdr>
    </w:div>
    <w:div w:id="35543666">
      <w:marLeft w:val="0"/>
      <w:marRight w:val="0"/>
      <w:marTop w:val="0"/>
      <w:marBottom w:val="0"/>
      <w:divBdr>
        <w:top w:val="none" w:sz="0" w:space="0" w:color="auto"/>
        <w:left w:val="none" w:sz="0" w:space="0" w:color="auto"/>
        <w:bottom w:val="none" w:sz="0" w:space="0" w:color="auto"/>
        <w:right w:val="none" w:sz="0" w:space="0" w:color="auto"/>
      </w:divBdr>
      <w:divsChild>
        <w:div w:id="2111733248">
          <w:marLeft w:val="0"/>
          <w:marRight w:val="0"/>
          <w:marTop w:val="0"/>
          <w:marBottom w:val="0"/>
          <w:divBdr>
            <w:top w:val="none" w:sz="0" w:space="0" w:color="auto"/>
            <w:left w:val="none" w:sz="0" w:space="0" w:color="auto"/>
            <w:bottom w:val="none" w:sz="0" w:space="0" w:color="auto"/>
            <w:right w:val="none" w:sz="0" w:space="0" w:color="auto"/>
          </w:divBdr>
        </w:div>
      </w:divsChild>
    </w:div>
    <w:div w:id="39936843">
      <w:marLeft w:val="0"/>
      <w:marRight w:val="0"/>
      <w:marTop w:val="0"/>
      <w:marBottom w:val="0"/>
      <w:divBdr>
        <w:top w:val="none" w:sz="0" w:space="0" w:color="auto"/>
        <w:left w:val="none" w:sz="0" w:space="0" w:color="auto"/>
        <w:bottom w:val="none" w:sz="0" w:space="0" w:color="auto"/>
        <w:right w:val="none" w:sz="0" w:space="0" w:color="auto"/>
      </w:divBdr>
      <w:divsChild>
        <w:div w:id="1189493664">
          <w:marLeft w:val="0"/>
          <w:marRight w:val="0"/>
          <w:marTop w:val="0"/>
          <w:marBottom w:val="0"/>
          <w:divBdr>
            <w:top w:val="none" w:sz="0" w:space="0" w:color="auto"/>
            <w:left w:val="none" w:sz="0" w:space="0" w:color="auto"/>
            <w:bottom w:val="none" w:sz="0" w:space="0" w:color="auto"/>
            <w:right w:val="none" w:sz="0" w:space="0" w:color="auto"/>
          </w:divBdr>
        </w:div>
      </w:divsChild>
    </w:div>
    <w:div w:id="43259918">
      <w:marLeft w:val="0"/>
      <w:marRight w:val="0"/>
      <w:marTop w:val="0"/>
      <w:marBottom w:val="0"/>
      <w:divBdr>
        <w:top w:val="none" w:sz="0" w:space="0" w:color="auto"/>
        <w:left w:val="none" w:sz="0" w:space="0" w:color="auto"/>
        <w:bottom w:val="none" w:sz="0" w:space="0" w:color="auto"/>
        <w:right w:val="none" w:sz="0" w:space="0" w:color="auto"/>
      </w:divBdr>
      <w:divsChild>
        <w:div w:id="991983915">
          <w:marLeft w:val="0"/>
          <w:marRight w:val="0"/>
          <w:marTop w:val="0"/>
          <w:marBottom w:val="0"/>
          <w:divBdr>
            <w:top w:val="none" w:sz="0" w:space="0" w:color="auto"/>
            <w:left w:val="none" w:sz="0" w:space="0" w:color="auto"/>
            <w:bottom w:val="none" w:sz="0" w:space="0" w:color="auto"/>
            <w:right w:val="none" w:sz="0" w:space="0" w:color="auto"/>
          </w:divBdr>
        </w:div>
      </w:divsChild>
    </w:div>
    <w:div w:id="55472312">
      <w:marLeft w:val="0"/>
      <w:marRight w:val="0"/>
      <w:marTop w:val="0"/>
      <w:marBottom w:val="0"/>
      <w:divBdr>
        <w:top w:val="none" w:sz="0" w:space="0" w:color="auto"/>
        <w:left w:val="none" w:sz="0" w:space="0" w:color="auto"/>
        <w:bottom w:val="none" w:sz="0" w:space="0" w:color="auto"/>
        <w:right w:val="none" w:sz="0" w:space="0" w:color="auto"/>
      </w:divBdr>
    </w:div>
    <w:div w:id="55589286">
      <w:marLeft w:val="0"/>
      <w:marRight w:val="0"/>
      <w:marTop w:val="0"/>
      <w:marBottom w:val="0"/>
      <w:divBdr>
        <w:top w:val="none" w:sz="0" w:space="0" w:color="auto"/>
        <w:left w:val="none" w:sz="0" w:space="0" w:color="auto"/>
        <w:bottom w:val="none" w:sz="0" w:space="0" w:color="auto"/>
        <w:right w:val="none" w:sz="0" w:space="0" w:color="auto"/>
      </w:divBdr>
      <w:divsChild>
        <w:div w:id="392698875">
          <w:marLeft w:val="0"/>
          <w:marRight w:val="0"/>
          <w:marTop w:val="0"/>
          <w:marBottom w:val="0"/>
          <w:divBdr>
            <w:top w:val="none" w:sz="0" w:space="0" w:color="auto"/>
            <w:left w:val="none" w:sz="0" w:space="0" w:color="auto"/>
            <w:bottom w:val="none" w:sz="0" w:space="0" w:color="auto"/>
            <w:right w:val="none" w:sz="0" w:space="0" w:color="auto"/>
          </w:divBdr>
        </w:div>
      </w:divsChild>
    </w:div>
    <w:div w:id="60637038">
      <w:marLeft w:val="0"/>
      <w:marRight w:val="0"/>
      <w:marTop w:val="0"/>
      <w:marBottom w:val="0"/>
      <w:divBdr>
        <w:top w:val="none" w:sz="0" w:space="0" w:color="auto"/>
        <w:left w:val="none" w:sz="0" w:space="0" w:color="auto"/>
        <w:bottom w:val="none" w:sz="0" w:space="0" w:color="auto"/>
        <w:right w:val="none" w:sz="0" w:space="0" w:color="auto"/>
      </w:divBdr>
      <w:divsChild>
        <w:div w:id="1799226265">
          <w:marLeft w:val="0"/>
          <w:marRight w:val="0"/>
          <w:marTop w:val="0"/>
          <w:marBottom w:val="0"/>
          <w:divBdr>
            <w:top w:val="none" w:sz="0" w:space="0" w:color="auto"/>
            <w:left w:val="none" w:sz="0" w:space="0" w:color="auto"/>
            <w:bottom w:val="none" w:sz="0" w:space="0" w:color="auto"/>
            <w:right w:val="none" w:sz="0" w:space="0" w:color="auto"/>
          </w:divBdr>
        </w:div>
      </w:divsChild>
    </w:div>
    <w:div w:id="67509018">
      <w:marLeft w:val="0"/>
      <w:marRight w:val="0"/>
      <w:marTop w:val="0"/>
      <w:marBottom w:val="0"/>
      <w:divBdr>
        <w:top w:val="none" w:sz="0" w:space="0" w:color="auto"/>
        <w:left w:val="none" w:sz="0" w:space="0" w:color="auto"/>
        <w:bottom w:val="none" w:sz="0" w:space="0" w:color="auto"/>
        <w:right w:val="none" w:sz="0" w:space="0" w:color="auto"/>
      </w:divBdr>
    </w:div>
    <w:div w:id="71662239">
      <w:marLeft w:val="0"/>
      <w:marRight w:val="0"/>
      <w:marTop w:val="0"/>
      <w:marBottom w:val="0"/>
      <w:divBdr>
        <w:top w:val="none" w:sz="0" w:space="0" w:color="auto"/>
        <w:left w:val="none" w:sz="0" w:space="0" w:color="auto"/>
        <w:bottom w:val="none" w:sz="0" w:space="0" w:color="auto"/>
        <w:right w:val="none" w:sz="0" w:space="0" w:color="auto"/>
      </w:divBdr>
      <w:divsChild>
        <w:div w:id="289015745">
          <w:marLeft w:val="0"/>
          <w:marRight w:val="0"/>
          <w:marTop w:val="0"/>
          <w:marBottom w:val="0"/>
          <w:divBdr>
            <w:top w:val="none" w:sz="0" w:space="0" w:color="auto"/>
            <w:left w:val="none" w:sz="0" w:space="0" w:color="auto"/>
            <w:bottom w:val="none" w:sz="0" w:space="0" w:color="auto"/>
            <w:right w:val="none" w:sz="0" w:space="0" w:color="auto"/>
          </w:divBdr>
        </w:div>
      </w:divsChild>
    </w:div>
    <w:div w:id="74783505">
      <w:marLeft w:val="0"/>
      <w:marRight w:val="0"/>
      <w:marTop w:val="0"/>
      <w:marBottom w:val="0"/>
      <w:divBdr>
        <w:top w:val="none" w:sz="0" w:space="0" w:color="auto"/>
        <w:left w:val="none" w:sz="0" w:space="0" w:color="auto"/>
        <w:bottom w:val="none" w:sz="0" w:space="0" w:color="auto"/>
        <w:right w:val="none" w:sz="0" w:space="0" w:color="auto"/>
      </w:divBdr>
    </w:div>
    <w:div w:id="78066366">
      <w:marLeft w:val="0"/>
      <w:marRight w:val="0"/>
      <w:marTop w:val="0"/>
      <w:marBottom w:val="0"/>
      <w:divBdr>
        <w:top w:val="none" w:sz="0" w:space="0" w:color="auto"/>
        <w:left w:val="none" w:sz="0" w:space="0" w:color="auto"/>
        <w:bottom w:val="none" w:sz="0" w:space="0" w:color="auto"/>
        <w:right w:val="none" w:sz="0" w:space="0" w:color="auto"/>
      </w:divBdr>
    </w:div>
    <w:div w:id="81806205">
      <w:marLeft w:val="0"/>
      <w:marRight w:val="0"/>
      <w:marTop w:val="0"/>
      <w:marBottom w:val="0"/>
      <w:divBdr>
        <w:top w:val="none" w:sz="0" w:space="0" w:color="auto"/>
        <w:left w:val="none" w:sz="0" w:space="0" w:color="auto"/>
        <w:bottom w:val="none" w:sz="0" w:space="0" w:color="auto"/>
        <w:right w:val="none" w:sz="0" w:space="0" w:color="auto"/>
      </w:divBdr>
      <w:divsChild>
        <w:div w:id="1209998828">
          <w:marLeft w:val="0"/>
          <w:marRight w:val="0"/>
          <w:marTop w:val="0"/>
          <w:marBottom w:val="0"/>
          <w:divBdr>
            <w:top w:val="none" w:sz="0" w:space="0" w:color="auto"/>
            <w:left w:val="none" w:sz="0" w:space="0" w:color="auto"/>
            <w:bottom w:val="none" w:sz="0" w:space="0" w:color="auto"/>
            <w:right w:val="none" w:sz="0" w:space="0" w:color="auto"/>
          </w:divBdr>
        </w:div>
      </w:divsChild>
    </w:div>
    <w:div w:id="83691471">
      <w:marLeft w:val="0"/>
      <w:marRight w:val="0"/>
      <w:marTop w:val="0"/>
      <w:marBottom w:val="0"/>
      <w:divBdr>
        <w:top w:val="none" w:sz="0" w:space="0" w:color="auto"/>
        <w:left w:val="none" w:sz="0" w:space="0" w:color="auto"/>
        <w:bottom w:val="none" w:sz="0" w:space="0" w:color="auto"/>
        <w:right w:val="none" w:sz="0" w:space="0" w:color="auto"/>
      </w:divBdr>
    </w:div>
    <w:div w:id="92939834">
      <w:marLeft w:val="0"/>
      <w:marRight w:val="0"/>
      <w:marTop w:val="0"/>
      <w:marBottom w:val="0"/>
      <w:divBdr>
        <w:top w:val="none" w:sz="0" w:space="0" w:color="auto"/>
        <w:left w:val="none" w:sz="0" w:space="0" w:color="auto"/>
        <w:bottom w:val="none" w:sz="0" w:space="0" w:color="auto"/>
        <w:right w:val="none" w:sz="0" w:space="0" w:color="auto"/>
      </w:divBdr>
      <w:divsChild>
        <w:div w:id="1008405842">
          <w:marLeft w:val="0"/>
          <w:marRight w:val="0"/>
          <w:marTop w:val="0"/>
          <w:marBottom w:val="0"/>
          <w:divBdr>
            <w:top w:val="none" w:sz="0" w:space="0" w:color="auto"/>
            <w:left w:val="none" w:sz="0" w:space="0" w:color="auto"/>
            <w:bottom w:val="none" w:sz="0" w:space="0" w:color="auto"/>
            <w:right w:val="none" w:sz="0" w:space="0" w:color="auto"/>
          </w:divBdr>
        </w:div>
      </w:divsChild>
    </w:div>
    <w:div w:id="112287324">
      <w:marLeft w:val="0"/>
      <w:marRight w:val="0"/>
      <w:marTop w:val="180"/>
      <w:marBottom w:val="0"/>
      <w:divBdr>
        <w:top w:val="none" w:sz="0" w:space="0" w:color="auto"/>
        <w:left w:val="none" w:sz="0" w:space="0" w:color="auto"/>
        <w:bottom w:val="none" w:sz="0" w:space="0" w:color="auto"/>
        <w:right w:val="none" w:sz="0" w:space="0" w:color="auto"/>
      </w:divBdr>
    </w:div>
    <w:div w:id="119033295">
      <w:marLeft w:val="0"/>
      <w:marRight w:val="0"/>
      <w:marTop w:val="0"/>
      <w:marBottom w:val="0"/>
      <w:divBdr>
        <w:top w:val="none" w:sz="0" w:space="0" w:color="auto"/>
        <w:left w:val="none" w:sz="0" w:space="0" w:color="auto"/>
        <w:bottom w:val="none" w:sz="0" w:space="0" w:color="auto"/>
        <w:right w:val="none" w:sz="0" w:space="0" w:color="auto"/>
      </w:divBdr>
      <w:divsChild>
        <w:div w:id="616180586">
          <w:marLeft w:val="0"/>
          <w:marRight w:val="0"/>
          <w:marTop w:val="0"/>
          <w:marBottom w:val="0"/>
          <w:divBdr>
            <w:top w:val="none" w:sz="0" w:space="0" w:color="auto"/>
            <w:left w:val="none" w:sz="0" w:space="0" w:color="auto"/>
            <w:bottom w:val="none" w:sz="0" w:space="0" w:color="auto"/>
            <w:right w:val="none" w:sz="0" w:space="0" w:color="auto"/>
          </w:divBdr>
        </w:div>
      </w:divsChild>
    </w:div>
    <w:div w:id="129516874">
      <w:marLeft w:val="0"/>
      <w:marRight w:val="0"/>
      <w:marTop w:val="100"/>
      <w:marBottom w:val="0"/>
      <w:divBdr>
        <w:top w:val="none" w:sz="0" w:space="0" w:color="auto"/>
        <w:left w:val="none" w:sz="0" w:space="0" w:color="auto"/>
        <w:bottom w:val="none" w:sz="0" w:space="0" w:color="auto"/>
        <w:right w:val="none" w:sz="0" w:space="0" w:color="auto"/>
      </w:divBdr>
    </w:div>
    <w:div w:id="138302254">
      <w:marLeft w:val="0"/>
      <w:marRight w:val="0"/>
      <w:marTop w:val="0"/>
      <w:marBottom w:val="0"/>
      <w:divBdr>
        <w:top w:val="none" w:sz="0" w:space="0" w:color="auto"/>
        <w:left w:val="none" w:sz="0" w:space="0" w:color="auto"/>
        <w:bottom w:val="none" w:sz="0" w:space="0" w:color="auto"/>
        <w:right w:val="none" w:sz="0" w:space="0" w:color="auto"/>
      </w:divBdr>
      <w:divsChild>
        <w:div w:id="1573277722">
          <w:marLeft w:val="0"/>
          <w:marRight w:val="0"/>
          <w:marTop w:val="0"/>
          <w:marBottom w:val="0"/>
          <w:divBdr>
            <w:top w:val="none" w:sz="0" w:space="0" w:color="auto"/>
            <w:left w:val="none" w:sz="0" w:space="0" w:color="auto"/>
            <w:bottom w:val="none" w:sz="0" w:space="0" w:color="auto"/>
            <w:right w:val="none" w:sz="0" w:space="0" w:color="auto"/>
          </w:divBdr>
        </w:div>
      </w:divsChild>
    </w:div>
    <w:div w:id="144250324">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46866402">
      <w:marLeft w:val="0"/>
      <w:marRight w:val="0"/>
      <w:marTop w:val="0"/>
      <w:marBottom w:val="0"/>
      <w:divBdr>
        <w:top w:val="none" w:sz="0" w:space="0" w:color="auto"/>
        <w:left w:val="none" w:sz="0" w:space="0" w:color="auto"/>
        <w:bottom w:val="none" w:sz="0" w:space="0" w:color="auto"/>
        <w:right w:val="none" w:sz="0" w:space="0" w:color="auto"/>
      </w:divBdr>
    </w:div>
    <w:div w:id="149756511">
      <w:marLeft w:val="0"/>
      <w:marRight w:val="0"/>
      <w:marTop w:val="0"/>
      <w:marBottom w:val="0"/>
      <w:divBdr>
        <w:top w:val="none" w:sz="0" w:space="0" w:color="auto"/>
        <w:left w:val="none" w:sz="0" w:space="0" w:color="auto"/>
        <w:bottom w:val="none" w:sz="0" w:space="0" w:color="auto"/>
        <w:right w:val="none" w:sz="0" w:space="0" w:color="auto"/>
      </w:divBdr>
      <w:divsChild>
        <w:div w:id="762460887">
          <w:marLeft w:val="0"/>
          <w:marRight w:val="0"/>
          <w:marTop w:val="0"/>
          <w:marBottom w:val="0"/>
          <w:divBdr>
            <w:top w:val="none" w:sz="0" w:space="0" w:color="auto"/>
            <w:left w:val="none" w:sz="0" w:space="0" w:color="auto"/>
            <w:bottom w:val="none" w:sz="0" w:space="0" w:color="auto"/>
            <w:right w:val="none" w:sz="0" w:space="0" w:color="auto"/>
          </w:divBdr>
        </w:div>
      </w:divsChild>
    </w:div>
    <w:div w:id="151532987">
      <w:marLeft w:val="0"/>
      <w:marRight w:val="0"/>
      <w:marTop w:val="0"/>
      <w:marBottom w:val="0"/>
      <w:divBdr>
        <w:top w:val="none" w:sz="0" w:space="0" w:color="auto"/>
        <w:left w:val="none" w:sz="0" w:space="0" w:color="auto"/>
        <w:bottom w:val="none" w:sz="0" w:space="0" w:color="auto"/>
        <w:right w:val="none" w:sz="0" w:space="0" w:color="auto"/>
      </w:divBdr>
    </w:div>
    <w:div w:id="171188103">
      <w:marLeft w:val="0"/>
      <w:marRight w:val="0"/>
      <w:marTop w:val="0"/>
      <w:marBottom w:val="0"/>
      <w:divBdr>
        <w:top w:val="none" w:sz="0" w:space="0" w:color="auto"/>
        <w:left w:val="none" w:sz="0" w:space="0" w:color="auto"/>
        <w:bottom w:val="none" w:sz="0" w:space="0" w:color="auto"/>
        <w:right w:val="none" w:sz="0" w:space="0" w:color="auto"/>
      </w:divBdr>
      <w:divsChild>
        <w:div w:id="962613537">
          <w:marLeft w:val="0"/>
          <w:marRight w:val="0"/>
          <w:marTop w:val="0"/>
          <w:marBottom w:val="0"/>
          <w:divBdr>
            <w:top w:val="none" w:sz="0" w:space="0" w:color="auto"/>
            <w:left w:val="none" w:sz="0" w:space="0" w:color="auto"/>
            <w:bottom w:val="none" w:sz="0" w:space="0" w:color="auto"/>
            <w:right w:val="none" w:sz="0" w:space="0" w:color="auto"/>
          </w:divBdr>
        </w:div>
      </w:divsChild>
    </w:div>
    <w:div w:id="172038658">
      <w:marLeft w:val="0"/>
      <w:marRight w:val="0"/>
      <w:marTop w:val="0"/>
      <w:marBottom w:val="0"/>
      <w:divBdr>
        <w:top w:val="none" w:sz="0" w:space="0" w:color="auto"/>
        <w:left w:val="none" w:sz="0" w:space="0" w:color="auto"/>
        <w:bottom w:val="none" w:sz="0" w:space="0" w:color="auto"/>
        <w:right w:val="none" w:sz="0" w:space="0" w:color="auto"/>
      </w:divBdr>
      <w:divsChild>
        <w:div w:id="1791440089">
          <w:marLeft w:val="0"/>
          <w:marRight w:val="0"/>
          <w:marTop w:val="0"/>
          <w:marBottom w:val="0"/>
          <w:divBdr>
            <w:top w:val="none" w:sz="0" w:space="0" w:color="auto"/>
            <w:left w:val="none" w:sz="0" w:space="0" w:color="auto"/>
            <w:bottom w:val="none" w:sz="0" w:space="0" w:color="auto"/>
            <w:right w:val="none" w:sz="0" w:space="0" w:color="auto"/>
          </w:divBdr>
        </w:div>
      </w:divsChild>
    </w:div>
    <w:div w:id="184905574">
      <w:marLeft w:val="0"/>
      <w:marRight w:val="0"/>
      <w:marTop w:val="0"/>
      <w:marBottom w:val="0"/>
      <w:divBdr>
        <w:top w:val="none" w:sz="0" w:space="0" w:color="auto"/>
        <w:left w:val="none" w:sz="0" w:space="0" w:color="auto"/>
        <w:bottom w:val="none" w:sz="0" w:space="0" w:color="auto"/>
        <w:right w:val="none" w:sz="0" w:space="0" w:color="auto"/>
      </w:divBdr>
    </w:div>
    <w:div w:id="185336208">
      <w:marLeft w:val="0"/>
      <w:marRight w:val="0"/>
      <w:marTop w:val="0"/>
      <w:marBottom w:val="0"/>
      <w:divBdr>
        <w:top w:val="none" w:sz="0" w:space="0" w:color="auto"/>
        <w:left w:val="none" w:sz="0" w:space="0" w:color="auto"/>
        <w:bottom w:val="none" w:sz="0" w:space="0" w:color="auto"/>
        <w:right w:val="none" w:sz="0" w:space="0" w:color="auto"/>
      </w:divBdr>
    </w:div>
    <w:div w:id="189145729">
      <w:marLeft w:val="0"/>
      <w:marRight w:val="0"/>
      <w:marTop w:val="180"/>
      <w:marBottom w:val="0"/>
      <w:divBdr>
        <w:top w:val="none" w:sz="0" w:space="0" w:color="auto"/>
        <w:left w:val="none" w:sz="0" w:space="0" w:color="auto"/>
        <w:bottom w:val="none" w:sz="0" w:space="0" w:color="auto"/>
        <w:right w:val="none" w:sz="0" w:space="0" w:color="auto"/>
      </w:divBdr>
    </w:div>
    <w:div w:id="189268235">
      <w:marLeft w:val="0"/>
      <w:marRight w:val="0"/>
      <w:marTop w:val="0"/>
      <w:marBottom w:val="0"/>
      <w:divBdr>
        <w:top w:val="none" w:sz="0" w:space="0" w:color="auto"/>
        <w:left w:val="none" w:sz="0" w:space="0" w:color="auto"/>
        <w:bottom w:val="none" w:sz="0" w:space="0" w:color="auto"/>
        <w:right w:val="none" w:sz="0" w:space="0" w:color="auto"/>
      </w:divBdr>
      <w:divsChild>
        <w:div w:id="449396374">
          <w:marLeft w:val="0"/>
          <w:marRight w:val="0"/>
          <w:marTop w:val="0"/>
          <w:marBottom w:val="0"/>
          <w:divBdr>
            <w:top w:val="none" w:sz="0" w:space="0" w:color="auto"/>
            <w:left w:val="none" w:sz="0" w:space="0" w:color="auto"/>
            <w:bottom w:val="none" w:sz="0" w:space="0" w:color="auto"/>
            <w:right w:val="none" w:sz="0" w:space="0" w:color="auto"/>
          </w:divBdr>
        </w:div>
      </w:divsChild>
    </w:div>
    <w:div w:id="195629412">
      <w:marLeft w:val="0"/>
      <w:marRight w:val="0"/>
      <w:marTop w:val="180"/>
      <w:marBottom w:val="180"/>
      <w:divBdr>
        <w:top w:val="none" w:sz="0" w:space="0" w:color="auto"/>
        <w:left w:val="none" w:sz="0" w:space="0" w:color="auto"/>
        <w:bottom w:val="none" w:sz="0" w:space="0" w:color="auto"/>
        <w:right w:val="none" w:sz="0" w:space="0" w:color="auto"/>
      </w:divBdr>
    </w:div>
    <w:div w:id="199057912">
      <w:marLeft w:val="0"/>
      <w:marRight w:val="0"/>
      <w:marTop w:val="80"/>
      <w:marBottom w:val="0"/>
      <w:divBdr>
        <w:top w:val="none" w:sz="0" w:space="0" w:color="auto"/>
        <w:left w:val="none" w:sz="0" w:space="0" w:color="auto"/>
        <w:bottom w:val="none" w:sz="0" w:space="0" w:color="auto"/>
        <w:right w:val="none" w:sz="0" w:space="0" w:color="auto"/>
      </w:divBdr>
    </w:div>
    <w:div w:id="200945075">
      <w:marLeft w:val="0"/>
      <w:marRight w:val="0"/>
      <w:marTop w:val="0"/>
      <w:marBottom w:val="0"/>
      <w:divBdr>
        <w:top w:val="none" w:sz="0" w:space="0" w:color="auto"/>
        <w:left w:val="none" w:sz="0" w:space="0" w:color="auto"/>
        <w:bottom w:val="none" w:sz="0" w:space="0" w:color="auto"/>
        <w:right w:val="none" w:sz="0" w:space="0" w:color="auto"/>
      </w:divBdr>
    </w:div>
    <w:div w:id="205676430">
      <w:marLeft w:val="0"/>
      <w:marRight w:val="0"/>
      <w:marTop w:val="100"/>
      <w:marBottom w:val="0"/>
      <w:divBdr>
        <w:top w:val="none" w:sz="0" w:space="0" w:color="auto"/>
        <w:left w:val="none" w:sz="0" w:space="0" w:color="auto"/>
        <w:bottom w:val="none" w:sz="0" w:space="0" w:color="auto"/>
        <w:right w:val="none" w:sz="0" w:space="0" w:color="auto"/>
      </w:divBdr>
    </w:div>
    <w:div w:id="219634453">
      <w:marLeft w:val="0"/>
      <w:marRight w:val="0"/>
      <w:marTop w:val="100"/>
      <w:marBottom w:val="0"/>
      <w:divBdr>
        <w:top w:val="none" w:sz="0" w:space="0" w:color="auto"/>
        <w:left w:val="none" w:sz="0" w:space="0" w:color="auto"/>
        <w:bottom w:val="none" w:sz="0" w:space="0" w:color="auto"/>
        <w:right w:val="none" w:sz="0" w:space="0" w:color="auto"/>
      </w:divBdr>
      <w:divsChild>
        <w:div w:id="1810127307">
          <w:marLeft w:val="0"/>
          <w:marRight w:val="0"/>
          <w:marTop w:val="0"/>
          <w:marBottom w:val="0"/>
          <w:divBdr>
            <w:top w:val="none" w:sz="0" w:space="0" w:color="auto"/>
            <w:left w:val="none" w:sz="0" w:space="0" w:color="auto"/>
            <w:bottom w:val="none" w:sz="0" w:space="0" w:color="auto"/>
            <w:right w:val="none" w:sz="0" w:space="0" w:color="auto"/>
          </w:divBdr>
        </w:div>
      </w:divsChild>
    </w:div>
    <w:div w:id="231814205">
      <w:marLeft w:val="0"/>
      <w:marRight w:val="0"/>
      <w:marTop w:val="0"/>
      <w:marBottom w:val="0"/>
      <w:divBdr>
        <w:top w:val="none" w:sz="0" w:space="0" w:color="auto"/>
        <w:left w:val="none" w:sz="0" w:space="0" w:color="auto"/>
        <w:bottom w:val="none" w:sz="0" w:space="0" w:color="auto"/>
        <w:right w:val="none" w:sz="0" w:space="0" w:color="auto"/>
      </w:divBdr>
    </w:div>
    <w:div w:id="234054269">
      <w:marLeft w:val="0"/>
      <w:marRight w:val="0"/>
      <w:marTop w:val="0"/>
      <w:marBottom w:val="0"/>
      <w:divBdr>
        <w:top w:val="none" w:sz="0" w:space="0" w:color="auto"/>
        <w:left w:val="none" w:sz="0" w:space="0" w:color="auto"/>
        <w:bottom w:val="none" w:sz="0" w:space="0" w:color="auto"/>
        <w:right w:val="none" w:sz="0" w:space="0" w:color="auto"/>
      </w:divBdr>
      <w:divsChild>
        <w:div w:id="246382398">
          <w:marLeft w:val="0"/>
          <w:marRight w:val="0"/>
          <w:marTop w:val="0"/>
          <w:marBottom w:val="0"/>
          <w:divBdr>
            <w:top w:val="none" w:sz="0" w:space="0" w:color="auto"/>
            <w:left w:val="none" w:sz="0" w:space="0" w:color="auto"/>
            <w:bottom w:val="none" w:sz="0" w:space="0" w:color="auto"/>
            <w:right w:val="none" w:sz="0" w:space="0" w:color="auto"/>
          </w:divBdr>
        </w:div>
      </w:divsChild>
    </w:div>
    <w:div w:id="249853551">
      <w:marLeft w:val="0"/>
      <w:marRight w:val="0"/>
      <w:marTop w:val="0"/>
      <w:marBottom w:val="0"/>
      <w:divBdr>
        <w:top w:val="none" w:sz="0" w:space="0" w:color="auto"/>
        <w:left w:val="none" w:sz="0" w:space="0" w:color="auto"/>
        <w:bottom w:val="none" w:sz="0" w:space="0" w:color="auto"/>
        <w:right w:val="none" w:sz="0" w:space="0" w:color="auto"/>
      </w:divBdr>
    </w:div>
    <w:div w:id="260455993">
      <w:marLeft w:val="0"/>
      <w:marRight w:val="0"/>
      <w:marTop w:val="0"/>
      <w:marBottom w:val="0"/>
      <w:divBdr>
        <w:top w:val="none" w:sz="0" w:space="0" w:color="auto"/>
        <w:left w:val="none" w:sz="0" w:space="0" w:color="auto"/>
        <w:bottom w:val="none" w:sz="0" w:space="0" w:color="auto"/>
        <w:right w:val="none" w:sz="0" w:space="0" w:color="auto"/>
      </w:divBdr>
      <w:divsChild>
        <w:div w:id="1116097258">
          <w:marLeft w:val="0"/>
          <w:marRight w:val="0"/>
          <w:marTop w:val="0"/>
          <w:marBottom w:val="0"/>
          <w:divBdr>
            <w:top w:val="none" w:sz="0" w:space="0" w:color="auto"/>
            <w:left w:val="none" w:sz="0" w:space="0" w:color="auto"/>
            <w:bottom w:val="none" w:sz="0" w:space="0" w:color="auto"/>
            <w:right w:val="none" w:sz="0" w:space="0" w:color="auto"/>
          </w:divBdr>
        </w:div>
      </w:divsChild>
    </w:div>
    <w:div w:id="270161750">
      <w:marLeft w:val="0"/>
      <w:marRight w:val="0"/>
      <w:marTop w:val="0"/>
      <w:marBottom w:val="0"/>
      <w:divBdr>
        <w:top w:val="none" w:sz="0" w:space="0" w:color="auto"/>
        <w:left w:val="none" w:sz="0" w:space="0" w:color="auto"/>
        <w:bottom w:val="none" w:sz="0" w:space="0" w:color="auto"/>
        <w:right w:val="none" w:sz="0" w:space="0" w:color="auto"/>
      </w:divBdr>
      <w:divsChild>
        <w:div w:id="101455724">
          <w:marLeft w:val="0"/>
          <w:marRight w:val="0"/>
          <w:marTop w:val="0"/>
          <w:marBottom w:val="0"/>
          <w:divBdr>
            <w:top w:val="none" w:sz="0" w:space="0" w:color="auto"/>
            <w:left w:val="none" w:sz="0" w:space="0" w:color="auto"/>
            <w:bottom w:val="none" w:sz="0" w:space="0" w:color="auto"/>
            <w:right w:val="none" w:sz="0" w:space="0" w:color="auto"/>
          </w:divBdr>
        </w:div>
      </w:divsChild>
    </w:div>
    <w:div w:id="273560909">
      <w:marLeft w:val="0"/>
      <w:marRight w:val="0"/>
      <w:marTop w:val="180"/>
      <w:marBottom w:val="180"/>
      <w:divBdr>
        <w:top w:val="none" w:sz="0" w:space="0" w:color="auto"/>
        <w:left w:val="none" w:sz="0" w:space="0" w:color="auto"/>
        <w:bottom w:val="none" w:sz="0" w:space="0" w:color="auto"/>
        <w:right w:val="none" w:sz="0" w:space="0" w:color="auto"/>
      </w:divBdr>
    </w:div>
    <w:div w:id="279073391">
      <w:marLeft w:val="0"/>
      <w:marRight w:val="0"/>
      <w:marTop w:val="0"/>
      <w:marBottom w:val="0"/>
      <w:divBdr>
        <w:top w:val="none" w:sz="0" w:space="0" w:color="auto"/>
        <w:left w:val="none" w:sz="0" w:space="0" w:color="auto"/>
        <w:bottom w:val="none" w:sz="0" w:space="0" w:color="auto"/>
        <w:right w:val="none" w:sz="0" w:space="0" w:color="auto"/>
      </w:divBdr>
    </w:div>
    <w:div w:id="280848380">
      <w:marLeft w:val="0"/>
      <w:marRight w:val="0"/>
      <w:marTop w:val="0"/>
      <w:marBottom w:val="0"/>
      <w:divBdr>
        <w:top w:val="none" w:sz="0" w:space="0" w:color="auto"/>
        <w:left w:val="none" w:sz="0" w:space="0" w:color="auto"/>
        <w:bottom w:val="none" w:sz="0" w:space="0" w:color="auto"/>
        <w:right w:val="none" w:sz="0" w:space="0" w:color="auto"/>
      </w:divBdr>
      <w:divsChild>
        <w:div w:id="158690362">
          <w:marLeft w:val="0"/>
          <w:marRight w:val="0"/>
          <w:marTop w:val="0"/>
          <w:marBottom w:val="0"/>
          <w:divBdr>
            <w:top w:val="none" w:sz="0" w:space="0" w:color="auto"/>
            <w:left w:val="none" w:sz="0" w:space="0" w:color="auto"/>
            <w:bottom w:val="none" w:sz="0" w:space="0" w:color="auto"/>
            <w:right w:val="none" w:sz="0" w:space="0" w:color="auto"/>
          </w:divBdr>
        </w:div>
      </w:divsChild>
    </w:div>
    <w:div w:id="286816191">
      <w:marLeft w:val="0"/>
      <w:marRight w:val="0"/>
      <w:marTop w:val="0"/>
      <w:marBottom w:val="0"/>
      <w:divBdr>
        <w:top w:val="none" w:sz="0" w:space="0" w:color="auto"/>
        <w:left w:val="none" w:sz="0" w:space="0" w:color="auto"/>
        <w:bottom w:val="none" w:sz="0" w:space="0" w:color="auto"/>
        <w:right w:val="none" w:sz="0" w:space="0" w:color="auto"/>
      </w:divBdr>
      <w:divsChild>
        <w:div w:id="259292846">
          <w:marLeft w:val="0"/>
          <w:marRight w:val="0"/>
          <w:marTop w:val="0"/>
          <w:marBottom w:val="0"/>
          <w:divBdr>
            <w:top w:val="none" w:sz="0" w:space="0" w:color="auto"/>
            <w:left w:val="none" w:sz="0" w:space="0" w:color="auto"/>
            <w:bottom w:val="none" w:sz="0" w:space="0" w:color="auto"/>
            <w:right w:val="none" w:sz="0" w:space="0" w:color="auto"/>
          </w:divBdr>
        </w:div>
      </w:divsChild>
    </w:div>
    <w:div w:id="291056265">
      <w:marLeft w:val="0"/>
      <w:marRight w:val="0"/>
      <w:marTop w:val="0"/>
      <w:marBottom w:val="0"/>
      <w:divBdr>
        <w:top w:val="none" w:sz="0" w:space="0" w:color="auto"/>
        <w:left w:val="none" w:sz="0" w:space="0" w:color="auto"/>
        <w:bottom w:val="none" w:sz="0" w:space="0" w:color="auto"/>
        <w:right w:val="none" w:sz="0" w:space="0" w:color="auto"/>
      </w:divBdr>
      <w:divsChild>
        <w:div w:id="560213733">
          <w:marLeft w:val="0"/>
          <w:marRight w:val="0"/>
          <w:marTop w:val="0"/>
          <w:marBottom w:val="0"/>
          <w:divBdr>
            <w:top w:val="none" w:sz="0" w:space="0" w:color="auto"/>
            <w:left w:val="none" w:sz="0" w:space="0" w:color="auto"/>
            <w:bottom w:val="none" w:sz="0" w:space="0" w:color="auto"/>
            <w:right w:val="none" w:sz="0" w:space="0" w:color="auto"/>
          </w:divBdr>
        </w:div>
      </w:divsChild>
    </w:div>
    <w:div w:id="294412399">
      <w:marLeft w:val="0"/>
      <w:marRight w:val="0"/>
      <w:marTop w:val="0"/>
      <w:marBottom w:val="0"/>
      <w:divBdr>
        <w:top w:val="none" w:sz="0" w:space="0" w:color="auto"/>
        <w:left w:val="none" w:sz="0" w:space="0" w:color="auto"/>
        <w:bottom w:val="none" w:sz="0" w:space="0" w:color="auto"/>
        <w:right w:val="none" w:sz="0" w:space="0" w:color="auto"/>
      </w:divBdr>
    </w:div>
    <w:div w:id="304168552">
      <w:marLeft w:val="0"/>
      <w:marRight w:val="0"/>
      <w:marTop w:val="0"/>
      <w:marBottom w:val="0"/>
      <w:divBdr>
        <w:top w:val="none" w:sz="0" w:space="0" w:color="auto"/>
        <w:left w:val="none" w:sz="0" w:space="0" w:color="auto"/>
        <w:bottom w:val="none" w:sz="0" w:space="0" w:color="auto"/>
        <w:right w:val="none" w:sz="0" w:space="0" w:color="auto"/>
      </w:divBdr>
      <w:divsChild>
        <w:div w:id="800614034">
          <w:marLeft w:val="0"/>
          <w:marRight w:val="0"/>
          <w:marTop w:val="0"/>
          <w:marBottom w:val="0"/>
          <w:divBdr>
            <w:top w:val="none" w:sz="0" w:space="0" w:color="auto"/>
            <w:left w:val="none" w:sz="0" w:space="0" w:color="auto"/>
            <w:bottom w:val="none" w:sz="0" w:space="0" w:color="auto"/>
            <w:right w:val="none" w:sz="0" w:space="0" w:color="auto"/>
          </w:divBdr>
        </w:div>
      </w:divsChild>
    </w:div>
    <w:div w:id="310988740">
      <w:marLeft w:val="0"/>
      <w:marRight w:val="0"/>
      <w:marTop w:val="0"/>
      <w:marBottom w:val="0"/>
      <w:divBdr>
        <w:top w:val="none" w:sz="0" w:space="0" w:color="auto"/>
        <w:left w:val="none" w:sz="0" w:space="0" w:color="auto"/>
        <w:bottom w:val="none" w:sz="0" w:space="0" w:color="auto"/>
        <w:right w:val="none" w:sz="0" w:space="0" w:color="auto"/>
      </w:divBdr>
      <w:divsChild>
        <w:div w:id="616253551">
          <w:marLeft w:val="0"/>
          <w:marRight w:val="0"/>
          <w:marTop w:val="0"/>
          <w:marBottom w:val="0"/>
          <w:divBdr>
            <w:top w:val="none" w:sz="0" w:space="0" w:color="auto"/>
            <w:left w:val="none" w:sz="0" w:space="0" w:color="auto"/>
            <w:bottom w:val="none" w:sz="0" w:space="0" w:color="auto"/>
            <w:right w:val="none" w:sz="0" w:space="0" w:color="auto"/>
          </w:divBdr>
        </w:div>
      </w:divsChild>
    </w:div>
    <w:div w:id="314259286">
      <w:marLeft w:val="0"/>
      <w:marRight w:val="0"/>
      <w:marTop w:val="0"/>
      <w:marBottom w:val="0"/>
      <w:divBdr>
        <w:top w:val="none" w:sz="0" w:space="0" w:color="auto"/>
        <w:left w:val="none" w:sz="0" w:space="0" w:color="auto"/>
        <w:bottom w:val="none" w:sz="0" w:space="0" w:color="auto"/>
        <w:right w:val="none" w:sz="0" w:space="0" w:color="auto"/>
      </w:divBdr>
    </w:div>
    <w:div w:id="315036150">
      <w:marLeft w:val="0"/>
      <w:marRight w:val="0"/>
      <w:marTop w:val="100"/>
      <w:marBottom w:val="0"/>
      <w:divBdr>
        <w:top w:val="none" w:sz="0" w:space="0" w:color="auto"/>
        <w:left w:val="none" w:sz="0" w:space="0" w:color="auto"/>
        <w:bottom w:val="none" w:sz="0" w:space="0" w:color="auto"/>
        <w:right w:val="none" w:sz="0" w:space="0" w:color="auto"/>
      </w:divBdr>
    </w:div>
    <w:div w:id="316954844">
      <w:marLeft w:val="0"/>
      <w:marRight w:val="0"/>
      <w:marTop w:val="0"/>
      <w:marBottom w:val="0"/>
      <w:divBdr>
        <w:top w:val="none" w:sz="0" w:space="0" w:color="auto"/>
        <w:left w:val="none" w:sz="0" w:space="0" w:color="auto"/>
        <w:bottom w:val="none" w:sz="0" w:space="0" w:color="auto"/>
        <w:right w:val="none" w:sz="0" w:space="0" w:color="auto"/>
      </w:divBdr>
      <w:divsChild>
        <w:div w:id="2028017746">
          <w:marLeft w:val="0"/>
          <w:marRight w:val="0"/>
          <w:marTop w:val="0"/>
          <w:marBottom w:val="0"/>
          <w:divBdr>
            <w:top w:val="none" w:sz="0" w:space="0" w:color="auto"/>
            <w:left w:val="none" w:sz="0" w:space="0" w:color="auto"/>
            <w:bottom w:val="none" w:sz="0" w:space="0" w:color="auto"/>
            <w:right w:val="none" w:sz="0" w:space="0" w:color="auto"/>
          </w:divBdr>
        </w:div>
      </w:divsChild>
    </w:div>
    <w:div w:id="320232567">
      <w:marLeft w:val="0"/>
      <w:marRight w:val="0"/>
      <w:marTop w:val="0"/>
      <w:marBottom w:val="0"/>
      <w:divBdr>
        <w:top w:val="none" w:sz="0" w:space="0" w:color="auto"/>
        <w:left w:val="none" w:sz="0" w:space="0" w:color="auto"/>
        <w:bottom w:val="none" w:sz="0" w:space="0" w:color="auto"/>
        <w:right w:val="none" w:sz="0" w:space="0" w:color="auto"/>
      </w:divBdr>
    </w:div>
    <w:div w:id="321006528">
      <w:marLeft w:val="0"/>
      <w:marRight w:val="0"/>
      <w:marTop w:val="0"/>
      <w:marBottom w:val="0"/>
      <w:divBdr>
        <w:top w:val="none" w:sz="0" w:space="0" w:color="auto"/>
        <w:left w:val="none" w:sz="0" w:space="0" w:color="auto"/>
        <w:bottom w:val="none" w:sz="0" w:space="0" w:color="auto"/>
        <w:right w:val="none" w:sz="0" w:space="0" w:color="auto"/>
      </w:divBdr>
      <w:divsChild>
        <w:div w:id="10954081">
          <w:marLeft w:val="0"/>
          <w:marRight w:val="0"/>
          <w:marTop w:val="0"/>
          <w:marBottom w:val="0"/>
          <w:divBdr>
            <w:top w:val="none" w:sz="0" w:space="0" w:color="auto"/>
            <w:left w:val="none" w:sz="0" w:space="0" w:color="auto"/>
            <w:bottom w:val="none" w:sz="0" w:space="0" w:color="auto"/>
            <w:right w:val="none" w:sz="0" w:space="0" w:color="auto"/>
          </w:divBdr>
        </w:div>
      </w:divsChild>
    </w:div>
    <w:div w:id="322047869">
      <w:marLeft w:val="0"/>
      <w:marRight w:val="0"/>
      <w:marTop w:val="0"/>
      <w:marBottom w:val="0"/>
      <w:divBdr>
        <w:top w:val="none" w:sz="0" w:space="0" w:color="auto"/>
        <w:left w:val="none" w:sz="0" w:space="0" w:color="auto"/>
        <w:bottom w:val="none" w:sz="0" w:space="0" w:color="auto"/>
        <w:right w:val="none" w:sz="0" w:space="0" w:color="auto"/>
      </w:divBdr>
    </w:div>
    <w:div w:id="340591811">
      <w:marLeft w:val="0"/>
      <w:marRight w:val="0"/>
      <w:marTop w:val="0"/>
      <w:marBottom w:val="0"/>
      <w:divBdr>
        <w:top w:val="none" w:sz="0" w:space="0" w:color="auto"/>
        <w:left w:val="none" w:sz="0" w:space="0" w:color="auto"/>
        <w:bottom w:val="none" w:sz="0" w:space="0" w:color="auto"/>
        <w:right w:val="none" w:sz="0" w:space="0" w:color="auto"/>
      </w:divBdr>
      <w:divsChild>
        <w:div w:id="712384905">
          <w:marLeft w:val="0"/>
          <w:marRight w:val="0"/>
          <w:marTop w:val="0"/>
          <w:marBottom w:val="0"/>
          <w:divBdr>
            <w:top w:val="none" w:sz="0" w:space="0" w:color="auto"/>
            <w:left w:val="none" w:sz="0" w:space="0" w:color="auto"/>
            <w:bottom w:val="none" w:sz="0" w:space="0" w:color="auto"/>
            <w:right w:val="none" w:sz="0" w:space="0" w:color="auto"/>
          </w:divBdr>
        </w:div>
      </w:divsChild>
    </w:div>
    <w:div w:id="344674491">
      <w:marLeft w:val="0"/>
      <w:marRight w:val="0"/>
      <w:marTop w:val="180"/>
      <w:marBottom w:val="0"/>
      <w:divBdr>
        <w:top w:val="none" w:sz="0" w:space="0" w:color="auto"/>
        <w:left w:val="none" w:sz="0" w:space="0" w:color="auto"/>
        <w:bottom w:val="none" w:sz="0" w:space="0" w:color="auto"/>
        <w:right w:val="none" w:sz="0" w:space="0" w:color="auto"/>
      </w:divBdr>
    </w:div>
    <w:div w:id="348801766">
      <w:marLeft w:val="0"/>
      <w:marRight w:val="0"/>
      <w:marTop w:val="0"/>
      <w:marBottom w:val="0"/>
      <w:divBdr>
        <w:top w:val="none" w:sz="0" w:space="0" w:color="auto"/>
        <w:left w:val="none" w:sz="0" w:space="0" w:color="auto"/>
        <w:bottom w:val="none" w:sz="0" w:space="0" w:color="auto"/>
        <w:right w:val="none" w:sz="0" w:space="0" w:color="auto"/>
      </w:divBdr>
    </w:div>
    <w:div w:id="358047160">
      <w:marLeft w:val="0"/>
      <w:marRight w:val="0"/>
      <w:marTop w:val="0"/>
      <w:marBottom w:val="0"/>
      <w:divBdr>
        <w:top w:val="none" w:sz="0" w:space="0" w:color="auto"/>
        <w:left w:val="none" w:sz="0" w:space="0" w:color="auto"/>
        <w:bottom w:val="none" w:sz="0" w:space="0" w:color="auto"/>
        <w:right w:val="none" w:sz="0" w:space="0" w:color="auto"/>
      </w:divBdr>
      <w:divsChild>
        <w:div w:id="1237519531">
          <w:marLeft w:val="0"/>
          <w:marRight w:val="0"/>
          <w:marTop w:val="0"/>
          <w:marBottom w:val="0"/>
          <w:divBdr>
            <w:top w:val="none" w:sz="0" w:space="0" w:color="auto"/>
            <w:left w:val="none" w:sz="0" w:space="0" w:color="auto"/>
            <w:bottom w:val="none" w:sz="0" w:space="0" w:color="auto"/>
            <w:right w:val="none" w:sz="0" w:space="0" w:color="auto"/>
          </w:divBdr>
        </w:div>
      </w:divsChild>
    </w:div>
    <w:div w:id="361175707">
      <w:marLeft w:val="0"/>
      <w:marRight w:val="0"/>
      <w:marTop w:val="100"/>
      <w:marBottom w:val="0"/>
      <w:divBdr>
        <w:top w:val="none" w:sz="0" w:space="0" w:color="auto"/>
        <w:left w:val="none" w:sz="0" w:space="0" w:color="auto"/>
        <w:bottom w:val="none" w:sz="0" w:space="0" w:color="auto"/>
        <w:right w:val="none" w:sz="0" w:space="0" w:color="auto"/>
      </w:divBdr>
    </w:div>
    <w:div w:id="364520008">
      <w:marLeft w:val="0"/>
      <w:marRight w:val="0"/>
      <w:marTop w:val="0"/>
      <w:marBottom w:val="0"/>
      <w:divBdr>
        <w:top w:val="none" w:sz="0" w:space="0" w:color="auto"/>
        <w:left w:val="none" w:sz="0" w:space="0" w:color="auto"/>
        <w:bottom w:val="none" w:sz="0" w:space="0" w:color="auto"/>
        <w:right w:val="none" w:sz="0" w:space="0" w:color="auto"/>
      </w:divBdr>
    </w:div>
    <w:div w:id="365370456">
      <w:marLeft w:val="0"/>
      <w:marRight w:val="0"/>
      <w:marTop w:val="0"/>
      <w:marBottom w:val="0"/>
      <w:divBdr>
        <w:top w:val="none" w:sz="0" w:space="0" w:color="auto"/>
        <w:left w:val="none" w:sz="0" w:space="0" w:color="auto"/>
        <w:bottom w:val="none" w:sz="0" w:space="0" w:color="auto"/>
        <w:right w:val="none" w:sz="0" w:space="0" w:color="auto"/>
      </w:divBdr>
      <w:divsChild>
        <w:div w:id="259221128">
          <w:marLeft w:val="0"/>
          <w:marRight w:val="0"/>
          <w:marTop w:val="0"/>
          <w:marBottom w:val="0"/>
          <w:divBdr>
            <w:top w:val="none" w:sz="0" w:space="0" w:color="auto"/>
            <w:left w:val="none" w:sz="0" w:space="0" w:color="auto"/>
            <w:bottom w:val="none" w:sz="0" w:space="0" w:color="auto"/>
            <w:right w:val="none" w:sz="0" w:space="0" w:color="auto"/>
          </w:divBdr>
        </w:div>
      </w:divsChild>
    </w:div>
    <w:div w:id="366374872">
      <w:marLeft w:val="0"/>
      <w:marRight w:val="0"/>
      <w:marTop w:val="0"/>
      <w:marBottom w:val="0"/>
      <w:divBdr>
        <w:top w:val="none" w:sz="0" w:space="0" w:color="auto"/>
        <w:left w:val="none" w:sz="0" w:space="0" w:color="auto"/>
        <w:bottom w:val="none" w:sz="0" w:space="0" w:color="auto"/>
        <w:right w:val="none" w:sz="0" w:space="0" w:color="auto"/>
      </w:divBdr>
    </w:div>
    <w:div w:id="366873760">
      <w:marLeft w:val="0"/>
      <w:marRight w:val="0"/>
      <w:marTop w:val="100"/>
      <w:marBottom w:val="0"/>
      <w:divBdr>
        <w:top w:val="none" w:sz="0" w:space="0" w:color="auto"/>
        <w:left w:val="none" w:sz="0" w:space="0" w:color="auto"/>
        <w:bottom w:val="none" w:sz="0" w:space="0" w:color="auto"/>
        <w:right w:val="none" w:sz="0" w:space="0" w:color="auto"/>
      </w:divBdr>
    </w:div>
    <w:div w:id="375351088">
      <w:marLeft w:val="0"/>
      <w:marRight w:val="0"/>
      <w:marTop w:val="0"/>
      <w:marBottom w:val="0"/>
      <w:divBdr>
        <w:top w:val="none" w:sz="0" w:space="0" w:color="auto"/>
        <w:left w:val="none" w:sz="0" w:space="0" w:color="auto"/>
        <w:bottom w:val="none" w:sz="0" w:space="0" w:color="auto"/>
        <w:right w:val="none" w:sz="0" w:space="0" w:color="auto"/>
      </w:divBdr>
      <w:divsChild>
        <w:div w:id="1209680127">
          <w:marLeft w:val="0"/>
          <w:marRight w:val="0"/>
          <w:marTop w:val="0"/>
          <w:marBottom w:val="0"/>
          <w:divBdr>
            <w:top w:val="none" w:sz="0" w:space="0" w:color="auto"/>
            <w:left w:val="none" w:sz="0" w:space="0" w:color="auto"/>
            <w:bottom w:val="none" w:sz="0" w:space="0" w:color="auto"/>
            <w:right w:val="none" w:sz="0" w:space="0" w:color="auto"/>
          </w:divBdr>
        </w:div>
      </w:divsChild>
    </w:div>
    <w:div w:id="382676739">
      <w:marLeft w:val="0"/>
      <w:marRight w:val="0"/>
      <w:marTop w:val="0"/>
      <w:marBottom w:val="0"/>
      <w:divBdr>
        <w:top w:val="none" w:sz="0" w:space="0" w:color="auto"/>
        <w:left w:val="none" w:sz="0" w:space="0" w:color="auto"/>
        <w:bottom w:val="none" w:sz="0" w:space="0" w:color="auto"/>
        <w:right w:val="none" w:sz="0" w:space="0" w:color="auto"/>
      </w:divBdr>
    </w:div>
    <w:div w:id="386143966">
      <w:marLeft w:val="0"/>
      <w:marRight w:val="0"/>
      <w:marTop w:val="0"/>
      <w:marBottom w:val="0"/>
      <w:divBdr>
        <w:top w:val="none" w:sz="0" w:space="0" w:color="auto"/>
        <w:left w:val="none" w:sz="0" w:space="0" w:color="auto"/>
        <w:bottom w:val="none" w:sz="0" w:space="0" w:color="auto"/>
        <w:right w:val="none" w:sz="0" w:space="0" w:color="auto"/>
      </w:divBdr>
      <w:divsChild>
        <w:div w:id="1504662314">
          <w:marLeft w:val="0"/>
          <w:marRight w:val="0"/>
          <w:marTop w:val="0"/>
          <w:marBottom w:val="0"/>
          <w:divBdr>
            <w:top w:val="none" w:sz="0" w:space="0" w:color="auto"/>
            <w:left w:val="none" w:sz="0" w:space="0" w:color="auto"/>
            <w:bottom w:val="none" w:sz="0" w:space="0" w:color="auto"/>
            <w:right w:val="none" w:sz="0" w:space="0" w:color="auto"/>
          </w:divBdr>
        </w:div>
      </w:divsChild>
    </w:div>
    <w:div w:id="386490609">
      <w:marLeft w:val="0"/>
      <w:marRight w:val="0"/>
      <w:marTop w:val="0"/>
      <w:marBottom w:val="160"/>
      <w:divBdr>
        <w:top w:val="none" w:sz="0" w:space="0" w:color="auto"/>
        <w:left w:val="none" w:sz="0" w:space="0" w:color="auto"/>
        <w:bottom w:val="none" w:sz="0" w:space="0" w:color="auto"/>
        <w:right w:val="none" w:sz="0" w:space="0" w:color="auto"/>
      </w:divBdr>
    </w:div>
    <w:div w:id="393161632">
      <w:marLeft w:val="0"/>
      <w:marRight w:val="0"/>
      <w:marTop w:val="0"/>
      <w:marBottom w:val="0"/>
      <w:divBdr>
        <w:top w:val="none" w:sz="0" w:space="0" w:color="auto"/>
        <w:left w:val="none" w:sz="0" w:space="0" w:color="auto"/>
        <w:bottom w:val="none" w:sz="0" w:space="0" w:color="auto"/>
        <w:right w:val="none" w:sz="0" w:space="0" w:color="auto"/>
      </w:divBdr>
      <w:divsChild>
        <w:div w:id="2085763647">
          <w:marLeft w:val="0"/>
          <w:marRight w:val="0"/>
          <w:marTop w:val="0"/>
          <w:marBottom w:val="0"/>
          <w:divBdr>
            <w:top w:val="none" w:sz="0" w:space="0" w:color="auto"/>
            <w:left w:val="none" w:sz="0" w:space="0" w:color="auto"/>
            <w:bottom w:val="none" w:sz="0" w:space="0" w:color="auto"/>
            <w:right w:val="none" w:sz="0" w:space="0" w:color="auto"/>
          </w:divBdr>
        </w:div>
      </w:divsChild>
    </w:div>
    <w:div w:id="396587672">
      <w:marLeft w:val="0"/>
      <w:marRight w:val="0"/>
      <w:marTop w:val="0"/>
      <w:marBottom w:val="0"/>
      <w:divBdr>
        <w:top w:val="none" w:sz="0" w:space="0" w:color="auto"/>
        <w:left w:val="none" w:sz="0" w:space="0" w:color="auto"/>
        <w:bottom w:val="none" w:sz="0" w:space="0" w:color="auto"/>
        <w:right w:val="none" w:sz="0" w:space="0" w:color="auto"/>
      </w:divBdr>
    </w:div>
    <w:div w:id="401367258">
      <w:marLeft w:val="0"/>
      <w:marRight w:val="0"/>
      <w:marTop w:val="180"/>
      <w:marBottom w:val="0"/>
      <w:divBdr>
        <w:top w:val="none" w:sz="0" w:space="0" w:color="auto"/>
        <w:left w:val="none" w:sz="0" w:space="0" w:color="auto"/>
        <w:bottom w:val="none" w:sz="0" w:space="0" w:color="auto"/>
        <w:right w:val="none" w:sz="0" w:space="0" w:color="auto"/>
      </w:divBdr>
    </w:div>
    <w:div w:id="401567851">
      <w:marLeft w:val="0"/>
      <w:marRight w:val="0"/>
      <w:marTop w:val="100"/>
      <w:marBottom w:val="0"/>
      <w:divBdr>
        <w:top w:val="none" w:sz="0" w:space="0" w:color="auto"/>
        <w:left w:val="none" w:sz="0" w:space="0" w:color="auto"/>
        <w:bottom w:val="none" w:sz="0" w:space="0" w:color="auto"/>
        <w:right w:val="none" w:sz="0" w:space="0" w:color="auto"/>
      </w:divBdr>
    </w:div>
    <w:div w:id="403454035">
      <w:marLeft w:val="0"/>
      <w:marRight w:val="0"/>
      <w:marTop w:val="0"/>
      <w:marBottom w:val="60"/>
      <w:divBdr>
        <w:top w:val="none" w:sz="0" w:space="0" w:color="auto"/>
        <w:left w:val="none" w:sz="0" w:space="0" w:color="auto"/>
        <w:bottom w:val="none" w:sz="0" w:space="0" w:color="auto"/>
        <w:right w:val="none" w:sz="0" w:space="0" w:color="auto"/>
      </w:divBdr>
    </w:div>
    <w:div w:id="403724094">
      <w:marLeft w:val="0"/>
      <w:marRight w:val="0"/>
      <w:marTop w:val="20"/>
      <w:marBottom w:val="0"/>
      <w:divBdr>
        <w:top w:val="none" w:sz="0" w:space="0" w:color="auto"/>
        <w:left w:val="none" w:sz="0" w:space="0" w:color="auto"/>
        <w:bottom w:val="none" w:sz="0" w:space="0" w:color="auto"/>
        <w:right w:val="none" w:sz="0" w:space="0" w:color="auto"/>
      </w:divBdr>
    </w:div>
    <w:div w:id="415322091">
      <w:marLeft w:val="0"/>
      <w:marRight w:val="0"/>
      <w:marTop w:val="0"/>
      <w:marBottom w:val="0"/>
      <w:divBdr>
        <w:top w:val="none" w:sz="0" w:space="0" w:color="auto"/>
        <w:left w:val="none" w:sz="0" w:space="0" w:color="auto"/>
        <w:bottom w:val="none" w:sz="0" w:space="0" w:color="auto"/>
        <w:right w:val="none" w:sz="0" w:space="0" w:color="auto"/>
      </w:divBdr>
    </w:div>
    <w:div w:id="415596276">
      <w:marLeft w:val="0"/>
      <w:marRight w:val="0"/>
      <w:marTop w:val="0"/>
      <w:marBottom w:val="0"/>
      <w:divBdr>
        <w:top w:val="none" w:sz="0" w:space="0" w:color="auto"/>
        <w:left w:val="none" w:sz="0" w:space="0" w:color="auto"/>
        <w:bottom w:val="none" w:sz="0" w:space="0" w:color="auto"/>
        <w:right w:val="none" w:sz="0" w:space="0" w:color="auto"/>
      </w:divBdr>
      <w:divsChild>
        <w:div w:id="1561553598">
          <w:marLeft w:val="0"/>
          <w:marRight w:val="0"/>
          <w:marTop w:val="0"/>
          <w:marBottom w:val="0"/>
          <w:divBdr>
            <w:top w:val="none" w:sz="0" w:space="0" w:color="auto"/>
            <w:left w:val="none" w:sz="0" w:space="0" w:color="auto"/>
            <w:bottom w:val="none" w:sz="0" w:space="0" w:color="auto"/>
            <w:right w:val="none" w:sz="0" w:space="0" w:color="auto"/>
          </w:divBdr>
        </w:div>
      </w:divsChild>
    </w:div>
    <w:div w:id="424375866">
      <w:marLeft w:val="0"/>
      <w:marRight w:val="0"/>
      <w:marTop w:val="100"/>
      <w:marBottom w:val="0"/>
      <w:divBdr>
        <w:top w:val="none" w:sz="0" w:space="0" w:color="auto"/>
        <w:left w:val="none" w:sz="0" w:space="0" w:color="auto"/>
        <w:bottom w:val="none" w:sz="0" w:space="0" w:color="auto"/>
        <w:right w:val="none" w:sz="0" w:space="0" w:color="auto"/>
      </w:divBdr>
    </w:div>
    <w:div w:id="433327291">
      <w:marLeft w:val="0"/>
      <w:marRight w:val="0"/>
      <w:marTop w:val="180"/>
      <w:marBottom w:val="0"/>
      <w:divBdr>
        <w:top w:val="none" w:sz="0" w:space="0" w:color="auto"/>
        <w:left w:val="none" w:sz="0" w:space="0" w:color="auto"/>
        <w:bottom w:val="none" w:sz="0" w:space="0" w:color="auto"/>
        <w:right w:val="none" w:sz="0" w:space="0" w:color="auto"/>
      </w:divBdr>
    </w:div>
    <w:div w:id="446389960">
      <w:marLeft w:val="0"/>
      <w:marRight w:val="0"/>
      <w:marTop w:val="0"/>
      <w:marBottom w:val="0"/>
      <w:divBdr>
        <w:top w:val="none" w:sz="0" w:space="0" w:color="auto"/>
        <w:left w:val="none" w:sz="0" w:space="0" w:color="auto"/>
        <w:bottom w:val="none" w:sz="0" w:space="0" w:color="auto"/>
        <w:right w:val="none" w:sz="0" w:space="0" w:color="auto"/>
      </w:divBdr>
    </w:div>
    <w:div w:id="460535906">
      <w:marLeft w:val="0"/>
      <w:marRight w:val="0"/>
      <w:marTop w:val="0"/>
      <w:marBottom w:val="0"/>
      <w:divBdr>
        <w:top w:val="none" w:sz="0" w:space="0" w:color="auto"/>
        <w:left w:val="none" w:sz="0" w:space="0" w:color="auto"/>
        <w:bottom w:val="none" w:sz="0" w:space="0" w:color="auto"/>
        <w:right w:val="none" w:sz="0" w:space="0" w:color="auto"/>
      </w:divBdr>
    </w:div>
    <w:div w:id="464591590">
      <w:marLeft w:val="0"/>
      <w:marRight w:val="0"/>
      <w:marTop w:val="0"/>
      <w:marBottom w:val="60"/>
      <w:divBdr>
        <w:top w:val="none" w:sz="0" w:space="0" w:color="auto"/>
        <w:left w:val="none" w:sz="0" w:space="0" w:color="auto"/>
        <w:bottom w:val="none" w:sz="0" w:space="0" w:color="auto"/>
        <w:right w:val="none" w:sz="0" w:space="0" w:color="auto"/>
      </w:divBdr>
    </w:div>
    <w:div w:id="471407285">
      <w:marLeft w:val="0"/>
      <w:marRight w:val="0"/>
      <w:marTop w:val="0"/>
      <w:marBottom w:val="0"/>
      <w:divBdr>
        <w:top w:val="none" w:sz="0" w:space="0" w:color="auto"/>
        <w:left w:val="none" w:sz="0" w:space="0" w:color="auto"/>
        <w:bottom w:val="none" w:sz="0" w:space="0" w:color="auto"/>
        <w:right w:val="none" w:sz="0" w:space="0" w:color="auto"/>
      </w:divBdr>
    </w:div>
    <w:div w:id="472335125">
      <w:marLeft w:val="0"/>
      <w:marRight w:val="0"/>
      <w:marTop w:val="80"/>
      <w:marBottom w:val="0"/>
      <w:divBdr>
        <w:top w:val="none" w:sz="0" w:space="0" w:color="auto"/>
        <w:left w:val="none" w:sz="0" w:space="0" w:color="auto"/>
        <w:bottom w:val="none" w:sz="0" w:space="0" w:color="auto"/>
        <w:right w:val="none" w:sz="0" w:space="0" w:color="auto"/>
      </w:divBdr>
    </w:div>
    <w:div w:id="473565752">
      <w:marLeft w:val="0"/>
      <w:marRight w:val="0"/>
      <w:marTop w:val="60"/>
      <w:marBottom w:val="60"/>
      <w:divBdr>
        <w:top w:val="none" w:sz="0" w:space="0" w:color="auto"/>
        <w:left w:val="none" w:sz="0" w:space="0" w:color="auto"/>
        <w:bottom w:val="none" w:sz="0" w:space="0" w:color="auto"/>
        <w:right w:val="none" w:sz="0" w:space="0" w:color="auto"/>
      </w:divBdr>
    </w:div>
    <w:div w:id="475683751">
      <w:marLeft w:val="0"/>
      <w:marRight w:val="0"/>
      <w:marTop w:val="0"/>
      <w:marBottom w:val="0"/>
      <w:divBdr>
        <w:top w:val="none" w:sz="0" w:space="0" w:color="auto"/>
        <w:left w:val="none" w:sz="0" w:space="0" w:color="auto"/>
        <w:bottom w:val="none" w:sz="0" w:space="0" w:color="auto"/>
        <w:right w:val="none" w:sz="0" w:space="0" w:color="auto"/>
      </w:divBdr>
    </w:div>
    <w:div w:id="477111913">
      <w:marLeft w:val="0"/>
      <w:marRight w:val="0"/>
      <w:marTop w:val="180"/>
      <w:marBottom w:val="180"/>
      <w:divBdr>
        <w:top w:val="none" w:sz="0" w:space="0" w:color="auto"/>
        <w:left w:val="none" w:sz="0" w:space="0" w:color="auto"/>
        <w:bottom w:val="none" w:sz="0" w:space="0" w:color="auto"/>
        <w:right w:val="none" w:sz="0" w:space="0" w:color="auto"/>
      </w:divBdr>
    </w:div>
    <w:div w:id="479932483">
      <w:marLeft w:val="0"/>
      <w:marRight w:val="0"/>
      <w:marTop w:val="0"/>
      <w:marBottom w:val="0"/>
      <w:divBdr>
        <w:top w:val="none" w:sz="0" w:space="0" w:color="auto"/>
        <w:left w:val="none" w:sz="0" w:space="0" w:color="auto"/>
        <w:bottom w:val="none" w:sz="0" w:space="0" w:color="auto"/>
        <w:right w:val="none" w:sz="0" w:space="0" w:color="auto"/>
      </w:divBdr>
    </w:div>
    <w:div w:id="480074672">
      <w:marLeft w:val="0"/>
      <w:marRight w:val="0"/>
      <w:marTop w:val="0"/>
      <w:marBottom w:val="0"/>
      <w:divBdr>
        <w:top w:val="none" w:sz="0" w:space="0" w:color="auto"/>
        <w:left w:val="none" w:sz="0" w:space="0" w:color="auto"/>
        <w:bottom w:val="none" w:sz="0" w:space="0" w:color="auto"/>
        <w:right w:val="none" w:sz="0" w:space="0" w:color="auto"/>
      </w:divBdr>
      <w:divsChild>
        <w:div w:id="858737023">
          <w:marLeft w:val="0"/>
          <w:marRight w:val="0"/>
          <w:marTop w:val="0"/>
          <w:marBottom w:val="0"/>
          <w:divBdr>
            <w:top w:val="none" w:sz="0" w:space="0" w:color="auto"/>
            <w:left w:val="none" w:sz="0" w:space="0" w:color="auto"/>
            <w:bottom w:val="none" w:sz="0" w:space="0" w:color="auto"/>
            <w:right w:val="none" w:sz="0" w:space="0" w:color="auto"/>
          </w:divBdr>
        </w:div>
      </w:divsChild>
    </w:div>
    <w:div w:id="485172010">
      <w:marLeft w:val="0"/>
      <w:marRight w:val="0"/>
      <w:marTop w:val="100"/>
      <w:marBottom w:val="0"/>
      <w:divBdr>
        <w:top w:val="none" w:sz="0" w:space="0" w:color="auto"/>
        <w:left w:val="none" w:sz="0" w:space="0" w:color="auto"/>
        <w:bottom w:val="none" w:sz="0" w:space="0" w:color="auto"/>
        <w:right w:val="none" w:sz="0" w:space="0" w:color="auto"/>
      </w:divBdr>
    </w:div>
    <w:div w:id="493424013">
      <w:marLeft w:val="0"/>
      <w:marRight w:val="0"/>
      <w:marTop w:val="0"/>
      <w:marBottom w:val="0"/>
      <w:divBdr>
        <w:top w:val="none" w:sz="0" w:space="0" w:color="auto"/>
        <w:left w:val="none" w:sz="0" w:space="0" w:color="auto"/>
        <w:bottom w:val="none" w:sz="0" w:space="0" w:color="auto"/>
        <w:right w:val="none" w:sz="0" w:space="0" w:color="auto"/>
      </w:divBdr>
      <w:divsChild>
        <w:div w:id="1687292122">
          <w:marLeft w:val="0"/>
          <w:marRight w:val="0"/>
          <w:marTop w:val="0"/>
          <w:marBottom w:val="0"/>
          <w:divBdr>
            <w:top w:val="none" w:sz="0" w:space="0" w:color="auto"/>
            <w:left w:val="none" w:sz="0" w:space="0" w:color="auto"/>
            <w:bottom w:val="none" w:sz="0" w:space="0" w:color="auto"/>
            <w:right w:val="none" w:sz="0" w:space="0" w:color="auto"/>
          </w:divBdr>
        </w:div>
      </w:divsChild>
    </w:div>
    <w:div w:id="500506606">
      <w:marLeft w:val="0"/>
      <w:marRight w:val="0"/>
      <w:marTop w:val="100"/>
      <w:marBottom w:val="0"/>
      <w:divBdr>
        <w:top w:val="none" w:sz="0" w:space="0" w:color="auto"/>
        <w:left w:val="none" w:sz="0" w:space="0" w:color="auto"/>
        <w:bottom w:val="none" w:sz="0" w:space="0" w:color="auto"/>
        <w:right w:val="none" w:sz="0" w:space="0" w:color="auto"/>
      </w:divBdr>
    </w:div>
    <w:div w:id="501092675">
      <w:marLeft w:val="0"/>
      <w:marRight w:val="0"/>
      <w:marTop w:val="0"/>
      <w:marBottom w:val="0"/>
      <w:divBdr>
        <w:top w:val="none" w:sz="0" w:space="0" w:color="auto"/>
        <w:left w:val="none" w:sz="0" w:space="0" w:color="auto"/>
        <w:bottom w:val="none" w:sz="0" w:space="0" w:color="auto"/>
        <w:right w:val="none" w:sz="0" w:space="0" w:color="auto"/>
      </w:divBdr>
      <w:divsChild>
        <w:div w:id="263618289">
          <w:marLeft w:val="0"/>
          <w:marRight w:val="0"/>
          <w:marTop w:val="0"/>
          <w:marBottom w:val="0"/>
          <w:divBdr>
            <w:top w:val="none" w:sz="0" w:space="0" w:color="auto"/>
            <w:left w:val="none" w:sz="0" w:space="0" w:color="auto"/>
            <w:bottom w:val="none" w:sz="0" w:space="0" w:color="auto"/>
            <w:right w:val="none" w:sz="0" w:space="0" w:color="auto"/>
          </w:divBdr>
        </w:div>
      </w:divsChild>
    </w:div>
    <w:div w:id="502354453">
      <w:marLeft w:val="0"/>
      <w:marRight w:val="0"/>
      <w:marTop w:val="100"/>
      <w:marBottom w:val="0"/>
      <w:divBdr>
        <w:top w:val="none" w:sz="0" w:space="0" w:color="auto"/>
        <w:left w:val="none" w:sz="0" w:space="0" w:color="auto"/>
        <w:bottom w:val="none" w:sz="0" w:space="0" w:color="auto"/>
        <w:right w:val="none" w:sz="0" w:space="0" w:color="auto"/>
      </w:divBdr>
    </w:div>
    <w:div w:id="507065227">
      <w:marLeft w:val="0"/>
      <w:marRight w:val="0"/>
      <w:marTop w:val="0"/>
      <w:marBottom w:val="0"/>
      <w:divBdr>
        <w:top w:val="none" w:sz="0" w:space="0" w:color="auto"/>
        <w:left w:val="none" w:sz="0" w:space="0" w:color="auto"/>
        <w:bottom w:val="none" w:sz="0" w:space="0" w:color="auto"/>
        <w:right w:val="none" w:sz="0" w:space="0" w:color="auto"/>
      </w:divBdr>
    </w:div>
    <w:div w:id="520436203">
      <w:marLeft w:val="0"/>
      <w:marRight w:val="0"/>
      <w:marTop w:val="0"/>
      <w:marBottom w:val="0"/>
      <w:divBdr>
        <w:top w:val="none" w:sz="0" w:space="0" w:color="auto"/>
        <w:left w:val="none" w:sz="0" w:space="0" w:color="auto"/>
        <w:bottom w:val="none" w:sz="0" w:space="0" w:color="auto"/>
        <w:right w:val="none" w:sz="0" w:space="0" w:color="auto"/>
      </w:divBdr>
    </w:div>
    <w:div w:id="524294657">
      <w:marLeft w:val="0"/>
      <w:marRight w:val="0"/>
      <w:marTop w:val="0"/>
      <w:marBottom w:val="0"/>
      <w:divBdr>
        <w:top w:val="none" w:sz="0" w:space="0" w:color="auto"/>
        <w:left w:val="none" w:sz="0" w:space="0" w:color="auto"/>
        <w:bottom w:val="none" w:sz="0" w:space="0" w:color="auto"/>
        <w:right w:val="none" w:sz="0" w:space="0" w:color="auto"/>
      </w:divBdr>
      <w:divsChild>
        <w:div w:id="1342275393">
          <w:marLeft w:val="0"/>
          <w:marRight w:val="0"/>
          <w:marTop w:val="0"/>
          <w:marBottom w:val="0"/>
          <w:divBdr>
            <w:top w:val="none" w:sz="0" w:space="0" w:color="auto"/>
            <w:left w:val="none" w:sz="0" w:space="0" w:color="auto"/>
            <w:bottom w:val="none" w:sz="0" w:space="0" w:color="auto"/>
            <w:right w:val="none" w:sz="0" w:space="0" w:color="auto"/>
          </w:divBdr>
        </w:div>
      </w:divsChild>
    </w:div>
    <w:div w:id="525631192">
      <w:marLeft w:val="0"/>
      <w:marRight w:val="0"/>
      <w:marTop w:val="100"/>
      <w:marBottom w:val="0"/>
      <w:divBdr>
        <w:top w:val="none" w:sz="0" w:space="0" w:color="auto"/>
        <w:left w:val="none" w:sz="0" w:space="0" w:color="auto"/>
        <w:bottom w:val="none" w:sz="0" w:space="0" w:color="auto"/>
        <w:right w:val="none" w:sz="0" w:space="0" w:color="auto"/>
      </w:divBdr>
    </w:div>
    <w:div w:id="526018937">
      <w:marLeft w:val="0"/>
      <w:marRight w:val="0"/>
      <w:marTop w:val="0"/>
      <w:marBottom w:val="0"/>
      <w:divBdr>
        <w:top w:val="none" w:sz="0" w:space="0" w:color="auto"/>
        <w:left w:val="none" w:sz="0" w:space="0" w:color="auto"/>
        <w:bottom w:val="none" w:sz="0" w:space="0" w:color="auto"/>
        <w:right w:val="none" w:sz="0" w:space="0" w:color="auto"/>
      </w:divBdr>
    </w:div>
    <w:div w:id="532497439">
      <w:marLeft w:val="0"/>
      <w:marRight w:val="0"/>
      <w:marTop w:val="0"/>
      <w:marBottom w:val="0"/>
      <w:divBdr>
        <w:top w:val="none" w:sz="0" w:space="0" w:color="auto"/>
        <w:left w:val="none" w:sz="0" w:space="0" w:color="auto"/>
        <w:bottom w:val="none" w:sz="0" w:space="0" w:color="auto"/>
        <w:right w:val="none" w:sz="0" w:space="0" w:color="auto"/>
      </w:divBdr>
      <w:divsChild>
        <w:div w:id="745802984">
          <w:marLeft w:val="0"/>
          <w:marRight w:val="0"/>
          <w:marTop w:val="0"/>
          <w:marBottom w:val="0"/>
          <w:divBdr>
            <w:top w:val="none" w:sz="0" w:space="0" w:color="auto"/>
            <w:left w:val="none" w:sz="0" w:space="0" w:color="auto"/>
            <w:bottom w:val="none" w:sz="0" w:space="0" w:color="auto"/>
            <w:right w:val="none" w:sz="0" w:space="0" w:color="auto"/>
          </w:divBdr>
        </w:div>
      </w:divsChild>
    </w:div>
    <w:div w:id="536813801">
      <w:marLeft w:val="0"/>
      <w:marRight w:val="0"/>
      <w:marTop w:val="0"/>
      <w:marBottom w:val="0"/>
      <w:divBdr>
        <w:top w:val="none" w:sz="0" w:space="0" w:color="auto"/>
        <w:left w:val="none" w:sz="0" w:space="0" w:color="auto"/>
        <w:bottom w:val="none" w:sz="0" w:space="0" w:color="auto"/>
        <w:right w:val="none" w:sz="0" w:space="0" w:color="auto"/>
      </w:divBdr>
    </w:div>
    <w:div w:id="544415030">
      <w:marLeft w:val="0"/>
      <w:marRight w:val="0"/>
      <w:marTop w:val="100"/>
      <w:marBottom w:val="0"/>
      <w:divBdr>
        <w:top w:val="none" w:sz="0" w:space="0" w:color="auto"/>
        <w:left w:val="none" w:sz="0" w:space="0" w:color="auto"/>
        <w:bottom w:val="none" w:sz="0" w:space="0" w:color="auto"/>
        <w:right w:val="none" w:sz="0" w:space="0" w:color="auto"/>
      </w:divBdr>
    </w:div>
    <w:div w:id="550270813">
      <w:marLeft w:val="0"/>
      <w:marRight w:val="0"/>
      <w:marTop w:val="0"/>
      <w:marBottom w:val="0"/>
      <w:divBdr>
        <w:top w:val="none" w:sz="0" w:space="0" w:color="auto"/>
        <w:left w:val="none" w:sz="0" w:space="0" w:color="auto"/>
        <w:bottom w:val="none" w:sz="0" w:space="0" w:color="auto"/>
        <w:right w:val="none" w:sz="0" w:space="0" w:color="auto"/>
      </w:divBdr>
    </w:div>
    <w:div w:id="553271086">
      <w:marLeft w:val="0"/>
      <w:marRight w:val="0"/>
      <w:marTop w:val="0"/>
      <w:marBottom w:val="0"/>
      <w:divBdr>
        <w:top w:val="none" w:sz="0" w:space="0" w:color="auto"/>
        <w:left w:val="none" w:sz="0" w:space="0" w:color="auto"/>
        <w:bottom w:val="none" w:sz="0" w:space="0" w:color="auto"/>
        <w:right w:val="none" w:sz="0" w:space="0" w:color="auto"/>
      </w:divBdr>
      <w:divsChild>
        <w:div w:id="846408608">
          <w:marLeft w:val="0"/>
          <w:marRight w:val="0"/>
          <w:marTop w:val="0"/>
          <w:marBottom w:val="0"/>
          <w:divBdr>
            <w:top w:val="none" w:sz="0" w:space="0" w:color="auto"/>
            <w:left w:val="none" w:sz="0" w:space="0" w:color="auto"/>
            <w:bottom w:val="none" w:sz="0" w:space="0" w:color="auto"/>
            <w:right w:val="none" w:sz="0" w:space="0" w:color="auto"/>
          </w:divBdr>
        </w:div>
      </w:divsChild>
    </w:div>
    <w:div w:id="555094983">
      <w:marLeft w:val="0"/>
      <w:marRight w:val="0"/>
      <w:marTop w:val="0"/>
      <w:marBottom w:val="0"/>
      <w:divBdr>
        <w:top w:val="none" w:sz="0" w:space="0" w:color="auto"/>
        <w:left w:val="none" w:sz="0" w:space="0" w:color="auto"/>
        <w:bottom w:val="none" w:sz="0" w:space="0" w:color="auto"/>
        <w:right w:val="none" w:sz="0" w:space="0" w:color="auto"/>
      </w:divBdr>
    </w:div>
    <w:div w:id="556428637">
      <w:marLeft w:val="0"/>
      <w:marRight w:val="0"/>
      <w:marTop w:val="180"/>
      <w:marBottom w:val="0"/>
      <w:divBdr>
        <w:top w:val="none" w:sz="0" w:space="0" w:color="auto"/>
        <w:left w:val="none" w:sz="0" w:space="0" w:color="auto"/>
        <w:bottom w:val="none" w:sz="0" w:space="0" w:color="auto"/>
        <w:right w:val="none" w:sz="0" w:space="0" w:color="auto"/>
      </w:divBdr>
    </w:div>
    <w:div w:id="567763262">
      <w:marLeft w:val="0"/>
      <w:marRight w:val="0"/>
      <w:marTop w:val="0"/>
      <w:marBottom w:val="0"/>
      <w:divBdr>
        <w:top w:val="none" w:sz="0" w:space="0" w:color="auto"/>
        <w:left w:val="none" w:sz="0" w:space="0" w:color="auto"/>
        <w:bottom w:val="none" w:sz="0" w:space="0" w:color="auto"/>
        <w:right w:val="none" w:sz="0" w:space="0" w:color="auto"/>
      </w:divBdr>
    </w:div>
    <w:div w:id="574127504">
      <w:marLeft w:val="0"/>
      <w:marRight w:val="0"/>
      <w:marTop w:val="0"/>
      <w:marBottom w:val="0"/>
      <w:divBdr>
        <w:top w:val="none" w:sz="0" w:space="0" w:color="auto"/>
        <w:left w:val="none" w:sz="0" w:space="0" w:color="auto"/>
        <w:bottom w:val="none" w:sz="0" w:space="0" w:color="auto"/>
        <w:right w:val="none" w:sz="0" w:space="0" w:color="auto"/>
      </w:divBdr>
      <w:divsChild>
        <w:div w:id="2134056813">
          <w:marLeft w:val="0"/>
          <w:marRight w:val="0"/>
          <w:marTop w:val="0"/>
          <w:marBottom w:val="0"/>
          <w:divBdr>
            <w:top w:val="none" w:sz="0" w:space="0" w:color="auto"/>
            <w:left w:val="none" w:sz="0" w:space="0" w:color="auto"/>
            <w:bottom w:val="none" w:sz="0" w:space="0" w:color="auto"/>
            <w:right w:val="none" w:sz="0" w:space="0" w:color="auto"/>
          </w:divBdr>
        </w:div>
      </w:divsChild>
    </w:div>
    <w:div w:id="579020359">
      <w:marLeft w:val="0"/>
      <w:marRight w:val="0"/>
      <w:marTop w:val="0"/>
      <w:marBottom w:val="0"/>
      <w:divBdr>
        <w:top w:val="none" w:sz="0" w:space="0" w:color="auto"/>
        <w:left w:val="none" w:sz="0" w:space="0" w:color="auto"/>
        <w:bottom w:val="none" w:sz="0" w:space="0" w:color="auto"/>
        <w:right w:val="none" w:sz="0" w:space="0" w:color="auto"/>
      </w:divBdr>
      <w:divsChild>
        <w:div w:id="1890802355">
          <w:marLeft w:val="0"/>
          <w:marRight w:val="0"/>
          <w:marTop w:val="0"/>
          <w:marBottom w:val="0"/>
          <w:divBdr>
            <w:top w:val="none" w:sz="0" w:space="0" w:color="auto"/>
            <w:left w:val="none" w:sz="0" w:space="0" w:color="auto"/>
            <w:bottom w:val="none" w:sz="0" w:space="0" w:color="auto"/>
            <w:right w:val="none" w:sz="0" w:space="0" w:color="auto"/>
          </w:divBdr>
          <w:divsChild>
            <w:div w:id="21232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094">
      <w:marLeft w:val="0"/>
      <w:marRight w:val="0"/>
      <w:marTop w:val="0"/>
      <w:marBottom w:val="0"/>
      <w:divBdr>
        <w:top w:val="none" w:sz="0" w:space="0" w:color="auto"/>
        <w:left w:val="none" w:sz="0" w:space="0" w:color="auto"/>
        <w:bottom w:val="none" w:sz="0" w:space="0" w:color="auto"/>
        <w:right w:val="none" w:sz="0" w:space="0" w:color="auto"/>
      </w:divBdr>
    </w:div>
    <w:div w:id="579754085">
      <w:marLeft w:val="0"/>
      <w:marRight w:val="0"/>
      <w:marTop w:val="0"/>
      <w:marBottom w:val="0"/>
      <w:divBdr>
        <w:top w:val="none" w:sz="0" w:space="0" w:color="auto"/>
        <w:left w:val="none" w:sz="0" w:space="0" w:color="auto"/>
        <w:bottom w:val="none" w:sz="0" w:space="0" w:color="auto"/>
        <w:right w:val="none" w:sz="0" w:space="0" w:color="auto"/>
      </w:divBdr>
      <w:divsChild>
        <w:div w:id="397941169">
          <w:marLeft w:val="0"/>
          <w:marRight w:val="0"/>
          <w:marTop w:val="0"/>
          <w:marBottom w:val="0"/>
          <w:divBdr>
            <w:top w:val="none" w:sz="0" w:space="0" w:color="auto"/>
            <w:left w:val="none" w:sz="0" w:space="0" w:color="auto"/>
            <w:bottom w:val="none" w:sz="0" w:space="0" w:color="auto"/>
            <w:right w:val="none" w:sz="0" w:space="0" w:color="auto"/>
          </w:divBdr>
        </w:div>
      </w:divsChild>
    </w:div>
    <w:div w:id="580216662">
      <w:marLeft w:val="0"/>
      <w:marRight w:val="0"/>
      <w:marTop w:val="60"/>
      <w:marBottom w:val="60"/>
      <w:divBdr>
        <w:top w:val="none" w:sz="0" w:space="0" w:color="auto"/>
        <w:left w:val="none" w:sz="0" w:space="0" w:color="auto"/>
        <w:bottom w:val="none" w:sz="0" w:space="0" w:color="auto"/>
        <w:right w:val="none" w:sz="0" w:space="0" w:color="auto"/>
      </w:divBdr>
    </w:div>
    <w:div w:id="588387384">
      <w:marLeft w:val="0"/>
      <w:marRight w:val="0"/>
      <w:marTop w:val="0"/>
      <w:marBottom w:val="0"/>
      <w:divBdr>
        <w:top w:val="none" w:sz="0" w:space="0" w:color="auto"/>
        <w:left w:val="none" w:sz="0" w:space="0" w:color="auto"/>
        <w:bottom w:val="none" w:sz="0" w:space="0" w:color="auto"/>
        <w:right w:val="none" w:sz="0" w:space="0" w:color="auto"/>
      </w:divBdr>
    </w:div>
    <w:div w:id="589388028">
      <w:marLeft w:val="0"/>
      <w:marRight w:val="0"/>
      <w:marTop w:val="0"/>
      <w:marBottom w:val="0"/>
      <w:divBdr>
        <w:top w:val="none" w:sz="0" w:space="0" w:color="auto"/>
        <w:left w:val="none" w:sz="0" w:space="0" w:color="auto"/>
        <w:bottom w:val="none" w:sz="0" w:space="0" w:color="auto"/>
        <w:right w:val="none" w:sz="0" w:space="0" w:color="auto"/>
      </w:divBdr>
      <w:divsChild>
        <w:div w:id="747846728">
          <w:marLeft w:val="0"/>
          <w:marRight w:val="0"/>
          <w:marTop w:val="0"/>
          <w:marBottom w:val="0"/>
          <w:divBdr>
            <w:top w:val="none" w:sz="0" w:space="0" w:color="auto"/>
            <w:left w:val="none" w:sz="0" w:space="0" w:color="auto"/>
            <w:bottom w:val="none" w:sz="0" w:space="0" w:color="auto"/>
            <w:right w:val="none" w:sz="0" w:space="0" w:color="auto"/>
          </w:divBdr>
        </w:div>
      </w:divsChild>
    </w:div>
    <w:div w:id="595480983">
      <w:marLeft w:val="0"/>
      <w:marRight w:val="0"/>
      <w:marTop w:val="0"/>
      <w:marBottom w:val="0"/>
      <w:divBdr>
        <w:top w:val="none" w:sz="0" w:space="0" w:color="auto"/>
        <w:left w:val="none" w:sz="0" w:space="0" w:color="auto"/>
        <w:bottom w:val="none" w:sz="0" w:space="0" w:color="auto"/>
        <w:right w:val="none" w:sz="0" w:space="0" w:color="auto"/>
      </w:divBdr>
      <w:divsChild>
        <w:div w:id="1977371134">
          <w:marLeft w:val="0"/>
          <w:marRight w:val="0"/>
          <w:marTop w:val="0"/>
          <w:marBottom w:val="0"/>
          <w:divBdr>
            <w:top w:val="none" w:sz="0" w:space="0" w:color="auto"/>
            <w:left w:val="none" w:sz="0" w:space="0" w:color="auto"/>
            <w:bottom w:val="none" w:sz="0" w:space="0" w:color="auto"/>
            <w:right w:val="none" w:sz="0" w:space="0" w:color="auto"/>
          </w:divBdr>
        </w:div>
      </w:divsChild>
    </w:div>
    <w:div w:id="602617262">
      <w:marLeft w:val="0"/>
      <w:marRight w:val="0"/>
      <w:marTop w:val="100"/>
      <w:marBottom w:val="0"/>
      <w:divBdr>
        <w:top w:val="none" w:sz="0" w:space="0" w:color="auto"/>
        <w:left w:val="none" w:sz="0" w:space="0" w:color="auto"/>
        <w:bottom w:val="none" w:sz="0" w:space="0" w:color="auto"/>
        <w:right w:val="none" w:sz="0" w:space="0" w:color="auto"/>
      </w:divBdr>
    </w:div>
    <w:div w:id="603660365">
      <w:marLeft w:val="0"/>
      <w:marRight w:val="0"/>
      <w:marTop w:val="100"/>
      <w:marBottom w:val="0"/>
      <w:divBdr>
        <w:top w:val="none" w:sz="0" w:space="0" w:color="auto"/>
        <w:left w:val="none" w:sz="0" w:space="0" w:color="auto"/>
        <w:bottom w:val="none" w:sz="0" w:space="0" w:color="auto"/>
        <w:right w:val="none" w:sz="0" w:space="0" w:color="auto"/>
      </w:divBdr>
    </w:div>
    <w:div w:id="605431025">
      <w:marLeft w:val="0"/>
      <w:marRight w:val="0"/>
      <w:marTop w:val="100"/>
      <w:marBottom w:val="0"/>
      <w:divBdr>
        <w:top w:val="none" w:sz="0" w:space="0" w:color="auto"/>
        <w:left w:val="none" w:sz="0" w:space="0" w:color="auto"/>
        <w:bottom w:val="none" w:sz="0" w:space="0" w:color="auto"/>
        <w:right w:val="none" w:sz="0" w:space="0" w:color="auto"/>
      </w:divBdr>
    </w:div>
    <w:div w:id="607737527">
      <w:marLeft w:val="0"/>
      <w:marRight w:val="0"/>
      <w:marTop w:val="0"/>
      <w:marBottom w:val="0"/>
      <w:divBdr>
        <w:top w:val="none" w:sz="0" w:space="0" w:color="auto"/>
        <w:left w:val="none" w:sz="0" w:space="0" w:color="auto"/>
        <w:bottom w:val="none" w:sz="0" w:space="0" w:color="auto"/>
        <w:right w:val="none" w:sz="0" w:space="0" w:color="auto"/>
      </w:divBdr>
    </w:div>
    <w:div w:id="612323958">
      <w:marLeft w:val="0"/>
      <w:marRight w:val="0"/>
      <w:marTop w:val="0"/>
      <w:marBottom w:val="0"/>
      <w:divBdr>
        <w:top w:val="none" w:sz="0" w:space="0" w:color="auto"/>
        <w:left w:val="none" w:sz="0" w:space="0" w:color="auto"/>
        <w:bottom w:val="none" w:sz="0" w:space="0" w:color="auto"/>
        <w:right w:val="none" w:sz="0" w:space="0" w:color="auto"/>
      </w:divBdr>
      <w:divsChild>
        <w:div w:id="2093499805">
          <w:marLeft w:val="0"/>
          <w:marRight w:val="0"/>
          <w:marTop w:val="0"/>
          <w:marBottom w:val="0"/>
          <w:divBdr>
            <w:top w:val="none" w:sz="0" w:space="0" w:color="auto"/>
            <w:left w:val="none" w:sz="0" w:space="0" w:color="auto"/>
            <w:bottom w:val="none" w:sz="0" w:space="0" w:color="auto"/>
            <w:right w:val="none" w:sz="0" w:space="0" w:color="auto"/>
          </w:divBdr>
        </w:div>
      </w:divsChild>
    </w:div>
    <w:div w:id="613169921">
      <w:marLeft w:val="0"/>
      <w:marRight w:val="0"/>
      <w:marTop w:val="100"/>
      <w:marBottom w:val="0"/>
      <w:divBdr>
        <w:top w:val="none" w:sz="0" w:space="0" w:color="auto"/>
        <w:left w:val="none" w:sz="0" w:space="0" w:color="auto"/>
        <w:bottom w:val="none" w:sz="0" w:space="0" w:color="auto"/>
        <w:right w:val="none" w:sz="0" w:space="0" w:color="auto"/>
      </w:divBdr>
    </w:div>
    <w:div w:id="616719799">
      <w:marLeft w:val="0"/>
      <w:marRight w:val="0"/>
      <w:marTop w:val="0"/>
      <w:marBottom w:val="0"/>
      <w:divBdr>
        <w:top w:val="none" w:sz="0" w:space="0" w:color="auto"/>
        <w:left w:val="none" w:sz="0" w:space="0" w:color="auto"/>
        <w:bottom w:val="none" w:sz="0" w:space="0" w:color="auto"/>
        <w:right w:val="none" w:sz="0" w:space="0" w:color="auto"/>
      </w:divBdr>
      <w:divsChild>
        <w:div w:id="972908879">
          <w:marLeft w:val="0"/>
          <w:marRight w:val="0"/>
          <w:marTop w:val="0"/>
          <w:marBottom w:val="0"/>
          <w:divBdr>
            <w:top w:val="none" w:sz="0" w:space="0" w:color="auto"/>
            <w:left w:val="none" w:sz="0" w:space="0" w:color="auto"/>
            <w:bottom w:val="none" w:sz="0" w:space="0" w:color="auto"/>
            <w:right w:val="none" w:sz="0" w:space="0" w:color="auto"/>
          </w:divBdr>
        </w:div>
      </w:divsChild>
    </w:div>
    <w:div w:id="618294872">
      <w:marLeft w:val="0"/>
      <w:marRight w:val="0"/>
      <w:marTop w:val="0"/>
      <w:marBottom w:val="0"/>
      <w:divBdr>
        <w:top w:val="none" w:sz="0" w:space="0" w:color="auto"/>
        <w:left w:val="none" w:sz="0" w:space="0" w:color="auto"/>
        <w:bottom w:val="none" w:sz="0" w:space="0" w:color="auto"/>
        <w:right w:val="none" w:sz="0" w:space="0" w:color="auto"/>
      </w:divBdr>
      <w:divsChild>
        <w:div w:id="1736468782">
          <w:marLeft w:val="0"/>
          <w:marRight w:val="0"/>
          <w:marTop w:val="0"/>
          <w:marBottom w:val="0"/>
          <w:divBdr>
            <w:top w:val="none" w:sz="0" w:space="0" w:color="auto"/>
            <w:left w:val="none" w:sz="0" w:space="0" w:color="auto"/>
            <w:bottom w:val="none" w:sz="0" w:space="0" w:color="auto"/>
            <w:right w:val="none" w:sz="0" w:space="0" w:color="auto"/>
          </w:divBdr>
        </w:div>
      </w:divsChild>
    </w:div>
    <w:div w:id="632560657">
      <w:marLeft w:val="0"/>
      <w:marRight w:val="0"/>
      <w:marTop w:val="0"/>
      <w:marBottom w:val="0"/>
      <w:divBdr>
        <w:top w:val="none" w:sz="0" w:space="0" w:color="auto"/>
        <w:left w:val="none" w:sz="0" w:space="0" w:color="auto"/>
        <w:bottom w:val="none" w:sz="0" w:space="0" w:color="auto"/>
        <w:right w:val="none" w:sz="0" w:space="0" w:color="auto"/>
      </w:divBdr>
    </w:div>
    <w:div w:id="635258171">
      <w:marLeft w:val="0"/>
      <w:marRight w:val="0"/>
      <w:marTop w:val="80"/>
      <w:marBottom w:val="0"/>
      <w:divBdr>
        <w:top w:val="none" w:sz="0" w:space="0" w:color="auto"/>
        <w:left w:val="none" w:sz="0" w:space="0" w:color="auto"/>
        <w:bottom w:val="none" w:sz="0" w:space="0" w:color="auto"/>
        <w:right w:val="none" w:sz="0" w:space="0" w:color="auto"/>
      </w:divBdr>
    </w:div>
    <w:div w:id="637801729">
      <w:marLeft w:val="0"/>
      <w:marRight w:val="0"/>
      <w:marTop w:val="0"/>
      <w:marBottom w:val="0"/>
      <w:divBdr>
        <w:top w:val="none" w:sz="0" w:space="0" w:color="auto"/>
        <w:left w:val="none" w:sz="0" w:space="0" w:color="auto"/>
        <w:bottom w:val="none" w:sz="0" w:space="0" w:color="auto"/>
        <w:right w:val="none" w:sz="0" w:space="0" w:color="auto"/>
      </w:divBdr>
      <w:divsChild>
        <w:div w:id="1040400776">
          <w:marLeft w:val="0"/>
          <w:marRight w:val="0"/>
          <w:marTop w:val="0"/>
          <w:marBottom w:val="0"/>
          <w:divBdr>
            <w:top w:val="none" w:sz="0" w:space="0" w:color="auto"/>
            <w:left w:val="none" w:sz="0" w:space="0" w:color="auto"/>
            <w:bottom w:val="none" w:sz="0" w:space="0" w:color="auto"/>
            <w:right w:val="none" w:sz="0" w:space="0" w:color="auto"/>
          </w:divBdr>
        </w:div>
      </w:divsChild>
    </w:div>
    <w:div w:id="639310280">
      <w:marLeft w:val="0"/>
      <w:marRight w:val="0"/>
      <w:marTop w:val="0"/>
      <w:marBottom w:val="0"/>
      <w:divBdr>
        <w:top w:val="none" w:sz="0" w:space="0" w:color="auto"/>
        <w:left w:val="none" w:sz="0" w:space="0" w:color="auto"/>
        <w:bottom w:val="none" w:sz="0" w:space="0" w:color="auto"/>
        <w:right w:val="none" w:sz="0" w:space="0" w:color="auto"/>
      </w:divBdr>
      <w:divsChild>
        <w:div w:id="1637444276">
          <w:marLeft w:val="0"/>
          <w:marRight w:val="0"/>
          <w:marTop w:val="0"/>
          <w:marBottom w:val="0"/>
          <w:divBdr>
            <w:top w:val="none" w:sz="0" w:space="0" w:color="auto"/>
            <w:left w:val="none" w:sz="0" w:space="0" w:color="auto"/>
            <w:bottom w:val="none" w:sz="0" w:space="0" w:color="auto"/>
            <w:right w:val="none" w:sz="0" w:space="0" w:color="auto"/>
          </w:divBdr>
        </w:div>
      </w:divsChild>
    </w:div>
    <w:div w:id="649752372">
      <w:marLeft w:val="0"/>
      <w:marRight w:val="0"/>
      <w:marTop w:val="0"/>
      <w:marBottom w:val="0"/>
      <w:divBdr>
        <w:top w:val="none" w:sz="0" w:space="0" w:color="auto"/>
        <w:left w:val="none" w:sz="0" w:space="0" w:color="auto"/>
        <w:bottom w:val="none" w:sz="0" w:space="0" w:color="auto"/>
        <w:right w:val="none" w:sz="0" w:space="0" w:color="auto"/>
      </w:divBdr>
      <w:divsChild>
        <w:div w:id="873615663">
          <w:marLeft w:val="0"/>
          <w:marRight w:val="0"/>
          <w:marTop w:val="0"/>
          <w:marBottom w:val="0"/>
          <w:divBdr>
            <w:top w:val="none" w:sz="0" w:space="0" w:color="auto"/>
            <w:left w:val="none" w:sz="0" w:space="0" w:color="auto"/>
            <w:bottom w:val="none" w:sz="0" w:space="0" w:color="auto"/>
            <w:right w:val="none" w:sz="0" w:space="0" w:color="auto"/>
          </w:divBdr>
        </w:div>
      </w:divsChild>
    </w:div>
    <w:div w:id="655450321">
      <w:marLeft w:val="0"/>
      <w:marRight w:val="0"/>
      <w:marTop w:val="0"/>
      <w:marBottom w:val="0"/>
      <w:divBdr>
        <w:top w:val="none" w:sz="0" w:space="0" w:color="auto"/>
        <w:left w:val="none" w:sz="0" w:space="0" w:color="auto"/>
        <w:bottom w:val="none" w:sz="0" w:space="0" w:color="auto"/>
        <w:right w:val="none" w:sz="0" w:space="0" w:color="auto"/>
      </w:divBdr>
      <w:divsChild>
        <w:div w:id="572273789">
          <w:marLeft w:val="0"/>
          <w:marRight w:val="0"/>
          <w:marTop w:val="0"/>
          <w:marBottom w:val="0"/>
          <w:divBdr>
            <w:top w:val="none" w:sz="0" w:space="0" w:color="auto"/>
            <w:left w:val="none" w:sz="0" w:space="0" w:color="auto"/>
            <w:bottom w:val="none" w:sz="0" w:space="0" w:color="auto"/>
            <w:right w:val="none" w:sz="0" w:space="0" w:color="auto"/>
          </w:divBdr>
        </w:div>
      </w:divsChild>
    </w:div>
    <w:div w:id="659432431">
      <w:marLeft w:val="0"/>
      <w:marRight w:val="0"/>
      <w:marTop w:val="60"/>
      <w:marBottom w:val="60"/>
      <w:divBdr>
        <w:top w:val="none" w:sz="0" w:space="0" w:color="auto"/>
        <w:left w:val="none" w:sz="0" w:space="0" w:color="auto"/>
        <w:bottom w:val="none" w:sz="0" w:space="0" w:color="auto"/>
        <w:right w:val="none" w:sz="0" w:space="0" w:color="auto"/>
      </w:divBdr>
    </w:div>
    <w:div w:id="660080205">
      <w:marLeft w:val="0"/>
      <w:marRight w:val="0"/>
      <w:marTop w:val="0"/>
      <w:marBottom w:val="0"/>
      <w:divBdr>
        <w:top w:val="none" w:sz="0" w:space="0" w:color="auto"/>
        <w:left w:val="none" w:sz="0" w:space="0" w:color="auto"/>
        <w:bottom w:val="none" w:sz="0" w:space="0" w:color="auto"/>
        <w:right w:val="none" w:sz="0" w:space="0" w:color="auto"/>
      </w:divBdr>
      <w:divsChild>
        <w:div w:id="1986858329">
          <w:marLeft w:val="0"/>
          <w:marRight w:val="0"/>
          <w:marTop w:val="0"/>
          <w:marBottom w:val="0"/>
          <w:divBdr>
            <w:top w:val="none" w:sz="0" w:space="0" w:color="auto"/>
            <w:left w:val="none" w:sz="0" w:space="0" w:color="auto"/>
            <w:bottom w:val="none" w:sz="0" w:space="0" w:color="auto"/>
            <w:right w:val="none" w:sz="0" w:space="0" w:color="auto"/>
          </w:divBdr>
        </w:div>
      </w:divsChild>
    </w:div>
    <w:div w:id="668748281">
      <w:marLeft w:val="0"/>
      <w:marRight w:val="0"/>
      <w:marTop w:val="0"/>
      <w:marBottom w:val="0"/>
      <w:divBdr>
        <w:top w:val="none" w:sz="0" w:space="0" w:color="auto"/>
        <w:left w:val="none" w:sz="0" w:space="0" w:color="auto"/>
        <w:bottom w:val="none" w:sz="0" w:space="0" w:color="auto"/>
        <w:right w:val="none" w:sz="0" w:space="0" w:color="auto"/>
      </w:divBdr>
    </w:div>
    <w:div w:id="669060699">
      <w:marLeft w:val="0"/>
      <w:marRight w:val="0"/>
      <w:marTop w:val="100"/>
      <w:marBottom w:val="0"/>
      <w:divBdr>
        <w:top w:val="none" w:sz="0" w:space="0" w:color="auto"/>
        <w:left w:val="none" w:sz="0" w:space="0" w:color="auto"/>
        <w:bottom w:val="none" w:sz="0" w:space="0" w:color="auto"/>
        <w:right w:val="none" w:sz="0" w:space="0" w:color="auto"/>
      </w:divBdr>
    </w:div>
    <w:div w:id="678193362">
      <w:marLeft w:val="0"/>
      <w:marRight w:val="0"/>
      <w:marTop w:val="100"/>
      <w:marBottom w:val="0"/>
      <w:divBdr>
        <w:top w:val="none" w:sz="0" w:space="0" w:color="auto"/>
        <w:left w:val="none" w:sz="0" w:space="0" w:color="auto"/>
        <w:bottom w:val="none" w:sz="0" w:space="0" w:color="auto"/>
        <w:right w:val="none" w:sz="0" w:space="0" w:color="auto"/>
      </w:divBdr>
    </w:div>
    <w:div w:id="691148079">
      <w:marLeft w:val="0"/>
      <w:marRight w:val="0"/>
      <w:marTop w:val="0"/>
      <w:marBottom w:val="0"/>
      <w:divBdr>
        <w:top w:val="none" w:sz="0" w:space="0" w:color="auto"/>
        <w:left w:val="none" w:sz="0" w:space="0" w:color="auto"/>
        <w:bottom w:val="none" w:sz="0" w:space="0" w:color="auto"/>
        <w:right w:val="none" w:sz="0" w:space="0" w:color="auto"/>
      </w:divBdr>
      <w:divsChild>
        <w:div w:id="980960235">
          <w:marLeft w:val="0"/>
          <w:marRight w:val="0"/>
          <w:marTop w:val="0"/>
          <w:marBottom w:val="0"/>
          <w:divBdr>
            <w:top w:val="none" w:sz="0" w:space="0" w:color="auto"/>
            <w:left w:val="none" w:sz="0" w:space="0" w:color="auto"/>
            <w:bottom w:val="none" w:sz="0" w:space="0" w:color="auto"/>
            <w:right w:val="none" w:sz="0" w:space="0" w:color="auto"/>
          </w:divBdr>
        </w:div>
      </w:divsChild>
    </w:div>
    <w:div w:id="691342382">
      <w:marLeft w:val="0"/>
      <w:marRight w:val="0"/>
      <w:marTop w:val="0"/>
      <w:marBottom w:val="0"/>
      <w:divBdr>
        <w:top w:val="none" w:sz="0" w:space="0" w:color="auto"/>
        <w:left w:val="none" w:sz="0" w:space="0" w:color="auto"/>
        <w:bottom w:val="none" w:sz="0" w:space="0" w:color="auto"/>
        <w:right w:val="none" w:sz="0" w:space="0" w:color="auto"/>
      </w:divBdr>
    </w:div>
    <w:div w:id="692270186">
      <w:marLeft w:val="0"/>
      <w:marRight w:val="0"/>
      <w:marTop w:val="0"/>
      <w:marBottom w:val="0"/>
      <w:divBdr>
        <w:top w:val="none" w:sz="0" w:space="0" w:color="auto"/>
        <w:left w:val="none" w:sz="0" w:space="0" w:color="auto"/>
        <w:bottom w:val="none" w:sz="0" w:space="0" w:color="auto"/>
        <w:right w:val="none" w:sz="0" w:space="0" w:color="auto"/>
      </w:divBdr>
    </w:div>
    <w:div w:id="693578404">
      <w:marLeft w:val="0"/>
      <w:marRight w:val="0"/>
      <w:marTop w:val="0"/>
      <w:marBottom w:val="0"/>
      <w:divBdr>
        <w:top w:val="none" w:sz="0" w:space="0" w:color="auto"/>
        <w:left w:val="none" w:sz="0" w:space="0" w:color="auto"/>
        <w:bottom w:val="none" w:sz="0" w:space="0" w:color="auto"/>
        <w:right w:val="none" w:sz="0" w:space="0" w:color="auto"/>
      </w:divBdr>
      <w:divsChild>
        <w:div w:id="1605914143">
          <w:marLeft w:val="0"/>
          <w:marRight w:val="0"/>
          <w:marTop w:val="0"/>
          <w:marBottom w:val="0"/>
          <w:divBdr>
            <w:top w:val="none" w:sz="0" w:space="0" w:color="auto"/>
            <w:left w:val="none" w:sz="0" w:space="0" w:color="auto"/>
            <w:bottom w:val="none" w:sz="0" w:space="0" w:color="auto"/>
            <w:right w:val="none" w:sz="0" w:space="0" w:color="auto"/>
          </w:divBdr>
        </w:div>
      </w:divsChild>
    </w:div>
    <w:div w:id="699206457">
      <w:marLeft w:val="0"/>
      <w:marRight w:val="0"/>
      <w:marTop w:val="0"/>
      <w:marBottom w:val="0"/>
      <w:divBdr>
        <w:top w:val="none" w:sz="0" w:space="0" w:color="auto"/>
        <w:left w:val="none" w:sz="0" w:space="0" w:color="auto"/>
        <w:bottom w:val="none" w:sz="0" w:space="0" w:color="auto"/>
        <w:right w:val="none" w:sz="0" w:space="0" w:color="auto"/>
      </w:divBdr>
    </w:div>
    <w:div w:id="706222263">
      <w:marLeft w:val="0"/>
      <w:marRight w:val="0"/>
      <w:marTop w:val="0"/>
      <w:marBottom w:val="0"/>
      <w:divBdr>
        <w:top w:val="none" w:sz="0" w:space="0" w:color="auto"/>
        <w:left w:val="none" w:sz="0" w:space="0" w:color="auto"/>
        <w:bottom w:val="none" w:sz="0" w:space="0" w:color="auto"/>
        <w:right w:val="none" w:sz="0" w:space="0" w:color="auto"/>
      </w:divBdr>
    </w:div>
    <w:div w:id="708721098">
      <w:marLeft w:val="0"/>
      <w:marRight w:val="0"/>
      <w:marTop w:val="0"/>
      <w:marBottom w:val="0"/>
      <w:divBdr>
        <w:top w:val="none" w:sz="0" w:space="0" w:color="auto"/>
        <w:left w:val="none" w:sz="0" w:space="0" w:color="auto"/>
        <w:bottom w:val="none" w:sz="0" w:space="0" w:color="auto"/>
        <w:right w:val="none" w:sz="0" w:space="0" w:color="auto"/>
      </w:divBdr>
      <w:divsChild>
        <w:div w:id="486015731">
          <w:marLeft w:val="0"/>
          <w:marRight w:val="0"/>
          <w:marTop w:val="0"/>
          <w:marBottom w:val="0"/>
          <w:divBdr>
            <w:top w:val="none" w:sz="0" w:space="0" w:color="auto"/>
            <w:left w:val="none" w:sz="0" w:space="0" w:color="auto"/>
            <w:bottom w:val="none" w:sz="0" w:space="0" w:color="auto"/>
            <w:right w:val="none" w:sz="0" w:space="0" w:color="auto"/>
          </w:divBdr>
        </w:div>
      </w:divsChild>
    </w:div>
    <w:div w:id="714088578">
      <w:marLeft w:val="0"/>
      <w:marRight w:val="0"/>
      <w:marTop w:val="0"/>
      <w:marBottom w:val="0"/>
      <w:divBdr>
        <w:top w:val="none" w:sz="0" w:space="0" w:color="auto"/>
        <w:left w:val="none" w:sz="0" w:space="0" w:color="auto"/>
        <w:bottom w:val="none" w:sz="0" w:space="0" w:color="auto"/>
        <w:right w:val="none" w:sz="0" w:space="0" w:color="auto"/>
      </w:divBdr>
    </w:div>
    <w:div w:id="720203856">
      <w:marLeft w:val="0"/>
      <w:marRight w:val="0"/>
      <w:marTop w:val="0"/>
      <w:marBottom w:val="0"/>
      <w:divBdr>
        <w:top w:val="none" w:sz="0" w:space="0" w:color="auto"/>
        <w:left w:val="none" w:sz="0" w:space="0" w:color="auto"/>
        <w:bottom w:val="none" w:sz="0" w:space="0" w:color="auto"/>
        <w:right w:val="none" w:sz="0" w:space="0" w:color="auto"/>
      </w:divBdr>
    </w:div>
    <w:div w:id="731730552">
      <w:marLeft w:val="0"/>
      <w:marRight w:val="0"/>
      <w:marTop w:val="0"/>
      <w:marBottom w:val="0"/>
      <w:divBdr>
        <w:top w:val="none" w:sz="0" w:space="0" w:color="auto"/>
        <w:left w:val="none" w:sz="0" w:space="0" w:color="auto"/>
        <w:bottom w:val="none" w:sz="0" w:space="0" w:color="auto"/>
        <w:right w:val="none" w:sz="0" w:space="0" w:color="auto"/>
      </w:divBdr>
    </w:div>
    <w:div w:id="733087539">
      <w:marLeft w:val="0"/>
      <w:marRight w:val="0"/>
      <w:marTop w:val="0"/>
      <w:marBottom w:val="0"/>
      <w:divBdr>
        <w:top w:val="none" w:sz="0" w:space="0" w:color="auto"/>
        <w:left w:val="none" w:sz="0" w:space="0" w:color="auto"/>
        <w:bottom w:val="none" w:sz="0" w:space="0" w:color="auto"/>
        <w:right w:val="none" w:sz="0" w:space="0" w:color="auto"/>
      </w:divBdr>
    </w:div>
    <w:div w:id="747002460">
      <w:marLeft w:val="0"/>
      <w:marRight w:val="0"/>
      <w:marTop w:val="100"/>
      <w:marBottom w:val="0"/>
      <w:divBdr>
        <w:top w:val="none" w:sz="0" w:space="0" w:color="auto"/>
        <w:left w:val="none" w:sz="0" w:space="0" w:color="auto"/>
        <w:bottom w:val="none" w:sz="0" w:space="0" w:color="auto"/>
        <w:right w:val="none" w:sz="0" w:space="0" w:color="auto"/>
      </w:divBdr>
    </w:div>
    <w:div w:id="753475668">
      <w:marLeft w:val="0"/>
      <w:marRight w:val="0"/>
      <w:marTop w:val="0"/>
      <w:marBottom w:val="0"/>
      <w:divBdr>
        <w:top w:val="none" w:sz="0" w:space="0" w:color="auto"/>
        <w:left w:val="none" w:sz="0" w:space="0" w:color="auto"/>
        <w:bottom w:val="none" w:sz="0" w:space="0" w:color="auto"/>
        <w:right w:val="none" w:sz="0" w:space="0" w:color="auto"/>
      </w:divBdr>
      <w:divsChild>
        <w:div w:id="1662154805">
          <w:marLeft w:val="0"/>
          <w:marRight w:val="0"/>
          <w:marTop w:val="0"/>
          <w:marBottom w:val="0"/>
          <w:divBdr>
            <w:top w:val="none" w:sz="0" w:space="0" w:color="auto"/>
            <w:left w:val="none" w:sz="0" w:space="0" w:color="auto"/>
            <w:bottom w:val="none" w:sz="0" w:space="0" w:color="auto"/>
            <w:right w:val="none" w:sz="0" w:space="0" w:color="auto"/>
          </w:divBdr>
        </w:div>
      </w:divsChild>
    </w:div>
    <w:div w:id="755906138">
      <w:marLeft w:val="0"/>
      <w:marRight w:val="0"/>
      <w:marTop w:val="60"/>
      <w:marBottom w:val="0"/>
      <w:divBdr>
        <w:top w:val="none" w:sz="0" w:space="0" w:color="auto"/>
        <w:left w:val="none" w:sz="0" w:space="0" w:color="auto"/>
        <w:bottom w:val="none" w:sz="0" w:space="0" w:color="auto"/>
        <w:right w:val="none" w:sz="0" w:space="0" w:color="auto"/>
      </w:divBdr>
      <w:divsChild>
        <w:div w:id="189344275">
          <w:marLeft w:val="0"/>
          <w:marRight w:val="0"/>
          <w:marTop w:val="180"/>
          <w:marBottom w:val="0"/>
          <w:divBdr>
            <w:top w:val="none" w:sz="0" w:space="0" w:color="auto"/>
            <w:left w:val="none" w:sz="0" w:space="0" w:color="auto"/>
            <w:bottom w:val="none" w:sz="0" w:space="0" w:color="auto"/>
            <w:right w:val="none" w:sz="0" w:space="0" w:color="auto"/>
          </w:divBdr>
        </w:div>
      </w:divsChild>
    </w:div>
    <w:div w:id="764695635">
      <w:marLeft w:val="0"/>
      <w:marRight w:val="0"/>
      <w:marTop w:val="100"/>
      <w:marBottom w:val="0"/>
      <w:divBdr>
        <w:top w:val="none" w:sz="0" w:space="0" w:color="auto"/>
        <w:left w:val="none" w:sz="0" w:space="0" w:color="auto"/>
        <w:bottom w:val="none" w:sz="0" w:space="0" w:color="auto"/>
        <w:right w:val="none" w:sz="0" w:space="0" w:color="auto"/>
      </w:divBdr>
    </w:div>
    <w:div w:id="778109319">
      <w:marLeft w:val="0"/>
      <w:marRight w:val="0"/>
      <w:marTop w:val="180"/>
      <w:marBottom w:val="180"/>
      <w:divBdr>
        <w:top w:val="none" w:sz="0" w:space="0" w:color="auto"/>
        <w:left w:val="none" w:sz="0" w:space="0" w:color="auto"/>
        <w:bottom w:val="none" w:sz="0" w:space="0" w:color="auto"/>
        <w:right w:val="none" w:sz="0" w:space="0" w:color="auto"/>
      </w:divBdr>
    </w:div>
    <w:div w:id="799305811">
      <w:marLeft w:val="0"/>
      <w:marRight w:val="0"/>
      <w:marTop w:val="0"/>
      <w:marBottom w:val="0"/>
      <w:divBdr>
        <w:top w:val="none" w:sz="0" w:space="0" w:color="auto"/>
        <w:left w:val="none" w:sz="0" w:space="0" w:color="auto"/>
        <w:bottom w:val="none" w:sz="0" w:space="0" w:color="auto"/>
        <w:right w:val="none" w:sz="0" w:space="0" w:color="auto"/>
      </w:divBdr>
    </w:div>
    <w:div w:id="803620337">
      <w:marLeft w:val="0"/>
      <w:marRight w:val="0"/>
      <w:marTop w:val="100"/>
      <w:marBottom w:val="0"/>
      <w:divBdr>
        <w:top w:val="none" w:sz="0" w:space="0" w:color="auto"/>
        <w:left w:val="none" w:sz="0" w:space="0" w:color="auto"/>
        <w:bottom w:val="none" w:sz="0" w:space="0" w:color="auto"/>
        <w:right w:val="none" w:sz="0" w:space="0" w:color="auto"/>
      </w:divBdr>
    </w:div>
    <w:div w:id="806900578">
      <w:marLeft w:val="0"/>
      <w:marRight w:val="0"/>
      <w:marTop w:val="100"/>
      <w:marBottom w:val="0"/>
      <w:divBdr>
        <w:top w:val="none" w:sz="0" w:space="0" w:color="auto"/>
        <w:left w:val="none" w:sz="0" w:space="0" w:color="auto"/>
        <w:bottom w:val="none" w:sz="0" w:space="0" w:color="auto"/>
        <w:right w:val="none" w:sz="0" w:space="0" w:color="auto"/>
      </w:divBdr>
    </w:div>
    <w:div w:id="811757370">
      <w:marLeft w:val="0"/>
      <w:marRight w:val="0"/>
      <w:marTop w:val="0"/>
      <w:marBottom w:val="0"/>
      <w:divBdr>
        <w:top w:val="none" w:sz="0" w:space="0" w:color="auto"/>
        <w:left w:val="none" w:sz="0" w:space="0" w:color="auto"/>
        <w:bottom w:val="none" w:sz="0" w:space="0" w:color="auto"/>
        <w:right w:val="none" w:sz="0" w:space="0" w:color="auto"/>
      </w:divBdr>
    </w:div>
    <w:div w:id="813302241">
      <w:marLeft w:val="0"/>
      <w:marRight w:val="0"/>
      <w:marTop w:val="100"/>
      <w:marBottom w:val="0"/>
      <w:divBdr>
        <w:top w:val="none" w:sz="0" w:space="0" w:color="auto"/>
        <w:left w:val="none" w:sz="0" w:space="0" w:color="auto"/>
        <w:bottom w:val="none" w:sz="0" w:space="0" w:color="auto"/>
        <w:right w:val="none" w:sz="0" w:space="0" w:color="auto"/>
      </w:divBdr>
    </w:div>
    <w:div w:id="815335474">
      <w:marLeft w:val="0"/>
      <w:marRight w:val="0"/>
      <w:marTop w:val="0"/>
      <w:marBottom w:val="0"/>
      <w:divBdr>
        <w:top w:val="none" w:sz="0" w:space="0" w:color="auto"/>
        <w:left w:val="none" w:sz="0" w:space="0" w:color="auto"/>
        <w:bottom w:val="none" w:sz="0" w:space="0" w:color="auto"/>
        <w:right w:val="none" w:sz="0" w:space="0" w:color="auto"/>
      </w:divBdr>
    </w:div>
    <w:div w:id="818378769">
      <w:marLeft w:val="0"/>
      <w:marRight w:val="0"/>
      <w:marTop w:val="0"/>
      <w:marBottom w:val="0"/>
      <w:divBdr>
        <w:top w:val="none" w:sz="0" w:space="0" w:color="auto"/>
        <w:left w:val="none" w:sz="0" w:space="0" w:color="auto"/>
        <w:bottom w:val="none" w:sz="0" w:space="0" w:color="auto"/>
        <w:right w:val="none" w:sz="0" w:space="0" w:color="auto"/>
      </w:divBdr>
    </w:div>
    <w:div w:id="828054597">
      <w:marLeft w:val="0"/>
      <w:marRight w:val="0"/>
      <w:marTop w:val="100"/>
      <w:marBottom w:val="0"/>
      <w:divBdr>
        <w:top w:val="none" w:sz="0" w:space="0" w:color="auto"/>
        <w:left w:val="none" w:sz="0" w:space="0" w:color="auto"/>
        <w:bottom w:val="none" w:sz="0" w:space="0" w:color="auto"/>
        <w:right w:val="none" w:sz="0" w:space="0" w:color="auto"/>
      </w:divBdr>
    </w:div>
    <w:div w:id="831486790">
      <w:marLeft w:val="0"/>
      <w:marRight w:val="0"/>
      <w:marTop w:val="0"/>
      <w:marBottom w:val="0"/>
      <w:divBdr>
        <w:top w:val="none" w:sz="0" w:space="0" w:color="auto"/>
        <w:left w:val="none" w:sz="0" w:space="0" w:color="auto"/>
        <w:bottom w:val="none" w:sz="0" w:space="0" w:color="auto"/>
        <w:right w:val="none" w:sz="0" w:space="0" w:color="auto"/>
      </w:divBdr>
      <w:divsChild>
        <w:div w:id="2111464670">
          <w:marLeft w:val="0"/>
          <w:marRight w:val="0"/>
          <w:marTop w:val="0"/>
          <w:marBottom w:val="0"/>
          <w:divBdr>
            <w:top w:val="none" w:sz="0" w:space="0" w:color="auto"/>
            <w:left w:val="none" w:sz="0" w:space="0" w:color="auto"/>
            <w:bottom w:val="none" w:sz="0" w:space="0" w:color="auto"/>
            <w:right w:val="none" w:sz="0" w:space="0" w:color="auto"/>
          </w:divBdr>
        </w:div>
      </w:divsChild>
    </w:div>
    <w:div w:id="844786121">
      <w:marLeft w:val="0"/>
      <w:marRight w:val="0"/>
      <w:marTop w:val="0"/>
      <w:marBottom w:val="0"/>
      <w:divBdr>
        <w:top w:val="none" w:sz="0" w:space="0" w:color="auto"/>
        <w:left w:val="none" w:sz="0" w:space="0" w:color="auto"/>
        <w:bottom w:val="none" w:sz="0" w:space="0" w:color="auto"/>
        <w:right w:val="none" w:sz="0" w:space="0" w:color="auto"/>
      </w:divBdr>
      <w:divsChild>
        <w:div w:id="1412502888">
          <w:marLeft w:val="0"/>
          <w:marRight w:val="0"/>
          <w:marTop w:val="0"/>
          <w:marBottom w:val="0"/>
          <w:divBdr>
            <w:top w:val="none" w:sz="0" w:space="0" w:color="auto"/>
            <w:left w:val="none" w:sz="0" w:space="0" w:color="auto"/>
            <w:bottom w:val="none" w:sz="0" w:space="0" w:color="auto"/>
            <w:right w:val="none" w:sz="0" w:space="0" w:color="auto"/>
          </w:divBdr>
        </w:div>
      </w:divsChild>
    </w:div>
    <w:div w:id="852645230">
      <w:marLeft w:val="0"/>
      <w:marRight w:val="0"/>
      <w:marTop w:val="0"/>
      <w:marBottom w:val="0"/>
      <w:divBdr>
        <w:top w:val="none" w:sz="0" w:space="0" w:color="auto"/>
        <w:left w:val="none" w:sz="0" w:space="0" w:color="auto"/>
        <w:bottom w:val="none" w:sz="0" w:space="0" w:color="auto"/>
        <w:right w:val="none" w:sz="0" w:space="0" w:color="auto"/>
      </w:divBdr>
      <w:divsChild>
        <w:div w:id="1766534612">
          <w:marLeft w:val="0"/>
          <w:marRight w:val="0"/>
          <w:marTop w:val="0"/>
          <w:marBottom w:val="0"/>
          <w:divBdr>
            <w:top w:val="none" w:sz="0" w:space="0" w:color="auto"/>
            <w:left w:val="none" w:sz="0" w:space="0" w:color="auto"/>
            <w:bottom w:val="none" w:sz="0" w:space="0" w:color="auto"/>
            <w:right w:val="none" w:sz="0" w:space="0" w:color="auto"/>
          </w:divBdr>
        </w:div>
      </w:divsChild>
    </w:div>
    <w:div w:id="865600902">
      <w:marLeft w:val="0"/>
      <w:marRight w:val="0"/>
      <w:marTop w:val="0"/>
      <w:marBottom w:val="0"/>
      <w:divBdr>
        <w:top w:val="none" w:sz="0" w:space="0" w:color="auto"/>
        <w:left w:val="none" w:sz="0" w:space="0" w:color="auto"/>
        <w:bottom w:val="none" w:sz="0" w:space="0" w:color="auto"/>
        <w:right w:val="none" w:sz="0" w:space="0" w:color="auto"/>
      </w:divBdr>
    </w:div>
    <w:div w:id="866331843">
      <w:marLeft w:val="0"/>
      <w:marRight w:val="0"/>
      <w:marTop w:val="0"/>
      <w:marBottom w:val="0"/>
      <w:divBdr>
        <w:top w:val="none" w:sz="0" w:space="0" w:color="auto"/>
        <w:left w:val="none" w:sz="0" w:space="0" w:color="auto"/>
        <w:bottom w:val="none" w:sz="0" w:space="0" w:color="auto"/>
        <w:right w:val="none" w:sz="0" w:space="0" w:color="auto"/>
      </w:divBdr>
    </w:div>
    <w:div w:id="871041220">
      <w:marLeft w:val="0"/>
      <w:marRight w:val="0"/>
      <w:marTop w:val="180"/>
      <w:marBottom w:val="0"/>
      <w:divBdr>
        <w:top w:val="none" w:sz="0" w:space="0" w:color="auto"/>
        <w:left w:val="none" w:sz="0" w:space="0" w:color="auto"/>
        <w:bottom w:val="none" w:sz="0" w:space="0" w:color="auto"/>
        <w:right w:val="none" w:sz="0" w:space="0" w:color="auto"/>
      </w:divBdr>
    </w:div>
    <w:div w:id="873419469">
      <w:marLeft w:val="0"/>
      <w:marRight w:val="0"/>
      <w:marTop w:val="0"/>
      <w:marBottom w:val="0"/>
      <w:divBdr>
        <w:top w:val="none" w:sz="0" w:space="0" w:color="auto"/>
        <w:left w:val="none" w:sz="0" w:space="0" w:color="auto"/>
        <w:bottom w:val="none" w:sz="0" w:space="0" w:color="auto"/>
        <w:right w:val="none" w:sz="0" w:space="0" w:color="auto"/>
      </w:divBdr>
      <w:divsChild>
        <w:div w:id="1115372880">
          <w:marLeft w:val="0"/>
          <w:marRight w:val="0"/>
          <w:marTop w:val="0"/>
          <w:marBottom w:val="0"/>
          <w:divBdr>
            <w:top w:val="none" w:sz="0" w:space="0" w:color="auto"/>
            <w:left w:val="none" w:sz="0" w:space="0" w:color="auto"/>
            <w:bottom w:val="none" w:sz="0" w:space="0" w:color="auto"/>
            <w:right w:val="none" w:sz="0" w:space="0" w:color="auto"/>
          </w:divBdr>
        </w:div>
      </w:divsChild>
    </w:div>
    <w:div w:id="878857843">
      <w:marLeft w:val="0"/>
      <w:marRight w:val="0"/>
      <w:marTop w:val="180"/>
      <w:marBottom w:val="0"/>
      <w:divBdr>
        <w:top w:val="none" w:sz="0" w:space="0" w:color="auto"/>
        <w:left w:val="none" w:sz="0" w:space="0" w:color="auto"/>
        <w:bottom w:val="none" w:sz="0" w:space="0" w:color="auto"/>
        <w:right w:val="none" w:sz="0" w:space="0" w:color="auto"/>
      </w:divBdr>
    </w:div>
    <w:div w:id="879127729">
      <w:marLeft w:val="0"/>
      <w:marRight w:val="0"/>
      <w:marTop w:val="0"/>
      <w:marBottom w:val="0"/>
      <w:divBdr>
        <w:top w:val="none" w:sz="0" w:space="0" w:color="auto"/>
        <w:left w:val="none" w:sz="0" w:space="0" w:color="auto"/>
        <w:bottom w:val="none" w:sz="0" w:space="0" w:color="auto"/>
        <w:right w:val="none" w:sz="0" w:space="0" w:color="auto"/>
      </w:divBdr>
    </w:div>
    <w:div w:id="881095570">
      <w:marLeft w:val="0"/>
      <w:marRight w:val="0"/>
      <w:marTop w:val="0"/>
      <w:marBottom w:val="160"/>
      <w:divBdr>
        <w:top w:val="none" w:sz="0" w:space="0" w:color="auto"/>
        <w:left w:val="none" w:sz="0" w:space="0" w:color="auto"/>
        <w:bottom w:val="none" w:sz="0" w:space="0" w:color="auto"/>
        <w:right w:val="none" w:sz="0" w:space="0" w:color="auto"/>
      </w:divBdr>
    </w:div>
    <w:div w:id="882180112">
      <w:marLeft w:val="0"/>
      <w:marRight w:val="0"/>
      <w:marTop w:val="0"/>
      <w:marBottom w:val="0"/>
      <w:divBdr>
        <w:top w:val="none" w:sz="0" w:space="0" w:color="auto"/>
        <w:left w:val="none" w:sz="0" w:space="0" w:color="auto"/>
        <w:bottom w:val="none" w:sz="0" w:space="0" w:color="auto"/>
        <w:right w:val="none" w:sz="0" w:space="0" w:color="auto"/>
      </w:divBdr>
      <w:divsChild>
        <w:div w:id="1380276992">
          <w:marLeft w:val="0"/>
          <w:marRight w:val="0"/>
          <w:marTop w:val="0"/>
          <w:marBottom w:val="0"/>
          <w:divBdr>
            <w:top w:val="none" w:sz="0" w:space="0" w:color="auto"/>
            <w:left w:val="none" w:sz="0" w:space="0" w:color="auto"/>
            <w:bottom w:val="none" w:sz="0" w:space="0" w:color="auto"/>
            <w:right w:val="none" w:sz="0" w:space="0" w:color="auto"/>
          </w:divBdr>
        </w:div>
      </w:divsChild>
    </w:div>
    <w:div w:id="896743749">
      <w:marLeft w:val="0"/>
      <w:marRight w:val="0"/>
      <w:marTop w:val="0"/>
      <w:marBottom w:val="0"/>
      <w:divBdr>
        <w:top w:val="none" w:sz="0" w:space="0" w:color="auto"/>
        <w:left w:val="none" w:sz="0" w:space="0" w:color="auto"/>
        <w:bottom w:val="none" w:sz="0" w:space="0" w:color="auto"/>
        <w:right w:val="none" w:sz="0" w:space="0" w:color="auto"/>
      </w:divBdr>
    </w:div>
    <w:div w:id="918366005">
      <w:marLeft w:val="0"/>
      <w:marRight w:val="0"/>
      <w:marTop w:val="180"/>
      <w:marBottom w:val="0"/>
      <w:divBdr>
        <w:top w:val="none" w:sz="0" w:space="0" w:color="auto"/>
        <w:left w:val="none" w:sz="0" w:space="0" w:color="auto"/>
        <w:bottom w:val="none" w:sz="0" w:space="0" w:color="auto"/>
        <w:right w:val="none" w:sz="0" w:space="0" w:color="auto"/>
      </w:divBdr>
    </w:div>
    <w:div w:id="918517238">
      <w:marLeft w:val="0"/>
      <w:marRight w:val="0"/>
      <w:marTop w:val="0"/>
      <w:marBottom w:val="0"/>
      <w:divBdr>
        <w:top w:val="none" w:sz="0" w:space="0" w:color="auto"/>
        <w:left w:val="none" w:sz="0" w:space="0" w:color="auto"/>
        <w:bottom w:val="none" w:sz="0" w:space="0" w:color="auto"/>
        <w:right w:val="none" w:sz="0" w:space="0" w:color="auto"/>
      </w:divBdr>
    </w:div>
    <w:div w:id="921328504">
      <w:marLeft w:val="0"/>
      <w:marRight w:val="0"/>
      <w:marTop w:val="0"/>
      <w:marBottom w:val="0"/>
      <w:divBdr>
        <w:top w:val="none" w:sz="0" w:space="0" w:color="auto"/>
        <w:left w:val="none" w:sz="0" w:space="0" w:color="auto"/>
        <w:bottom w:val="none" w:sz="0" w:space="0" w:color="auto"/>
        <w:right w:val="none" w:sz="0" w:space="0" w:color="auto"/>
      </w:divBdr>
    </w:div>
    <w:div w:id="921912090">
      <w:marLeft w:val="0"/>
      <w:marRight w:val="0"/>
      <w:marTop w:val="0"/>
      <w:marBottom w:val="0"/>
      <w:divBdr>
        <w:top w:val="none" w:sz="0" w:space="0" w:color="auto"/>
        <w:left w:val="none" w:sz="0" w:space="0" w:color="auto"/>
        <w:bottom w:val="none" w:sz="0" w:space="0" w:color="auto"/>
        <w:right w:val="none" w:sz="0" w:space="0" w:color="auto"/>
      </w:divBdr>
      <w:divsChild>
        <w:div w:id="1682007268">
          <w:marLeft w:val="0"/>
          <w:marRight w:val="0"/>
          <w:marTop w:val="0"/>
          <w:marBottom w:val="0"/>
          <w:divBdr>
            <w:top w:val="none" w:sz="0" w:space="0" w:color="auto"/>
            <w:left w:val="none" w:sz="0" w:space="0" w:color="auto"/>
            <w:bottom w:val="none" w:sz="0" w:space="0" w:color="auto"/>
            <w:right w:val="none" w:sz="0" w:space="0" w:color="auto"/>
          </w:divBdr>
        </w:div>
      </w:divsChild>
    </w:div>
    <w:div w:id="928125111">
      <w:marLeft w:val="0"/>
      <w:marRight w:val="0"/>
      <w:marTop w:val="0"/>
      <w:marBottom w:val="0"/>
      <w:divBdr>
        <w:top w:val="none" w:sz="0" w:space="0" w:color="auto"/>
        <w:left w:val="none" w:sz="0" w:space="0" w:color="auto"/>
        <w:bottom w:val="none" w:sz="0" w:space="0" w:color="auto"/>
        <w:right w:val="none" w:sz="0" w:space="0" w:color="auto"/>
      </w:divBdr>
      <w:divsChild>
        <w:div w:id="1909538108">
          <w:marLeft w:val="0"/>
          <w:marRight w:val="0"/>
          <w:marTop w:val="0"/>
          <w:marBottom w:val="0"/>
          <w:divBdr>
            <w:top w:val="none" w:sz="0" w:space="0" w:color="auto"/>
            <w:left w:val="none" w:sz="0" w:space="0" w:color="auto"/>
            <w:bottom w:val="none" w:sz="0" w:space="0" w:color="auto"/>
            <w:right w:val="none" w:sz="0" w:space="0" w:color="auto"/>
          </w:divBdr>
        </w:div>
      </w:divsChild>
    </w:div>
    <w:div w:id="929705545">
      <w:marLeft w:val="0"/>
      <w:marRight w:val="0"/>
      <w:marTop w:val="0"/>
      <w:marBottom w:val="0"/>
      <w:divBdr>
        <w:top w:val="none" w:sz="0" w:space="0" w:color="auto"/>
        <w:left w:val="none" w:sz="0" w:space="0" w:color="auto"/>
        <w:bottom w:val="none" w:sz="0" w:space="0" w:color="auto"/>
        <w:right w:val="none" w:sz="0" w:space="0" w:color="auto"/>
      </w:divBdr>
      <w:divsChild>
        <w:div w:id="1628703583">
          <w:marLeft w:val="0"/>
          <w:marRight w:val="0"/>
          <w:marTop w:val="0"/>
          <w:marBottom w:val="0"/>
          <w:divBdr>
            <w:top w:val="none" w:sz="0" w:space="0" w:color="auto"/>
            <w:left w:val="none" w:sz="0" w:space="0" w:color="auto"/>
            <w:bottom w:val="none" w:sz="0" w:space="0" w:color="auto"/>
            <w:right w:val="none" w:sz="0" w:space="0" w:color="auto"/>
          </w:divBdr>
        </w:div>
      </w:divsChild>
    </w:div>
    <w:div w:id="930819382">
      <w:marLeft w:val="0"/>
      <w:marRight w:val="0"/>
      <w:marTop w:val="0"/>
      <w:marBottom w:val="0"/>
      <w:divBdr>
        <w:top w:val="none" w:sz="0" w:space="0" w:color="auto"/>
        <w:left w:val="none" w:sz="0" w:space="0" w:color="auto"/>
        <w:bottom w:val="none" w:sz="0" w:space="0" w:color="auto"/>
        <w:right w:val="none" w:sz="0" w:space="0" w:color="auto"/>
      </w:divBdr>
      <w:divsChild>
        <w:div w:id="1255240577">
          <w:marLeft w:val="0"/>
          <w:marRight w:val="0"/>
          <w:marTop w:val="0"/>
          <w:marBottom w:val="0"/>
          <w:divBdr>
            <w:top w:val="none" w:sz="0" w:space="0" w:color="auto"/>
            <w:left w:val="none" w:sz="0" w:space="0" w:color="auto"/>
            <w:bottom w:val="none" w:sz="0" w:space="0" w:color="auto"/>
            <w:right w:val="none" w:sz="0" w:space="0" w:color="auto"/>
          </w:divBdr>
        </w:div>
      </w:divsChild>
    </w:div>
    <w:div w:id="933511700">
      <w:marLeft w:val="0"/>
      <w:marRight w:val="0"/>
      <w:marTop w:val="100"/>
      <w:marBottom w:val="0"/>
      <w:divBdr>
        <w:top w:val="none" w:sz="0" w:space="0" w:color="auto"/>
        <w:left w:val="none" w:sz="0" w:space="0" w:color="auto"/>
        <w:bottom w:val="none" w:sz="0" w:space="0" w:color="auto"/>
        <w:right w:val="none" w:sz="0" w:space="0" w:color="auto"/>
      </w:divBdr>
    </w:div>
    <w:div w:id="936795252">
      <w:marLeft w:val="0"/>
      <w:marRight w:val="0"/>
      <w:marTop w:val="100"/>
      <w:marBottom w:val="0"/>
      <w:divBdr>
        <w:top w:val="none" w:sz="0" w:space="0" w:color="auto"/>
        <w:left w:val="none" w:sz="0" w:space="0" w:color="auto"/>
        <w:bottom w:val="none" w:sz="0" w:space="0" w:color="auto"/>
        <w:right w:val="none" w:sz="0" w:space="0" w:color="auto"/>
      </w:divBdr>
      <w:divsChild>
        <w:div w:id="593636953">
          <w:marLeft w:val="0"/>
          <w:marRight w:val="0"/>
          <w:marTop w:val="0"/>
          <w:marBottom w:val="0"/>
          <w:divBdr>
            <w:top w:val="none" w:sz="0" w:space="0" w:color="auto"/>
            <w:left w:val="none" w:sz="0" w:space="0" w:color="auto"/>
            <w:bottom w:val="none" w:sz="0" w:space="0" w:color="auto"/>
            <w:right w:val="none" w:sz="0" w:space="0" w:color="auto"/>
          </w:divBdr>
        </w:div>
        <w:div w:id="731076589">
          <w:marLeft w:val="0"/>
          <w:marRight w:val="0"/>
          <w:marTop w:val="0"/>
          <w:marBottom w:val="0"/>
          <w:divBdr>
            <w:top w:val="none" w:sz="0" w:space="0" w:color="auto"/>
            <w:left w:val="none" w:sz="0" w:space="0" w:color="auto"/>
            <w:bottom w:val="none" w:sz="0" w:space="0" w:color="auto"/>
            <w:right w:val="none" w:sz="0" w:space="0" w:color="auto"/>
          </w:divBdr>
        </w:div>
        <w:div w:id="1126005958">
          <w:marLeft w:val="0"/>
          <w:marRight w:val="0"/>
          <w:marTop w:val="0"/>
          <w:marBottom w:val="0"/>
          <w:divBdr>
            <w:top w:val="none" w:sz="0" w:space="0" w:color="auto"/>
            <w:left w:val="none" w:sz="0" w:space="0" w:color="auto"/>
            <w:bottom w:val="none" w:sz="0" w:space="0" w:color="auto"/>
            <w:right w:val="none" w:sz="0" w:space="0" w:color="auto"/>
          </w:divBdr>
        </w:div>
        <w:div w:id="1759329389">
          <w:marLeft w:val="0"/>
          <w:marRight w:val="0"/>
          <w:marTop w:val="0"/>
          <w:marBottom w:val="0"/>
          <w:divBdr>
            <w:top w:val="none" w:sz="0" w:space="0" w:color="auto"/>
            <w:left w:val="none" w:sz="0" w:space="0" w:color="auto"/>
            <w:bottom w:val="none" w:sz="0" w:space="0" w:color="auto"/>
            <w:right w:val="none" w:sz="0" w:space="0" w:color="auto"/>
          </w:divBdr>
        </w:div>
        <w:div w:id="1052315524">
          <w:marLeft w:val="0"/>
          <w:marRight w:val="0"/>
          <w:marTop w:val="0"/>
          <w:marBottom w:val="0"/>
          <w:divBdr>
            <w:top w:val="none" w:sz="0" w:space="0" w:color="auto"/>
            <w:left w:val="none" w:sz="0" w:space="0" w:color="auto"/>
            <w:bottom w:val="none" w:sz="0" w:space="0" w:color="auto"/>
            <w:right w:val="none" w:sz="0" w:space="0" w:color="auto"/>
          </w:divBdr>
        </w:div>
        <w:div w:id="1017005500">
          <w:marLeft w:val="0"/>
          <w:marRight w:val="0"/>
          <w:marTop w:val="0"/>
          <w:marBottom w:val="0"/>
          <w:divBdr>
            <w:top w:val="none" w:sz="0" w:space="0" w:color="auto"/>
            <w:left w:val="none" w:sz="0" w:space="0" w:color="auto"/>
            <w:bottom w:val="none" w:sz="0" w:space="0" w:color="auto"/>
            <w:right w:val="none" w:sz="0" w:space="0" w:color="auto"/>
          </w:divBdr>
        </w:div>
        <w:div w:id="1491214184">
          <w:marLeft w:val="0"/>
          <w:marRight w:val="0"/>
          <w:marTop w:val="0"/>
          <w:marBottom w:val="0"/>
          <w:divBdr>
            <w:top w:val="none" w:sz="0" w:space="0" w:color="auto"/>
            <w:left w:val="none" w:sz="0" w:space="0" w:color="auto"/>
            <w:bottom w:val="none" w:sz="0" w:space="0" w:color="auto"/>
            <w:right w:val="none" w:sz="0" w:space="0" w:color="auto"/>
          </w:divBdr>
        </w:div>
        <w:div w:id="2069104513">
          <w:marLeft w:val="0"/>
          <w:marRight w:val="0"/>
          <w:marTop w:val="0"/>
          <w:marBottom w:val="0"/>
          <w:divBdr>
            <w:top w:val="none" w:sz="0" w:space="0" w:color="auto"/>
            <w:left w:val="none" w:sz="0" w:space="0" w:color="auto"/>
            <w:bottom w:val="none" w:sz="0" w:space="0" w:color="auto"/>
            <w:right w:val="none" w:sz="0" w:space="0" w:color="auto"/>
          </w:divBdr>
        </w:div>
        <w:div w:id="1773166573">
          <w:marLeft w:val="0"/>
          <w:marRight w:val="0"/>
          <w:marTop w:val="0"/>
          <w:marBottom w:val="0"/>
          <w:divBdr>
            <w:top w:val="none" w:sz="0" w:space="0" w:color="auto"/>
            <w:left w:val="none" w:sz="0" w:space="0" w:color="auto"/>
            <w:bottom w:val="none" w:sz="0" w:space="0" w:color="auto"/>
            <w:right w:val="none" w:sz="0" w:space="0" w:color="auto"/>
          </w:divBdr>
        </w:div>
      </w:divsChild>
    </w:div>
    <w:div w:id="939678016">
      <w:marLeft w:val="0"/>
      <w:marRight w:val="0"/>
      <w:marTop w:val="0"/>
      <w:marBottom w:val="0"/>
      <w:divBdr>
        <w:top w:val="none" w:sz="0" w:space="0" w:color="auto"/>
        <w:left w:val="none" w:sz="0" w:space="0" w:color="auto"/>
        <w:bottom w:val="none" w:sz="0" w:space="0" w:color="auto"/>
        <w:right w:val="none" w:sz="0" w:space="0" w:color="auto"/>
      </w:divBdr>
      <w:divsChild>
        <w:div w:id="1962032267">
          <w:marLeft w:val="0"/>
          <w:marRight w:val="0"/>
          <w:marTop w:val="0"/>
          <w:marBottom w:val="0"/>
          <w:divBdr>
            <w:top w:val="none" w:sz="0" w:space="0" w:color="auto"/>
            <w:left w:val="none" w:sz="0" w:space="0" w:color="auto"/>
            <w:bottom w:val="none" w:sz="0" w:space="0" w:color="auto"/>
            <w:right w:val="none" w:sz="0" w:space="0" w:color="auto"/>
          </w:divBdr>
        </w:div>
      </w:divsChild>
    </w:div>
    <w:div w:id="952446888">
      <w:marLeft w:val="0"/>
      <w:marRight w:val="0"/>
      <w:marTop w:val="100"/>
      <w:marBottom w:val="0"/>
      <w:divBdr>
        <w:top w:val="none" w:sz="0" w:space="0" w:color="auto"/>
        <w:left w:val="none" w:sz="0" w:space="0" w:color="auto"/>
        <w:bottom w:val="none" w:sz="0" w:space="0" w:color="auto"/>
        <w:right w:val="none" w:sz="0" w:space="0" w:color="auto"/>
      </w:divBdr>
    </w:div>
    <w:div w:id="979192943">
      <w:marLeft w:val="0"/>
      <w:marRight w:val="0"/>
      <w:marTop w:val="0"/>
      <w:marBottom w:val="0"/>
      <w:divBdr>
        <w:top w:val="none" w:sz="0" w:space="0" w:color="auto"/>
        <w:left w:val="none" w:sz="0" w:space="0" w:color="auto"/>
        <w:bottom w:val="none" w:sz="0" w:space="0" w:color="auto"/>
        <w:right w:val="none" w:sz="0" w:space="0" w:color="auto"/>
      </w:divBdr>
    </w:div>
    <w:div w:id="980041006">
      <w:marLeft w:val="0"/>
      <w:marRight w:val="0"/>
      <w:marTop w:val="0"/>
      <w:marBottom w:val="0"/>
      <w:divBdr>
        <w:top w:val="none" w:sz="0" w:space="0" w:color="auto"/>
        <w:left w:val="none" w:sz="0" w:space="0" w:color="auto"/>
        <w:bottom w:val="none" w:sz="0" w:space="0" w:color="auto"/>
        <w:right w:val="none" w:sz="0" w:space="0" w:color="auto"/>
      </w:divBdr>
      <w:divsChild>
        <w:div w:id="1658879270">
          <w:marLeft w:val="0"/>
          <w:marRight w:val="0"/>
          <w:marTop w:val="0"/>
          <w:marBottom w:val="0"/>
          <w:divBdr>
            <w:top w:val="none" w:sz="0" w:space="0" w:color="auto"/>
            <w:left w:val="none" w:sz="0" w:space="0" w:color="auto"/>
            <w:bottom w:val="none" w:sz="0" w:space="0" w:color="auto"/>
            <w:right w:val="none" w:sz="0" w:space="0" w:color="auto"/>
          </w:divBdr>
        </w:div>
      </w:divsChild>
    </w:div>
    <w:div w:id="980572851">
      <w:marLeft w:val="0"/>
      <w:marRight w:val="0"/>
      <w:marTop w:val="0"/>
      <w:marBottom w:val="0"/>
      <w:divBdr>
        <w:top w:val="none" w:sz="0" w:space="0" w:color="auto"/>
        <w:left w:val="none" w:sz="0" w:space="0" w:color="auto"/>
        <w:bottom w:val="none" w:sz="0" w:space="0" w:color="auto"/>
        <w:right w:val="none" w:sz="0" w:space="0" w:color="auto"/>
      </w:divBdr>
    </w:div>
    <w:div w:id="982538565">
      <w:marLeft w:val="0"/>
      <w:marRight w:val="0"/>
      <w:marTop w:val="0"/>
      <w:marBottom w:val="0"/>
      <w:divBdr>
        <w:top w:val="none" w:sz="0" w:space="0" w:color="auto"/>
        <w:left w:val="none" w:sz="0" w:space="0" w:color="auto"/>
        <w:bottom w:val="none" w:sz="0" w:space="0" w:color="auto"/>
        <w:right w:val="none" w:sz="0" w:space="0" w:color="auto"/>
      </w:divBdr>
      <w:divsChild>
        <w:div w:id="1471627327">
          <w:marLeft w:val="0"/>
          <w:marRight w:val="0"/>
          <w:marTop w:val="0"/>
          <w:marBottom w:val="0"/>
          <w:divBdr>
            <w:top w:val="none" w:sz="0" w:space="0" w:color="auto"/>
            <w:left w:val="none" w:sz="0" w:space="0" w:color="auto"/>
            <w:bottom w:val="none" w:sz="0" w:space="0" w:color="auto"/>
            <w:right w:val="none" w:sz="0" w:space="0" w:color="auto"/>
          </w:divBdr>
        </w:div>
      </w:divsChild>
    </w:div>
    <w:div w:id="991636146">
      <w:marLeft w:val="0"/>
      <w:marRight w:val="0"/>
      <w:marTop w:val="0"/>
      <w:marBottom w:val="0"/>
      <w:divBdr>
        <w:top w:val="none" w:sz="0" w:space="0" w:color="auto"/>
        <w:left w:val="none" w:sz="0" w:space="0" w:color="auto"/>
        <w:bottom w:val="none" w:sz="0" w:space="0" w:color="auto"/>
        <w:right w:val="none" w:sz="0" w:space="0" w:color="auto"/>
      </w:divBdr>
      <w:divsChild>
        <w:div w:id="1633169493">
          <w:marLeft w:val="0"/>
          <w:marRight w:val="0"/>
          <w:marTop w:val="0"/>
          <w:marBottom w:val="0"/>
          <w:divBdr>
            <w:top w:val="none" w:sz="0" w:space="0" w:color="auto"/>
            <w:left w:val="none" w:sz="0" w:space="0" w:color="auto"/>
            <w:bottom w:val="none" w:sz="0" w:space="0" w:color="auto"/>
            <w:right w:val="none" w:sz="0" w:space="0" w:color="auto"/>
          </w:divBdr>
        </w:div>
      </w:divsChild>
    </w:div>
    <w:div w:id="991982207">
      <w:marLeft w:val="0"/>
      <w:marRight w:val="0"/>
      <w:marTop w:val="0"/>
      <w:marBottom w:val="0"/>
      <w:divBdr>
        <w:top w:val="none" w:sz="0" w:space="0" w:color="auto"/>
        <w:left w:val="none" w:sz="0" w:space="0" w:color="auto"/>
        <w:bottom w:val="none" w:sz="0" w:space="0" w:color="auto"/>
        <w:right w:val="none" w:sz="0" w:space="0" w:color="auto"/>
      </w:divBdr>
      <w:divsChild>
        <w:div w:id="211237089">
          <w:marLeft w:val="0"/>
          <w:marRight w:val="0"/>
          <w:marTop w:val="0"/>
          <w:marBottom w:val="0"/>
          <w:divBdr>
            <w:top w:val="none" w:sz="0" w:space="0" w:color="auto"/>
            <w:left w:val="none" w:sz="0" w:space="0" w:color="auto"/>
            <w:bottom w:val="none" w:sz="0" w:space="0" w:color="auto"/>
            <w:right w:val="none" w:sz="0" w:space="0" w:color="auto"/>
          </w:divBdr>
        </w:div>
      </w:divsChild>
    </w:div>
    <w:div w:id="994575157">
      <w:marLeft w:val="0"/>
      <w:marRight w:val="0"/>
      <w:marTop w:val="0"/>
      <w:marBottom w:val="0"/>
      <w:divBdr>
        <w:top w:val="none" w:sz="0" w:space="0" w:color="auto"/>
        <w:left w:val="none" w:sz="0" w:space="0" w:color="auto"/>
        <w:bottom w:val="none" w:sz="0" w:space="0" w:color="auto"/>
        <w:right w:val="none" w:sz="0" w:space="0" w:color="auto"/>
      </w:divBdr>
    </w:div>
    <w:div w:id="1002270930">
      <w:marLeft w:val="0"/>
      <w:marRight w:val="0"/>
      <w:marTop w:val="180"/>
      <w:marBottom w:val="0"/>
      <w:divBdr>
        <w:top w:val="none" w:sz="0" w:space="0" w:color="auto"/>
        <w:left w:val="none" w:sz="0" w:space="0" w:color="auto"/>
        <w:bottom w:val="none" w:sz="0" w:space="0" w:color="auto"/>
        <w:right w:val="none" w:sz="0" w:space="0" w:color="auto"/>
      </w:divBdr>
    </w:div>
    <w:div w:id="1003900047">
      <w:marLeft w:val="0"/>
      <w:marRight w:val="0"/>
      <w:marTop w:val="0"/>
      <w:marBottom w:val="0"/>
      <w:divBdr>
        <w:top w:val="none" w:sz="0" w:space="0" w:color="auto"/>
        <w:left w:val="none" w:sz="0" w:space="0" w:color="auto"/>
        <w:bottom w:val="none" w:sz="0" w:space="0" w:color="auto"/>
        <w:right w:val="none" w:sz="0" w:space="0" w:color="auto"/>
      </w:divBdr>
    </w:div>
    <w:div w:id="1008480836">
      <w:marLeft w:val="0"/>
      <w:marRight w:val="0"/>
      <w:marTop w:val="100"/>
      <w:marBottom w:val="0"/>
      <w:divBdr>
        <w:top w:val="none" w:sz="0" w:space="0" w:color="auto"/>
        <w:left w:val="none" w:sz="0" w:space="0" w:color="auto"/>
        <w:bottom w:val="none" w:sz="0" w:space="0" w:color="auto"/>
        <w:right w:val="none" w:sz="0" w:space="0" w:color="auto"/>
      </w:divBdr>
    </w:div>
    <w:div w:id="1012994692">
      <w:marLeft w:val="0"/>
      <w:marRight w:val="0"/>
      <w:marTop w:val="0"/>
      <w:marBottom w:val="0"/>
      <w:divBdr>
        <w:top w:val="none" w:sz="0" w:space="0" w:color="auto"/>
        <w:left w:val="none" w:sz="0" w:space="0" w:color="auto"/>
        <w:bottom w:val="none" w:sz="0" w:space="0" w:color="auto"/>
        <w:right w:val="none" w:sz="0" w:space="0" w:color="auto"/>
      </w:divBdr>
    </w:div>
    <w:div w:id="1013266450">
      <w:marLeft w:val="0"/>
      <w:marRight w:val="0"/>
      <w:marTop w:val="20"/>
      <w:marBottom w:val="0"/>
      <w:divBdr>
        <w:top w:val="none" w:sz="0" w:space="0" w:color="auto"/>
        <w:left w:val="none" w:sz="0" w:space="0" w:color="auto"/>
        <w:bottom w:val="none" w:sz="0" w:space="0" w:color="auto"/>
        <w:right w:val="none" w:sz="0" w:space="0" w:color="auto"/>
      </w:divBdr>
    </w:div>
    <w:div w:id="1013990857">
      <w:marLeft w:val="0"/>
      <w:marRight w:val="0"/>
      <w:marTop w:val="100"/>
      <w:marBottom w:val="0"/>
      <w:divBdr>
        <w:top w:val="none" w:sz="0" w:space="0" w:color="auto"/>
        <w:left w:val="none" w:sz="0" w:space="0" w:color="auto"/>
        <w:bottom w:val="none" w:sz="0" w:space="0" w:color="auto"/>
        <w:right w:val="none" w:sz="0" w:space="0" w:color="auto"/>
      </w:divBdr>
    </w:div>
    <w:div w:id="1017342440">
      <w:marLeft w:val="0"/>
      <w:marRight w:val="0"/>
      <w:marTop w:val="0"/>
      <w:marBottom w:val="0"/>
      <w:divBdr>
        <w:top w:val="none" w:sz="0" w:space="0" w:color="auto"/>
        <w:left w:val="none" w:sz="0" w:space="0" w:color="auto"/>
        <w:bottom w:val="none" w:sz="0" w:space="0" w:color="auto"/>
        <w:right w:val="none" w:sz="0" w:space="0" w:color="auto"/>
      </w:divBdr>
    </w:div>
    <w:div w:id="1027170771">
      <w:marLeft w:val="0"/>
      <w:marRight w:val="0"/>
      <w:marTop w:val="0"/>
      <w:marBottom w:val="0"/>
      <w:divBdr>
        <w:top w:val="none" w:sz="0" w:space="0" w:color="auto"/>
        <w:left w:val="none" w:sz="0" w:space="0" w:color="auto"/>
        <w:bottom w:val="none" w:sz="0" w:space="0" w:color="auto"/>
        <w:right w:val="none" w:sz="0" w:space="0" w:color="auto"/>
      </w:divBdr>
    </w:div>
    <w:div w:id="1030833985">
      <w:marLeft w:val="0"/>
      <w:marRight w:val="0"/>
      <w:marTop w:val="0"/>
      <w:marBottom w:val="0"/>
      <w:divBdr>
        <w:top w:val="none" w:sz="0" w:space="0" w:color="auto"/>
        <w:left w:val="none" w:sz="0" w:space="0" w:color="auto"/>
        <w:bottom w:val="none" w:sz="0" w:space="0" w:color="auto"/>
        <w:right w:val="none" w:sz="0" w:space="0" w:color="auto"/>
      </w:divBdr>
      <w:divsChild>
        <w:div w:id="107704019">
          <w:marLeft w:val="0"/>
          <w:marRight w:val="0"/>
          <w:marTop w:val="0"/>
          <w:marBottom w:val="0"/>
          <w:divBdr>
            <w:top w:val="none" w:sz="0" w:space="0" w:color="auto"/>
            <w:left w:val="none" w:sz="0" w:space="0" w:color="auto"/>
            <w:bottom w:val="none" w:sz="0" w:space="0" w:color="auto"/>
            <w:right w:val="none" w:sz="0" w:space="0" w:color="auto"/>
          </w:divBdr>
        </w:div>
      </w:divsChild>
    </w:div>
    <w:div w:id="1031610768">
      <w:marLeft w:val="0"/>
      <w:marRight w:val="0"/>
      <w:marTop w:val="100"/>
      <w:marBottom w:val="0"/>
      <w:divBdr>
        <w:top w:val="none" w:sz="0" w:space="0" w:color="auto"/>
        <w:left w:val="none" w:sz="0" w:space="0" w:color="auto"/>
        <w:bottom w:val="none" w:sz="0" w:space="0" w:color="auto"/>
        <w:right w:val="none" w:sz="0" w:space="0" w:color="auto"/>
      </w:divBdr>
    </w:div>
    <w:div w:id="1037122197">
      <w:marLeft w:val="0"/>
      <w:marRight w:val="0"/>
      <w:marTop w:val="0"/>
      <w:marBottom w:val="0"/>
      <w:divBdr>
        <w:top w:val="none" w:sz="0" w:space="0" w:color="auto"/>
        <w:left w:val="none" w:sz="0" w:space="0" w:color="auto"/>
        <w:bottom w:val="none" w:sz="0" w:space="0" w:color="auto"/>
        <w:right w:val="none" w:sz="0" w:space="0" w:color="auto"/>
      </w:divBdr>
    </w:div>
    <w:div w:id="1039016543">
      <w:marLeft w:val="0"/>
      <w:marRight w:val="0"/>
      <w:marTop w:val="180"/>
      <w:marBottom w:val="0"/>
      <w:divBdr>
        <w:top w:val="none" w:sz="0" w:space="0" w:color="auto"/>
        <w:left w:val="none" w:sz="0" w:space="0" w:color="auto"/>
        <w:bottom w:val="none" w:sz="0" w:space="0" w:color="auto"/>
        <w:right w:val="none" w:sz="0" w:space="0" w:color="auto"/>
      </w:divBdr>
    </w:div>
    <w:div w:id="1041587172">
      <w:marLeft w:val="0"/>
      <w:marRight w:val="0"/>
      <w:marTop w:val="0"/>
      <w:marBottom w:val="0"/>
      <w:divBdr>
        <w:top w:val="none" w:sz="0" w:space="0" w:color="auto"/>
        <w:left w:val="none" w:sz="0" w:space="0" w:color="auto"/>
        <w:bottom w:val="none" w:sz="0" w:space="0" w:color="auto"/>
        <w:right w:val="none" w:sz="0" w:space="0" w:color="auto"/>
      </w:divBdr>
    </w:div>
    <w:div w:id="1043165722">
      <w:marLeft w:val="0"/>
      <w:marRight w:val="0"/>
      <w:marTop w:val="0"/>
      <w:marBottom w:val="0"/>
      <w:divBdr>
        <w:top w:val="none" w:sz="0" w:space="0" w:color="auto"/>
        <w:left w:val="none" w:sz="0" w:space="0" w:color="auto"/>
        <w:bottom w:val="none" w:sz="0" w:space="0" w:color="auto"/>
        <w:right w:val="none" w:sz="0" w:space="0" w:color="auto"/>
      </w:divBdr>
    </w:div>
    <w:div w:id="1046219773">
      <w:marLeft w:val="0"/>
      <w:marRight w:val="0"/>
      <w:marTop w:val="0"/>
      <w:marBottom w:val="0"/>
      <w:divBdr>
        <w:top w:val="none" w:sz="0" w:space="0" w:color="auto"/>
        <w:left w:val="none" w:sz="0" w:space="0" w:color="auto"/>
        <w:bottom w:val="none" w:sz="0" w:space="0" w:color="auto"/>
        <w:right w:val="none" w:sz="0" w:space="0" w:color="auto"/>
      </w:divBdr>
    </w:div>
    <w:div w:id="1054542735">
      <w:marLeft w:val="0"/>
      <w:marRight w:val="0"/>
      <w:marTop w:val="0"/>
      <w:marBottom w:val="0"/>
      <w:divBdr>
        <w:top w:val="none" w:sz="0" w:space="0" w:color="auto"/>
        <w:left w:val="none" w:sz="0" w:space="0" w:color="auto"/>
        <w:bottom w:val="none" w:sz="0" w:space="0" w:color="auto"/>
        <w:right w:val="none" w:sz="0" w:space="0" w:color="auto"/>
      </w:divBdr>
    </w:div>
    <w:div w:id="1058432205">
      <w:marLeft w:val="0"/>
      <w:marRight w:val="0"/>
      <w:marTop w:val="0"/>
      <w:marBottom w:val="0"/>
      <w:divBdr>
        <w:top w:val="none" w:sz="0" w:space="0" w:color="auto"/>
        <w:left w:val="none" w:sz="0" w:space="0" w:color="auto"/>
        <w:bottom w:val="none" w:sz="0" w:space="0" w:color="auto"/>
        <w:right w:val="none" w:sz="0" w:space="0" w:color="auto"/>
      </w:divBdr>
      <w:divsChild>
        <w:div w:id="1758280623">
          <w:marLeft w:val="0"/>
          <w:marRight w:val="0"/>
          <w:marTop w:val="0"/>
          <w:marBottom w:val="0"/>
          <w:divBdr>
            <w:top w:val="none" w:sz="0" w:space="0" w:color="auto"/>
            <w:left w:val="none" w:sz="0" w:space="0" w:color="auto"/>
            <w:bottom w:val="none" w:sz="0" w:space="0" w:color="auto"/>
            <w:right w:val="none" w:sz="0" w:space="0" w:color="auto"/>
          </w:divBdr>
        </w:div>
      </w:divsChild>
    </w:div>
    <w:div w:id="1058823271">
      <w:marLeft w:val="0"/>
      <w:marRight w:val="0"/>
      <w:marTop w:val="100"/>
      <w:marBottom w:val="0"/>
      <w:divBdr>
        <w:top w:val="none" w:sz="0" w:space="0" w:color="auto"/>
        <w:left w:val="none" w:sz="0" w:space="0" w:color="auto"/>
        <w:bottom w:val="none" w:sz="0" w:space="0" w:color="auto"/>
        <w:right w:val="none" w:sz="0" w:space="0" w:color="auto"/>
      </w:divBdr>
    </w:div>
    <w:div w:id="1060907836">
      <w:marLeft w:val="0"/>
      <w:marRight w:val="0"/>
      <w:marTop w:val="180"/>
      <w:marBottom w:val="180"/>
      <w:divBdr>
        <w:top w:val="none" w:sz="0" w:space="0" w:color="auto"/>
        <w:left w:val="none" w:sz="0" w:space="0" w:color="auto"/>
        <w:bottom w:val="none" w:sz="0" w:space="0" w:color="auto"/>
        <w:right w:val="none" w:sz="0" w:space="0" w:color="auto"/>
      </w:divBdr>
    </w:div>
    <w:div w:id="1067876311">
      <w:marLeft w:val="0"/>
      <w:marRight w:val="0"/>
      <w:marTop w:val="0"/>
      <w:marBottom w:val="0"/>
      <w:divBdr>
        <w:top w:val="none" w:sz="0" w:space="0" w:color="auto"/>
        <w:left w:val="none" w:sz="0" w:space="0" w:color="auto"/>
        <w:bottom w:val="none" w:sz="0" w:space="0" w:color="auto"/>
        <w:right w:val="none" w:sz="0" w:space="0" w:color="auto"/>
      </w:divBdr>
    </w:div>
    <w:div w:id="1068726885">
      <w:marLeft w:val="0"/>
      <w:marRight w:val="0"/>
      <w:marTop w:val="100"/>
      <w:marBottom w:val="0"/>
      <w:divBdr>
        <w:top w:val="none" w:sz="0" w:space="0" w:color="auto"/>
        <w:left w:val="none" w:sz="0" w:space="0" w:color="auto"/>
        <w:bottom w:val="none" w:sz="0" w:space="0" w:color="auto"/>
        <w:right w:val="none" w:sz="0" w:space="0" w:color="auto"/>
      </w:divBdr>
    </w:div>
    <w:div w:id="1073620050">
      <w:marLeft w:val="0"/>
      <w:marRight w:val="0"/>
      <w:marTop w:val="0"/>
      <w:marBottom w:val="0"/>
      <w:divBdr>
        <w:top w:val="none" w:sz="0" w:space="0" w:color="auto"/>
        <w:left w:val="none" w:sz="0" w:space="0" w:color="auto"/>
        <w:bottom w:val="none" w:sz="0" w:space="0" w:color="auto"/>
        <w:right w:val="none" w:sz="0" w:space="0" w:color="auto"/>
      </w:divBdr>
      <w:divsChild>
        <w:div w:id="109515892">
          <w:marLeft w:val="0"/>
          <w:marRight w:val="0"/>
          <w:marTop w:val="0"/>
          <w:marBottom w:val="0"/>
          <w:divBdr>
            <w:top w:val="none" w:sz="0" w:space="0" w:color="auto"/>
            <w:left w:val="none" w:sz="0" w:space="0" w:color="auto"/>
            <w:bottom w:val="none" w:sz="0" w:space="0" w:color="auto"/>
            <w:right w:val="none" w:sz="0" w:space="0" w:color="auto"/>
          </w:divBdr>
        </w:div>
      </w:divsChild>
    </w:div>
    <w:div w:id="1075205404">
      <w:marLeft w:val="0"/>
      <w:marRight w:val="0"/>
      <w:marTop w:val="100"/>
      <w:marBottom w:val="0"/>
      <w:divBdr>
        <w:top w:val="none" w:sz="0" w:space="0" w:color="auto"/>
        <w:left w:val="none" w:sz="0" w:space="0" w:color="auto"/>
        <w:bottom w:val="none" w:sz="0" w:space="0" w:color="auto"/>
        <w:right w:val="none" w:sz="0" w:space="0" w:color="auto"/>
      </w:divBdr>
      <w:divsChild>
        <w:div w:id="844825609">
          <w:marLeft w:val="0"/>
          <w:marRight w:val="0"/>
          <w:marTop w:val="180"/>
          <w:marBottom w:val="0"/>
          <w:divBdr>
            <w:top w:val="none" w:sz="0" w:space="0" w:color="auto"/>
            <w:left w:val="none" w:sz="0" w:space="0" w:color="auto"/>
            <w:bottom w:val="none" w:sz="0" w:space="0" w:color="auto"/>
            <w:right w:val="none" w:sz="0" w:space="0" w:color="auto"/>
          </w:divBdr>
        </w:div>
        <w:div w:id="1746143240">
          <w:marLeft w:val="0"/>
          <w:marRight w:val="0"/>
          <w:marTop w:val="180"/>
          <w:marBottom w:val="0"/>
          <w:divBdr>
            <w:top w:val="none" w:sz="0" w:space="0" w:color="auto"/>
            <w:left w:val="none" w:sz="0" w:space="0" w:color="auto"/>
            <w:bottom w:val="none" w:sz="0" w:space="0" w:color="auto"/>
            <w:right w:val="none" w:sz="0" w:space="0" w:color="auto"/>
          </w:divBdr>
        </w:div>
        <w:div w:id="939146815">
          <w:marLeft w:val="0"/>
          <w:marRight w:val="0"/>
          <w:marTop w:val="180"/>
          <w:marBottom w:val="0"/>
          <w:divBdr>
            <w:top w:val="none" w:sz="0" w:space="0" w:color="auto"/>
            <w:left w:val="none" w:sz="0" w:space="0" w:color="auto"/>
            <w:bottom w:val="none" w:sz="0" w:space="0" w:color="auto"/>
            <w:right w:val="none" w:sz="0" w:space="0" w:color="auto"/>
          </w:divBdr>
        </w:div>
        <w:div w:id="253897849">
          <w:marLeft w:val="0"/>
          <w:marRight w:val="0"/>
          <w:marTop w:val="180"/>
          <w:marBottom w:val="0"/>
          <w:divBdr>
            <w:top w:val="none" w:sz="0" w:space="0" w:color="auto"/>
            <w:left w:val="none" w:sz="0" w:space="0" w:color="auto"/>
            <w:bottom w:val="none" w:sz="0" w:space="0" w:color="auto"/>
            <w:right w:val="none" w:sz="0" w:space="0" w:color="auto"/>
          </w:divBdr>
        </w:div>
        <w:div w:id="1104032880">
          <w:marLeft w:val="0"/>
          <w:marRight w:val="0"/>
          <w:marTop w:val="180"/>
          <w:marBottom w:val="0"/>
          <w:divBdr>
            <w:top w:val="none" w:sz="0" w:space="0" w:color="auto"/>
            <w:left w:val="none" w:sz="0" w:space="0" w:color="auto"/>
            <w:bottom w:val="none" w:sz="0" w:space="0" w:color="auto"/>
            <w:right w:val="none" w:sz="0" w:space="0" w:color="auto"/>
          </w:divBdr>
        </w:div>
      </w:divsChild>
    </w:div>
    <w:div w:id="1075280650">
      <w:marLeft w:val="0"/>
      <w:marRight w:val="0"/>
      <w:marTop w:val="0"/>
      <w:marBottom w:val="0"/>
      <w:divBdr>
        <w:top w:val="none" w:sz="0" w:space="0" w:color="auto"/>
        <w:left w:val="none" w:sz="0" w:space="0" w:color="auto"/>
        <w:bottom w:val="none" w:sz="0" w:space="0" w:color="auto"/>
        <w:right w:val="none" w:sz="0" w:space="0" w:color="auto"/>
      </w:divBdr>
    </w:div>
    <w:div w:id="1076896150">
      <w:marLeft w:val="0"/>
      <w:marRight w:val="0"/>
      <w:marTop w:val="0"/>
      <w:marBottom w:val="0"/>
      <w:divBdr>
        <w:top w:val="none" w:sz="0" w:space="0" w:color="auto"/>
        <w:left w:val="none" w:sz="0" w:space="0" w:color="auto"/>
        <w:bottom w:val="none" w:sz="0" w:space="0" w:color="auto"/>
        <w:right w:val="none" w:sz="0" w:space="0" w:color="auto"/>
      </w:divBdr>
    </w:div>
    <w:div w:id="1077097708">
      <w:marLeft w:val="0"/>
      <w:marRight w:val="0"/>
      <w:marTop w:val="0"/>
      <w:marBottom w:val="0"/>
      <w:divBdr>
        <w:top w:val="none" w:sz="0" w:space="0" w:color="auto"/>
        <w:left w:val="none" w:sz="0" w:space="0" w:color="auto"/>
        <w:bottom w:val="none" w:sz="0" w:space="0" w:color="auto"/>
        <w:right w:val="none" w:sz="0" w:space="0" w:color="auto"/>
      </w:divBdr>
    </w:div>
    <w:div w:id="1078943312">
      <w:marLeft w:val="0"/>
      <w:marRight w:val="0"/>
      <w:marTop w:val="100"/>
      <w:marBottom w:val="0"/>
      <w:divBdr>
        <w:top w:val="none" w:sz="0" w:space="0" w:color="auto"/>
        <w:left w:val="none" w:sz="0" w:space="0" w:color="auto"/>
        <w:bottom w:val="none" w:sz="0" w:space="0" w:color="auto"/>
        <w:right w:val="none" w:sz="0" w:space="0" w:color="auto"/>
      </w:divBdr>
    </w:div>
    <w:div w:id="1092507991">
      <w:marLeft w:val="0"/>
      <w:marRight w:val="0"/>
      <w:marTop w:val="0"/>
      <w:marBottom w:val="0"/>
      <w:divBdr>
        <w:top w:val="none" w:sz="0" w:space="0" w:color="auto"/>
        <w:left w:val="none" w:sz="0" w:space="0" w:color="auto"/>
        <w:bottom w:val="none" w:sz="0" w:space="0" w:color="auto"/>
        <w:right w:val="none" w:sz="0" w:space="0" w:color="auto"/>
      </w:divBdr>
    </w:div>
    <w:div w:id="1099912853">
      <w:marLeft w:val="0"/>
      <w:marRight w:val="0"/>
      <w:marTop w:val="0"/>
      <w:marBottom w:val="0"/>
      <w:divBdr>
        <w:top w:val="none" w:sz="0" w:space="0" w:color="auto"/>
        <w:left w:val="none" w:sz="0" w:space="0" w:color="auto"/>
        <w:bottom w:val="none" w:sz="0" w:space="0" w:color="auto"/>
        <w:right w:val="none" w:sz="0" w:space="0" w:color="auto"/>
      </w:divBdr>
    </w:div>
    <w:div w:id="1104377352">
      <w:marLeft w:val="0"/>
      <w:marRight w:val="0"/>
      <w:marTop w:val="180"/>
      <w:marBottom w:val="0"/>
      <w:divBdr>
        <w:top w:val="none" w:sz="0" w:space="0" w:color="auto"/>
        <w:left w:val="none" w:sz="0" w:space="0" w:color="auto"/>
        <w:bottom w:val="none" w:sz="0" w:space="0" w:color="auto"/>
        <w:right w:val="none" w:sz="0" w:space="0" w:color="auto"/>
      </w:divBdr>
    </w:div>
    <w:div w:id="1112357180">
      <w:marLeft w:val="0"/>
      <w:marRight w:val="0"/>
      <w:marTop w:val="0"/>
      <w:marBottom w:val="0"/>
      <w:divBdr>
        <w:top w:val="none" w:sz="0" w:space="0" w:color="auto"/>
        <w:left w:val="none" w:sz="0" w:space="0" w:color="auto"/>
        <w:bottom w:val="none" w:sz="0" w:space="0" w:color="auto"/>
        <w:right w:val="none" w:sz="0" w:space="0" w:color="auto"/>
      </w:divBdr>
      <w:divsChild>
        <w:div w:id="31657179">
          <w:marLeft w:val="0"/>
          <w:marRight w:val="0"/>
          <w:marTop w:val="0"/>
          <w:marBottom w:val="0"/>
          <w:divBdr>
            <w:top w:val="none" w:sz="0" w:space="0" w:color="auto"/>
            <w:left w:val="none" w:sz="0" w:space="0" w:color="auto"/>
            <w:bottom w:val="none" w:sz="0" w:space="0" w:color="auto"/>
            <w:right w:val="none" w:sz="0" w:space="0" w:color="auto"/>
          </w:divBdr>
        </w:div>
      </w:divsChild>
    </w:div>
    <w:div w:id="1123159649">
      <w:marLeft w:val="0"/>
      <w:marRight w:val="0"/>
      <w:marTop w:val="0"/>
      <w:marBottom w:val="0"/>
      <w:divBdr>
        <w:top w:val="none" w:sz="0" w:space="0" w:color="auto"/>
        <w:left w:val="none" w:sz="0" w:space="0" w:color="auto"/>
        <w:bottom w:val="none" w:sz="0" w:space="0" w:color="auto"/>
        <w:right w:val="none" w:sz="0" w:space="0" w:color="auto"/>
      </w:divBdr>
    </w:div>
    <w:div w:id="1125780232">
      <w:marLeft w:val="0"/>
      <w:marRight w:val="0"/>
      <w:marTop w:val="100"/>
      <w:marBottom w:val="0"/>
      <w:divBdr>
        <w:top w:val="none" w:sz="0" w:space="0" w:color="auto"/>
        <w:left w:val="none" w:sz="0" w:space="0" w:color="auto"/>
        <w:bottom w:val="none" w:sz="0" w:space="0" w:color="auto"/>
        <w:right w:val="none" w:sz="0" w:space="0" w:color="auto"/>
      </w:divBdr>
      <w:divsChild>
        <w:div w:id="699008837">
          <w:marLeft w:val="0"/>
          <w:marRight w:val="0"/>
          <w:marTop w:val="0"/>
          <w:marBottom w:val="0"/>
          <w:divBdr>
            <w:top w:val="none" w:sz="0" w:space="0" w:color="auto"/>
            <w:left w:val="none" w:sz="0" w:space="0" w:color="auto"/>
            <w:bottom w:val="none" w:sz="0" w:space="0" w:color="auto"/>
            <w:right w:val="none" w:sz="0" w:space="0" w:color="auto"/>
          </w:divBdr>
        </w:div>
        <w:div w:id="1917783643">
          <w:marLeft w:val="0"/>
          <w:marRight w:val="0"/>
          <w:marTop w:val="0"/>
          <w:marBottom w:val="0"/>
          <w:divBdr>
            <w:top w:val="none" w:sz="0" w:space="0" w:color="auto"/>
            <w:left w:val="none" w:sz="0" w:space="0" w:color="auto"/>
            <w:bottom w:val="none" w:sz="0" w:space="0" w:color="auto"/>
            <w:right w:val="none" w:sz="0" w:space="0" w:color="auto"/>
          </w:divBdr>
        </w:div>
        <w:div w:id="1275987967">
          <w:marLeft w:val="0"/>
          <w:marRight w:val="0"/>
          <w:marTop w:val="0"/>
          <w:marBottom w:val="0"/>
          <w:divBdr>
            <w:top w:val="none" w:sz="0" w:space="0" w:color="auto"/>
            <w:left w:val="none" w:sz="0" w:space="0" w:color="auto"/>
            <w:bottom w:val="none" w:sz="0" w:space="0" w:color="auto"/>
            <w:right w:val="none" w:sz="0" w:space="0" w:color="auto"/>
          </w:divBdr>
        </w:div>
        <w:div w:id="1138065131">
          <w:marLeft w:val="0"/>
          <w:marRight w:val="0"/>
          <w:marTop w:val="0"/>
          <w:marBottom w:val="0"/>
          <w:divBdr>
            <w:top w:val="none" w:sz="0" w:space="0" w:color="auto"/>
            <w:left w:val="none" w:sz="0" w:space="0" w:color="auto"/>
            <w:bottom w:val="none" w:sz="0" w:space="0" w:color="auto"/>
            <w:right w:val="none" w:sz="0" w:space="0" w:color="auto"/>
          </w:divBdr>
        </w:div>
        <w:div w:id="805052516">
          <w:marLeft w:val="0"/>
          <w:marRight w:val="0"/>
          <w:marTop w:val="0"/>
          <w:marBottom w:val="0"/>
          <w:divBdr>
            <w:top w:val="none" w:sz="0" w:space="0" w:color="auto"/>
            <w:left w:val="none" w:sz="0" w:space="0" w:color="auto"/>
            <w:bottom w:val="none" w:sz="0" w:space="0" w:color="auto"/>
            <w:right w:val="none" w:sz="0" w:space="0" w:color="auto"/>
          </w:divBdr>
        </w:div>
        <w:div w:id="963926860">
          <w:marLeft w:val="0"/>
          <w:marRight w:val="0"/>
          <w:marTop w:val="0"/>
          <w:marBottom w:val="0"/>
          <w:divBdr>
            <w:top w:val="none" w:sz="0" w:space="0" w:color="auto"/>
            <w:left w:val="none" w:sz="0" w:space="0" w:color="auto"/>
            <w:bottom w:val="none" w:sz="0" w:space="0" w:color="auto"/>
            <w:right w:val="none" w:sz="0" w:space="0" w:color="auto"/>
          </w:divBdr>
        </w:div>
        <w:div w:id="316035800">
          <w:marLeft w:val="0"/>
          <w:marRight w:val="0"/>
          <w:marTop w:val="0"/>
          <w:marBottom w:val="0"/>
          <w:divBdr>
            <w:top w:val="none" w:sz="0" w:space="0" w:color="auto"/>
            <w:left w:val="none" w:sz="0" w:space="0" w:color="auto"/>
            <w:bottom w:val="none" w:sz="0" w:space="0" w:color="auto"/>
            <w:right w:val="none" w:sz="0" w:space="0" w:color="auto"/>
          </w:divBdr>
        </w:div>
        <w:div w:id="1153372753">
          <w:marLeft w:val="0"/>
          <w:marRight w:val="0"/>
          <w:marTop w:val="0"/>
          <w:marBottom w:val="0"/>
          <w:divBdr>
            <w:top w:val="none" w:sz="0" w:space="0" w:color="auto"/>
            <w:left w:val="none" w:sz="0" w:space="0" w:color="auto"/>
            <w:bottom w:val="none" w:sz="0" w:space="0" w:color="auto"/>
            <w:right w:val="none" w:sz="0" w:space="0" w:color="auto"/>
          </w:divBdr>
        </w:div>
        <w:div w:id="836963735">
          <w:marLeft w:val="0"/>
          <w:marRight w:val="0"/>
          <w:marTop w:val="0"/>
          <w:marBottom w:val="0"/>
          <w:divBdr>
            <w:top w:val="none" w:sz="0" w:space="0" w:color="auto"/>
            <w:left w:val="none" w:sz="0" w:space="0" w:color="auto"/>
            <w:bottom w:val="none" w:sz="0" w:space="0" w:color="auto"/>
            <w:right w:val="none" w:sz="0" w:space="0" w:color="auto"/>
          </w:divBdr>
        </w:div>
        <w:div w:id="1755858491">
          <w:marLeft w:val="0"/>
          <w:marRight w:val="0"/>
          <w:marTop w:val="0"/>
          <w:marBottom w:val="0"/>
          <w:divBdr>
            <w:top w:val="none" w:sz="0" w:space="0" w:color="auto"/>
            <w:left w:val="none" w:sz="0" w:space="0" w:color="auto"/>
            <w:bottom w:val="none" w:sz="0" w:space="0" w:color="auto"/>
            <w:right w:val="none" w:sz="0" w:space="0" w:color="auto"/>
          </w:divBdr>
        </w:div>
        <w:div w:id="1472598585">
          <w:marLeft w:val="0"/>
          <w:marRight w:val="0"/>
          <w:marTop w:val="0"/>
          <w:marBottom w:val="0"/>
          <w:divBdr>
            <w:top w:val="none" w:sz="0" w:space="0" w:color="auto"/>
            <w:left w:val="none" w:sz="0" w:space="0" w:color="auto"/>
            <w:bottom w:val="none" w:sz="0" w:space="0" w:color="auto"/>
            <w:right w:val="none" w:sz="0" w:space="0" w:color="auto"/>
          </w:divBdr>
        </w:div>
        <w:div w:id="824979521">
          <w:marLeft w:val="0"/>
          <w:marRight w:val="0"/>
          <w:marTop w:val="0"/>
          <w:marBottom w:val="0"/>
          <w:divBdr>
            <w:top w:val="none" w:sz="0" w:space="0" w:color="auto"/>
            <w:left w:val="none" w:sz="0" w:space="0" w:color="auto"/>
            <w:bottom w:val="none" w:sz="0" w:space="0" w:color="auto"/>
            <w:right w:val="none" w:sz="0" w:space="0" w:color="auto"/>
          </w:divBdr>
        </w:div>
        <w:div w:id="1224296883">
          <w:marLeft w:val="0"/>
          <w:marRight w:val="0"/>
          <w:marTop w:val="0"/>
          <w:marBottom w:val="0"/>
          <w:divBdr>
            <w:top w:val="none" w:sz="0" w:space="0" w:color="auto"/>
            <w:left w:val="none" w:sz="0" w:space="0" w:color="auto"/>
            <w:bottom w:val="none" w:sz="0" w:space="0" w:color="auto"/>
            <w:right w:val="none" w:sz="0" w:space="0" w:color="auto"/>
          </w:divBdr>
        </w:div>
        <w:div w:id="1895965616">
          <w:marLeft w:val="0"/>
          <w:marRight w:val="0"/>
          <w:marTop w:val="0"/>
          <w:marBottom w:val="0"/>
          <w:divBdr>
            <w:top w:val="none" w:sz="0" w:space="0" w:color="auto"/>
            <w:left w:val="none" w:sz="0" w:space="0" w:color="auto"/>
            <w:bottom w:val="none" w:sz="0" w:space="0" w:color="auto"/>
            <w:right w:val="none" w:sz="0" w:space="0" w:color="auto"/>
          </w:divBdr>
        </w:div>
        <w:div w:id="938294132">
          <w:marLeft w:val="0"/>
          <w:marRight w:val="0"/>
          <w:marTop w:val="0"/>
          <w:marBottom w:val="0"/>
          <w:divBdr>
            <w:top w:val="none" w:sz="0" w:space="0" w:color="auto"/>
            <w:left w:val="none" w:sz="0" w:space="0" w:color="auto"/>
            <w:bottom w:val="none" w:sz="0" w:space="0" w:color="auto"/>
            <w:right w:val="none" w:sz="0" w:space="0" w:color="auto"/>
          </w:divBdr>
        </w:div>
        <w:div w:id="1880437482">
          <w:marLeft w:val="0"/>
          <w:marRight w:val="0"/>
          <w:marTop w:val="0"/>
          <w:marBottom w:val="0"/>
          <w:divBdr>
            <w:top w:val="none" w:sz="0" w:space="0" w:color="auto"/>
            <w:left w:val="none" w:sz="0" w:space="0" w:color="auto"/>
            <w:bottom w:val="none" w:sz="0" w:space="0" w:color="auto"/>
            <w:right w:val="none" w:sz="0" w:space="0" w:color="auto"/>
          </w:divBdr>
        </w:div>
      </w:divsChild>
    </w:div>
    <w:div w:id="1135413500">
      <w:marLeft w:val="0"/>
      <w:marRight w:val="0"/>
      <w:marTop w:val="0"/>
      <w:marBottom w:val="0"/>
      <w:divBdr>
        <w:top w:val="none" w:sz="0" w:space="0" w:color="auto"/>
        <w:left w:val="none" w:sz="0" w:space="0" w:color="auto"/>
        <w:bottom w:val="none" w:sz="0" w:space="0" w:color="auto"/>
        <w:right w:val="none" w:sz="0" w:space="0" w:color="auto"/>
      </w:divBdr>
    </w:div>
    <w:div w:id="1140076193">
      <w:marLeft w:val="0"/>
      <w:marRight w:val="0"/>
      <w:marTop w:val="0"/>
      <w:marBottom w:val="0"/>
      <w:divBdr>
        <w:top w:val="none" w:sz="0" w:space="0" w:color="auto"/>
        <w:left w:val="none" w:sz="0" w:space="0" w:color="auto"/>
        <w:bottom w:val="none" w:sz="0" w:space="0" w:color="auto"/>
        <w:right w:val="none" w:sz="0" w:space="0" w:color="auto"/>
      </w:divBdr>
    </w:div>
    <w:div w:id="1143624400">
      <w:marLeft w:val="0"/>
      <w:marRight w:val="0"/>
      <w:marTop w:val="0"/>
      <w:marBottom w:val="0"/>
      <w:divBdr>
        <w:top w:val="none" w:sz="0" w:space="0" w:color="auto"/>
        <w:left w:val="none" w:sz="0" w:space="0" w:color="auto"/>
        <w:bottom w:val="none" w:sz="0" w:space="0" w:color="auto"/>
        <w:right w:val="none" w:sz="0" w:space="0" w:color="auto"/>
      </w:divBdr>
    </w:div>
    <w:div w:id="1156336579">
      <w:marLeft w:val="0"/>
      <w:marRight w:val="0"/>
      <w:marTop w:val="100"/>
      <w:marBottom w:val="0"/>
      <w:divBdr>
        <w:top w:val="none" w:sz="0" w:space="0" w:color="auto"/>
        <w:left w:val="none" w:sz="0" w:space="0" w:color="auto"/>
        <w:bottom w:val="none" w:sz="0" w:space="0" w:color="auto"/>
        <w:right w:val="none" w:sz="0" w:space="0" w:color="auto"/>
      </w:divBdr>
    </w:div>
    <w:div w:id="1156919817">
      <w:marLeft w:val="0"/>
      <w:marRight w:val="0"/>
      <w:marTop w:val="0"/>
      <w:marBottom w:val="160"/>
      <w:divBdr>
        <w:top w:val="none" w:sz="0" w:space="0" w:color="auto"/>
        <w:left w:val="none" w:sz="0" w:space="0" w:color="auto"/>
        <w:bottom w:val="none" w:sz="0" w:space="0" w:color="auto"/>
        <w:right w:val="none" w:sz="0" w:space="0" w:color="auto"/>
      </w:divBdr>
    </w:div>
    <w:div w:id="1164318343">
      <w:marLeft w:val="0"/>
      <w:marRight w:val="0"/>
      <w:marTop w:val="100"/>
      <w:marBottom w:val="0"/>
      <w:divBdr>
        <w:top w:val="none" w:sz="0" w:space="0" w:color="auto"/>
        <w:left w:val="none" w:sz="0" w:space="0" w:color="auto"/>
        <w:bottom w:val="none" w:sz="0" w:space="0" w:color="auto"/>
        <w:right w:val="none" w:sz="0" w:space="0" w:color="auto"/>
      </w:divBdr>
      <w:divsChild>
        <w:div w:id="1618370465">
          <w:marLeft w:val="0"/>
          <w:marRight w:val="0"/>
          <w:marTop w:val="0"/>
          <w:marBottom w:val="0"/>
          <w:divBdr>
            <w:top w:val="none" w:sz="0" w:space="0" w:color="auto"/>
            <w:left w:val="none" w:sz="0" w:space="0" w:color="auto"/>
            <w:bottom w:val="none" w:sz="0" w:space="0" w:color="auto"/>
            <w:right w:val="none" w:sz="0" w:space="0" w:color="auto"/>
          </w:divBdr>
        </w:div>
      </w:divsChild>
    </w:div>
    <w:div w:id="1164783513">
      <w:marLeft w:val="0"/>
      <w:marRight w:val="0"/>
      <w:marTop w:val="0"/>
      <w:marBottom w:val="0"/>
      <w:divBdr>
        <w:top w:val="none" w:sz="0" w:space="0" w:color="auto"/>
        <w:left w:val="none" w:sz="0" w:space="0" w:color="auto"/>
        <w:bottom w:val="none" w:sz="0" w:space="0" w:color="auto"/>
        <w:right w:val="none" w:sz="0" w:space="0" w:color="auto"/>
      </w:divBdr>
      <w:divsChild>
        <w:div w:id="1710571863">
          <w:marLeft w:val="0"/>
          <w:marRight w:val="0"/>
          <w:marTop w:val="0"/>
          <w:marBottom w:val="0"/>
          <w:divBdr>
            <w:top w:val="none" w:sz="0" w:space="0" w:color="auto"/>
            <w:left w:val="none" w:sz="0" w:space="0" w:color="auto"/>
            <w:bottom w:val="none" w:sz="0" w:space="0" w:color="auto"/>
            <w:right w:val="none" w:sz="0" w:space="0" w:color="auto"/>
          </w:divBdr>
        </w:div>
      </w:divsChild>
    </w:div>
    <w:div w:id="1166896254">
      <w:marLeft w:val="0"/>
      <w:marRight w:val="0"/>
      <w:marTop w:val="0"/>
      <w:marBottom w:val="0"/>
      <w:divBdr>
        <w:top w:val="none" w:sz="0" w:space="0" w:color="auto"/>
        <w:left w:val="none" w:sz="0" w:space="0" w:color="auto"/>
        <w:bottom w:val="none" w:sz="0" w:space="0" w:color="auto"/>
        <w:right w:val="none" w:sz="0" w:space="0" w:color="auto"/>
      </w:divBdr>
      <w:divsChild>
        <w:div w:id="1840151925">
          <w:marLeft w:val="0"/>
          <w:marRight w:val="0"/>
          <w:marTop w:val="0"/>
          <w:marBottom w:val="0"/>
          <w:divBdr>
            <w:top w:val="none" w:sz="0" w:space="0" w:color="auto"/>
            <w:left w:val="none" w:sz="0" w:space="0" w:color="auto"/>
            <w:bottom w:val="none" w:sz="0" w:space="0" w:color="auto"/>
            <w:right w:val="none" w:sz="0" w:space="0" w:color="auto"/>
          </w:divBdr>
        </w:div>
      </w:divsChild>
    </w:div>
    <w:div w:id="1168055207">
      <w:marLeft w:val="0"/>
      <w:marRight w:val="0"/>
      <w:marTop w:val="180"/>
      <w:marBottom w:val="0"/>
      <w:divBdr>
        <w:top w:val="none" w:sz="0" w:space="0" w:color="auto"/>
        <w:left w:val="none" w:sz="0" w:space="0" w:color="auto"/>
        <w:bottom w:val="none" w:sz="0" w:space="0" w:color="auto"/>
        <w:right w:val="none" w:sz="0" w:space="0" w:color="auto"/>
      </w:divBdr>
    </w:div>
    <w:div w:id="1176385167">
      <w:marLeft w:val="0"/>
      <w:marRight w:val="0"/>
      <w:marTop w:val="0"/>
      <w:marBottom w:val="0"/>
      <w:divBdr>
        <w:top w:val="none" w:sz="0" w:space="0" w:color="auto"/>
        <w:left w:val="none" w:sz="0" w:space="0" w:color="auto"/>
        <w:bottom w:val="none" w:sz="0" w:space="0" w:color="auto"/>
        <w:right w:val="none" w:sz="0" w:space="0" w:color="auto"/>
      </w:divBdr>
    </w:div>
    <w:div w:id="1183201564">
      <w:marLeft w:val="0"/>
      <w:marRight w:val="0"/>
      <w:marTop w:val="0"/>
      <w:marBottom w:val="0"/>
      <w:divBdr>
        <w:top w:val="none" w:sz="0" w:space="0" w:color="auto"/>
        <w:left w:val="none" w:sz="0" w:space="0" w:color="auto"/>
        <w:bottom w:val="none" w:sz="0" w:space="0" w:color="auto"/>
        <w:right w:val="none" w:sz="0" w:space="0" w:color="auto"/>
      </w:divBdr>
      <w:divsChild>
        <w:div w:id="2058124872">
          <w:marLeft w:val="0"/>
          <w:marRight w:val="0"/>
          <w:marTop w:val="0"/>
          <w:marBottom w:val="0"/>
          <w:divBdr>
            <w:top w:val="none" w:sz="0" w:space="0" w:color="auto"/>
            <w:left w:val="none" w:sz="0" w:space="0" w:color="auto"/>
            <w:bottom w:val="none" w:sz="0" w:space="0" w:color="auto"/>
            <w:right w:val="none" w:sz="0" w:space="0" w:color="auto"/>
          </w:divBdr>
        </w:div>
      </w:divsChild>
    </w:div>
    <w:div w:id="1185286670">
      <w:marLeft w:val="0"/>
      <w:marRight w:val="0"/>
      <w:marTop w:val="180"/>
      <w:marBottom w:val="0"/>
      <w:divBdr>
        <w:top w:val="none" w:sz="0" w:space="0" w:color="auto"/>
        <w:left w:val="none" w:sz="0" w:space="0" w:color="auto"/>
        <w:bottom w:val="none" w:sz="0" w:space="0" w:color="auto"/>
        <w:right w:val="none" w:sz="0" w:space="0" w:color="auto"/>
      </w:divBdr>
    </w:div>
    <w:div w:id="1195195069">
      <w:marLeft w:val="0"/>
      <w:marRight w:val="0"/>
      <w:marTop w:val="180"/>
      <w:marBottom w:val="0"/>
      <w:divBdr>
        <w:top w:val="none" w:sz="0" w:space="0" w:color="auto"/>
        <w:left w:val="none" w:sz="0" w:space="0" w:color="auto"/>
        <w:bottom w:val="none" w:sz="0" w:space="0" w:color="auto"/>
        <w:right w:val="none" w:sz="0" w:space="0" w:color="auto"/>
      </w:divBdr>
    </w:div>
    <w:div w:id="1198468845">
      <w:marLeft w:val="0"/>
      <w:marRight w:val="0"/>
      <w:marTop w:val="0"/>
      <w:marBottom w:val="0"/>
      <w:divBdr>
        <w:top w:val="none" w:sz="0" w:space="0" w:color="auto"/>
        <w:left w:val="none" w:sz="0" w:space="0" w:color="auto"/>
        <w:bottom w:val="none" w:sz="0" w:space="0" w:color="auto"/>
        <w:right w:val="none" w:sz="0" w:space="0" w:color="auto"/>
      </w:divBdr>
      <w:divsChild>
        <w:div w:id="2077436592">
          <w:marLeft w:val="0"/>
          <w:marRight w:val="0"/>
          <w:marTop w:val="0"/>
          <w:marBottom w:val="0"/>
          <w:divBdr>
            <w:top w:val="none" w:sz="0" w:space="0" w:color="auto"/>
            <w:left w:val="none" w:sz="0" w:space="0" w:color="auto"/>
            <w:bottom w:val="none" w:sz="0" w:space="0" w:color="auto"/>
            <w:right w:val="none" w:sz="0" w:space="0" w:color="auto"/>
          </w:divBdr>
        </w:div>
      </w:divsChild>
    </w:div>
    <w:div w:id="1202748736">
      <w:marLeft w:val="0"/>
      <w:marRight w:val="0"/>
      <w:marTop w:val="0"/>
      <w:marBottom w:val="0"/>
      <w:divBdr>
        <w:top w:val="none" w:sz="0" w:space="0" w:color="auto"/>
        <w:left w:val="none" w:sz="0" w:space="0" w:color="auto"/>
        <w:bottom w:val="none" w:sz="0" w:space="0" w:color="auto"/>
        <w:right w:val="none" w:sz="0" w:space="0" w:color="auto"/>
      </w:divBdr>
      <w:divsChild>
        <w:div w:id="1774084024">
          <w:marLeft w:val="0"/>
          <w:marRight w:val="0"/>
          <w:marTop w:val="0"/>
          <w:marBottom w:val="0"/>
          <w:divBdr>
            <w:top w:val="none" w:sz="0" w:space="0" w:color="auto"/>
            <w:left w:val="none" w:sz="0" w:space="0" w:color="auto"/>
            <w:bottom w:val="none" w:sz="0" w:space="0" w:color="auto"/>
            <w:right w:val="none" w:sz="0" w:space="0" w:color="auto"/>
          </w:divBdr>
        </w:div>
      </w:divsChild>
    </w:div>
    <w:div w:id="1212811959">
      <w:marLeft w:val="0"/>
      <w:marRight w:val="0"/>
      <w:marTop w:val="0"/>
      <w:marBottom w:val="0"/>
      <w:divBdr>
        <w:top w:val="none" w:sz="0" w:space="0" w:color="auto"/>
        <w:left w:val="none" w:sz="0" w:space="0" w:color="auto"/>
        <w:bottom w:val="none" w:sz="0" w:space="0" w:color="auto"/>
        <w:right w:val="none" w:sz="0" w:space="0" w:color="auto"/>
      </w:divBdr>
      <w:divsChild>
        <w:div w:id="1880582774">
          <w:marLeft w:val="0"/>
          <w:marRight w:val="0"/>
          <w:marTop w:val="0"/>
          <w:marBottom w:val="0"/>
          <w:divBdr>
            <w:top w:val="none" w:sz="0" w:space="0" w:color="auto"/>
            <w:left w:val="none" w:sz="0" w:space="0" w:color="auto"/>
            <w:bottom w:val="none" w:sz="0" w:space="0" w:color="auto"/>
            <w:right w:val="none" w:sz="0" w:space="0" w:color="auto"/>
          </w:divBdr>
        </w:div>
      </w:divsChild>
    </w:div>
    <w:div w:id="1239900907">
      <w:marLeft w:val="0"/>
      <w:marRight w:val="0"/>
      <w:marTop w:val="80"/>
      <w:marBottom w:val="0"/>
      <w:divBdr>
        <w:top w:val="none" w:sz="0" w:space="0" w:color="auto"/>
        <w:left w:val="none" w:sz="0" w:space="0" w:color="auto"/>
        <w:bottom w:val="none" w:sz="0" w:space="0" w:color="auto"/>
        <w:right w:val="none" w:sz="0" w:space="0" w:color="auto"/>
      </w:divBdr>
    </w:div>
    <w:div w:id="1245333413">
      <w:marLeft w:val="0"/>
      <w:marRight w:val="0"/>
      <w:marTop w:val="0"/>
      <w:marBottom w:val="0"/>
      <w:divBdr>
        <w:top w:val="none" w:sz="0" w:space="0" w:color="auto"/>
        <w:left w:val="none" w:sz="0" w:space="0" w:color="auto"/>
        <w:bottom w:val="none" w:sz="0" w:space="0" w:color="auto"/>
        <w:right w:val="none" w:sz="0" w:space="0" w:color="auto"/>
      </w:divBdr>
      <w:divsChild>
        <w:div w:id="1989705525">
          <w:marLeft w:val="0"/>
          <w:marRight w:val="0"/>
          <w:marTop w:val="0"/>
          <w:marBottom w:val="0"/>
          <w:divBdr>
            <w:top w:val="none" w:sz="0" w:space="0" w:color="auto"/>
            <w:left w:val="none" w:sz="0" w:space="0" w:color="auto"/>
            <w:bottom w:val="none" w:sz="0" w:space="0" w:color="auto"/>
            <w:right w:val="none" w:sz="0" w:space="0" w:color="auto"/>
          </w:divBdr>
        </w:div>
      </w:divsChild>
    </w:div>
    <w:div w:id="1248611387">
      <w:marLeft w:val="0"/>
      <w:marRight w:val="0"/>
      <w:marTop w:val="0"/>
      <w:marBottom w:val="0"/>
      <w:divBdr>
        <w:top w:val="none" w:sz="0" w:space="0" w:color="auto"/>
        <w:left w:val="none" w:sz="0" w:space="0" w:color="auto"/>
        <w:bottom w:val="none" w:sz="0" w:space="0" w:color="auto"/>
        <w:right w:val="none" w:sz="0" w:space="0" w:color="auto"/>
      </w:divBdr>
      <w:divsChild>
        <w:div w:id="582834891">
          <w:marLeft w:val="0"/>
          <w:marRight w:val="0"/>
          <w:marTop w:val="0"/>
          <w:marBottom w:val="0"/>
          <w:divBdr>
            <w:top w:val="none" w:sz="0" w:space="0" w:color="auto"/>
            <w:left w:val="none" w:sz="0" w:space="0" w:color="auto"/>
            <w:bottom w:val="none" w:sz="0" w:space="0" w:color="auto"/>
            <w:right w:val="none" w:sz="0" w:space="0" w:color="auto"/>
          </w:divBdr>
        </w:div>
      </w:divsChild>
    </w:div>
    <w:div w:id="1250313508">
      <w:marLeft w:val="0"/>
      <w:marRight w:val="0"/>
      <w:marTop w:val="0"/>
      <w:marBottom w:val="0"/>
      <w:divBdr>
        <w:top w:val="none" w:sz="0" w:space="0" w:color="auto"/>
        <w:left w:val="none" w:sz="0" w:space="0" w:color="auto"/>
        <w:bottom w:val="none" w:sz="0" w:space="0" w:color="auto"/>
        <w:right w:val="none" w:sz="0" w:space="0" w:color="auto"/>
      </w:divBdr>
      <w:divsChild>
        <w:div w:id="679235865">
          <w:marLeft w:val="0"/>
          <w:marRight w:val="0"/>
          <w:marTop w:val="0"/>
          <w:marBottom w:val="0"/>
          <w:divBdr>
            <w:top w:val="none" w:sz="0" w:space="0" w:color="auto"/>
            <w:left w:val="none" w:sz="0" w:space="0" w:color="auto"/>
            <w:bottom w:val="none" w:sz="0" w:space="0" w:color="auto"/>
            <w:right w:val="none" w:sz="0" w:space="0" w:color="auto"/>
          </w:divBdr>
        </w:div>
      </w:divsChild>
    </w:div>
    <w:div w:id="1264923571">
      <w:marLeft w:val="0"/>
      <w:marRight w:val="0"/>
      <w:marTop w:val="0"/>
      <w:marBottom w:val="0"/>
      <w:divBdr>
        <w:top w:val="none" w:sz="0" w:space="0" w:color="auto"/>
        <w:left w:val="none" w:sz="0" w:space="0" w:color="auto"/>
        <w:bottom w:val="none" w:sz="0" w:space="0" w:color="auto"/>
        <w:right w:val="none" w:sz="0" w:space="0" w:color="auto"/>
      </w:divBdr>
      <w:divsChild>
        <w:div w:id="365301583">
          <w:marLeft w:val="0"/>
          <w:marRight w:val="0"/>
          <w:marTop w:val="0"/>
          <w:marBottom w:val="0"/>
          <w:divBdr>
            <w:top w:val="none" w:sz="0" w:space="0" w:color="auto"/>
            <w:left w:val="none" w:sz="0" w:space="0" w:color="auto"/>
            <w:bottom w:val="none" w:sz="0" w:space="0" w:color="auto"/>
            <w:right w:val="none" w:sz="0" w:space="0" w:color="auto"/>
          </w:divBdr>
        </w:div>
      </w:divsChild>
    </w:div>
    <w:div w:id="1265966166">
      <w:marLeft w:val="0"/>
      <w:marRight w:val="0"/>
      <w:marTop w:val="0"/>
      <w:marBottom w:val="0"/>
      <w:divBdr>
        <w:top w:val="none" w:sz="0" w:space="0" w:color="auto"/>
        <w:left w:val="none" w:sz="0" w:space="0" w:color="auto"/>
        <w:bottom w:val="none" w:sz="0" w:space="0" w:color="auto"/>
        <w:right w:val="none" w:sz="0" w:space="0" w:color="auto"/>
      </w:divBdr>
    </w:div>
    <w:div w:id="1283877532">
      <w:marLeft w:val="0"/>
      <w:marRight w:val="0"/>
      <w:marTop w:val="0"/>
      <w:marBottom w:val="0"/>
      <w:divBdr>
        <w:top w:val="none" w:sz="0" w:space="0" w:color="auto"/>
        <w:left w:val="none" w:sz="0" w:space="0" w:color="auto"/>
        <w:bottom w:val="none" w:sz="0" w:space="0" w:color="auto"/>
        <w:right w:val="none" w:sz="0" w:space="0" w:color="auto"/>
      </w:divBdr>
      <w:divsChild>
        <w:div w:id="269438490">
          <w:marLeft w:val="0"/>
          <w:marRight w:val="0"/>
          <w:marTop w:val="0"/>
          <w:marBottom w:val="0"/>
          <w:divBdr>
            <w:top w:val="none" w:sz="0" w:space="0" w:color="auto"/>
            <w:left w:val="none" w:sz="0" w:space="0" w:color="auto"/>
            <w:bottom w:val="none" w:sz="0" w:space="0" w:color="auto"/>
            <w:right w:val="none" w:sz="0" w:space="0" w:color="auto"/>
          </w:divBdr>
        </w:div>
      </w:divsChild>
    </w:div>
    <w:div w:id="1299460809">
      <w:marLeft w:val="0"/>
      <w:marRight w:val="0"/>
      <w:marTop w:val="0"/>
      <w:marBottom w:val="0"/>
      <w:divBdr>
        <w:top w:val="none" w:sz="0" w:space="0" w:color="auto"/>
        <w:left w:val="none" w:sz="0" w:space="0" w:color="auto"/>
        <w:bottom w:val="none" w:sz="0" w:space="0" w:color="auto"/>
        <w:right w:val="none" w:sz="0" w:space="0" w:color="auto"/>
      </w:divBdr>
      <w:divsChild>
        <w:div w:id="1080637039">
          <w:marLeft w:val="0"/>
          <w:marRight w:val="0"/>
          <w:marTop w:val="0"/>
          <w:marBottom w:val="0"/>
          <w:divBdr>
            <w:top w:val="none" w:sz="0" w:space="0" w:color="auto"/>
            <w:left w:val="none" w:sz="0" w:space="0" w:color="auto"/>
            <w:bottom w:val="none" w:sz="0" w:space="0" w:color="auto"/>
            <w:right w:val="none" w:sz="0" w:space="0" w:color="auto"/>
          </w:divBdr>
        </w:div>
      </w:divsChild>
    </w:div>
    <w:div w:id="1301690913">
      <w:marLeft w:val="0"/>
      <w:marRight w:val="0"/>
      <w:marTop w:val="100"/>
      <w:marBottom w:val="0"/>
      <w:divBdr>
        <w:top w:val="none" w:sz="0" w:space="0" w:color="auto"/>
        <w:left w:val="none" w:sz="0" w:space="0" w:color="auto"/>
        <w:bottom w:val="none" w:sz="0" w:space="0" w:color="auto"/>
        <w:right w:val="none" w:sz="0" w:space="0" w:color="auto"/>
      </w:divBdr>
    </w:div>
    <w:div w:id="1304581962">
      <w:marLeft w:val="0"/>
      <w:marRight w:val="0"/>
      <w:marTop w:val="0"/>
      <w:marBottom w:val="0"/>
      <w:divBdr>
        <w:top w:val="none" w:sz="0" w:space="0" w:color="auto"/>
        <w:left w:val="none" w:sz="0" w:space="0" w:color="auto"/>
        <w:bottom w:val="none" w:sz="0" w:space="0" w:color="auto"/>
        <w:right w:val="none" w:sz="0" w:space="0" w:color="auto"/>
      </w:divBdr>
    </w:div>
    <w:div w:id="1307514180">
      <w:marLeft w:val="0"/>
      <w:marRight w:val="0"/>
      <w:marTop w:val="0"/>
      <w:marBottom w:val="0"/>
      <w:divBdr>
        <w:top w:val="none" w:sz="0" w:space="0" w:color="auto"/>
        <w:left w:val="none" w:sz="0" w:space="0" w:color="auto"/>
        <w:bottom w:val="none" w:sz="0" w:space="0" w:color="auto"/>
        <w:right w:val="none" w:sz="0" w:space="0" w:color="auto"/>
      </w:divBdr>
    </w:div>
    <w:div w:id="1312756955">
      <w:marLeft w:val="0"/>
      <w:marRight w:val="0"/>
      <w:marTop w:val="0"/>
      <w:marBottom w:val="0"/>
      <w:divBdr>
        <w:top w:val="none" w:sz="0" w:space="0" w:color="auto"/>
        <w:left w:val="none" w:sz="0" w:space="0" w:color="auto"/>
        <w:bottom w:val="none" w:sz="0" w:space="0" w:color="auto"/>
        <w:right w:val="none" w:sz="0" w:space="0" w:color="auto"/>
      </w:divBdr>
    </w:div>
    <w:div w:id="1312979331">
      <w:marLeft w:val="0"/>
      <w:marRight w:val="0"/>
      <w:marTop w:val="0"/>
      <w:marBottom w:val="0"/>
      <w:divBdr>
        <w:top w:val="none" w:sz="0" w:space="0" w:color="auto"/>
        <w:left w:val="none" w:sz="0" w:space="0" w:color="auto"/>
        <w:bottom w:val="none" w:sz="0" w:space="0" w:color="auto"/>
        <w:right w:val="none" w:sz="0" w:space="0" w:color="auto"/>
      </w:divBdr>
    </w:div>
    <w:div w:id="1321037360">
      <w:marLeft w:val="0"/>
      <w:marRight w:val="0"/>
      <w:marTop w:val="0"/>
      <w:marBottom w:val="0"/>
      <w:divBdr>
        <w:top w:val="none" w:sz="0" w:space="0" w:color="auto"/>
        <w:left w:val="none" w:sz="0" w:space="0" w:color="auto"/>
        <w:bottom w:val="none" w:sz="0" w:space="0" w:color="auto"/>
        <w:right w:val="none" w:sz="0" w:space="0" w:color="auto"/>
      </w:divBdr>
      <w:divsChild>
        <w:div w:id="639578294">
          <w:marLeft w:val="0"/>
          <w:marRight w:val="0"/>
          <w:marTop w:val="0"/>
          <w:marBottom w:val="0"/>
          <w:divBdr>
            <w:top w:val="none" w:sz="0" w:space="0" w:color="auto"/>
            <w:left w:val="none" w:sz="0" w:space="0" w:color="auto"/>
            <w:bottom w:val="none" w:sz="0" w:space="0" w:color="auto"/>
            <w:right w:val="none" w:sz="0" w:space="0" w:color="auto"/>
          </w:divBdr>
        </w:div>
      </w:divsChild>
    </w:div>
    <w:div w:id="1325159927">
      <w:marLeft w:val="0"/>
      <w:marRight w:val="0"/>
      <w:marTop w:val="0"/>
      <w:marBottom w:val="0"/>
      <w:divBdr>
        <w:top w:val="none" w:sz="0" w:space="0" w:color="auto"/>
        <w:left w:val="none" w:sz="0" w:space="0" w:color="auto"/>
        <w:bottom w:val="none" w:sz="0" w:space="0" w:color="auto"/>
        <w:right w:val="none" w:sz="0" w:space="0" w:color="auto"/>
      </w:divBdr>
    </w:div>
    <w:div w:id="1341197954">
      <w:marLeft w:val="0"/>
      <w:marRight w:val="0"/>
      <w:marTop w:val="100"/>
      <w:marBottom w:val="0"/>
      <w:divBdr>
        <w:top w:val="none" w:sz="0" w:space="0" w:color="auto"/>
        <w:left w:val="none" w:sz="0" w:space="0" w:color="auto"/>
        <w:bottom w:val="none" w:sz="0" w:space="0" w:color="auto"/>
        <w:right w:val="none" w:sz="0" w:space="0" w:color="auto"/>
      </w:divBdr>
      <w:divsChild>
        <w:div w:id="1306352829">
          <w:marLeft w:val="0"/>
          <w:marRight w:val="0"/>
          <w:marTop w:val="0"/>
          <w:marBottom w:val="0"/>
          <w:divBdr>
            <w:top w:val="none" w:sz="0" w:space="0" w:color="auto"/>
            <w:left w:val="none" w:sz="0" w:space="0" w:color="auto"/>
            <w:bottom w:val="none" w:sz="0" w:space="0" w:color="auto"/>
            <w:right w:val="none" w:sz="0" w:space="0" w:color="auto"/>
          </w:divBdr>
        </w:div>
      </w:divsChild>
    </w:div>
    <w:div w:id="1342781508">
      <w:marLeft w:val="0"/>
      <w:marRight w:val="0"/>
      <w:marTop w:val="100"/>
      <w:marBottom w:val="0"/>
      <w:divBdr>
        <w:top w:val="none" w:sz="0" w:space="0" w:color="auto"/>
        <w:left w:val="none" w:sz="0" w:space="0" w:color="auto"/>
        <w:bottom w:val="none" w:sz="0" w:space="0" w:color="auto"/>
        <w:right w:val="none" w:sz="0" w:space="0" w:color="auto"/>
      </w:divBdr>
    </w:div>
    <w:div w:id="1342854890">
      <w:marLeft w:val="0"/>
      <w:marRight w:val="0"/>
      <w:marTop w:val="0"/>
      <w:marBottom w:val="0"/>
      <w:divBdr>
        <w:top w:val="none" w:sz="0" w:space="0" w:color="auto"/>
        <w:left w:val="none" w:sz="0" w:space="0" w:color="auto"/>
        <w:bottom w:val="none" w:sz="0" w:space="0" w:color="auto"/>
        <w:right w:val="none" w:sz="0" w:space="0" w:color="auto"/>
      </w:divBdr>
      <w:divsChild>
        <w:div w:id="18893017">
          <w:marLeft w:val="0"/>
          <w:marRight w:val="0"/>
          <w:marTop w:val="0"/>
          <w:marBottom w:val="0"/>
          <w:divBdr>
            <w:top w:val="none" w:sz="0" w:space="0" w:color="auto"/>
            <w:left w:val="none" w:sz="0" w:space="0" w:color="auto"/>
            <w:bottom w:val="none" w:sz="0" w:space="0" w:color="auto"/>
            <w:right w:val="none" w:sz="0" w:space="0" w:color="auto"/>
          </w:divBdr>
        </w:div>
      </w:divsChild>
    </w:div>
    <w:div w:id="1356926009">
      <w:marLeft w:val="0"/>
      <w:marRight w:val="0"/>
      <w:marTop w:val="0"/>
      <w:marBottom w:val="0"/>
      <w:divBdr>
        <w:top w:val="none" w:sz="0" w:space="0" w:color="auto"/>
        <w:left w:val="none" w:sz="0" w:space="0" w:color="auto"/>
        <w:bottom w:val="none" w:sz="0" w:space="0" w:color="auto"/>
        <w:right w:val="none" w:sz="0" w:space="0" w:color="auto"/>
      </w:divBdr>
      <w:divsChild>
        <w:div w:id="496728682">
          <w:marLeft w:val="0"/>
          <w:marRight w:val="0"/>
          <w:marTop w:val="0"/>
          <w:marBottom w:val="0"/>
          <w:divBdr>
            <w:top w:val="none" w:sz="0" w:space="0" w:color="auto"/>
            <w:left w:val="none" w:sz="0" w:space="0" w:color="auto"/>
            <w:bottom w:val="none" w:sz="0" w:space="0" w:color="auto"/>
            <w:right w:val="none" w:sz="0" w:space="0" w:color="auto"/>
          </w:divBdr>
        </w:div>
      </w:divsChild>
    </w:div>
    <w:div w:id="1359549909">
      <w:marLeft w:val="0"/>
      <w:marRight w:val="0"/>
      <w:marTop w:val="0"/>
      <w:marBottom w:val="0"/>
      <w:divBdr>
        <w:top w:val="none" w:sz="0" w:space="0" w:color="auto"/>
        <w:left w:val="none" w:sz="0" w:space="0" w:color="auto"/>
        <w:bottom w:val="none" w:sz="0" w:space="0" w:color="auto"/>
        <w:right w:val="none" w:sz="0" w:space="0" w:color="auto"/>
      </w:divBdr>
    </w:div>
    <w:div w:id="1360545520">
      <w:marLeft w:val="0"/>
      <w:marRight w:val="0"/>
      <w:marTop w:val="0"/>
      <w:marBottom w:val="0"/>
      <w:divBdr>
        <w:top w:val="none" w:sz="0" w:space="0" w:color="auto"/>
        <w:left w:val="none" w:sz="0" w:space="0" w:color="auto"/>
        <w:bottom w:val="none" w:sz="0" w:space="0" w:color="auto"/>
        <w:right w:val="none" w:sz="0" w:space="0" w:color="auto"/>
      </w:divBdr>
    </w:div>
    <w:div w:id="1362121923">
      <w:marLeft w:val="0"/>
      <w:marRight w:val="0"/>
      <w:marTop w:val="0"/>
      <w:marBottom w:val="0"/>
      <w:divBdr>
        <w:top w:val="none" w:sz="0" w:space="0" w:color="auto"/>
        <w:left w:val="none" w:sz="0" w:space="0" w:color="auto"/>
        <w:bottom w:val="none" w:sz="0" w:space="0" w:color="auto"/>
        <w:right w:val="none" w:sz="0" w:space="0" w:color="auto"/>
      </w:divBdr>
    </w:div>
    <w:div w:id="1380979498">
      <w:marLeft w:val="0"/>
      <w:marRight w:val="0"/>
      <w:marTop w:val="0"/>
      <w:marBottom w:val="0"/>
      <w:divBdr>
        <w:top w:val="none" w:sz="0" w:space="0" w:color="auto"/>
        <w:left w:val="none" w:sz="0" w:space="0" w:color="auto"/>
        <w:bottom w:val="none" w:sz="0" w:space="0" w:color="auto"/>
        <w:right w:val="none" w:sz="0" w:space="0" w:color="auto"/>
      </w:divBdr>
      <w:divsChild>
        <w:div w:id="1768036646">
          <w:marLeft w:val="0"/>
          <w:marRight w:val="0"/>
          <w:marTop w:val="0"/>
          <w:marBottom w:val="0"/>
          <w:divBdr>
            <w:top w:val="none" w:sz="0" w:space="0" w:color="auto"/>
            <w:left w:val="none" w:sz="0" w:space="0" w:color="auto"/>
            <w:bottom w:val="none" w:sz="0" w:space="0" w:color="auto"/>
            <w:right w:val="none" w:sz="0" w:space="0" w:color="auto"/>
          </w:divBdr>
        </w:div>
      </w:divsChild>
    </w:div>
    <w:div w:id="1383289047">
      <w:marLeft w:val="0"/>
      <w:marRight w:val="0"/>
      <w:marTop w:val="0"/>
      <w:marBottom w:val="0"/>
      <w:divBdr>
        <w:top w:val="none" w:sz="0" w:space="0" w:color="auto"/>
        <w:left w:val="none" w:sz="0" w:space="0" w:color="auto"/>
        <w:bottom w:val="none" w:sz="0" w:space="0" w:color="auto"/>
        <w:right w:val="none" w:sz="0" w:space="0" w:color="auto"/>
      </w:divBdr>
      <w:divsChild>
        <w:div w:id="1955408064">
          <w:marLeft w:val="0"/>
          <w:marRight w:val="0"/>
          <w:marTop w:val="0"/>
          <w:marBottom w:val="0"/>
          <w:divBdr>
            <w:top w:val="none" w:sz="0" w:space="0" w:color="auto"/>
            <w:left w:val="none" w:sz="0" w:space="0" w:color="auto"/>
            <w:bottom w:val="none" w:sz="0" w:space="0" w:color="auto"/>
            <w:right w:val="none" w:sz="0" w:space="0" w:color="auto"/>
          </w:divBdr>
        </w:div>
      </w:divsChild>
    </w:div>
    <w:div w:id="1386836079">
      <w:marLeft w:val="0"/>
      <w:marRight w:val="0"/>
      <w:marTop w:val="0"/>
      <w:marBottom w:val="0"/>
      <w:divBdr>
        <w:top w:val="none" w:sz="0" w:space="0" w:color="auto"/>
        <w:left w:val="none" w:sz="0" w:space="0" w:color="auto"/>
        <w:bottom w:val="none" w:sz="0" w:space="0" w:color="auto"/>
        <w:right w:val="none" w:sz="0" w:space="0" w:color="auto"/>
      </w:divBdr>
      <w:divsChild>
        <w:div w:id="1894996530">
          <w:marLeft w:val="0"/>
          <w:marRight w:val="0"/>
          <w:marTop w:val="0"/>
          <w:marBottom w:val="0"/>
          <w:divBdr>
            <w:top w:val="none" w:sz="0" w:space="0" w:color="auto"/>
            <w:left w:val="none" w:sz="0" w:space="0" w:color="auto"/>
            <w:bottom w:val="none" w:sz="0" w:space="0" w:color="auto"/>
            <w:right w:val="none" w:sz="0" w:space="0" w:color="auto"/>
          </w:divBdr>
        </w:div>
      </w:divsChild>
    </w:div>
    <w:div w:id="1390692169">
      <w:marLeft w:val="0"/>
      <w:marRight w:val="0"/>
      <w:marTop w:val="180"/>
      <w:marBottom w:val="0"/>
      <w:divBdr>
        <w:top w:val="none" w:sz="0" w:space="0" w:color="auto"/>
        <w:left w:val="none" w:sz="0" w:space="0" w:color="auto"/>
        <w:bottom w:val="none" w:sz="0" w:space="0" w:color="auto"/>
        <w:right w:val="none" w:sz="0" w:space="0" w:color="auto"/>
      </w:divBdr>
    </w:div>
    <w:div w:id="1400248765">
      <w:marLeft w:val="0"/>
      <w:marRight w:val="0"/>
      <w:marTop w:val="0"/>
      <w:marBottom w:val="0"/>
      <w:divBdr>
        <w:top w:val="none" w:sz="0" w:space="0" w:color="auto"/>
        <w:left w:val="none" w:sz="0" w:space="0" w:color="auto"/>
        <w:bottom w:val="none" w:sz="0" w:space="0" w:color="auto"/>
        <w:right w:val="none" w:sz="0" w:space="0" w:color="auto"/>
      </w:divBdr>
      <w:divsChild>
        <w:div w:id="876430419">
          <w:marLeft w:val="0"/>
          <w:marRight w:val="0"/>
          <w:marTop w:val="0"/>
          <w:marBottom w:val="0"/>
          <w:divBdr>
            <w:top w:val="none" w:sz="0" w:space="0" w:color="auto"/>
            <w:left w:val="none" w:sz="0" w:space="0" w:color="auto"/>
            <w:bottom w:val="none" w:sz="0" w:space="0" w:color="auto"/>
            <w:right w:val="none" w:sz="0" w:space="0" w:color="auto"/>
          </w:divBdr>
        </w:div>
      </w:divsChild>
    </w:div>
    <w:div w:id="1402214464">
      <w:marLeft w:val="0"/>
      <w:marRight w:val="0"/>
      <w:marTop w:val="0"/>
      <w:marBottom w:val="0"/>
      <w:divBdr>
        <w:top w:val="none" w:sz="0" w:space="0" w:color="auto"/>
        <w:left w:val="none" w:sz="0" w:space="0" w:color="auto"/>
        <w:bottom w:val="none" w:sz="0" w:space="0" w:color="auto"/>
        <w:right w:val="none" w:sz="0" w:space="0" w:color="auto"/>
      </w:divBdr>
      <w:divsChild>
        <w:div w:id="1218320888">
          <w:marLeft w:val="0"/>
          <w:marRight w:val="0"/>
          <w:marTop w:val="0"/>
          <w:marBottom w:val="0"/>
          <w:divBdr>
            <w:top w:val="none" w:sz="0" w:space="0" w:color="auto"/>
            <w:left w:val="none" w:sz="0" w:space="0" w:color="auto"/>
            <w:bottom w:val="none" w:sz="0" w:space="0" w:color="auto"/>
            <w:right w:val="none" w:sz="0" w:space="0" w:color="auto"/>
          </w:divBdr>
        </w:div>
      </w:divsChild>
    </w:div>
    <w:div w:id="1402555128">
      <w:marLeft w:val="0"/>
      <w:marRight w:val="0"/>
      <w:marTop w:val="100"/>
      <w:marBottom w:val="0"/>
      <w:divBdr>
        <w:top w:val="none" w:sz="0" w:space="0" w:color="auto"/>
        <w:left w:val="none" w:sz="0" w:space="0" w:color="auto"/>
        <w:bottom w:val="none" w:sz="0" w:space="0" w:color="auto"/>
        <w:right w:val="none" w:sz="0" w:space="0" w:color="auto"/>
      </w:divBdr>
      <w:divsChild>
        <w:div w:id="1927760371">
          <w:marLeft w:val="0"/>
          <w:marRight w:val="0"/>
          <w:marTop w:val="0"/>
          <w:marBottom w:val="0"/>
          <w:divBdr>
            <w:top w:val="none" w:sz="0" w:space="0" w:color="auto"/>
            <w:left w:val="none" w:sz="0" w:space="0" w:color="auto"/>
            <w:bottom w:val="none" w:sz="0" w:space="0" w:color="auto"/>
            <w:right w:val="none" w:sz="0" w:space="0" w:color="auto"/>
          </w:divBdr>
        </w:div>
        <w:div w:id="538667618">
          <w:marLeft w:val="0"/>
          <w:marRight w:val="0"/>
          <w:marTop w:val="0"/>
          <w:marBottom w:val="0"/>
          <w:divBdr>
            <w:top w:val="none" w:sz="0" w:space="0" w:color="auto"/>
            <w:left w:val="none" w:sz="0" w:space="0" w:color="auto"/>
            <w:bottom w:val="none" w:sz="0" w:space="0" w:color="auto"/>
            <w:right w:val="none" w:sz="0" w:space="0" w:color="auto"/>
          </w:divBdr>
        </w:div>
        <w:div w:id="1344360953">
          <w:marLeft w:val="0"/>
          <w:marRight w:val="0"/>
          <w:marTop w:val="0"/>
          <w:marBottom w:val="0"/>
          <w:divBdr>
            <w:top w:val="none" w:sz="0" w:space="0" w:color="auto"/>
            <w:left w:val="none" w:sz="0" w:space="0" w:color="auto"/>
            <w:bottom w:val="none" w:sz="0" w:space="0" w:color="auto"/>
            <w:right w:val="none" w:sz="0" w:space="0" w:color="auto"/>
          </w:divBdr>
        </w:div>
        <w:div w:id="1707213356">
          <w:marLeft w:val="0"/>
          <w:marRight w:val="0"/>
          <w:marTop w:val="0"/>
          <w:marBottom w:val="0"/>
          <w:divBdr>
            <w:top w:val="none" w:sz="0" w:space="0" w:color="auto"/>
            <w:left w:val="none" w:sz="0" w:space="0" w:color="auto"/>
            <w:bottom w:val="none" w:sz="0" w:space="0" w:color="auto"/>
            <w:right w:val="none" w:sz="0" w:space="0" w:color="auto"/>
          </w:divBdr>
        </w:div>
        <w:div w:id="1464426613">
          <w:marLeft w:val="0"/>
          <w:marRight w:val="0"/>
          <w:marTop w:val="0"/>
          <w:marBottom w:val="0"/>
          <w:divBdr>
            <w:top w:val="none" w:sz="0" w:space="0" w:color="auto"/>
            <w:left w:val="none" w:sz="0" w:space="0" w:color="auto"/>
            <w:bottom w:val="none" w:sz="0" w:space="0" w:color="auto"/>
            <w:right w:val="none" w:sz="0" w:space="0" w:color="auto"/>
          </w:divBdr>
        </w:div>
      </w:divsChild>
    </w:div>
    <w:div w:id="1403942981">
      <w:marLeft w:val="0"/>
      <w:marRight w:val="0"/>
      <w:marTop w:val="0"/>
      <w:marBottom w:val="0"/>
      <w:divBdr>
        <w:top w:val="none" w:sz="0" w:space="0" w:color="auto"/>
        <w:left w:val="none" w:sz="0" w:space="0" w:color="auto"/>
        <w:bottom w:val="none" w:sz="0" w:space="0" w:color="auto"/>
        <w:right w:val="none" w:sz="0" w:space="0" w:color="auto"/>
      </w:divBdr>
      <w:divsChild>
        <w:div w:id="915286691">
          <w:marLeft w:val="0"/>
          <w:marRight w:val="0"/>
          <w:marTop w:val="0"/>
          <w:marBottom w:val="0"/>
          <w:divBdr>
            <w:top w:val="none" w:sz="0" w:space="0" w:color="auto"/>
            <w:left w:val="none" w:sz="0" w:space="0" w:color="auto"/>
            <w:bottom w:val="none" w:sz="0" w:space="0" w:color="auto"/>
            <w:right w:val="none" w:sz="0" w:space="0" w:color="auto"/>
          </w:divBdr>
        </w:div>
      </w:divsChild>
    </w:div>
    <w:div w:id="1404403389">
      <w:marLeft w:val="0"/>
      <w:marRight w:val="0"/>
      <w:marTop w:val="0"/>
      <w:marBottom w:val="0"/>
      <w:divBdr>
        <w:top w:val="none" w:sz="0" w:space="0" w:color="auto"/>
        <w:left w:val="none" w:sz="0" w:space="0" w:color="auto"/>
        <w:bottom w:val="none" w:sz="0" w:space="0" w:color="auto"/>
        <w:right w:val="none" w:sz="0" w:space="0" w:color="auto"/>
      </w:divBdr>
      <w:divsChild>
        <w:div w:id="205023992">
          <w:marLeft w:val="0"/>
          <w:marRight w:val="0"/>
          <w:marTop w:val="0"/>
          <w:marBottom w:val="0"/>
          <w:divBdr>
            <w:top w:val="none" w:sz="0" w:space="0" w:color="auto"/>
            <w:left w:val="none" w:sz="0" w:space="0" w:color="auto"/>
            <w:bottom w:val="none" w:sz="0" w:space="0" w:color="auto"/>
            <w:right w:val="none" w:sz="0" w:space="0" w:color="auto"/>
          </w:divBdr>
        </w:div>
      </w:divsChild>
    </w:div>
    <w:div w:id="1404599861">
      <w:marLeft w:val="0"/>
      <w:marRight w:val="0"/>
      <w:marTop w:val="80"/>
      <w:marBottom w:val="0"/>
      <w:divBdr>
        <w:top w:val="none" w:sz="0" w:space="0" w:color="auto"/>
        <w:left w:val="none" w:sz="0" w:space="0" w:color="auto"/>
        <w:bottom w:val="none" w:sz="0" w:space="0" w:color="auto"/>
        <w:right w:val="none" w:sz="0" w:space="0" w:color="auto"/>
      </w:divBdr>
    </w:div>
    <w:div w:id="1407610810">
      <w:marLeft w:val="0"/>
      <w:marRight w:val="0"/>
      <w:marTop w:val="0"/>
      <w:marBottom w:val="0"/>
      <w:divBdr>
        <w:top w:val="none" w:sz="0" w:space="0" w:color="auto"/>
        <w:left w:val="none" w:sz="0" w:space="0" w:color="auto"/>
        <w:bottom w:val="none" w:sz="0" w:space="0" w:color="auto"/>
        <w:right w:val="none" w:sz="0" w:space="0" w:color="auto"/>
      </w:divBdr>
      <w:divsChild>
        <w:div w:id="586351745">
          <w:marLeft w:val="0"/>
          <w:marRight w:val="0"/>
          <w:marTop w:val="0"/>
          <w:marBottom w:val="0"/>
          <w:divBdr>
            <w:top w:val="none" w:sz="0" w:space="0" w:color="auto"/>
            <w:left w:val="none" w:sz="0" w:space="0" w:color="auto"/>
            <w:bottom w:val="none" w:sz="0" w:space="0" w:color="auto"/>
            <w:right w:val="none" w:sz="0" w:space="0" w:color="auto"/>
          </w:divBdr>
        </w:div>
      </w:divsChild>
    </w:div>
    <w:div w:id="1409159621">
      <w:marLeft w:val="0"/>
      <w:marRight w:val="0"/>
      <w:marTop w:val="60"/>
      <w:marBottom w:val="60"/>
      <w:divBdr>
        <w:top w:val="none" w:sz="0" w:space="0" w:color="auto"/>
        <w:left w:val="none" w:sz="0" w:space="0" w:color="auto"/>
        <w:bottom w:val="none" w:sz="0" w:space="0" w:color="auto"/>
        <w:right w:val="none" w:sz="0" w:space="0" w:color="auto"/>
      </w:divBdr>
    </w:div>
    <w:div w:id="1421953722">
      <w:marLeft w:val="0"/>
      <w:marRight w:val="0"/>
      <w:marTop w:val="0"/>
      <w:marBottom w:val="0"/>
      <w:divBdr>
        <w:top w:val="none" w:sz="0" w:space="0" w:color="auto"/>
        <w:left w:val="none" w:sz="0" w:space="0" w:color="auto"/>
        <w:bottom w:val="none" w:sz="0" w:space="0" w:color="auto"/>
        <w:right w:val="none" w:sz="0" w:space="0" w:color="auto"/>
      </w:divBdr>
    </w:div>
    <w:div w:id="1437093591">
      <w:marLeft w:val="0"/>
      <w:marRight w:val="0"/>
      <w:marTop w:val="0"/>
      <w:marBottom w:val="0"/>
      <w:divBdr>
        <w:top w:val="none" w:sz="0" w:space="0" w:color="auto"/>
        <w:left w:val="none" w:sz="0" w:space="0" w:color="auto"/>
        <w:bottom w:val="none" w:sz="0" w:space="0" w:color="auto"/>
        <w:right w:val="none" w:sz="0" w:space="0" w:color="auto"/>
      </w:divBdr>
      <w:divsChild>
        <w:div w:id="1476796437">
          <w:marLeft w:val="0"/>
          <w:marRight w:val="0"/>
          <w:marTop w:val="0"/>
          <w:marBottom w:val="0"/>
          <w:divBdr>
            <w:top w:val="none" w:sz="0" w:space="0" w:color="auto"/>
            <w:left w:val="none" w:sz="0" w:space="0" w:color="auto"/>
            <w:bottom w:val="none" w:sz="0" w:space="0" w:color="auto"/>
            <w:right w:val="none" w:sz="0" w:space="0" w:color="auto"/>
          </w:divBdr>
        </w:div>
      </w:divsChild>
    </w:div>
    <w:div w:id="1449085833">
      <w:marLeft w:val="0"/>
      <w:marRight w:val="0"/>
      <w:marTop w:val="100"/>
      <w:marBottom w:val="0"/>
      <w:divBdr>
        <w:top w:val="none" w:sz="0" w:space="0" w:color="auto"/>
        <w:left w:val="none" w:sz="0" w:space="0" w:color="auto"/>
        <w:bottom w:val="none" w:sz="0" w:space="0" w:color="auto"/>
        <w:right w:val="none" w:sz="0" w:space="0" w:color="auto"/>
      </w:divBdr>
      <w:divsChild>
        <w:div w:id="1959330632">
          <w:marLeft w:val="0"/>
          <w:marRight w:val="0"/>
          <w:marTop w:val="0"/>
          <w:marBottom w:val="0"/>
          <w:divBdr>
            <w:top w:val="none" w:sz="0" w:space="0" w:color="auto"/>
            <w:left w:val="none" w:sz="0" w:space="0" w:color="auto"/>
            <w:bottom w:val="none" w:sz="0" w:space="0" w:color="auto"/>
            <w:right w:val="none" w:sz="0" w:space="0" w:color="auto"/>
          </w:divBdr>
        </w:div>
        <w:div w:id="1981613497">
          <w:marLeft w:val="0"/>
          <w:marRight w:val="0"/>
          <w:marTop w:val="0"/>
          <w:marBottom w:val="0"/>
          <w:divBdr>
            <w:top w:val="none" w:sz="0" w:space="0" w:color="auto"/>
            <w:left w:val="none" w:sz="0" w:space="0" w:color="auto"/>
            <w:bottom w:val="none" w:sz="0" w:space="0" w:color="auto"/>
            <w:right w:val="none" w:sz="0" w:space="0" w:color="auto"/>
          </w:divBdr>
        </w:div>
      </w:divsChild>
    </w:div>
    <w:div w:id="1453666207">
      <w:marLeft w:val="0"/>
      <w:marRight w:val="0"/>
      <w:marTop w:val="0"/>
      <w:marBottom w:val="0"/>
      <w:divBdr>
        <w:top w:val="none" w:sz="0" w:space="0" w:color="auto"/>
        <w:left w:val="none" w:sz="0" w:space="0" w:color="auto"/>
        <w:bottom w:val="none" w:sz="0" w:space="0" w:color="auto"/>
        <w:right w:val="none" w:sz="0" w:space="0" w:color="auto"/>
      </w:divBdr>
      <w:divsChild>
        <w:div w:id="765031538">
          <w:marLeft w:val="0"/>
          <w:marRight w:val="0"/>
          <w:marTop w:val="0"/>
          <w:marBottom w:val="0"/>
          <w:divBdr>
            <w:top w:val="none" w:sz="0" w:space="0" w:color="auto"/>
            <w:left w:val="none" w:sz="0" w:space="0" w:color="auto"/>
            <w:bottom w:val="none" w:sz="0" w:space="0" w:color="auto"/>
            <w:right w:val="none" w:sz="0" w:space="0" w:color="auto"/>
          </w:divBdr>
        </w:div>
      </w:divsChild>
    </w:div>
    <w:div w:id="1458793135">
      <w:marLeft w:val="0"/>
      <w:marRight w:val="0"/>
      <w:marTop w:val="180"/>
      <w:marBottom w:val="0"/>
      <w:divBdr>
        <w:top w:val="none" w:sz="0" w:space="0" w:color="auto"/>
        <w:left w:val="none" w:sz="0" w:space="0" w:color="auto"/>
        <w:bottom w:val="none" w:sz="0" w:space="0" w:color="auto"/>
        <w:right w:val="none" w:sz="0" w:space="0" w:color="auto"/>
      </w:divBdr>
    </w:div>
    <w:div w:id="1458912186">
      <w:marLeft w:val="0"/>
      <w:marRight w:val="0"/>
      <w:marTop w:val="0"/>
      <w:marBottom w:val="0"/>
      <w:divBdr>
        <w:top w:val="none" w:sz="0" w:space="0" w:color="auto"/>
        <w:left w:val="none" w:sz="0" w:space="0" w:color="auto"/>
        <w:bottom w:val="none" w:sz="0" w:space="0" w:color="auto"/>
        <w:right w:val="none" w:sz="0" w:space="0" w:color="auto"/>
      </w:divBdr>
    </w:div>
    <w:div w:id="1460877843">
      <w:marLeft w:val="0"/>
      <w:marRight w:val="0"/>
      <w:marTop w:val="0"/>
      <w:marBottom w:val="0"/>
      <w:divBdr>
        <w:top w:val="none" w:sz="0" w:space="0" w:color="auto"/>
        <w:left w:val="none" w:sz="0" w:space="0" w:color="auto"/>
        <w:bottom w:val="none" w:sz="0" w:space="0" w:color="auto"/>
        <w:right w:val="none" w:sz="0" w:space="0" w:color="auto"/>
      </w:divBdr>
    </w:div>
    <w:div w:id="1460883264">
      <w:marLeft w:val="0"/>
      <w:marRight w:val="0"/>
      <w:marTop w:val="0"/>
      <w:marBottom w:val="0"/>
      <w:divBdr>
        <w:top w:val="none" w:sz="0" w:space="0" w:color="auto"/>
        <w:left w:val="none" w:sz="0" w:space="0" w:color="auto"/>
        <w:bottom w:val="none" w:sz="0" w:space="0" w:color="auto"/>
        <w:right w:val="none" w:sz="0" w:space="0" w:color="auto"/>
      </w:divBdr>
      <w:divsChild>
        <w:div w:id="2104951607">
          <w:marLeft w:val="0"/>
          <w:marRight w:val="0"/>
          <w:marTop w:val="0"/>
          <w:marBottom w:val="0"/>
          <w:divBdr>
            <w:top w:val="none" w:sz="0" w:space="0" w:color="auto"/>
            <w:left w:val="none" w:sz="0" w:space="0" w:color="auto"/>
            <w:bottom w:val="none" w:sz="0" w:space="0" w:color="auto"/>
            <w:right w:val="none" w:sz="0" w:space="0" w:color="auto"/>
          </w:divBdr>
        </w:div>
      </w:divsChild>
    </w:div>
    <w:div w:id="1462840103">
      <w:marLeft w:val="0"/>
      <w:marRight w:val="0"/>
      <w:marTop w:val="60"/>
      <w:marBottom w:val="60"/>
      <w:divBdr>
        <w:top w:val="none" w:sz="0" w:space="0" w:color="auto"/>
        <w:left w:val="none" w:sz="0" w:space="0" w:color="auto"/>
        <w:bottom w:val="none" w:sz="0" w:space="0" w:color="auto"/>
        <w:right w:val="none" w:sz="0" w:space="0" w:color="auto"/>
      </w:divBdr>
    </w:div>
    <w:div w:id="1464738986">
      <w:marLeft w:val="0"/>
      <w:marRight w:val="0"/>
      <w:marTop w:val="180"/>
      <w:marBottom w:val="0"/>
      <w:divBdr>
        <w:top w:val="none" w:sz="0" w:space="0" w:color="auto"/>
        <w:left w:val="none" w:sz="0" w:space="0" w:color="auto"/>
        <w:bottom w:val="none" w:sz="0" w:space="0" w:color="auto"/>
        <w:right w:val="none" w:sz="0" w:space="0" w:color="auto"/>
      </w:divBdr>
    </w:div>
    <w:div w:id="1467047858">
      <w:marLeft w:val="0"/>
      <w:marRight w:val="0"/>
      <w:marTop w:val="0"/>
      <w:marBottom w:val="0"/>
      <w:divBdr>
        <w:top w:val="none" w:sz="0" w:space="0" w:color="auto"/>
        <w:left w:val="none" w:sz="0" w:space="0" w:color="auto"/>
        <w:bottom w:val="none" w:sz="0" w:space="0" w:color="auto"/>
        <w:right w:val="none" w:sz="0" w:space="0" w:color="auto"/>
      </w:divBdr>
    </w:div>
    <w:div w:id="1478641567">
      <w:marLeft w:val="0"/>
      <w:marRight w:val="0"/>
      <w:marTop w:val="100"/>
      <w:marBottom w:val="0"/>
      <w:divBdr>
        <w:top w:val="none" w:sz="0" w:space="0" w:color="auto"/>
        <w:left w:val="none" w:sz="0" w:space="0" w:color="auto"/>
        <w:bottom w:val="none" w:sz="0" w:space="0" w:color="auto"/>
        <w:right w:val="none" w:sz="0" w:space="0" w:color="auto"/>
      </w:divBdr>
    </w:div>
    <w:div w:id="1489518725">
      <w:marLeft w:val="0"/>
      <w:marRight w:val="0"/>
      <w:marTop w:val="0"/>
      <w:marBottom w:val="0"/>
      <w:divBdr>
        <w:top w:val="none" w:sz="0" w:space="0" w:color="auto"/>
        <w:left w:val="none" w:sz="0" w:space="0" w:color="auto"/>
        <w:bottom w:val="none" w:sz="0" w:space="0" w:color="auto"/>
        <w:right w:val="none" w:sz="0" w:space="0" w:color="auto"/>
      </w:divBdr>
    </w:div>
    <w:div w:id="1491945548">
      <w:marLeft w:val="0"/>
      <w:marRight w:val="0"/>
      <w:marTop w:val="0"/>
      <w:marBottom w:val="0"/>
      <w:divBdr>
        <w:top w:val="none" w:sz="0" w:space="0" w:color="auto"/>
        <w:left w:val="none" w:sz="0" w:space="0" w:color="auto"/>
        <w:bottom w:val="none" w:sz="0" w:space="0" w:color="auto"/>
        <w:right w:val="none" w:sz="0" w:space="0" w:color="auto"/>
      </w:divBdr>
      <w:divsChild>
        <w:div w:id="1692605748">
          <w:marLeft w:val="0"/>
          <w:marRight w:val="0"/>
          <w:marTop w:val="0"/>
          <w:marBottom w:val="0"/>
          <w:divBdr>
            <w:top w:val="none" w:sz="0" w:space="0" w:color="auto"/>
            <w:left w:val="none" w:sz="0" w:space="0" w:color="auto"/>
            <w:bottom w:val="none" w:sz="0" w:space="0" w:color="auto"/>
            <w:right w:val="none" w:sz="0" w:space="0" w:color="auto"/>
          </w:divBdr>
        </w:div>
      </w:divsChild>
    </w:div>
    <w:div w:id="1494225790">
      <w:marLeft w:val="0"/>
      <w:marRight w:val="0"/>
      <w:marTop w:val="0"/>
      <w:marBottom w:val="0"/>
      <w:divBdr>
        <w:top w:val="none" w:sz="0" w:space="0" w:color="auto"/>
        <w:left w:val="none" w:sz="0" w:space="0" w:color="auto"/>
        <w:bottom w:val="none" w:sz="0" w:space="0" w:color="auto"/>
        <w:right w:val="none" w:sz="0" w:space="0" w:color="auto"/>
      </w:divBdr>
    </w:div>
    <w:div w:id="1507285722">
      <w:marLeft w:val="0"/>
      <w:marRight w:val="0"/>
      <w:marTop w:val="0"/>
      <w:marBottom w:val="0"/>
      <w:divBdr>
        <w:top w:val="none" w:sz="0" w:space="0" w:color="auto"/>
        <w:left w:val="none" w:sz="0" w:space="0" w:color="auto"/>
        <w:bottom w:val="none" w:sz="0" w:space="0" w:color="auto"/>
        <w:right w:val="none" w:sz="0" w:space="0" w:color="auto"/>
      </w:divBdr>
      <w:divsChild>
        <w:div w:id="1570074020">
          <w:marLeft w:val="0"/>
          <w:marRight w:val="0"/>
          <w:marTop w:val="0"/>
          <w:marBottom w:val="0"/>
          <w:divBdr>
            <w:top w:val="none" w:sz="0" w:space="0" w:color="auto"/>
            <w:left w:val="none" w:sz="0" w:space="0" w:color="auto"/>
            <w:bottom w:val="none" w:sz="0" w:space="0" w:color="auto"/>
            <w:right w:val="none" w:sz="0" w:space="0" w:color="auto"/>
          </w:divBdr>
        </w:div>
      </w:divsChild>
    </w:div>
    <w:div w:id="1510220314">
      <w:marLeft w:val="0"/>
      <w:marRight w:val="0"/>
      <w:marTop w:val="0"/>
      <w:marBottom w:val="0"/>
      <w:divBdr>
        <w:top w:val="none" w:sz="0" w:space="0" w:color="auto"/>
        <w:left w:val="none" w:sz="0" w:space="0" w:color="auto"/>
        <w:bottom w:val="none" w:sz="0" w:space="0" w:color="auto"/>
        <w:right w:val="none" w:sz="0" w:space="0" w:color="auto"/>
      </w:divBdr>
      <w:divsChild>
        <w:div w:id="1192381124">
          <w:marLeft w:val="0"/>
          <w:marRight w:val="0"/>
          <w:marTop w:val="0"/>
          <w:marBottom w:val="0"/>
          <w:divBdr>
            <w:top w:val="none" w:sz="0" w:space="0" w:color="auto"/>
            <w:left w:val="none" w:sz="0" w:space="0" w:color="auto"/>
            <w:bottom w:val="none" w:sz="0" w:space="0" w:color="auto"/>
            <w:right w:val="none" w:sz="0" w:space="0" w:color="auto"/>
          </w:divBdr>
        </w:div>
      </w:divsChild>
    </w:div>
    <w:div w:id="1516307737">
      <w:marLeft w:val="0"/>
      <w:marRight w:val="0"/>
      <w:marTop w:val="0"/>
      <w:marBottom w:val="0"/>
      <w:divBdr>
        <w:top w:val="none" w:sz="0" w:space="0" w:color="auto"/>
        <w:left w:val="none" w:sz="0" w:space="0" w:color="auto"/>
        <w:bottom w:val="none" w:sz="0" w:space="0" w:color="auto"/>
        <w:right w:val="none" w:sz="0" w:space="0" w:color="auto"/>
      </w:divBdr>
      <w:divsChild>
        <w:div w:id="2050959468">
          <w:marLeft w:val="0"/>
          <w:marRight w:val="0"/>
          <w:marTop w:val="0"/>
          <w:marBottom w:val="0"/>
          <w:divBdr>
            <w:top w:val="none" w:sz="0" w:space="0" w:color="auto"/>
            <w:left w:val="none" w:sz="0" w:space="0" w:color="auto"/>
            <w:bottom w:val="none" w:sz="0" w:space="0" w:color="auto"/>
            <w:right w:val="none" w:sz="0" w:space="0" w:color="auto"/>
          </w:divBdr>
        </w:div>
      </w:divsChild>
    </w:div>
    <w:div w:id="1522284756">
      <w:marLeft w:val="0"/>
      <w:marRight w:val="0"/>
      <w:marTop w:val="0"/>
      <w:marBottom w:val="0"/>
      <w:divBdr>
        <w:top w:val="none" w:sz="0" w:space="0" w:color="auto"/>
        <w:left w:val="none" w:sz="0" w:space="0" w:color="auto"/>
        <w:bottom w:val="none" w:sz="0" w:space="0" w:color="auto"/>
        <w:right w:val="none" w:sz="0" w:space="0" w:color="auto"/>
      </w:divBdr>
    </w:div>
    <w:div w:id="1523202653">
      <w:marLeft w:val="0"/>
      <w:marRight w:val="0"/>
      <w:marTop w:val="0"/>
      <w:marBottom w:val="0"/>
      <w:divBdr>
        <w:top w:val="none" w:sz="0" w:space="0" w:color="auto"/>
        <w:left w:val="none" w:sz="0" w:space="0" w:color="auto"/>
        <w:bottom w:val="none" w:sz="0" w:space="0" w:color="auto"/>
        <w:right w:val="none" w:sz="0" w:space="0" w:color="auto"/>
      </w:divBdr>
    </w:div>
    <w:div w:id="1531912869">
      <w:marLeft w:val="0"/>
      <w:marRight w:val="0"/>
      <w:marTop w:val="100"/>
      <w:marBottom w:val="0"/>
      <w:divBdr>
        <w:top w:val="none" w:sz="0" w:space="0" w:color="auto"/>
        <w:left w:val="none" w:sz="0" w:space="0" w:color="auto"/>
        <w:bottom w:val="none" w:sz="0" w:space="0" w:color="auto"/>
        <w:right w:val="none" w:sz="0" w:space="0" w:color="auto"/>
      </w:divBdr>
    </w:div>
    <w:div w:id="1539321122">
      <w:marLeft w:val="0"/>
      <w:marRight w:val="0"/>
      <w:marTop w:val="0"/>
      <w:marBottom w:val="0"/>
      <w:divBdr>
        <w:top w:val="none" w:sz="0" w:space="0" w:color="auto"/>
        <w:left w:val="none" w:sz="0" w:space="0" w:color="auto"/>
        <w:bottom w:val="none" w:sz="0" w:space="0" w:color="auto"/>
        <w:right w:val="none" w:sz="0" w:space="0" w:color="auto"/>
      </w:divBdr>
    </w:div>
    <w:div w:id="1568418406">
      <w:marLeft w:val="0"/>
      <w:marRight w:val="0"/>
      <w:marTop w:val="0"/>
      <w:marBottom w:val="0"/>
      <w:divBdr>
        <w:top w:val="none" w:sz="0" w:space="0" w:color="auto"/>
        <w:left w:val="none" w:sz="0" w:space="0" w:color="auto"/>
        <w:bottom w:val="none" w:sz="0" w:space="0" w:color="auto"/>
        <w:right w:val="none" w:sz="0" w:space="0" w:color="auto"/>
      </w:divBdr>
    </w:div>
    <w:div w:id="1570732186">
      <w:marLeft w:val="0"/>
      <w:marRight w:val="0"/>
      <w:marTop w:val="0"/>
      <w:marBottom w:val="0"/>
      <w:divBdr>
        <w:top w:val="none" w:sz="0" w:space="0" w:color="auto"/>
        <w:left w:val="none" w:sz="0" w:space="0" w:color="auto"/>
        <w:bottom w:val="none" w:sz="0" w:space="0" w:color="auto"/>
        <w:right w:val="none" w:sz="0" w:space="0" w:color="auto"/>
      </w:divBdr>
      <w:divsChild>
        <w:div w:id="1411124561">
          <w:marLeft w:val="0"/>
          <w:marRight w:val="0"/>
          <w:marTop w:val="0"/>
          <w:marBottom w:val="0"/>
          <w:divBdr>
            <w:top w:val="none" w:sz="0" w:space="0" w:color="auto"/>
            <w:left w:val="none" w:sz="0" w:space="0" w:color="auto"/>
            <w:bottom w:val="none" w:sz="0" w:space="0" w:color="auto"/>
            <w:right w:val="none" w:sz="0" w:space="0" w:color="auto"/>
          </w:divBdr>
        </w:div>
      </w:divsChild>
    </w:div>
    <w:div w:id="1577745326">
      <w:marLeft w:val="0"/>
      <w:marRight w:val="0"/>
      <w:marTop w:val="0"/>
      <w:marBottom w:val="0"/>
      <w:divBdr>
        <w:top w:val="none" w:sz="0" w:space="0" w:color="auto"/>
        <w:left w:val="none" w:sz="0" w:space="0" w:color="auto"/>
        <w:bottom w:val="none" w:sz="0" w:space="0" w:color="auto"/>
        <w:right w:val="none" w:sz="0" w:space="0" w:color="auto"/>
      </w:divBdr>
      <w:divsChild>
        <w:div w:id="1079907462">
          <w:marLeft w:val="0"/>
          <w:marRight w:val="0"/>
          <w:marTop w:val="0"/>
          <w:marBottom w:val="0"/>
          <w:divBdr>
            <w:top w:val="none" w:sz="0" w:space="0" w:color="auto"/>
            <w:left w:val="none" w:sz="0" w:space="0" w:color="auto"/>
            <w:bottom w:val="none" w:sz="0" w:space="0" w:color="auto"/>
            <w:right w:val="none" w:sz="0" w:space="0" w:color="auto"/>
          </w:divBdr>
        </w:div>
      </w:divsChild>
    </w:div>
    <w:div w:id="1583637944">
      <w:marLeft w:val="0"/>
      <w:marRight w:val="0"/>
      <w:marTop w:val="0"/>
      <w:marBottom w:val="0"/>
      <w:divBdr>
        <w:top w:val="none" w:sz="0" w:space="0" w:color="auto"/>
        <w:left w:val="none" w:sz="0" w:space="0" w:color="auto"/>
        <w:bottom w:val="none" w:sz="0" w:space="0" w:color="auto"/>
        <w:right w:val="none" w:sz="0" w:space="0" w:color="auto"/>
      </w:divBdr>
      <w:divsChild>
        <w:div w:id="1060135181">
          <w:marLeft w:val="0"/>
          <w:marRight w:val="0"/>
          <w:marTop w:val="0"/>
          <w:marBottom w:val="0"/>
          <w:divBdr>
            <w:top w:val="none" w:sz="0" w:space="0" w:color="auto"/>
            <w:left w:val="none" w:sz="0" w:space="0" w:color="auto"/>
            <w:bottom w:val="none" w:sz="0" w:space="0" w:color="auto"/>
            <w:right w:val="none" w:sz="0" w:space="0" w:color="auto"/>
          </w:divBdr>
        </w:div>
      </w:divsChild>
    </w:div>
    <w:div w:id="1583837524">
      <w:marLeft w:val="0"/>
      <w:marRight w:val="0"/>
      <w:marTop w:val="0"/>
      <w:marBottom w:val="0"/>
      <w:divBdr>
        <w:top w:val="none" w:sz="0" w:space="0" w:color="auto"/>
        <w:left w:val="none" w:sz="0" w:space="0" w:color="auto"/>
        <w:bottom w:val="none" w:sz="0" w:space="0" w:color="auto"/>
        <w:right w:val="none" w:sz="0" w:space="0" w:color="auto"/>
      </w:divBdr>
    </w:div>
    <w:div w:id="1589540679">
      <w:marLeft w:val="0"/>
      <w:marRight w:val="0"/>
      <w:marTop w:val="180"/>
      <w:marBottom w:val="0"/>
      <w:divBdr>
        <w:top w:val="none" w:sz="0" w:space="0" w:color="auto"/>
        <w:left w:val="none" w:sz="0" w:space="0" w:color="auto"/>
        <w:bottom w:val="none" w:sz="0" w:space="0" w:color="auto"/>
        <w:right w:val="none" w:sz="0" w:space="0" w:color="auto"/>
      </w:divBdr>
    </w:div>
    <w:div w:id="1591310542">
      <w:marLeft w:val="0"/>
      <w:marRight w:val="0"/>
      <w:marTop w:val="100"/>
      <w:marBottom w:val="0"/>
      <w:divBdr>
        <w:top w:val="none" w:sz="0" w:space="0" w:color="auto"/>
        <w:left w:val="none" w:sz="0" w:space="0" w:color="auto"/>
        <w:bottom w:val="none" w:sz="0" w:space="0" w:color="auto"/>
        <w:right w:val="none" w:sz="0" w:space="0" w:color="auto"/>
      </w:divBdr>
    </w:div>
    <w:div w:id="1595476510">
      <w:marLeft w:val="0"/>
      <w:marRight w:val="0"/>
      <w:marTop w:val="10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1600212048">
      <w:marLeft w:val="0"/>
      <w:marRight w:val="0"/>
      <w:marTop w:val="0"/>
      <w:marBottom w:val="0"/>
      <w:divBdr>
        <w:top w:val="none" w:sz="0" w:space="0" w:color="auto"/>
        <w:left w:val="none" w:sz="0" w:space="0" w:color="auto"/>
        <w:bottom w:val="none" w:sz="0" w:space="0" w:color="auto"/>
        <w:right w:val="none" w:sz="0" w:space="0" w:color="auto"/>
      </w:divBdr>
      <w:divsChild>
        <w:div w:id="745686410">
          <w:marLeft w:val="0"/>
          <w:marRight w:val="0"/>
          <w:marTop w:val="0"/>
          <w:marBottom w:val="0"/>
          <w:divBdr>
            <w:top w:val="none" w:sz="0" w:space="0" w:color="auto"/>
            <w:left w:val="none" w:sz="0" w:space="0" w:color="auto"/>
            <w:bottom w:val="none" w:sz="0" w:space="0" w:color="auto"/>
            <w:right w:val="none" w:sz="0" w:space="0" w:color="auto"/>
          </w:divBdr>
        </w:div>
      </w:divsChild>
    </w:div>
    <w:div w:id="1609461582">
      <w:marLeft w:val="0"/>
      <w:marRight w:val="0"/>
      <w:marTop w:val="180"/>
      <w:marBottom w:val="180"/>
      <w:divBdr>
        <w:top w:val="none" w:sz="0" w:space="0" w:color="auto"/>
        <w:left w:val="none" w:sz="0" w:space="0" w:color="auto"/>
        <w:bottom w:val="none" w:sz="0" w:space="0" w:color="auto"/>
        <w:right w:val="none" w:sz="0" w:space="0" w:color="auto"/>
      </w:divBdr>
    </w:div>
    <w:div w:id="1611860111">
      <w:marLeft w:val="0"/>
      <w:marRight w:val="0"/>
      <w:marTop w:val="0"/>
      <w:marBottom w:val="0"/>
      <w:divBdr>
        <w:top w:val="none" w:sz="0" w:space="0" w:color="auto"/>
        <w:left w:val="none" w:sz="0" w:space="0" w:color="auto"/>
        <w:bottom w:val="none" w:sz="0" w:space="0" w:color="auto"/>
        <w:right w:val="none" w:sz="0" w:space="0" w:color="auto"/>
      </w:divBdr>
      <w:divsChild>
        <w:div w:id="1370253732">
          <w:marLeft w:val="0"/>
          <w:marRight w:val="0"/>
          <w:marTop w:val="0"/>
          <w:marBottom w:val="0"/>
          <w:divBdr>
            <w:top w:val="none" w:sz="0" w:space="0" w:color="auto"/>
            <w:left w:val="none" w:sz="0" w:space="0" w:color="auto"/>
            <w:bottom w:val="none" w:sz="0" w:space="0" w:color="auto"/>
            <w:right w:val="none" w:sz="0" w:space="0" w:color="auto"/>
          </w:divBdr>
        </w:div>
      </w:divsChild>
    </w:div>
    <w:div w:id="1614239693">
      <w:marLeft w:val="0"/>
      <w:marRight w:val="0"/>
      <w:marTop w:val="180"/>
      <w:marBottom w:val="0"/>
      <w:divBdr>
        <w:top w:val="none" w:sz="0" w:space="0" w:color="auto"/>
        <w:left w:val="none" w:sz="0" w:space="0" w:color="auto"/>
        <w:bottom w:val="none" w:sz="0" w:space="0" w:color="auto"/>
        <w:right w:val="none" w:sz="0" w:space="0" w:color="auto"/>
      </w:divBdr>
    </w:div>
    <w:div w:id="1616255681">
      <w:marLeft w:val="0"/>
      <w:marRight w:val="0"/>
      <w:marTop w:val="0"/>
      <w:marBottom w:val="0"/>
      <w:divBdr>
        <w:top w:val="none" w:sz="0" w:space="0" w:color="auto"/>
        <w:left w:val="none" w:sz="0" w:space="0" w:color="auto"/>
        <w:bottom w:val="none" w:sz="0" w:space="0" w:color="auto"/>
        <w:right w:val="none" w:sz="0" w:space="0" w:color="auto"/>
      </w:divBdr>
    </w:div>
    <w:div w:id="1625112492">
      <w:marLeft w:val="0"/>
      <w:marRight w:val="0"/>
      <w:marTop w:val="180"/>
      <w:marBottom w:val="0"/>
      <w:divBdr>
        <w:top w:val="none" w:sz="0" w:space="0" w:color="auto"/>
        <w:left w:val="none" w:sz="0" w:space="0" w:color="auto"/>
        <w:bottom w:val="none" w:sz="0" w:space="0" w:color="auto"/>
        <w:right w:val="none" w:sz="0" w:space="0" w:color="auto"/>
      </w:divBdr>
    </w:div>
    <w:div w:id="1638367039">
      <w:marLeft w:val="0"/>
      <w:marRight w:val="0"/>
      <w:marTop w:val="0"/>
      <w:marBottom w:val="0"/>
      <w:divBdr>
        <w:top w:val="none" w:sz="0" w:space="0" w:color="auto"/>
        <w:left w:val="none" w:sz="0" w:space="0" w:color="auto"/>
        <w:bottom w:val="none" w:sz="0" w:space="0" w:color="auto"/>
        <w:right w:val="none" w:sz="0" w:space="0" w:color="auto"/>
      </w:divBdr>
    </w:div>
    <w:div w:id="1642149764">
      <w:marLeft w:val="0"/>
      <w:marRight w:val="0"/>
      <w:marTop w:val="180"/>
      <w:marBottom w:val="0"/>
      <w:divBdr>
        <w:top w:val="none" w:sz="0" w:space="0" w:color="auto"/>
        <w:left w:val="none" w:sz="0" w:space="0" w:color="auto"/>
        <w:bottom w:val="none" w:sz="0" w:space="0" w:color="auto"/>
        <w:right w:val="none" w:sz="0" w:space="0" w:color="auto"/>
      </w:divBdr>
    </w:div>
    <w:div w:id="1643150215">
      <w:marLeft w:val="0"/>
      <w:marRight w:val="0"/>
      <w:marTop w:val="0"/>
      <w:marBottom w:val="0"/>
      <w:divBdr>
        <w:top w:val="none" w:sz="0" w:space="0" w:color="auto"/>
        <w:left w:val="none" w:sz="0" w:space="0" w:color="auto"/>
        <w:bottom w:val="none" w:sz="0" w:space="0" w:color="auto"/>
        <w:right w:val="none" w:sz="0" w:space="0" w:color="auto"/>
      </w:divBdr>
    </w:div>
    <w:div w:id="1646159402">
      <w:marLeft w:val="0"/>
      <w:marRight w:val="0"/>
      <w:marTop w:val="0"/>
      <w:marBottom w:val="0"/>
      <w:divBdr>
        <w:top w:val="none" w:sz="0" w:space="0" w:color="auto"/>
        <w:left w:val="none" w:sz="0" w:space="0" w:color="auto"/>
        <w:bottom w:val="none" w:sz="0" w:space="0" w:color="auto"/>
        <w:right w:val="none" w:sz="0" w:space="0" w:color="auto"/>
      </w:divBdr>
    </w:div>
    <w:div w:id="1676568209">
      <w:marLeft w:val="0"/>
      <w:marRight w:val="0"/>
      <w:marTop w:val="0"/>
      <w:marBottom w:val="0"/>
      <w:divBdr>
        <w:top w:val="none" w:sz="0" w:space="0" w:color="auto"/>
        <w:left w:val="none" w:sz="0" w:space="0" w:color="auto"/>
        <w:bottom w:val="none" w:sz="0" w:space="0" w:color="auto"/>
        <w:right w:val="none" w:sz="0" w:space="0" w:color="auto"/>
      </w:divBdr>
      <w:divsChild>
        <w:div w:id="1983269095">
          <w:marLeft w:val="0"/>
          <w:marRight w:val="0"/>
          <w:marTop w:val="0"/>
          <w:marBottom w:val="0"/>
          <w:divBdr>
            <w:top w:val="none" w:sz="0" w:space="0" w:color="auto"/>
            <w:left w:val="none" w:sz="0" w:space="0" w:color="auto"/>
            <w:bottom w:val="none" w:sz="0" w:space="0" w:color="auto"/>
            <w:right w:val="none" w:sz="0" w:space="0" w:color="auto"/>
          </w:divBdr>
        </w:div>
      </w:divsChild>
    </w:div>
    <w:div w:id="1678264099">
      <w:marLeft w:val="0"/>
      <w:marRight w:val="0"/>
      <w:marTop w:val="180"/>
      <w:marBottom w:val="0"/>
      <w:divBdr>
        <w:top w:val="none" w:sz="0" w:space="0" w:color="auto"/>
        <w:left w:val="none" w:sz="0" w:space="0" w:color="auto"/>
        <w:bottom w:val="none" w:sz="0" w:space="0" w:color="auto"/>
        <w:right w:val="none" w:sz="0" w:space="0" w:color="auto"/>
      </w:divBdr>
    </w:div>
    <w:div w:id="1682580532">
      <w:marLeft w:val="0"/>
      <w:marRight w:val="0"/>
      <w:marTop w:val="80"/>
      <w:marBottom w:val="0"/>
      <w:divBdr>
        <w:top w:val="none" w:sz="0" w:space="0" w:color="auto"/>
        <w:left w:val="none" w:sz="0" w:space="0" w:color="auto"/>
        <w:bottom w:val="none" w:sz="0" w:space="0" w:color="auto"/>
        <w:right w:val="none" w:sz="0" w:space="0" w:color="auto"/>
      </w:divBdr>
    </w:div>
    <w:div w:id="1687293398">
      <w:marLeft w:val="0"/>
      <w:marRight w:val="0"/>
      <w:marTop w:val="0"/>
      <w:marBottom w:val="0"/>
      <w:divBdr>
        <w:top w:val="none" w:sz="0" w:space="0" w:color="auto"/>
        <w:left w:val="none" w:sz="0" w:space="0" w:color="auto"/>
        <w:bottom w:val="none" w:sz="0" w:space="0" w:color="auto"/>
        <w:right w:val="none" w:sz="0" w:space="0" w:color="auto"/>
      </w:divBdr>
    </w:div>
    <w:div w:id="1692224855">
      <w:marLeft w:val="0"/>
      <w:marRight w:val="0"/>
      <w:marTop w:val="100"/>
      <w:marBottom w:val="0"/>
      <w:divBdr>
        <w:top w:val="none" w:sz="0" w:space="0" w:color="auto"/>
        <w:left w:val="none" w:sz="0" w:space="0" w:color="auto"/>
        <w:bottom w:val="none" w:sz="0" w:space="0" w:color="auto"/>
        <w:right w:val="none" w:sz="0" w:space="0" w:color="auto"/>
      </w:divBdr>
      <w:divsChild>
        <w:div w:id="747653721">
          <w:marLeft w:val="0"/>
          <w:marRight w:val="0"/>
          <w:marTop w:val="0"/>
          <w:marBottom w:val="0"/>
          <w:divBdr>
            <w:top w:val="none" w:sz="0" w:space="0" w:color="auto"/>
            <w:left w:val="none" w:sz="0" w:space="0" w:color="auto"/>
            <w:bottom w:val="none" w:sz="0" w:space="0" w:color="auto"/>
            <w:right w:val="none" w:sz="0" w:space="0" w:color="auto"/>
          </w:divBdr>
        </w:div>
      </w:divsChild>
    </w:div>
    <w:div w:id="1699429002">
      <w:marLeft w:val="0"/>
      <w:marRight w:val="0"/>
      <w:marTop w:val="100"/>
      <w:marBottom w:val="0"/>
      <w:divBdr>
        <w:top w:val="none" w:sz="0" w:space="0" w:color="auto"/>
        <w:left w:val="none" w:sz="0" w:space="0" w:color="auto"/>
        <w:bottom w:val="none" w:sz="0" w:space="0" w:color="auto"/>
        <w:right w:val="none" w:sz="0" w:space="0" w:color="auto"/>
      </w:divBdr>
    </w:div>
    <w:div w:id="1706055624">
      <w:marLeft w:val="0"/>
      <w:marRight w:val="0"/>
      <w:marTop w:val="100"/>
      <w:marBottom w:val="0"/>
      <w:divBdr>
        <w:top w:val="none" w:sz="0" w:space="0" w:color="auto"/>
        <w:left w:val="none" w:sz="0" w:space="0" w:color="auto"/>
        <w:bottom w:val="none" w:sz="0" w:space="0" w:color="auto"/>
        <w:right w:val="none" w:sz="0" w:space="0" w:color="auto"/>
      </w:divBdr>
    </w:div>
    <w:div w:id="1706448048">
      <w:marLeft w:val="0"/>
      <w:marRight w:val="0"/>
      <w:marTop w:val="80"/>
      <w:marBottom w:val="0"/>
      <w:divBdr>
        <w:top w:val="none" w:sz="0" w:space="0" w:color="auto"/>
        <w:left w:val="none" w:sz="0" w:space="0" w:color="auto"/>
        <w:bottom w:val="none" w:sz="0" w:space="0" w:color="auto"/>
        <w:right w:val="none" w:sz="0" w:space="0" w:color="auto"/>
      </w:divBdr>
    </w:div>
    <w:div w:id="1712920403">
      <w:marLeft w:val="0"/>
      <w:marRight w:val="0"/>
      <w:marTop w:val="0"/>
      <w:marBottom w:val="0"/>
      <w:divBdr>
        <w:top w:val="none" w:sz="0" w:space="0" w:color="auto"/>
        <w:left w:val="none" w:sz="0" w:space="0" w:color="auto"/>
        <w:bottom w:val="none" w:sz="0" w:space="0" w:color="auto"/>
        <w:right w:val="none" w:sz="0" w:space="0" w:color="auto"/>
      </w:divBdr>
    </w:div>
    <w:div w:id="1715425791">
      <w:marLeft w:val="0"/>
      <w:marRight w:val="0"/>
      <w:marTop w:val="80"/>
      <w:marBottom w:val="0"/>
      <w:divBdr>
        <w:top w:val="none" w:sz="0" w:space="0" w:color="auto"/>
        <w:left w:val="none" w:sz="0" w:space="0" w:color="auto"/>
        <w:bottom w:val="none" w:sz="0" w:space="0" w:color="auto"/>
        <w:right w:val="none" w:sz="0" w:space="0" w:color="auto"/>
      </w:divBdr>
    </w:div>
    <w:div w:id="1729649293">
      <w:marLeft w:val="0"/>
      <w:marRight w:val="0"/>
      <w:marTop w:val="0"/>
      <w:marBottom w:val="0"/>
      <w:divBdr>
        <w:top w:val="none" w:sz="0" w:space="0" w:color="auto"/>
        <w:left w:val="none" w:sz="0" w:space="0" w:color="auto"/>
        <w:bottom w:val="none" w:sz="0" w:space="0" w:color="auto"/>
        <w:right w:val="none" w:sz="0" w:space="0" w:color="auto"/>
      </w:divBdr>
      <w:divsChild>
        <w:div w:id="1503932639">
          <w:marLeft w:val="0"/>
          <w:marRight w:val="0"/>
          <w:marTop w:val="0"/>
          <w:marBottom w:val="0"/>
          <w:divBdr>
            <w:top w:val="none" w:sz="0" w:space="0" w:color="auto"/>
            <w:left w:val="none" w:sz="0" w:space="0" w:color="auto"/>
            <w:bottom w:val="none" w:sz="0" w:space="0" w:color="auto"/>
            <w:right w:val="none" w:sz="0" w:space="0" w:color="auto"/>
          </w:divBdr>
        </w:div>
      </w:divsChild>
    </w:div>
    <w:div w:id="1731726014">
      <w:marLeft w:val="0"/>
      <w:marRight w:val="0"/>
      <w:marTop w:val="0"/>
      <w:marBottom w:val="0"/>
      <w:divBdr>
        <w:top w:val="none" w:sz="0" w:space="0" w:color="auto"/>
        <w:left w:val="none" w:sz="0" w:space="0" w:color="auto"/>
        <w:bottom w:val="none" w:sz="0" w:space="0" w:color="auto"/>
        <w:right w:val="none" w:sz="0" w:space="0" w:color="auto"/>
      </w:divBdr>
      <w:divsChild>
        <w:div w:id="1566375982">
          <w:marLeft w:val="0"/>
          <w:marRight w:val="0"/>
          <w:marTop w:val="0"/>
          <w:marBottom w:val="0"/>
          <w:divBdr>
            <w:top w:val="none" w:sz="0" w:space="0" w:color="auto"/>
            <w:left w:val="none" w:sz="0" w:space="0" w:color="auto"/>
            <w:bottom w:val="none" w:sz="0" w:space="0" w:color="auto"/>
            <w:right w:val="none" w:sz="0" w:space="0" w:color="auto"/>
          </w:divBdr>
        </w:div>
      </w:divsChild>
    </w:div>
    <w:div w:id="1732583202">
      <w:marLeft w:val="0"/>
      <w:marRight w:val="0"/>
      <w:marTop w:val="0"/>
      <w:marBottom w:val="0"/>
      <w:divBdr>
        <w:top w:val="none" w:sz="0" w:space="0" w:color="auto"/>
        <w:left w:val="none" w:sz="0" w:space="0" w:color="auto"/>
        <w:bottom w:val="none" w:sz="0" w:space="0" w:color="auto"/>
        <w:right w:val="none" w:sz="0" w:space="0" w:color="auto"/>
      </w:divBdr>
    </w:div>
    <w:div w:id="1733847335">
      <w:marLeft w:val="0"/>
      <w:marRight w:val="0"/>
      <w:marTop w:val="0"/>
      <w:marBottom w:val="0"/>
      <w:divBdr>
        <w:top w:val="none" w:sz="0" w:space="0" w:color="auto"/>
        <w:left w:val="none" w:sz="0" w:space="0" w:color="auto"/>
        <w:bottom w:val="none" w:sz="0" w:space="0" w:color="auto"/>
        <w:right w:val="none" w:sz="0" w:space="0" w:color="auto"/>
      </w:divBdr>
      <w:divsChild>
        <w:div w:id="1485391035">
          <w:marLeft w:val="0"/>
          <w:marRight w:val="0"/>
          <w:marTop w:val="0"/>
          <w:marBottom w:val="0"/>
          <w:divBdr>
            <w:top w:val="none" w:sz="0" w:space="0" w:color="auto"/>
            <w:left w:val="none" w:sz="0" w:space="0" w:color="auto"/>
            <w:bottom w:val="none" w:sz="0" w:space="0" w:color="auto"/>
            <w:right w:val="none" w:sz="0" w:space="0" w:color="auto"/>
          </w:divBdr>
        </w:div>
      </w:divsChild>
    </w:div>
    <w:div w:id="1735617303">
      <w:marLeft w:val="0"/>
      <w:marRight w:val="0"/>
      <w:marTop w:val="0"/>
      <w:marBottom w:val="0"/>
      <w:divBdr>
        <w:top w:val="none" w:sz="0" w:space="0" w:color="auto"/>
        <w:left w:val="none" w:sz="0" w:space="0" w:color="auto"/>
        <w:bottom w:val="none" w:sz="0" w:space="0" w:color="auto"/>
        <w:right w:val="none" w:sz="0" w:space="0" w:color="auto"/>
      </w:divBdr>
      <w:divsChild>
        <w:div w:id="102236540">
          <w:marLeft w:val="0"/>
          <w:marRight w:val="0"/>
          <w:marTop w:val="0"/>
          <w:marBottom w:val="0"/>
          <w:divBdr>
            <w:top w:val="none" w:sz="0" w:space="0" w:color="auto"/>
            <w:left w:val="none" w:sz="0" w:space="0" w:color="auto"/>
            <w:bottom w:val="none" w:sz="0" w:space="0" w:color="auto"/>
            <w:right w:val="none" w:sz="0" w:space="0" w:color="auto"/>
          </w:divBdr>
        </w:div>
      </w:divsChild>
    </w:div>
    <w:div w:id="1761170981">
      <w:marLeft w:val="0"/>
      <w:marRight w:val="0"/>
      <w:marTop w:val="0"/>
      <w:marBottom w:val="0"/>
      <w:divBdr>
        <w:top w:val="none" w:sz="0" w:space="0" w:color="auto"/>
        <w:left w:val="none" w:sz="0" w:space="0" w:color="auto"/>
        <w:bottom w:val="none" w:sz="0" w:space="0" w:color="auto"/>
        <w:right w:val="none" w:sz="0" w:space="0" w:color="auto"/>
      </w:divBdr>
    </w:div>
    <w:div w:id="1768312347">
      <w:marLeft w:val="0"/>
      <w:marRight w:val="0"/>
      <w:marTop w:val="0"/>
      <w:marBottom w:val="0"/>
      <w:divBdr>
        <w:top w:val="none" w:sz="0" w:space="0" w:color="auto"/>
        <w:left w:val="none" w:sz="0" w:space="0" w:color="auto"/>
        <w:bottom w:val="none" w:sz="0" w:space="0" w:color="auto"/>
        <w:right w:val="none" w:sz="0" w:space="0" w:color="auto"/>
      </w:divBdr>
    </w:div>
    <w:div w:id="1771850270">
      <w:marLeft w:val="0"/>
      <w:marRight w:val="0"/>
      <w:marTop w:val="0"/>
      <w:marBottom w:val="0"/>
      <w:divBdr>
        <w:top w:val="none" w:sz="0" w:space="0" w:color="auto"/>
        <w:left w:val="none" w:sz="0" w:space="0" w:color="auto"/>
        <w:bottom w:val="none" w:sz="0" w:space="0" w:color="auto"/>
        <w:right w:val="none" w:sz="0" w:space="0" w:color="auto"/>
      </w:divBdr>
    </w:div>
    <w:div w:id="1782261625">
      <w:marLeft w:val="0"/>
      <w:marRight w:val="0"/>
      <w:marTop w:val="0"/>
      <w:marBottom w:val="0"/>
      <w:divBdr>
        <w:top w:val="none" w:sz="0" w:space="0" w:color="auto"/>
        <w:left w:val="none" w:sz="0" w:space="0" w:color="auto"/>
        <w:bottom w:val="none" w:sz="0" w:space="0" w:color="auto"/>
        <w:right w:val="none" w:sz="0" w:space="0" w:color="auto"/>
      </w:divBdr>
    </w:div>
    <w:div w:id="1783720734">
      <w:marLeft w:val="0"/>
      <w:marRight w:val="0"/>
      <w:marTop w:val="0"/>
      <w:marBottom w:val="0"/>
      <w:divBdr>
        <w:top w:val="none" w:sz="0" w:space="0" w:color="auto"/>
        <w:left w:val="none" w:sz="0" w:space="0" w:color="auto"/>
        <w:bottom w:val="none" w:sz="0" w:space="0" w:color="auto"/>
        <w:right w:val="none" w:sz="0" w:space="0" w:color="auto"/>
      </w:divBdr>
    </w:div>
    <w:div w:id="1787195346">
      <w:marLeft w:val="0"/>
      <w:marRight w:val="0"/>
      <w:marTop w:val="0"/>
      <w:marBottom w:val="0"/>
      <w:divBdr>
        <w:top w:val="none" w:sz="0" w:space="0" w:color="auto"/>
        <w:left w:val="none" w:sz="0" w:space="0" w:color="auto"/>
        <w:bottom w:val="none" w:sz="0" w:space="0" w:color="auto"/>
        <w:right w:val="none" w:sz="0" w:space="0" w:color="auto"/>
      </w:divBdr>
    </w:div>
    <w:div w:id="1788500293">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sChild>
        <w:div w:id="408892172">
          <w:marLeft w:val="0"/>
          <w:marRight w:val="0"/>
          <w:marTop w:val="0"/>
          <w:marBottom w:val="0"/>
          <w:divBdr>
            <w:top w:val="none" w:sz="0" w:space="0" w:color="auto"/>
            <w:left w:val="none" w:sz="0" w:space="0" w:color="auto"/>
            <w:bottom w:val="none" w:sz="0" w:space="0" w:color="auto"/>
            <w:right w:val="none" w:sz="0" w:space="0" w:color="auto"/>
          </w:divBdr>
        </w:div>
      </w:divsChild>
    </w:div>
    <w:div w:id="1790469130">
      <w:marLeft w:val="0"/>
      <w:marRight w:val="0"/>
      <w:marTop w:val="0"/>
      <w:marBottom w:val="0"/>
      <w:divBdr>
        <w:top w:val="none" w:sz="0" w:space="0" w:color="auto"/>
        <w:left w:val="none" w:sz="0" w:space="0" w:color="auto"/>
        <w:bottom w:val="none" w:sz="0" w:space="0" w:color="auto"/>
        <w:right w:val="none" w:sz="0" w:space="0" w:color="auto"/>
      </w:divBdr>
      <w:divsChild>
        <w:div w:id="734087886">
          <w:marLeft w:val="0"/>
          <w:marRight w:val="0"/>
          <w:marTop w:val="0"/>
          <w:marBottom w:val="0"/>
          <w:divBdr>
            <w:top w:val="none" w:sz="0" w:space="0" w:color="auto"/>
            <w:left w:val="none" w:sz="0" w:space="0" w:color="auto"/>
            <w:bottom w:val="none" w:sz="0" w:space="0" w:color="auto"/>
            <w:right w:val="none" w:sz="0" w:space="0" w:color="auto"/>
          </w:divBdr>
        </w:div>
      </w:divsChild>
    </w:div>
    <w:div w:id="1792282800">
      <w:marLeft w:val="0"/>
      <w:marRight w:val="0"/>
      <w:marTop w:val="0"/>
      <w:marBottom w:val="0"/>
      <w:divBdr>
        <w:top w:val="none" w:sz="0" w:space="0" w:color="auto"/>
        <w:left w:val="none" w:sz="0" w:space="0" w:color="auto"/>
        <w:bottom w:val="none" w:sz="0" w:space="0" w:color="auto"/>
        <w:right w:val="none" w:sz="0" w:space="0" w:color="auto"/>
      </w:divBdr>
    </w:div>
    <w:div w:id="1795058508">
      <w:marLeft w:val="0"/>
      <w:marRight w:val="0"/>
      <w:marTop w:val="0"/>
      <w:marBottom w:val="0"/>
      <w:divBdr>
        <w:top w:val="none" w:sz="0" w:space="0" w:color="auto"/>
        <w:left w:val="none" w:sz="0" w:space="0" w:color="auto"/>
        <w:bottom w:val="none" w:sz="0" w:space="0" w:color="auto"/>
        <w:right w:val="none" w:sz="0" w:space="0" w:color="auto"/>
      </w:divBdr>
    </w:div>
    <w:div w:id="1796756346">
      <w:marLeft w:val="0"/>
      <w:marRight w:val="0"/>
      <w:marTop w:val="0"/>
      <w:marBottom w:val="0"/>
      <w:divBdr>
        <w:top w:val="none" w:sz="0" w:space="0" w:color="auto"/>
        <w:left w:val="none" w:sz="0" w:space="0" w:color="auto"/>
        <w:bottom w:val="none" w:sz="0" w:space="0" w:color="auto"/>
        <w:right w:val="none" w:sz="0" w:space="0" w:color="auto"/>
      </w:divBdr>
    </w:div>
    <w:div w:id="1810973650">
      <w:marLeft w:val="0"/>
      <w:marRight w:val="0"/>
      <w:marTop w:val="0"/>
      <w:marBottom w:val="0"/>
      <w:divBdr>
        <w:top w:val="none" w:sz="0" w:space="0" w:color="auto"/>
        <w:left w:val="none" w:sz="0" w:space="0" w:color="auto"/>
        <w:bottom w:val="none" w:sz="0" w:space="0" w:color="auto"/>
        <w:right w:val="none" w:sz="0" w:space="0" w:color="auto"/>
      </w:divBdr>
    </w:div>
    <w:div w:id="1812870321">
      <w:marLeft w:val="0"/>
      <w:marRight w:val="0"/>
      <w:marTop w:val="0"/>
      <w:marBottom w:val="0"/>
      <w:divBdr>
        <w:top w:val="none" w:sz="0" w:space="0" w:color="auto"/>
        <w:left w:val="none" w:sz="0" w:space="0" w:color="auto"/>
        <w:bottom w:val="none" w:sz="0" w:space="0" w:color="auto"/>
        <w:right w:val="none" w:sz="0" w:space="0" w:color="auto"/>
      </w:divBdr>
      <w:divsChild>
        <w:div w:id="1903516584">
          <w:marLeft w:val="0"/>
          <w:marRight w:val="0"/>
          <w:marTop w:val="0"/>
          <w:marBottom w:val="0"/>
          <w:divBdr>
            <w:top w:val="none" w:sz="0" w:space="0" w:color="auto"/>
            <w:left w:val="none" w:sz="0" w:space="0" w:color="auto"/>
            <w:bottom w:val="none" w:sz="0" w:space="0" w:color="auto"/>
            <w:right w:val="none" w:sz="0" w:space="0" w:color="auto"/>
          </w:divBdr>
        </w:div>
      </w:divsChild>
    </w:div>
    <w:div w:id="1820610529">
      <w:marLeft w:val="0"/>
      <w:marRight w:val="0"/>
      <w:marTop w:val="180"/>
      <w:marBottom w:val="0"/>
      <w:divBdr>
        <w:top w:val="none" w:sz="0" w:space="0" w:color="auto"/>
        <w:left w:val="none" w:sz="0" w:space="0" w:color="auto"/>
        <w:bottom w:val="none" w:sz="0" w:space="0" w:color="auto"/>
        <w:right w:val="none" w:sz="0" w:space="0" w:color="auto"/>
      </w:divBdr>
    </w:div>
    <w:div w:id="1820925089">
      <w:marLeft w:val="0"/>
      <w:marRight w:val="0"/>
      <w:marTop w:val="0"/>
      <w:marBottom w:val="0"/>
      <w:divBdr>
        <w:top w:val="none" w:sz="0" w:space="0" w:color="auto"/>
        <w:left w:val="none" w:sz="0" w:space="0" w:color="auto"/>
        <w:bottom w:val="none" w:sz="0" w:space="0" w:color="auto"/>
        <w:right w:val="none" w:sz="0" w:space="0" w:color="auto"/>
      </w:divBdr>
    </w:div>
    <w:div w:id="1833065122">
      <w:marLeft w:val="0"/>
      <w:marRight w:val="0"/>
      <w:marTop w:val="0"/>
      <w:marBottom w:val="0"/>
      <w:divBdr>
        <w:top w:val="none" w:sz="0" w:space="0" w:color="auto"/>
        <w:left w:val="none" w:sz="0" w:space="0" w:color="auto"/>
        <w:bottom w:val="none" w:sz="0" w:space="0" w:color="auto"/>
        <w:right w:val="none" w:sz="0" w:space="0" w:color="auto"/>
      </w:divBdr>
    </w:div>
    <w:div w:id="1834296042">
      <w:marLeft w:val="0"/>
      <w:marRight w:val="0"/>
      <w:marTop w:val="180"/>
      <w:marBottom w:val="0"/>
      <w:divBdr>
        <w:top w:val="none" w:sz="0" w:space="0" w:color="auto"/>
        <w:left w:val="none" w:sz="0" w:space="0" w:color="auto"/>
        <w:bottom w:val="none" w:sz="0" w:space="0" w:color="auto"/>
        <w:right w:val="none" w:sz="0" w:space="0" w:color="auto"/>
      </w:divBdr>
    </w:div>
    <w:div w:id="1837569455">
      <w:marLeft w:val="0"/>
      <w:marRight w:val="0"/>
      <w:marTop w:val="0"/>
      <w:marBottom w:val="0"/>
      <w:divBdr>
        <w:top w:val="none" w:sz="0" w:space="0" w:color="auto"/>
        <w:left w:val="none" w:sz="0" w:space="0" w:color="auto"/>
        <w:bottom w:val="none" w:sz="0" w:space="0" w:color="auto"/>
        <w:right w:val="none" w:sz="0" w:space="0" w:color="auto"/>
      </w:divBdr>
    </w:div>
    <w:div w:id="1838381814">
      <w:marLeft w:val="0"/>
      <w:marRight w:val="0"/>
      <w:marTop w:val="0"/>
      <w:marBottom w:val="0"/>
      <w:divBdr>
        <w:top w:val="none" w:sz="0" w:space="0" w:color="auto"/>
        <w:left w:val="none" w:sz="0" w:space="0" w:color="auto"/>
        <w:bottom w:val="none" w:sz="0" w:space="0" w:color="auto"/>
        <w:right w:val="none" w:sz="0" w:space="0" w:color="auto"/>
      </w:divBdr>
      <w:divsChild>
        <w:div w:id="1068307837">
          <w:marLeft w:val="0"/>
          <w:marRight w:val="0"/>
          <w:marTop w:val="0"/>
          <w:marBottom w:val="0"/>
          <w:divBdr>
            <w:top w:val="none" w:sz="0" w:space="0" w:color="auto"/>
            <w:left w:val="none" w:sz="0" w:space="0" w:color="auto"/>
            <w:bottom w:val="none" w:sz="0" w:space="0" w:color="auto"/>
            <w:right w:val="none" w:sz="0" w:space="0" w:color="auto"/>
          </w:divBdr>
        </w:div>
      </w:divsChild>
    </w:div>
    <w:div w:id="1840003927">
      <w:marLeft w:val="0"/>
      <w:marRight w:val="0"/>
      <w:marTop w:val="0"/>
      <w:marBottom w:val="0"/>
      <w:divBdr>
        <w:top w:val="none" w:sz="0" w:space="0" w:color="auto"/>
        <w:left w:val="none" w:sz="0" w:space="0" w:color="auto"/>
        <w:bottom w:val="none" w:sz="0" w:space="0" w:color="auto"/>
        <w:right w:val="none" w:sz="0" w:space="0" w:color="auto"/>
      </w:divBdr>
    </w:div>
    <w:div w:id="1845363321">
      <w:marLeft w:val="0"/>
      <w:marRight w:val="0"/>
      <w:marTop w:val="180"/>
      <w:marBottom w:val="0"/>
      <w:divBdr>
        <w:top w:val="none" w:sz="0" w:space="0" w:color="auto"/>
        <w:left w:val="none" w:sz="0" w:space="0" w:color="auto"/>
        <w:bottom w:val="none" w:sz="0" w:space="0" w:color="auto"/>
        <w:right w:val="none" w:sz="0" w:space="0" w:color="auto"/>
      </w:divBdr>
    </w:div>
    <w:div w:id="1856379174">
      <w:marLeft w:val="0"/>
      <w:marRight w:val="0"/>
      <w:marTop w:val="180"/>
      <w:marBottom w:val="0"/>
      <w:divBdr>
        <w:top w:val="none" w:sz="0" w:space="0" w:color="auto"/>
        <w:left w:val="none" w:sz="0" w:space="0" w:color="auto"/>
        <w:bottom w:val="none" w:sz="0" w:space="0" w:color="auto"/>
        <w:right w:val="none" w:sz="0" w:space="0" w:color="auto"/>
      </w:divBdr>
    </w:div>
    <w:div w:id="1872066153">
      <w:marLeft w:val="0"/>
      <w:marRight w:val="0"/>
      <w:marTop w:val="180"/>
      <w:marBottom w:val="0"/>
      <w:divBdr>
        <w:top w:val="none" w:sz="0" w:space="0" w:color="auto"/>
        <w:left w:val="none" w:sz="0" w:space="0" w:color="auto"/>
        <w:bottom w:val="none" w:sz="0" w:space="0" w:color="auto"/>
        <w:right w:val="none" w:sz="0" w:space="0" w:color="auto"/>
      </w:divBdr>
    </w:div>
    <w:div w:id="1886065022">
      <w:marLeft w:val="0"/>
      <w:marRight w:val="0"/>
      <w:marTop w:val="0"/>
      <w:marBottom w:val="60"/>
      <w:divBdr>
        <w:top w:val="none" w:sz="0" w:space="0" w:color="auto"/>
        <w:left w:val="none" w:sz="0" w:space="0" w:color="auto"/>
        <w:bottom w:val="none" w:sz="0" w:space="0" w:color="auto"/>
        <w:right w:val="none" w:sz="0" w:space="0" w:color="auto"/>
      </w:divBdr>
    </w:div>
    <w:div w:id="1892384495">
      <w:marLeft w:val="0"/>
      <w:marRight w:val="0"/>
      <w:marTop w:val="0"/>
      <w:marBottom w:val="0"/>
      <w:divBdr>
        <w:top w:val="none" w:sz="0" w:space="0" w:color="auto"/>
        <w:left w:val="none" w:sz="0" w:space="0" w:color="auto"/>
        <w:bottom w:val="none" w:sz="0" w:space="0" w:color="auto"/>
        <w:right w:val="none" w:sz="0" w:space="0" w:color="auto"/>
      </w:divBdr>
    </w:div>
    <w:div w:id="1893156916">
      <w:marLeft w:val="0"/>
      <w:marRight w:val="0"/>
      <w:marTop w:val="0"/>
      <w:marBottom w:val="0"/>
      <w:divBdr>
        <w:top w:val="none" w:sz="0" w:space="0" w:color="auto"/>
        <w:left w:val="none" w:sz="0" w:space="0" w:color="auto"/>
        <w:bottom w:val="none" w:sz="0" w:space="0" w:color="auto"/>
        <w:right w:val="none" w:sz="0" w:space="0" w:color="auto"/>
      </w:divBdr>
      <w:divsChild>
        <w:div w:id="1282998962">
          <w:marLeft w:val="0"/>
          <w:marRight w:val="0"/>
          <w:marTop w:val="0"/>
          <w:marBottom w:val="0"/>
          <w:divBdr>
            <w:top w:val="none" w:sz="0" w:space="0" w:color="auto"/>
            <w:left w:val="none" w:sz="0" w:space="0" w:color="auto"/>
            <w:bottom w:val="none" w:sz="0" w:space="0" w:color="auto"/>
            <w:right w:val="none" w:sz="0" w:space="0" w:color="auto"/>
          </w:divBdr>
        </w:div>
      </w:divsChild>
    </w:div>
    <w:div w:id="1907835063">
      <w:marLeft w:val="0"/>
      <w:marRight w:val="0"/>
      <w:marTop w:val="0"/>
      <w:marBottom w:val="0"/>
      <w:divBdr>
        <w:top w:val="none" w:sz="0" w:space="0" w:color="auto"/>
        <w:left w:val="none" w:sz="0" w:space="0" w:color="auto"/>
        <w:bottom w:val="none" w:sz="0" w:space="0" w:color="auto"/>
        <w:right w:val="none" w:sz="0" w:space="0" w:color="auto"/>
      </w:divBdr>
    </w:div>
    <w:div w:id="1914778598">
      <w:marLeft w:val="0"/>
      <w:marRight w:val="0"/>
      <w:marTop w:val="0"/>
      <w:marBottom w:val="0"/>
      <w:divBdr>
        <w:top w:val="none" w:sz="0" w:space="0" w:color="auto"/>
        <w:left w:val="none" w:sz="0" w:space="0" w:color="auto"/>
        <w:bottom w:val="none" w:sz="0" w:space="0" w:color="auto"/>
        <w:right w:val="none" w:sz="0" w:space="0" w:color="auto"/>
      </w:divBdr>
    </w:div>
    <w:div w:id="1914973942">
      <w:marLeft w:val="0"/>
      <w:marRight w:val="0"/>
      <w:marTop w:val="100"/>
      <w:marBottom w:val="0"/>
      <w:divBdr>
        <w:top w:val="none" w:sz="0" w:space="0" w:color="auto"/>
        <w:left w:val="none" w:sz="0" w:space="0" w:color="auto"/>
        <w:bottom w:val="none" w:sz="0" w:space="0" w:color="auto"/>
        <w:right w:val="none" w:sz="0" w:space="0" w:color="auto"/>
      </w:divBdr>
    </w:div>
    <w:div w:id="1923488480">
      <w:marLeft w:val="0"/>
      <w:marRight w:val="0"/>
      <w:marTop w:val="0"/>
      <w:marBottom w:val="0"/>
      <w:divBdr>
        <w:top w:val="none" w:sz="0" w:space="0" w:color="auto"/>
        <w:left w:val="none" w:sz="0" w:space="0" w:color="auto"/>
        <w:bottom w:val="none" w:sz="0" w:space="0" w:color="auto"/>
        <w:right w:val="none" w:sz="0" w:space="0" w:color="auto"/>
      </w:divBdr>
    </w:div>
    <w:div w:id="1923951605">
      <w:marLeft w:val="0"/>
      <w:marRight w:val="0"/>
      <w:marTop w:val="0"/>
      <w:marBottom w:val="0"/>
      <w:divBdr>
        <w:top w:val="none" w:sz="0" w:space="0" w:color="auto"/>
        <w:left w:val="none" w:sz="0" w:space="0" w:color="auto"/>
        <w:bottom w:val="none" w:sz="0" w:space="0" w:color="auto"/>
        <w:right w:val="none" w:sz="0" w:space="0" w:color="auto"/>
      </w:divBdr>
      <w:divsChild>
        <w:div w:id="618416239">
          <w:marLeft w:val="0"/>
          <w:marRight w:val="0"/>
          <w:marTop w:val="0"/>
          <w:marBottom w:val="0"/>
          <w:divBdr>
            <w:top w:val="none" w:sz="0" w:space="0" w:color="auto"/>
            <w:left w:val="none" w:sz="0" w:space="0" w:color="auto"/>
            <w:bottom w:val="none" w:sz="0" w:space="0" w:color="auto"/>
            <w:right w:val="none" w:sz="0" w:space="0" w:color="auto"/>
          </w:divBdr>
        </w:div>
      </w:divsChild>
    </w:div>
    <w:div w:id="1928077683">
      <w:marLeft w:val="0"/>
      <w:marRight w:val="0"/>
      <w:marTop w:val="0"/>
      <w:marBottom w:val="0"/>
      <w:divBdr>
        <w:top w:val="none" w:sz="0" w:space="0" w:color="auto"/>
        <w:left w:val="none" w:sz="0" w:space="0" w:color="auto"/>
        <w:bottom w:val="none" w:sz="0" w:space="0" w:color="auto"/>
        <w:right w:val="none" w:sz="0" w:space="0" w:color="auto"/>
      </w:divBdr>
    </w:div>
    <w:div w:id="1929652521">
      <w:marLeft w:val="0"/>
      <w:marRight w:val="0"/>
      <w:marTop w:val="0"/>
      <w:marBottom w:val="0"/>
      <w:divBdr>
        <w:top w:val="none" w:sz="0" w:space="0" w:color="auto"/>
        <w:left w:val="none" w:sz="0" w:space="0" w:color="auto"/>
        <w:bottom w:val="none" w:sz="0" w:space="0" w:color="auto"/>
        <w:right w:val="none" w:sz="0" w:space="0" w:color="auto"/>
      </w:divBdr>
      <w:divsChild>
        <w:div w:id="1468670611">
          <w:marLeft w:val="0"/>
          <w:marRight w:val="0"/>
          <w:marTop w:val="0"/>
          <w:marBottom w:val="0"/>
          <w:divBdr>
            <w:top w:val="none" w:sz="0" w:space="0" w:color="auto"/>
            <w:left w:val="none" w:sz="0" w:space="0" w:color="auto"/>
            <w:bottom w:val="none" w:sz="0" w:space="0" w:color="auto"/>
            <w:right w:val="none" w:sz="0" w:space="0" w:color="auto"/>
          </w:divBdr>
        </w:div>
      </w:divsChild>
    </w:div>
    <w:div w:id="1932011645">
      <w:marLeft w:val="0"/>
      <w:marRight w:val="0"/>
      <w:marTop w:val="0"/>
      <w:marBottom w:val="0"/>
      <w:divBdr>
        <w:top w:val="none" w:sz="0" w:space="0" w:color="auto"/>
        <w:left w:val="none" w:sz="0" w:space="0" w:color="auto"/>
        <w:bottom w:val="none" w:sz="0" w:space="0" w:color="auto"/>
        <w:right w:val="none" w:sz="0" w:space="0" w:color="auto"/>
      </w:divBdr>
    </w:div>
    <w:div w:id="1943605651">
      <w:marLeft w:val="0"/>
      <w:marRight w:val="0"/>
      <w:marTop w:val="100"/>
      <w:marBottom w:val="0"/>
      <w:divBdr>
        <w:top w:val="none" w:sz="0" w:space="0" w:color="auto"/>
        <w:left w:val="none" w:sz="0" w:space="0" w:color="auto"/>
        <w:bottom w:val="none" w:sz="0" w:space="0" w:color="auto"/>
        <w:right w:val="none" w:sz="0" w:space="0" w:color="auto"/>
      </w:divBdr>
      <w:divsChild>
        <w:div w:id="2113477085">
          <w:marLeft w:val="0"/>
          <w:marRight w:val="0"/>
          <w:marTop w:val="0"/>
          <w:marBottom w:val="0"/>
          <w:divBdr>
            <w:top w:val="none" w:sz="0" w:space="0" w:color="auto"/>
            <w:left w:val="none" w:sz="0" w:space="0" w:color="auto"/>
            <w:bottom w:val="none" w:sz="0" w:space="0" w:color="auto"/>
            <w:right w:val="none" w:sz="0" w:space="0" w:color="auto"/>
          </w:divBdr>
        </w:div>
      </w:divsChild>
    </w:div>
    <w:div w:id="1943761208">
      <w:marLeft w:val="0"/>
      <w:marRight w:val="0"/>
      <w:marTop w:val="0"/>
      <w:marBottom w:val="0"/>
      <w:divBdr>
        <w:top w:val="none" w:sz="0" w:space="0" w:color="auto"/>
        <w:left w:val="none" w:sz="0" w:space="0" w:color="auto"/>
        <w:bottom w:val="none" w:sz="0" w:space="0" w:color="auto"/>
        <w:right w:val="none" w:sz="0" w:space="0" w:color="auto"/>
      </w:divBdr>
    </w:div>
    <w:div w:id="1958023757">
      <w:marLeft w:val="0"/>
      <w:marRight w:val="0"/>
      <w:marTop w:val="0"/>
      <w:marBottom w:val="0"/>
      <w:divBdr>
        <w:top w:val="none" w:sz="0" w:space="0" w:color="auto"/>
        <w:left w:val="none" w:sz="0" w:space="0" w:color="auto"/>
        <w:bottom w:val="none" w:sz="0" w:space="0" w:color="auto"/>
        <w:right w:val="none" w:sz="0" w:space="0" w:color="auto"/>
      </w:divBdr>
      <w:divsChild>
        <w:div w:id="1055735993">
          <w:marLeft w:val="0"/>
          <w:marRight w:val="0"/>
          <w:marTop w:val="0"/>
          <w:marBottom w:val="0"/>
          <w:divBdr>
            <w:top w:val="none" w:sz="0" w:space="0" w:color="auto"/>
            <w:left w:val="none" w:sz="0" w:space="0" w:color="auto"/>
            <w:bottom w:val="none" w:sz="0" w:space="0" w:color="auto"/>
            <w:right w:val="none" w:sz="0" w:space="0" w:color="auto"/>
          </w:divBdr>
        </w:div>
        <w:div w:id="589393888">
          <w:marLeft w:val="0"/>
          <w:marRight w:val="0"/>
          <w:marTop w:val="0"/>
          <w:marBottom w:val="0"/>
          <w:divBdr>
            <w:top w:val="none" w:sz="0" w:space="0" w:color="auto"/>
            <w:left w:val="none" w:sz="0" w:space="0" w:color="auto"/>
            <w:bottom w:val="none" w:sz="0" w:space="0" w:color="auto"/>
            <w:right w:val="none" w:sz="0" w:space="0" w:color="auto"/>
          </w:divBdr>
        </w:div>
      </w:divsChild>
    </w:div>
    <w:div w:id="1960330160">
      <w:marLeft w:val="0"/>
      <w:marRight w:val="0"/>
      <w:marTop w:val="0"/>
      <w:marBottom w:val="0"/>
      <w:divBdr>
        <w:top w:val="none" w:sz="0" w:space="0" w:color="auto"/>
        <w:left w:val="none" w:sz="0" w:space="0" w:color="auto"/>
        <w:bottom w:val="none" w:sz="0" w:space="0" w:color="auto"/>
        <w:right w:val="none" w:sz="0" w:space="0" w:color="auto"/>
      </w:divBdr>
      <w:divsChild>
        <w:div w:id="71852085">
          <w:marLeft w:val="0"/>
          <w:marRight w:val="0"/>
          <w:marTop w:val="0"/>
          <w:marBottom w:val="0"/>
          <w:divBdr>
            <w:top w:val="none" w:sz="0" w:space="0" w:color="auto"/>
            <w:left w:val="none" w:sz="0" w:space="0" w:color="auto"/>
            <w:bottom w:val="none" w:sz="0" w:space="0" w:color="auto"/>
            <w:right w:val="none" w:sz="0" w:space="0" w:color="auto"/>
          </w:divBdr>
        </w:div>
      </w:divsChild>
    </w:div>
    <w:div w:id="1962344884">
      <w:marLeft w:val="0"/>
      <w:marRight w:val="0"/>
      <w:marTop w:val="100"/>
      <w:marBottom w:val="0"/>
      <w:divBdr>
        <w:top w:val="none" w:sz="0" w:space="0" w:color="auto"/>
        <w:left w:val="none" w:sz="0" w:space="0" w:color="auto"/>
        <w:bottom w:val="none" w:sz="0" w:space="0" w:color="auto"/>
        <w:right w:val="none" w:sz="0" w:space="0" w:color="auto"/>
      </w:divBdr>
    </w:div>
    <w:div w:id="1969699792">
      <w:marLeft w:val="0"/>
      <w:marRight w:val="0"/>
      <w:marTop w:val="0"/>
      <w:marBottom w:val="0"/>
      <w:divBdr>
        <w:top w:val="none" w:sz="0" w:space="0" w:color="auto"/>
        <w:left w:val="none" w:sz="0" w:space="0" w:color="auto"/>
        <w:bottom w:val="none" w:sz="0" w:space="0" w:color="auto"/>
        <w:right w:val="none" w:sz="0" w:space="0" w:color="auto"/>
      </w:divBdr>
      <w:divsChild>
        <w:div w:id="1447431665">
          <w:marLeft w:val="0"/>
          <w:marRight w:val="0"/>
          <w:marTop w:val="0"/>
          <w:marBottom w:val="0"/>
          <w:divBdr>
            <w:top w:val="none" w:sz="0" w:space="0" w:color="auto"/>
            <w:left w:val="none" w:sz="0" w:space="0" w:color="auto"/>
            <w:bottom w:val="none" w:sz="0" w:space="0" w:color="auto"/>
            <w:right w:val="none" w:sz="0" w:space="0" w:color="auto"/>
          </w:divBdr>
        </w:div>
      </w:divsChild>
    </w:div>
    <w:div w:id="1977828972">
      <w:marLeft w:val="0"/>
      <w:marRight w:val="0"/>
      <w:marTop w:val="0"/>
      <w:marBottom w:val="0"/>
      <w:divBdr>
        <w:top w:val="none" w:sz="0" w:space="0" w:color="auto"/>
        <w:left w:val="none" w:sz="0" w:space="0" w:color="auto"/>
        <w:bottom w:val="none" w:sz="0" w:space="0" w:color="auto"/>
        <w:right w:val="none" w:sz="0" w:space="0" w:color="auto"/>
      </w:divBdr>
    </w:div>
    <w:div w:id="1978293949">
      <w:marLeft w:val="0"/>
      <w:marRight w:val="0"/>
      <w:marTop w:val="0"/>
      <w:marBottom w:val="0"/>
      <w:divBdr>
        <w:top w:val="none" w:sz="0" w:space="0" w:color="auto"/>
        <w:left w:val="none" w:sz="0" w:space="0" w:color="auto"/>
        <w:bottom w:val="none" w:sz="0" w:space="0" w:color="auto"/>
        <w:right w:val="none" w:sz="0" w:space="0" w:color="auto"/>
      </w:divBdr>
    </w:div>
    <w:div w:id="1990591217">
      <w:marLeft w:val="0"/>
      <w:marRight w:val="0"/>
      <w:marTop w:val="0"/>
      <w:marBottom w:val="0"/>
      <w:divBdr>
        <w:top w:val="none" w:sz="0" w:space="0" w:color="auto"/>
        <w:left w:val="none" w:sz="0" w:space="0" w:color="auto"/>
        <w:bottom w:val="none" w:sz="0" w:space="0" w:color="auto"/>
        <w:right w:val="none" w:sz="0" w:space="0" w:color="auto"/>
      </w:divBdr>
      <w:divsChild>
        <w:div w:id="547760781">
          <w:marLeft w:val="0"/>
          <w:marRight w:val="0"/>
          <w:marTop w:val="0"/>
          <w:marBottom w:val="0"/>
          <w:divBdr>
            <w:top w:val="none" w:sz="0" w:space="0" w:color="auto"/>
            <w:left w:val="none" w:sz="0" w:space="0" w:color="auto"/>
            <w:bottom w:val="none" w:sz="0" w:space="0" w:color="auto"/>
            <w:right w:val="none" w:sz="0" w:space="0" w:color="auto"/>
          </w:divBdr>
        </w:div>
      </w:divsChild>
    </w:div>
    <w:div w:id="1992099945">
      <w:marLeft w:val="0"/>
      <w:marRight w:val="0"/>
      <w:marTop w:val="280"/>
      <w:marBottom w:val="0"/>
      <w:divBdr>
        <w:top w:val="none" w:sz="0" w:space="0" w:color="auto"/>
        <w:left w:val="none" w:sz="0" w:space="0" w:color="auto"/>
        <w:bottom w:val="none" w:sz="0" w:space="0" w:color="auto"/>
        <w:right w:val="none" w:sz="0" w:space="0" w:color="auto"/>
      </w:divBdr>
    </w:div>
    <w:div w:id="1994525243">
      <w:marLeft w:val="0"/>
      <w:marRight w:val="0"/>
      <w:marTop w:val="0"/>
      <w:marBottom w:val="0"/>
      <w:divBdr>
        <w:top w:val="none" w:sz="0" w:space="0" w:color="auto"/>
        <w:left w:val="none" w:sz="0" w:space="0" w:color="auto"/>
        <w:bottom w:val="none" w:sz="0" w:space="0" w:color="auto"/>
        <w:right w:val="none" w:sz="0" w:space="0" w:color="auto"/>
      </w:divBdr>
      <w:divsChild>
        <w:div w:id="2029719449">
          <w:marLeft w:val="0"/>
          <w:marRight w:val="0"/>
          <w:marTop w:val="0"/>
          <w:marBottom w:val="0"/>
          <w:divBdr>
            <w:top w:val="none" w:sz="0" w:space="0" w:color="auto"/>
            <w:left w:val="none" w:sz="0" w:space="0" w:color="auto"/>
            <w:bottom w:val="none" w:sz="0" w:space="0" w:color="auto"/>
            <w:right w:val="none" w:sz="0" w:space="0" w:color="auto"/>
          </w:divBdr>
        </w:div>
      </w:divsChild>
    </w:div>
    <w:div w:id="2009015353">
      <w:marLeft w:val="0"/>
      <w:marRight w:val="0"/>
      <w:marTop w:val="100"/>
      <w:marBottom w:val="0"/>
      <w:divBdr>
        <w:top w:val="none" w:sz="0" w:space="0" w:color="auto"/>
        <w:left w:val="none" w:sz="0" w:space="0" w:color="auto"/>
        <w:bottom w:val="none" w:sz="0" w:space="0" w:color="auto"/>
        <w:right w:val="none" w:sz="0" w:space="0" w:color="auto"/>
      </w:divBdr>
    </w:div>
    <w:div w:id="2018262073">
      <w:marLeft w:val="0"/>
      <w:marRight w:val="0"/>
      <w:marTop w:val="180"/>
      <w:marBottom w:val="0"/>
      <w:divBdr>
        <w:top w:val="none" w:sz="0" w:space="0" w:color="auto"/>
        <w:left w:val="none" w:sz="0" w:space="0" w:color="auto"/>
        <w:bottom w:val="none" w:sz="0" w:space="0" w:color="auto"/>
        <w:right w:val="none" w:sz="0" w:space="0" w:color="auto"/>
      </w:divBdr>
      <w:divsChild>
        <w:div w:id="2138454380">
          <w:marLeft w:val="0"/>
          <w:marRight w:val="0"/>
          <w:marTop w:val="180"/>
          <w:marBottom w:val="0"/>
          <w:divBdr>
            <w:top w:val="none" w:sz="0" w:space="0" w:color="auto"/>
            <w:left w:val="none" w:sz="0" w:space="0" w:color="auto"/>
            <w:bottom w:val="none" w:sz="0" w:space="0" w:color="auto"/>
            <w:right w:val="none" w:sz="0" w:space="0" w:color="auto"/>
          </w:divBdr>
        </w:div>
        <w:div w:id="1835105675">
          <w:marLeft w:val="0"/>
          <w:marRight w:val="0"/>
          <w:marTop w:val="180"/>
          <w:marBottom w:val="0"/>
          <w:divBdr>
            <w:top w:val="none" w:sz="0" w:space="0" w:color="auto"/>
            <w:left w:val="none" w:sz="0" w:space="0" w:color="auto"/>
            <w:bottom w:val="none" w:sz="0" w:space="0" w:color="auto"/>
            <w:right w:val="none" w:sz="0" w:space="0" w:color="auto"/>
          </w:divBdr>
        </w:div>
        <w:div w:id="1926064647">
          <w:marLeft w:val="0"/>
          <w:marRight w:val="0"/>
          <w:marTop w:val="180"/>
          <w:marBottom w:val="0"/>
          <w:divBdr>
            <w:top w:val="none" w:sz="0" w:space="0" w:color="auto"/>
            <w:left w:val="none" w:sz="0" w:space="0" w:color="auto"/>
            <w:bottom w:val="none" w:sz="0" w:space="0" w:color="auto"/>
            <w:right w:val="none" w:sz="0" w:space="0" w:color="auto"/>
          </w:divBdr>
        </w:div>
        <w:div w:id="1145898245">
          <w:marLeft w:val="0"/>
          <w:marRight w:val="0"/>
          <w:marTop w:val="180"/>
          <w:marBottom w:val="0"/>
          <w:divBdr>
            <w:top w:val="none" w:sz="0" w:space="0" w:color="auto"/>
            <w:left w:val="none" w:sz="0" w:space="0" w:color="auto"/>
            <w:bottom w:val="none" w:sz="0" w:space="0" w:color="auto"/>
            <w:right w:val="none" w:sz="0" w:space="0" w:color="auto"/>
          </w:divBdr>
        </w:div>
        <w:div w:id="416441998">
          <w:marLeft w:val="0"/>
          <w:marRight w:val="0"/>
          <w:marTop w:val="180"/>
          <w:marBottom w:val="0"/>
          <w:divBdr>
            <w:top w:val="none" w:sz="0" w:space="0" w:color="auto"/>
            <w:left w:val="none" w:sz="0" w:space="0" w:color="auto"/>
            <w:bottom w:val="none" w:sz="0" w:space="0" w:color="auto"/>
            <w:right w:val="none" w:sz="0" w:space="0" w:color="auto"/>
          </w:divBdr>
        </w:div>
        <w:div w:id="122965534">
          <w:marLeft w:val="0"/>
          <w:marRight w:val="0"/>
          <w:marTop w:val="180"/>
          <w:marBottom w:val="0"/>
          <w:divBdr>
            <w:top w:val="none" w:sz="0" w:space="0" w:color="auto"/>
            <w:left w:val="none" w:sz="0" w:space="0" w:color="auto"/>
            <w:bottom w:val="none" w:sz="0" w:space="0" w:color="auto"/>
            <w:right w:val="none" w:sz="0" w:space="0" w:color="auto"/>
          </w:divBdr>
        </w:div>
        <w:div w:id="63067591">
          <w:marLeft w:val="0"/>
          <w:marRight w:val="0"/>
          <w:marTop w:val="180"/>
          <w:marBottom w:val="0"/>
          <w:divBdr>
            <w:top w:val="none" w:sz="0" w:space="0" w:color="auto"/>
            <w:left w:val="none" w:sz="0" w:space="0" w:color="auto"/>
            <w:bottom w:val="none" w:sz="0" w:space="0" w:color="auto"/>
            <w:right w:val="none" w:sz="0" w:space="0" w:color="auto"/>
          </w:divBdr>
        </w:div>
        <w:div w:id="1355882184">
          <w:marLeft w:val="0"/>
          <w:marRight w:val="0"/>
          <w:marTop w:val="180"/>
          <w:marBottom w:val="0"/>
          <w:divBdr>
            <w:top w:val="none" w:sz="0" w:space="0" w:color="auto"/>
            <w:left w:val="none" w:sz="0" w:space="0" w:color="auto"/>
            <w:bottom w:val="none" w:sz="0" w:space="0" w:color="auto"/>
            <w:right w:val="none" w:sz="0" w:space="0" w:color="auto"/>
          </w:divBdr>
        </w:div>
        <w:div w:id="2065568320">
          <w:marLeft w:val="0"/>
          <w:marRight w:val="0"/>
          <w:marTop w:val="180"/>
          <w:marBottom w:val="0"/>
          <w:divBdr>
            <w:top w:val="none" w:sz="0" w:space="0" w:color="auto"/>
            <w:left w:val="none" w:sz="0" w:space="0" w:color="auto"/>
            <w:bottom w:val="none" w:sz="0" w:space="0" w:color="auto"/>
            <w:right w:val="none" w:sz="0" w:space="0" w:color="auto"/>
          </w:divBdr>
        </w:div>
        <w:div w:id="677467595">
          <w:marLeft w:val="0"/>
          <w:marRight w:val="0"/>
          <w:marTop w:val="180"/>
          <w:marBottom w:val="0"/>
          <w:divBdr>
            <w:top w:val="none" w:sz="0" w:space="0" w:color="auto"/>
            <w:left w:val="none" w:sz="0" w:space="0" w:color="auto"/>
            <w:bottom w:val="none" w:sz="0" w:space="0" w:color="auto"/>
            <w:right w:val="none" w:sz="0" w:space="0" w:color="auto"/>
          </w:divBdr>
        </w:div>
      </w:divsChild>
    </w:div>
    <w:div w:id="2019312073">
      <w:marLeft w:val="0"/>
      <w:marRight w:val="0"/>
      <w:marTop w:val="100"/>
      <w:marBottom w:val="0"/>
      <w:divBdr>
        <w:top w:val="none" w:sz="0" w:space="0" w:color="auto"/>
        <w:left w:val="none" w:sz="0" w:space="0" w:color="auto"/>
        <w:bottom w:val="none" w:sz="0" w:space="0" w:color="auto"/>
        <w:right w:val="none" w:sz="0" w:space="0" w:color="auto"/>
      </w:divBdr>
    </w:div>
    <w:div w:id="2027250460">
      <w:marLeft w:val="0"/>
      <w:marRight w:val="0"/>
      <w:marTop w:val="180"/>
      <w:marBottom w:val="0"/>
      <w:divBdr>
        <w:top w:val="none" w:sz="0" w:space="0" w:color="auto"/>
        <w:left w:val="none" w:sz="0" w:space="0" w:color="auto"/>
        <w:bottom w:val="none" w:sz="0" w:space="0" w:color="auto"/>
        <w:right w:val="none" w:sz="0" w:space="0" w:color="auto"/>
      </w:divBdr>
    </w:div>
    <w:div w:id="2030063010">
      <w:marLeft w:val="0"/>
      <w:marRight w:val="0"/>
      <w:marTop w:val="0"/>
      <w:marBottom w:val="0"/>
      <w:divBdr>
        <w:top w:val="none" w:sz="0" w:space="0" w:color="auto"/>
        <w:left w:val="none" w:sz="0" w:space="0" w:color="auto"/>
        <w:bottom w:val="none" w:sz="0" w:space="0" w:color="auto"/>
        <w:right w:val="none" w:sz="0" w:space="0" w:color="auto"/>
      </w:divBdr>
      <w:divsChild>
        <w:div w:id="481696923">
          <w:marLeft w:val="0"/>
          <w:marRight w:val="0"/>
          <w:marTop w:val="0"/>
          <w:marBottom w:val="0"/>
          <w:divBdr>
            <w:top w:val="none" w:sz="0" w:space="0" w:color="auto"/>
            <w:left w:val="none" w:sz="0" w:space="0" w:color="auto"/>
            <w:bottom w:val="none" w:sz="0" w:space="0" w:color="auto"/>
            <w:right w:val="none" w:sz="0" w:space="0" w:color="auto"/>
          </w:divBdr>
        </w:div>
      </w:divsChild>
    </w:div>
    <w:div w:id="2032148583">
      <w:marLeft w:val="0"/>
      <w:marRight w:val="0"/>
      <w:marTop w:val="100"/>
      <w:marBottom w:val="0"/>
      <w:divBdr>
        <w:top w:val="none" w:sz="0" w:space="0" w:color="auto"/>
        <w:left w:val="none" w:sz="0" w:space="0" w:color="auto"/>
        <w:bottom w:val="none" w:sz="0" w:space="0" w:color="auto"/>
        <w:right w:val="none" w:sz="0" w:space="0" w:color="auto"/>
      </w:divBdr>
      <w:divsChild>
        <w:div w:id="1769886046">
          <w:marLeft w:val="0"/>
          <w:marRight w:val="0"/>
          <w:marTop w:val="0"/>
          <w:marBottom w:val="20"/>
          <w:divBdr>
            <w:top w:val="none" w:sz="0" w:space="0" w:color="auto"/>
            <w:left w:val="none" w:sz="0" w:space="0" w:color="auto"/>
            <w:bottom w:val="none" w:sz="0" w:space="0" w:color="auto"/>
            <w:right w:val="none" w:sz="0" w:space="0" w:color="auto"/>
          </w:divBdr>
        </w:div>
        <w:div w:id="739137133">
          <w:marLeft w:val="0"/>
          <w:marRight w:val="0"/>
          <w:marTop w:val="0"/>
          <w:marBottom w:val="20"/>
          <w:divBdr>
            <w:top w:val="none" w:sz="0" w:space="0" w:color="auto"/>
            <w:left w:val="none" w:sz="0" w:space="0" w:color="auto"/>
            <w:bottom w:val="none" w:sz="0" w:space="0" w:color="auto"/>
            <w:right w:val="none" w:sz="0" w:space="0" w:color="auto"/>
          </w:divBdr>
        </w:div>
        <w:div w:id="1207183191">
          <w:marLeft w:val="0"/>
          <w:marRight w:val="0"/>
          <w:marTop w:val="0"/>
          <w:marBottom w:val="20"/>
          <w:divBdr>
            <w:top w:val="none" w:sz="0" w:space="0" w:color="auto"/>
            <w:left w:val="none" w:sz="0" w:space="0" w:color="auto"/>
            <w:bottom w:val="none" w:sz="0" w:space="0" w:color="auto"/>
            <w:right w:val="none" w:sz="0" w:space="0" w:color="auto"/>
          </w:divBdr>
        </w:div>
        <w:div w:id="1369523323">
          <w:marLeft w:val="0"/>
          <w:marRight w:val="0"/>
          <w:marTop w:val="0"/>
          <w:marBottom w:val="20"/>
          <w:divBdr>
            <w:top w:val="none" w:sz="0" w:space="0" w:color="auto"/>
            <w:left w:val="none" w:sz="0" w:space="0" w:color="auto"/>
            <w:bottom w:val="none" w:sz="0" w:space="0" w:color="auto"/>
            <w:right w:val="none" w:sz="0" w:space="0" w:color="auto"/>
          </w:divBdr>
        </w:div>
        <w:div w:id="1102068262">
          <w:marLeft w:val="0"/>
          <w:marRight w:val="0"/>
          <w:marTop w:val="0"/>
          <w:marBottom w:val="20"/>
          <w:divBdr>
            <w:top w:val="none" w:sz="0" w:space="0" w:color="auto"/>
            <w:left w:val="none" w:sz="0" w:space="0" w:color="auto"/>
            <w:bottom w:val="none" w:sz="0" w:space="0" w:color="auto"/>
            <w:right w:val="none" w:sz="0" w:space="0" w:color="auto"/>
          </w:divBdr>
        </w:div>
        <w:div w:id="1265573681">
          <w:marLeft w:val="0"/>
          <w:marRight w:val="0"/>
          <w:marTop w:val="0"/>
          <w:marBottom w:val="20"/>
          <w:divBdr>
            <w:top w:val="none" w:sz="0" w:space="0" w:color="auto"/>
            <w:left w:val="none" w:sz="0" w:space="0" w:color="auto"/>
            <w:bottom w:val="none" w:sz="0" w:space="0" w:color="auto"/>
            <w:right w:val="none" w:sz="0" w:space="0" w:color="auto"/>
          </w:divBdr>
        </w:div>
        <w:div w:id="626856258">
          <w:marLeft w:val="0"/>
          <w:marRight w:val="0"/>
          <w:marTop w:val="0"/>
          <w:marBottom w:val="20"/>
          <w:divBdr>
            <w:top w:val="none" w:sz="0" w:space="0" w:color="auto"/>
            <w:left w:val="none" w:sz="0" w:space="0" w:color="auto"/>
            <w:bottom w:val="none" w:sz="0" w:space="0" w:color="auto"/>
            <w:right w:val="none" w:sz="0" w:space="0" w:color="auto"/>
          </w:divBdr>
        </w:div>
        <w:div w:id="545796217">
          <w:marLeft w:val="0"/>
          <w:marRight w:val="0"/>
          <w:marTop w:val="0"/>
          <w:marBottom w:val="20"/>
          <w:divBdr>
            <w:top w:val="none" w:sz="0" w:space="0" w:color="auto"/>
            <w:left w:val="none" w:sz="0" w:space="0" w:color="auto"/>
            <w:bottom w:val="none" w:sz="0" w:space="0" w:color="auto"/>
            <w:right w:val="none" w:sz="0" w:space="0" w:color="auto"/>
          </w:divBdr>
        </w:div>
      </w:divsChild>
    </w:div>
    <w:div w:id="2033260494">
      <w:marLeft w:val="0"/>
      <w:marRight w:val="0"/>
      <w:marTop w:val="100"/>
      <w:marBottom w:val="0"/>
      <w:divBdr>
        <w:top w:val="none" w:sz="0" w:space="0" w:color="auto"/>
        <w:left w:val="none" w:sz="0" w:space="0" w:color="auto"/>
        <w:bottom w:val="none" w:sz="0" w:space="0" w:color="auto"/>
        <w:right w:val="none" w:sz="0" w:space="0" w:color="auto"/>
      </w:divBdr>
    </w:div>
    <w:div w:id="2046634319">
      <w:marLeft w:val="0"/>
      <w:marRight w:val="0"/>
      <w:marTop w:val="0"/>
      <w:marBottom w:val="0"/>
      <w:divBdr>
        <w:top w:val="none" w:sz="0" w:space="0" w:color="auto"/>
        <w:left w:val="none" w:sz="0" w:space="0" w:color="auto"/>
        <w:bottom w:val="none" w:sz="0" w:space="0" w:color="auto"/>
        <w:right w:val="none" w:sz="0" w:space="0" w:color="auto"/>
      </w:divBdr>
    </w:div>
    <w:div w:id="2053188348">
      <w:marLeft w:val="0"/>
      <w:marRight w:val="0"/>
      <w:marTop w:val="0"/>
      <w:marBottom w:val="0"/>
      <w:divBdr>
        <w:top w:val="none" w:sz="0" w:space="0" w:color="auto"/>
        <w:left w:val="none" w:sz="0" w:space="0" w:color="auto"/>
        <w:bottom w:val="none" w:sz="0" w:space="0" w:color="auto"/>
        <w:right w:val="none" w:sz="0" w:space="0" w:color="auto"/>
      </w:divBdr>
      <w:divsChild>
        <w:div w:id="1018851949">
          <w:marLeft w:val="0"/>
          <w:marRight w:val="0"/>
          <w:marTop w:val="0"/>
          <w:marBottom w:val="0"/>
          <w:divBdr>
            <w:top w:val="none" w:sz="0" w:space="0" w:color="auto"/>
            <w:left w:val="none" w:sz="0" w:space="0" w:color="auto"/>
            <w:bottom w:val="none" w:sz="0" w:space="0" w:color="auto"/>
            <w:right w:val="none" w:sz="0" w:space="0" w:color="auto"/>
          </w:divBdr>
        </w:div>
      </w:divsChild>
    </w:div>
    <w:div w:id="2053193365">
      <w:marLeft w:val="0"/>
      <w:marRight w:val="0"/>
      <w:marTop w:val="0"/>
      <w:marBottom w:val="0"/>
      <w:divBdr>
        <w:top w:val="none" w:sz="0" w:space="0" w:color="auto"/>
        <w:left w:val="none" w:sz="0" w:space="0" w:color="auto"/>
        <w:bottom w:val="none" w:sz="0" w:space="0" w:color="auto"/>
        <w:right w:val="none" w:sz="0" w:space="0" w:color="auto"/>
      </w:divBdr>
    </w:div>
    <w:div w:id="2082943039">
      <w:marLeft w:val="0"/>
      <w:marRight w:val="0"/>
      <w:marTop w:val="0"/>
      <w:marBottom w:val="0"/>
      <w:divBdr>
        <w:top w:val="none" w:sz="0" w:space="0" w:color="auto"/>
        <w:left w:val="none" w:sz="0" w:space="0" w:color="auto"/>
        <w:bottom w:val="none" w:sz="0" w:space="0" w:color="auto"/>
        <w:right w:val="none" w:sz="0" w:space="0" w:color="auto"/>
      </w:divBdr>
      <w:divsChild>
        <w:div w:id="2101903108">
          <w:marLeft w:val="0"/>
          <w:marRight w:val="0"/>
          <w:marTop w:val="0"/>
          <w:marBottom w:val="0"/>
          <w:divBdr>
            <w:top w:val="none" w:sz="0" w:space="0" w:color="auto"/>
            <w:left w:val="none" w:sz="0" w:space="0" w:color="auto"/>
            <w:bottom w:val="none" w:sz="0" w:space="0" w:color="auto"/>
            <w:right w:val="none" w:sz="0" w:space="0" w:color="auto"/>
          </w:divBdr>
        </w:div>
      </w:divsChild>
    </w:div>
    <w:div w:id="2105876974">
      <w:marLeft w:val="0"/>
      <w:marRight w:val="0"/>
      <w:marTop w:val="0"/>
      <w:marBottom w:val="0"/>
      <w:divBdr>
        <w:top w:val="none" w:sz="0" w:space="0" w:color="auto"/>
        <w:left w:val="none" w:sz="0" w:space="0" w:color="auto"/>
        <w:bottom w:val="none" w:sz="0" w:space="0" w:color="auto"/>
        <w:right w:val="none" w:sz="0" w:space="0" w:color="auto"/>
      </w:divBdr>
    </w:div>
    <w:div w:id="2112816237">
      <w:marLeft w:val="0"/>
      <w:marRight w:val="0"/>
      <w:marTop w:val="0"/>
      <w:marBottom w:val="0"/>
      <w:divBdr>
        <w:top w:val="none" w:sz="0" w:space="0" w:color="auto"/>
        <w:left w:val="none" w:sz="0" w:space="0" w:color="auto"/>
        <w:bottom w:val="none" w:sz="0" w:space="0" w:color="auto"/>
        <w:right w:val="none" w:sz="0" w:space="0" w:color="auto"/>
      </w:divBdr>
    </w:div>
    <w:div w:id="2122987761">
      <w:marLeft w:val="0"/>
      <w:marRight w:val="0"/>
      <w:marTop w:val="100"/>
      <w:marBottom w:val="0"/>
      <w:divBdr>
        <w:top w:val="none" w:sz="0" w:space="0" w:color="auto"/>
        <w:left w:val="none" w:sz="0" w:space="0" w:color="auto"/>
        <w:bottom w:val="none" w:sz="0" w:space="0" w:color="auto"/>
        <w:right w:val="none" w:sz="0" w:space="0" w:color="auto"/>
      </w:divBdr>
    </w:div>
    <w:div w:id="2127115774">
      <w:marLeft w:val="0"/>
      <w:marRight w:val="0"/>
      <w:marTop w:val="0"/>
      <w:marBottom w:val="0"/>
      <w:divBdr>
        <w:top w:val="none" w:sz="0" w:space="0" w:color="auto"/>
        <w:left w:val="none" w:sz="0" w:space="0" w:color="auto"/>
        <w:bottom w:val="none" w:sz="0" w:space="0" w:color="auto"/>
        <w:right w:val="none" w:sz="0" w:space="0" w:color="auto"/>
      </w:divBdr>
      <w:divsChild>
        <w:div w:id="1426728032">
          <w:marLeft w:val="0"/>
          <w:marRight w:val="0"/>
          <w:marTop w:val="0"/>
          <w:marBottom w:val="0"/>
          <w:divBdr>
            <w:top w:val="none" w:sz="0" w:space="0" w:color="auto"/>
            <w:left w:val="none" w:sz="0" w:space="0" w:color="auto"/>
            <w:bottom w:val="none" w:sz="0" w:space="0" w:color="auto"/>
            <w:right w:val="none" w:sz="0" w:space="0" w:color="auto"/>
          </w:divBdr>
        </w:div>
      </w:divsChild>
    </w:div>
    <w:div w:id="213929658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12sec302cfocert-93.htm" TargetMode="External"/><Relationship Id="rId3" Type="http://schemas.openxmlformats.org/officeDocument/2006/relationships/webSettings" Target="webSettings.xml"/><Relationship Id="rId7" Type="http://schemas.openxmlformats.org/officeDocument/2006/relationships/hyperlink" Target="exhibit311sec302ceocert-9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2secondamendmentt.htm" TargetMode="External"/><Relationship Id="rId11" Type="http://schemas.openxmlformats.org/officeDocument/2006/relationships/theme" Target="theme/theme1.xml"/><Relationship Id="rId5" Type="http://schemas.openxmlformats.org/officeDocument/2006/relationships/hyperlink" Target="exhibit101firstamendmentto.htm" TargetMode="External"/><Relationship Id="rId10" Type="http://schemas.openxmlformats.org/officeDocument/2006/relationships/fontTable" Target="fontTable.xml"/><Relationship Id="rId4" Type="http://schemas.openxmlformats.org/officeDocument/2006/relationships/image" Target="file:///E:\projects\LLMs\new_data_collection\data_new\htm\NCR%20VOYIX%20Corp\ncr-20220930_g1.jpg" TargetMode="External"/><Relationship Id="rId9" Type="http://schemas.openxmlformats.org/officeDocument/2006/relationships/hyperlink" Target="exhibit32sec906ceoandcfoc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40542</Words>
  <Characters>231094</Characters>
  <Application>Microsoft Office Word</Application>
  <DocSecurity>0</DocSecurity>
  <Lines>1925</Lines>
  <Paragraphs>542</Paragraphs>
  <ScaleCrop>false</ScaleCrop>
  <Company/>
  <LinksUpToDate>false</LinksUpToDate>
  <CharactersWithSpaces>271094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ncr-20220930</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