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0289C">
      <w:pPr>
        <w:divId w:val="1839417133"/>
        <w:rPr>
          <w:rFonts w:eastAsia="Times New Roman"/>
          <w:vanish/>
        </w:rPr>
      </w:pPr>
      <w:r>
        <w:rPr>
          <w:rFonts w:eastAsia="Times New Roman"/>
          <w:vanish/>
        </w:rPr>
        <w:t>00000708662022FYFALSEP4YP3Y0.7512http://fasb.org/us-gaap/2022#PropertyPlantAndEquipmentNethttp://fasb.org/us-gaap/2022#PropertyPlantAndEquipmentNethttp://fasb.org/us-gaap/2022#OtherLiabilitiesCurrent</w:t>
      </w:r>
      <w:r>
        <w:rPr>
          <w:rFonts w:eastAsia="Times New Roman"/>
          <w:vanish/>
        </w:rPr>
        <w:t>http://fasb.org/us-gaap/2022#OtherLiabilitiesCurrenthttp://fasb.org/us-gaap/2022#OtherLiabilitiesCurrenthttp://fasb.org/us-gaap/2022#OtherLiabilitiesCurrenthttp://fasb.org/us-gaap/2022#OtherLiabilitiesNoncurrenthttp://fasb.org/us-gaap/2022#OtherLiabilities</w:t>
      </w:r>
      <w:r>
        <w:rPr>
          <w:rFonts w:eastAsia="Times New Roman"/>
          <w:vanish/>
        </w:rPr>
        <w:t>Noncurrenthttp://fasb.org/us-gaap/2022#OtherAssetsNoncurrent http://fasb.org/us-gaap/2022#PrepaidExpenseAndOtherAssetsCurrenthttp://fasb.org/us-gaap/2022#OtherLiabilitiesCurrenthttp://fasb.org/us-gaap/2022#OtherAssetsNoncurrent http://fasb.org/us-gaap/2022</w:t>
      </w:r>
      <w:r>
        <w:rPr>
          <w:rFonts w:eastAsia="Times New Roman"/>
          <w:vanish/>
        </w:rPr>
        <w:t>#PrepaidExpenseAndOtherAssetsCurrenthttp://fasb.org/us-gaap/2022#OtherLiabilitiesCurrent http://fasb.org/us-gaap/2022#OtherLiabilitiesNoncurrent00000708662022-01-012022-12-3100000708662022-06-30iso4217:USD00000708662023-02-10xbrli:shares0000070866us-gaap:P</w:t>
      </w:r>
      <w:r>
        <w:rPr>
          <w:rFonts w:eastAsia="Times New Roman"/>
          <w:vanish/>
        </w:rPr>
        <w:t>roductMember2022-01-012022-12-310000070866us-gaap:ProductMember2021-01-012021-12-310000070866us-gaap:ProductMember2020-01-012020-12-310000070866us-gaap:ServiceMember2022-01-012022-12-310000070866us-gaap:ServiceMember2021-01-012021-12-310000070866us-gaap:Se</w:t>
      </w:r>
      <w:r>
        <w:rPr>
          <w:rFonts w:eastAsia="Times New Roman"/>
          <w:vanish/>
        </w:rPr>
        <w:t>rviceMember2020-01-012020-12-3100000708662021-01-012021-12-3100000708662020-01-012020-12-3100000708662022-10-012022-12-31iso4217:USDxbrli:shares00000708662022-12-3100000708662021-12-3100000708662020-12-3100000708662019-12-310000070866us-gaap:CommonStockMem</w:t>
      </w:r>
      <w:r>
        <w:rPr>
          <w:rFonts w:eastAsia="Times New Roman"/>
          <w:vanish/>
        </w:rPr>
        <w:t>ber2019-12-310000070866us-gaap:AdditionalPaidInCapitalMember2019-12-310000070866us-gaap:RetainedEarningsMember2019-12-310000070866us-gaap:AccumulatedOtherComprehensiveIncomeMember2019-12-310000070866us-gaap:NoncontrollingInterestMember2019-12-310000070866n</w:t>
      </w:r>
      <w:r>
        <w:rPr>
          <w:rFonts w:eastAsia="Times New Roman"/>
          <w:vanish/>
        </w:rPr>
        <w:t>cr:TotalStockholdersEquityMember2019-12-310000070866us-gaap:RetainedEarningsMember2020-01-012020-12-310000070866us-gaap:NoncontrollingInterestMember2020-01-012020-12-310000070866ncr:TotalStockholdersEquityMember2020-01-012020-12-310000070866us-gaap:Accumul</w:t>
      </w:r>
      <w:r>
        <w:rPr>
          <w:rFonts w:eastAsia="Times New Roman"/>
          <w:vanish/>
        </w:rPr>
        <w:t>atedOtherComprehensiveIncomeMember2020-01-012020-12-310000070866us-gaap:CommonStockMember2020-01-012020-12-310000070866us-gaap:AdditionalPaidInCapitalMember2020-01-012020-12-310000070866us-gaap:CommonStockMember2020-12-310000070866us-gaap:AdditionalPaidInC</w:t>
      </w:r>
      <w:r>
        <w:rPr>
          <w:rFonts w:eastAsia="Times New Roman"/>
          <w:vanish/>
        </w:rPr>
        <w:t>apitalMember2020-12-310000070866us-gaap:RetainedEarningsMember2020-12-310000070866us-gaap:AccumulatedOtherComprehensiveIncomeMember2020-12-310000070866us-gaap:NoncontrollingInterestMember2020-12-310000070866ncr:TotalStockholdersEquityMember2020-12-31000007</w:t>
      </w:r>
      <w:r>
        <w:rPr>
          <w:rFonts w:eastAsia="Times New Roman"/>
          <w:vanish/>
        </w:rPr>
        <w:t>0866us-gaap:RetainedEarningsMember2021-01-012021-12-310000070866us-gaap:NoncontrollingInterestMember2021-01-012021-12-310000070866ncr:TotalStockholdersEquityMember2021-01-012021-12-310000070866us-gaap:AccumulatedOtherComprehensiveIncomeMember2021-01-012021</w:t>
      </w:r>
      <w:r>
        <w:rPr>
          <w:rFonts w:eastAsia="Times New Roman"/>
          <w:vanish/>
        </w:rPr>
        <w:t>-12-310000070866us-gaap:CommonStockMember2021-01-012021-12-310000070866us-gaap:AdditionalPaidInCapitalMember2021-01-012021-12-310000070866us-gaap:CommonStockMember2021-12-310000070866us-gaap:AdditionalPaidInCapitalMember2021-12-310000070866us-gaap:Retained</w:t>
      </w:r>
      <w:r>
        <w:rPr>
          <w:rFonts w:eastAsia="Times New Roman"/>
          <w:vanish/>
        </w:rPr>
        <w:t>EarningsMember2021-12-310000070866us-gaap:AccumulatedOtherComprehensiveIncomeMember2021-12-310000070866us-gaap:NoncontrollingInterestMember2021-12-310000070866ncr:TotalStockholdersEquityMember2021-12-310000070866us-gaap:RetainedEarningsMember2022-01-012022</w:t>
      </w:r>
      <w:r>
        <w:rPr>
          <w:rFonts w:eastAsia="Times New Roman"/>
          <w:vanish/>
        </w:rPr>
        <w:t>-12-310000070866us-gaap:NoncontrollingInterestMember2022-01-012022-12-310000070866ncr:TotalStockholdersEquityMember2022-01-012022-12-310000070866us-gaap:AccumulatedOtherComprehensiveIncomeMember2022-01-012022-12-310000070866us-gaap:CommonStockMember2022-01</w:t>
      </w:r>
      <w:r>
        <w:rPr>
          <w:rFonts w:eastAsia="Times New Roman"/>
          <w:vanish/>
        </w:rPr>
        <w:t>-012022-12-310000070866us-gaap:AdditionalPaidInCapitalMember2022-01-012022-12-310000070866us-gaap:CommonStockMember2022-12-310000070866us-gaap:AdditionalPaidInCapitalMember2022-12-310000070866us-gaap:RetainedEarningsMember2022-12-310000070866us-gaap:Accumu</w:t>
      </w:r>
      <w:r>
        <w:rPr>
          <w:rFonts w:eastAsia="Times New Roman"/>
          <w:vanish/>
        </w:rPr>
        <w:t>latedOtherComprehensiveIncomeMember2022-12-310000070866us-gaap:NoncontrollingInterestMember2022-12-310000070866ncr:TotalStockholdersEquityMember2022-12-310000070866ncr:BillAndHoldTransactionsConcentrationRiskMemberus-gaap:SalesRevenueNetMembersrt:MaximumMe</w:t>
      </w:r>
      <w:r>
        <w:rPr>
          <w:rFonts w:eastAsia="Times New Roman"/>
          <w:vanish/>
        </w:rPr>
        <w:t>mber2022-01-012022-12-31xbrli:pure0000070866ncr:BillAndHoldTransactionsConcentrationRiskMemberus-gaap:SalesRevenueNetMembersrt:MaximumMember2021-01-012021-12-310000070866ncr:BillAndHoldTransactionsConcentrationRiskMemberus-gaap:SalesRevenueNetMembersrt:Max</w:t>
      </w:r>
      <w:r>
        <w:rPr>
          <w:rFonts w:eastAsia="Times New Roman"/>
          <w:vanish/>
        </w:rPr>
        <w:t>imumMember2020-01-012020-12-3100000708662023-01-012022-12-310000070866ncr:LibertyXMember2022-01-012022-12-310000070866us-gaap:TradeAccountsReceivableMember2022-12-310000070866us-gaap:TradeAccountsReceivableMember2021-12-310000070866ncr:OtherReceivablesMemb</w:t>
      </w:r>
      <w:r>
        <w:rPr>
          <w:rFonts w:eastAsia="Times New Roman"/>
          <w:vanish/>
        </w:rPr>
        <w:t>er2022-12-310000070866ncr:OtherReceivablesMember2021-12-310000070866us-gaap:AllowanceForCreditLossMember2022-01-012022-12-310000070866us-gaap:AllowanceForCreditLossMember2021-01-012021-12-310000070866srt:MinimumMemberncr:SoftwareDevelopmentCostsInternalUse</w:t>
      </w:r>
      <w:r>
        <w:rPr>
          <w:rFonts w:eastAsia="Times New Roman"/>
          <w:vanish/>
        </w:rPr>
        <w:t>Member2022-01-012022-12-310000070866ncr:SoftwareDevelopmentCostsInternalUseMembersrt:MaximumMember2022-01-012022-12-310000070866srt:MinimumMemberus-gaap:SoftwareAndSoftwareDevelopmentCostsMember2022-01-012022-12-310000070866us-gaap:SoftwareAndSoftwareDevel</w:t>
      </w:r>
      <w:r>
        <w:rPr>
          <w:rFonts w:eastAsia="Times New Roman"/>
          <w:vanish/>
        </w:rPr>
        <w:t>opmentCostsMembersrt:MaximumMember2022-01-012022-12-310000070866srt:MinimumMemberus-gaap:MachineryAndEquipmentMember2022-01-012022-12-310000070866us-gaap:MachineryAndEquipmentMembersrt:MaximumMember2022-01-012022-12-310000070866srt:MinimumMemberus-gaap:Bui</w:t>
      </w:r>
      <w:r>
        <w:rPr>
          <w:rFonts w:eastAsia="Times New Roman"/>
          <w:vanish/>
        </w:rPr>
        <w:t>ldingMember2022-01-012022-12-310000070866us-gaap:BuildingMembersrt:MaximumMember2022-01-012022-12-310000070866ncr:LibertyXMember2022-01-050000070866ncr:LibertyXMember2022-01-052022-01-050000070866us-gaap:CustomerRelationshipsMemberncr:LibertyXMember2022-01</w:t>
      </w:r>
      <w:r>
        <w:rPr>
          <w:rFonts w:eastAsia="Times New Roman"/>
          <w:vanish/>
        </w:rPr>
        <w:t>-050000070866us-gaap:CustomerRelationshipsMemberncr:LibertyXMember2022-01-052022-01-050000070866us-gaap:PatentedTechnologyMemberncr:LibertyXMember2022-01-050000070866us-gaap:PatentedTechnologyMemberncr:LibertyXMember2022-01-052022-01-050000070866us-gaap:No</w:t>
      </w:r>
      <w:r>
        <w:rPr>
          <w:rFonts w:eastAsia="Times New Roman"/>
          <w:vanish/>
        </w:rPr>
        <w:t>ncompeteAgreementsMemberncr:LibertyXMember2022-01-050000070866us-gaap:NoncompeteAgreementsMemberncr:LibertyXMember2022-01-052022-01-050000070866us-gaap:TradeNamesMemberncr:LibertyXMember2022-01-050000070866us-gaap:TradeNamesMemberncr:LibertyXMember2022-01-</w:t>
      </w:r>
      <w:r>
        <w:rPr>
          <w:rFonts w:eastAsia="Times New Roman"/>
          <w:vanish/>
        </w:rPr>
        <w:t>052022-01-050000070866ncr:FISPaymentSolutionsServicesPrivateLimitedMember2022-07-012022-07-010000070866ncr:FISPaymentSolutionsServicesPrivateLimitedMember2022-07-012022-12-310000070866ncr:CardtronicsMember2021-06-210000070866ncr:CardtronicsMember2021-06-21</w:t>
      </w:r>
      <w:r>
        <w:rPr>
          <w:rFonts w:eastAsia="Times New Roman"/>
          <w:vanish/>
        </w:rPr>
        <w:t>2021-06-210000070866us-gaap:CustomerRelationshipsMemberncr:CardtronicsMember2021-06-210000070866us-gaap:CustomerRelationshipsMemberncr:CardtronicsMember2021-06-212021-06-210000070866ncr:CardtronicsMemberus-gaap:PatentedTechnologyMember2021-06-210000070866n</w:t>
      </w:r>
      <w:r>
        <w:rPr>
          <w:rFonts w:eastAsia="Times New Roman"/>
          <w:vanish/>
        </w:rPr>
        <w:t>cr:CardtronicsMemberus-gaap:PatentedTechnologyMember2021-06-212021-06-210000070866us-gaap:NoncompeteAgreementsMemberncr:CardtronicsMember2021-06-210000070866us-gaap:NoncompeteAgreementsMemberncr:CardtronicsMember2021-06-212021-06-210000070866us-gaap:TradeN</w:t>
      </w:r>
      <w:r>
        <w:rPr>
          <w:rFonts w:eastAsia="Times New Roman"/>
          <w:vanish/>
        </w:rPr>
        <w:t>amesMemberncr:CardtronicsMember2021-06-210000070866us-gaap:TradeNamesMemberncr:CardtronicsMember2021-06-212021-06-210000070866ncr:CardtronicsMember2021-12-3100000708662021-06-212021-12-310000070866ncr:CardtronicsMember2021-01-012021-12-310000070866ncr:A512</w:t>
      </w:r>
      <w:r>
        <w:rPr>
          <w:rFonts w:eastAsia="Times New Roman"/>
          <w:vanish/>
        </w:rPr>
        <w:t>5SeniorNotesDue2029Member2021-04-060000070866ncr:CardtronicsMember2020-01-012020-12-310000070866ncr:A5125SeniorNotesDue2029Member2020-12-310000070866ncr:FreshopTerafinaDumacMember2021-01-012021-03-310000070866ncr:FreshopTerafinaDumacMember2021-12-310000070</w:t>
      </w:r>
      <w:r>
        <w:rPr>
          <w:rFonts w:eastAsia="Times New Roman"/>
          <w:vanish/>
        </w:rPr>
        <w:t>866ncr:FreshopTerafinaDumacMember2021-01-012021-12-310000070866us-gaap:CustomerRelationshipsMemberncr:FreshopTerafinaDumacMember2021-12-310000070866us-gaap:CustomerRelationshipsMemberncr:FreshopTerafinaDumacMember2021-01-012021-12-310000070866ncr:FreshopTe</w:t>
      </w:r>
      <w:r>
        <w:rPr>
          <w:rFonts w:eastAsia="Times New Roman"/>
          <w:vanish/>
        </w:rPr>
        <w:t>rafinaDumacMemberus-gaap:PatentedTechnologyMember2021-12-310000070866ncr:FreshopTerafinaDumacMemberus-gaap:PatentedTechnologyMember2021-01-012021-12-310000070866us-gaap:NoncompeteAgreementsMemberncr:FreshopTerafinaDumacMember2021-12-310000070866us-gaap:Non</w:t>
      </w:r>
      <w:r>
        <w:rPr>
          <w:rFonts w:eastAsia="Times New Roman"/>
          <w:vanish/>
        </w:rPr>
        <w:t>competeAgreementsMemberncr:FreshopTerafinaDumacMember2021-01-012021-12-310000070866us-gaap:TradeNamesMemberncr:FreshopTerafinaDumacMember2021-12-310000070866us-gaap:TradeNamesMemberncr:FreshopTerafinaDumacMember2021-01-012021-12-310000070866ncr:RetailSegme</w:t>
      </w:r>
      <w:r>
        <w:rPr>
          <w:rFonts w:eastAsia="Times New Roman"/>
          <w:vanish/>
        </w:rPr>
        <w:t>ntMember2021-12-310000070866ncr:RetailSegmentMember2022-01-012022-12-310000070866ncr:RetailSegmentMember2022-12-310000070866ncr:HospitalitySegmentMember2021-12-310000070866ncr:HospitalitySegmentMember2022-01-012022-12-310000070866ncr:HospitalitySegmentMemb</w:t>
      </w:r>
      <w:r>
        <w:rPr>
          <w:rFonts w:eastAsia="Times New Roman"/>
          <w:vanish/>
        </w:rPr>
        <w:t>er2022-12-310000070866ncr:DigitalBankingMember2021-12-310000070866ncr:DigitalBankingMember2022-01-012022-12-310000070866ncr:DigitalBankingMember2022-12-310000070866ncr:PaymentsNetworkSegmentMember2021-12-310000070866ncr:PaymentsNetworkSegmentMember2022-01-</w:t>
      </w:r>
      <w:r>
        <w:rPr>
          <w:rFonts w:eastAsia="Times New Roman"/>
          <w:vanish/>
        </w:rPr>
        <w:t>012022-12-310000070866ncr:PaymentsNetworkSegmentMember2022-12-310000070866ncr:SelfServiceBankingSegmentsMember2021-12-310000070866ncr:SelfServiceBankingSegmentsMember2022-01-012022-12-310000070866ncr:SelfServiceBankingSegmentsMember2022-12-310000070866us-g</w:t>
      </w:r>
      <w:r>
        <w:rPr>
          <w:rFonts w:eastAsia="Times New Roman"/>
          <w:vanish/>
        </w:rPr>
        <w:t>aap:AllOtherSegmentsMember2021-12-310000070866us-gaap:AllOtherSegmentsMember2022-01-012022-12-310000070866us-gaap:AllOtherSegmentsMember2022-12-310000070866ncr:RetailSegmentMember2020-12-310000070866ncr:RetailSegmentMember2021-01-012021-12-310000070866ncr:</w:t>
      </w:r>
      <w:r>
        <w:rPr>
          <w:rFonts w:eastAsia="Times New Roman"/>
          <w:vanish/>
        </w:rPr>
        <w:t>HospitalitySegmentMember2020-12-310000070866ncr:HospitalitySegmentMember2021-01-012021-12-310000070866ncr:DigitalBankingMember2020-12-310000070866ncr:DigitalBankingMember2021-01-012021-12-310000070866ncr:PaymentsNetworkSegmentMember2020-12-310000070866ncr:</w:t>
      </w:r>
      <w:r>
        <w:rPr>
          <w:rFonts w:eastAsia="Times New Roman"/>
          <w:vanish/>
        </w:rPr>
        <w:t>PaymentsNetworkSegmentMember2021-01-012021-12-310000070866ncr:SelfServiceBankingSegmentsMember2020-12-310000070866ncr:SelfServiceBankingSegmentsMember2021-01-012021-12-310000070866us-gaap:AllOtherSegmentsMember2020-12-310000070866us-gaap:AllOtherSegmentsMe</w:t>
      </w:r>
      <w:r>
        <w:rPr>
          <w:rFonts w:eastAsia="Times New Roman"/>
          <w:vanish/>
        </w:rPr>
        <w:t>mber2021-01-012021-12-310000070866srt:MinimumMemberus-gaap:CustomerRelationshipsMember2022-01-012022-12-310000070866us-gaap:CustomerRelationshipsMembersrt:MaximumMember2022-01-012022-12-310000070866us-gaap:CustomerRelationshipsMember2022-12-310000070866us-</w:t>
      </w:r>
      <w:r>
        <w:rPr>
          <w:rFonts w:eastAsia="Times New Roman"/>
          <w:vanish/>
        </w:rPr>
        <w:t>gaap:CustomerRelationshipsMember2021-12-310000070866srt:MinimumMemberus-gaap:IntellectualPropertyMember2022-01-012022-12-310000070866us-gaap:IntellectualPropertyMembersrt:MaximumMember2022-01-012022-12-310000070866us-gaap:IntellectualPropertyMember2022-12-</w:t>
      </w:r>
      <w:r>
        <w:rPr>
          <w:rFonts w:eastAsia="Times New Roman"/>
          <w:vanish/>
        </w:rPr>
        <w:t>310000070866us-gaap:IntellectualPropertyMember2021-12-310000070866us-gaap:CustomerContractsMember2022-01-012022-12-310000070866us-gaap:CustomerContractsMember2022-12-310000070866us-gaap:CustomerContractsMember2021-12-310000070866srt:MinimumMemberus-gaap:Tr</w:t>
      </w:r>
      <w:r>
        <w:rPr>
          <w:rFonts w:eastAsia="Times New Roman"/>
          <w:vanish/>
        </w:rPr>
        <w:t>adeNamesMember2022-01-012022-12-310000070866us-gaap:TradeNamesMembersrt:MaximumMember2022-01-012022-12-310000070866us-gaap:TradeNamesMember2022-12-310000070866us-gaap:TradeNamesMember2021-12-310000070866ncr:RetailSegmentsMemberus-gaap:OperatingSegmentsMemb</w:t>
      </w:r>
      <w:r>
        <w:rPr>
          <w:rFonts w:eastAsia="Times New Roman"/>
          <w:vanish/>
        </w:rPr>
        <w:t>er2022-01-012022-12-310000070866ncr:RetailSegmentsMemberus-gaap:OperatingSegmentsMember2021-01-012021-12-310000070866ncr:RetailSegmentsMemberus-gaap:OperatingSegmentsMember2020-01-012020-12-310000070866ncr:HospitalitySegmentMemberus-gaap:OperatingSegmentsM</w:t>
      </w:r>
      <w:r>
        <w:rPr>
          <w:rFonts w:eastAsia="Times New Roman"/>
          <w:vanish/>
        </w:rPr>
        <w:t>ember2022-01-012022-12-310000070866ncr:HospitalitySegmentMemberus-gaap:OperatingSegmentsMember2021-01-012021-12-310000070866ncr:HospitalitySegmentMemberus-gaap:OperatingSegmentsMember2020-01-012020-12-310000070866ncr:DigitalBankingMemberus-gaap:OperatingSe</w:t>
      </w:r>
      <w:r>
        <w:rPr>
          <w:rFonts w:eastAsia="Times New Roman"/>
          <w:vanish/>
        </w:rPr>
        <w:t>gmentsMember2022-01-012022-12-310000070866ncr:DigitalBankingMemberus-gaap:OperatingSegmentsMember2021-01-012021-12-310000070866ncr:DigitalBankingMemberus-gaap:OperatingSegmentsMember2020-01-012020-12-310000070866us-gaap:OperatingSegmentsMemberncr:PaymentsN</w:t>
      </w:r>
      <w:r>
        <w:rPr>
          <w:rFonts w:eastAsia="Times New Roman"/>
          <w:vanish/>
        </w:rPr>
        <w:t>etworkSegmentMember2022-01-012022-12-310000070866us-gaap:OperatingSegmentsMemberncr:PaymentsNetworkSegmentMember2021-01-012021-12-310000070866us-gaap:OperatingSegmentsMemberncr:PaymentsNetworkSegmentMember2020-01-012020-12-310000070866ncr:SelfServiceBankin</w:t>
      </w:r>
      <w:r>
        <w:rPr>
          <w:rFonts w:eastAsia="Times New Roman"/>
          <w:vanish/>
        </w:rPr>
        <w:t>gSegmentsMemberus-gaap:OperatingSegmentsMember2022-01-012022-12-310000070866ncr:SelfServiceBankingSegmentsMemberus-gaap:OperatingSegmentsMember2021-01-012021-12-310000070866ncr:SelfServiceBankingSegmentsMemberus-gaap:OperatingSegmentsMember2020-01-012020-1</w:t>
      </w:r>
      <w:r>
        <w:rPr>
          <w:rFonts w:eastAsia="Times New Roman"/>
          <w:vanish/>
        </w:rPr>
        <w:t>2-310000070866us-gaap:CorporateAndOtherMemberus-gaap:OperatingSegmentsMember2022-01-012022-12-310000070866us-gaap:CorporateAndOtherMemberus-gaap:OperatingSegmentsMember2021-01-012021-12-310000070866us-gaap:CorporateAndOtherMemberus-gaap:OperatingSegmentsMe</w:t>
      </w:r>
      <w:r>
        <w:rPr>
          <w:rFonts w:eastAsia="Times New Roman"/>
          <w:vanish/>
        </w:rPr>
        <w:t>mber2020-01-012020-12-310000070866ncr:EliminationsMemberus-gaap:OperatingSegmentsMember2022-01-012022-12-310000070866ncr:EliminationsMemberus-gaap:OperatingSegmentsMember2021-01-012021-12-310000070866ncr:EliminationsMemberus-gaap:OperatingSegmentsMember202</w:t>
      </w:r>
      <w:r>
        <w:rPr>
          <w:rFonts w:eastAsia="Times New Roman"/>
          <w:vanish/>
        </w:rPr>
        <w:t>0-01-012020-12-310000070866us-gaap:OperatingSegmentsMember2022-01-012022-12-310000070866us-gaap:OperatingSegmentsMember2021-01-012021-12-310000070866us-gaap:OperatingSegmentsMember2020-01-012020-12-310000070866ncr:RussiaConflictMember2022-01-012022-12-3100</w:t>
      </w:r>
      <w:r>
        <w:rPr>
          <w:rFonts w:eastAsia="Times New Roman"/>
          <w:vanish/>
        </w:rPr>
        <w:t>00070866ncr:RussiaConflictMember2021-01-012021-12-310000070866ncr:RussiaConflictMember2020-01-012020-12-310000070866ncr:RecurringRevenueMember2022-01-012022-12-310000070866ncr:RecurringRevenueMember2021-01-012021-12-310000070866ncr:RecurringRevenueMember20</w:t>
      </w:r>
      <w:r>
        <w:rPr>
          <w:rFonts w:eastAsia="Times New Roman"/>
          <w:vanish/>
        </w:rPr>
        <w:t>20-01-012020-12-310000070866ncr:AllOtherProductsAndServicesMember2022-01-012022-12-310000070866ncr:AllOtherProductsAndServicesMember2021-01-012021-12-310000070866ncr:AllOtherProductsAndServicesMember2020-01-012020-12-310000070866country:US2022-01-012022-12</w:t>
      </w:r>
      <w:r>
        <w:rPr>
          <w:rFonts w:eastAsia="Times New Roman"/>
          <w:vanish/>
        </w:rPr>
        <w:t>-310000070866country:US2021-01-012021-12-310000070866country:US2020-01-012020-12-310000070866ncr:AmericasExcludingUnitedStatesMember2022-01-012022-12-310000070866srt:AmericasMember2022-01-012022-12-310000070866ncr:AmericasExcludingUnitedStatesMember2021-01</w:t>
      </w:r>
      <w:r>
        <w:rPr>
          <w:rFonts w:eastAsia="Times New Roman"/>
          <w:vanish/>
        </w:rPr>
        <w:t>-012021-12-310000070866srt:AmericasMember2021-01-012021-12-310000070866ncr:AmericasExcludingUnitedStatesMember2020-01-012020-12-310000070866srt:AmericasMember2020-01-012020-12-310000070866us-gaap:EMEAMember2022-01-012022-12-310000070866us-gaap:EMEAMember20</w:t>
      </w:r>
      <w:r>
        <w:rPr>
          <w:rFonts w:eastAsia="Times New Roman"/>
          <w:vanish/>
        </w:rPr>
        <w:t>21-01-012021-12-310000070866us-gaap:EMEAMember2020-01-012020-12-310000070866ncr:APJMember2022-01-012022-12-310000070866ncr:APJMember2021-01-012021-12-310000070866ncr:APJMember2020-01-012020-12-310000070866country:US2022-12-310000070866country:US2021-12-310</w:t>
      </w:r>
      <w:r>
        <w:rPr>
          <w:rFonts w:eastAsia="Times New Roman"/>
          <w:vanish/>
        </w:rPr>
        <w:t>000070866srt:AmericasMember2022-12-310000070866srt:AmericasMember2021-12-310000070866us-gaap:EMEAMember2022-12-310000070866us-gaap:EMEAMember2021-12-310000070866ncr:APJMember2022-12-310000070866ncr:APJMember2021-12-310000070866ncr:TermLoanMember2022-12-310</w:t>
      </w:r>
      <w:r>
        <w:rPr>
          <w:rFonts w:eastAsia="Times New Roman"/>
          <w:vanish/>
        </w:rPr>
        <w:t>000070866ncr:TermLoanMember2021-12-310000070866ncr:OtherDebtMember2022-12-310000070866ncr:OtherDebtMember2021-12-310000070866ncr:TermLoanMember2022-12-310000070866ncr:TermLoanMember2021-12-310000070866us-gaap:RevolvingCreditFacilityMember2022-12-3100000708</w:t>
      </w:r>
      <w:r>
        <w:rPr>
          <w:rFonts w:eastAsia="Times New Roman"/>
          <w:vanish/>
        </w:rPr>
        <w:t>66us-gaap:RevolvingCreditFacilityMember2021-12-310000070866ncr:A5.750SeniorNotesdue2027Member2022-12-310000070866ncr:A5.750SeniorNotesdue2027Member2021-12-310000070866ncr:A5000SeniorNotesDue2028Member2020-08-200000070866ncr:A5000SeniorNotesDue2028Member202</w:t>
      </w:r>
      <w:r>
        <w:rPr>
          <w:rFonts w:eastAsia="Times New Roman"/>
          <w:vanish/>
        </w:rPr>
        <w:t>2-12-310000070866ncr:A5000SeniorNotesDue2028Member2021-12-310000070866ncr:A5125NotesDue2029Member2022-12-310000070866ncr:A5125NotesDue2029Member2021-12-310000070866ncr:A6.125SeniorNotesdue2029Member2022-12-310000070866ncr:A6.125SeniorNotesdue2029Member2021</w:t>
      </w:r>
      <w:r>
        <w:rPr>
          <w:rFonts w:eastAsia="Times New Roman"/>
          <w:vanish/>
        </w:rPr>
        <w:t>-12-310000070866ncr:A5250SeniorNotesDue2030Member2020-08-200000070866ncr:A5250SeniorNotesDue2030Member2022-12-310000070866ncr:A5250SeniorNotesDue2030Member2021-12-310000070866ncr:OtherDebtMember2022-12-310000070866ncr:OtherDebtMember2021-12-310000070866us-</w:t>
      </w:r>
      <w:r>
        <w:rPr>
          <w:rFonts w:eastAsia="Times New Roman"/>
          <w:vanish/>
        </w:rPr>
        <w:t>gaap:SecuredDebtMemberncr:RevolvingMember2022-12-310000070866ncr:TermLoanMemberus-gaap:SecuredDebtMember2022-12-310000070866us-gaap:SecuredDebtMemberncr:RevolvingForeignMember2022-12-310000070866us-gaap:SecuredDebtMemberncr:FederalFundsRateMember2022-01-01</w:t>
      </w:r>
      <w:r>
        <w:rPr>
          <w:rFonts w:eastAsia="Times New Roman"/>
          <w:vanish/>
        </w:rPr>
        <w:t>2022-12-310000070866us-gaap:BaseRateMemberus-gaap:SecuredDebtMember2022-01-012022-12-310000070866srt:MinimumMemberus-gaap:LondonInterbankOfferedRateLIBORMemberus-gaap:SecuredDebtMember2022-01-012022-12-310000070866us-gaap:LondonInterbankOfferedRateLIBORMem</w:t>
      </w:r>
      <w:r>
        <w:rPr>
          <w:rFonts w:eastAsia="Times New Roman"/>
          <w:vanish/>
        </w:rPr>
        <w:t>berus-gaap:SecuredDebtMembersrt:MaximumMember2022-01-012022-12-310000070866srt:MinimumMemberncr:EURIBORMemberus-gaap:SecuredDebtMember2022-01-012022-12-310000070866ncr:EURIBORMemberus-gaap:SecuredDebtMembersrt:MaximumMember2022-01-012022-12-310000070866us-</w:t>
      </w:r>
      <w:r>
        <w:rPr>
          <w:rFonts w:eastAsia="Times New Roman"/>
          <w:vanish/>
        </w:rPr>
        <w:t>gaap:LondonInterbankOfferedRateLIBORMemberncr:TermLoanAAndRevolvingFacilityMemberus-gaap:SecuredDebtMember2022-01-012022-12-310000070866ncr:TermLoanAAndRevolvingFacilityMemberus-gaap:SecuredDebtMember2022-01-012022-12-310000070866srt:MinimumMemberus-gaap:S</w:t>
      </w:r>
      <w:r>
        <w:rPr>
          <w:rFonts w:eastAsia="Times New Roman"/>
          <w:vanish/>
        </w:rPr>
        <w:t>ecuredDebtMember2022-01-012022-12-310000070866us-gaap:SecuredDebtMembersrt:MaximumMember2022-01-012022-12-310000070866ncr:PeriodOneMember2022-12-310000070866ncr:PeriodTwoMember2022-12-310000070866ncr:PeriodThreeMember2022-12-310000070866ncr:A5.750SeniorNot</w:t>
      </w:r>
      <w:r>
        <w:rPr>
          <w:rFonts w:eastAsia="Times New Roman"/>
          <w:vanish/>
        </w:rPr>
        <w:t>esdue2027Member2019-08-210000070866ncr:TwelvemonthperiodcommencingonSeptember12022Memberncr:A5.750SeniorNotesdue2027Member2022-09-012022-09-010000070866srt:ScenarioForecastMemberncr:TwelvemonthperiodcommencingonSeptember12023Memberncr:A5.750SeniorNotesdue2</w:t>
      </w:r>
      <w:r>
        <w:rPr>
          <w:rFonts w:eastAsia="Times New Roman"/>
          <w:vanish/>
        </w:rPr>
        <w:t>027Member2023-09-012023-09-010000070866ncr:TwelvemonthperiodcommencingonSeptember12024Membersrt:ScenarioForecastMemberncr:A5.750SeniorNotesdue2027Member2024-09-012024-09-010000070866ncr:A6.125SeniorNotesdue2029Member2019-08-210000070866ncr:A6.125SeniorNote</w:t>
      </w:r>
      <w:r>
        <w:rPr>
          <w:rFonts w:eastAsia="Times New Roman"/>
          <w:vanish/>
        </w:rPr>
        <w:t>sdue2029Memberncr:TwelvemonthperiodcommencingonSeptember12024Membersrt:ScenarioForecastMember2024-09-012024-09-010000070866ncr:A6.125SeniorNotesdue2029Memberncr:TwelveMonthPeriodCommencingSeptember12025Membersrt:ScenarioForecastMember2025-09-012025-09-0100</w:t>
      </w:r>
      <w:r>
        <w:rPr>
          <w:rFonts w:eastAsia="Times New Roman"/>
          <w:vanish/>
        </w:rPr>
        <w:t>00070866ncr:A6.125SeniorNotesdue2029Membersrt:ScenarioForecastMemberncr:TwelvemonthperiodcommencingonSeptember12026Member2026-09-012026-09-010000070866ncr:A6.125SeniorNotesdue2029Memberncr:TwelvemonthperiodcommencingonSeptember12027Membersrt:ScenarioForeca</w:t>
      </w:r>
      <w:r>
        <w:rPr>
          <w:rFonts w:eastAsia="Times New Roman"/>
          <w:vanish/>
        </w:rPr>
        <w:t>stMember2027-09-012027-09-010000070866srt:ScenarioForecastMemberncr:A5.750SeniorNotesdue2027Member2024-08-312024-08-310000070866ncr:A5000And5250SeniorNotesMember2020-08-200000070866ncr:A5000And5250SeniorNotesMemberncr:FromTimeToTimePriorToOctober12023Membe</w:t>
      </w:r>
      <w:r>
        <w:rPr>
          <w:rFonts w:eastAsia="Times New Roman"/>
          <w:vanish/>
        </w:rPr>
        <w:t>r2020-08-202020-08-200000070866ncr:A5000SeniorNotesDue2028Memberncr:FromTimeToTimePriorToOctober12023Member2020-08-202020-08-200000070866ncr:FromTimeToTimePriorToOctober12023Memberncr:A5250SeniorNotesDue2030Member2020-08-202020-08-200000070866ncr:A5000And5</w:t>
      </w:r>
      <w:r>
        <w:rPr>
          <w:rFonts w:eastAsia="Times New Roman"/>
          <w:vanish/>
        </w:rPr>
        <w:t>250SeniorNotesMember2020-08-202020-08-200000070866ncr:A5000And5250SeniorNotesMemberncr:PriorToOctober12023Member2020-08-202020-08-200000070866ncr:A5000SeniorNotesDue2028Memberncr:TwelveMonthPeriodCommencingOctober12023Member2020-08-202020-08-200000070866nc</w:t>
      </w:r>
      <w:r>
        <w:rPr>
          <w:rFonts w:eastAsia="Times New Roman"/>
          <w:vanish/>
        </w:rPr>
        <w:t>r:TwelveMonthPeriodCommencingOctober12024Memberncr:A5000SeniorNotesDue2028Member2020-08-202020-08-200000070866ncr:A5250SeniorNotesDue2030Memberncr:TwelveMonthPeriodCommencingOnOctober12025Member2020-08-202020-08-200000070866ncr:TwelveMonthPeriodCommencingO</w:t>
      </w:r>
      <w:r>
        <w:rPr>
          <w:rFonts w:eastAsia="Times New Roman"/>
          <w:vanish/>
        </w:rPr>
        <w:t>ctober12026Memberncr:A5250SeniorNotesDue2030Member2020-08-202020-08-200000070866ncr:TwelveMonthPeriodCommencingOctober12027Memberncr:A5250SeniorNotesDue2030Member2020-08-202020-08-200000070866ncr:TwelveMonthPeriodCommencingOctober12028Memberncr:A5250Senior</w:t>
      </w:r>
      <w:r>
        <w:rPr>
          <w:rFonts w:eastAsia="Times New Roman"/>
          <w:vanish/>
        </w:rPr>
        <w:t>NotesDue2030Member2020-08-202020-08-200000070866ncr:AtAnyTimeAndFromTimeToTimePriorToApril152024Member2021-04-062021-04-0600000708662021-04-060000070866ncr:PriorToApril152025Memberncr:A5125SeniorNotesDue2029Member2021-04-062021-04-060000070866srt:ScenarioF</w:t>
      </w:r>
      <w:r>
        <w:rPr>
          <w:rFonts w:eastAsia="Times New Roman"/>
          <w:vanish/>
        </w:rPr>
        <w:t>orecastMemberncr:OnOrAfterApril15RedeemedIn2024Memberncr:A5125SeniorNotesDue2029Member2024-04-152024-04-150000070866srt:ScenarioForecastMemberncr:OnOrAfterApril15RedeemedIn2025Memberncr:A5125SeniorNotesDue2029Member2025-04-152025-04-150000070866ncr:OnOrAft</w:t>
      </w:r>
      <w:r>
        <w:rPr>
          <w:rFonts w:eastAsia="Times New Roman"/>
          <w:vanish/>
        </w:rPr>
        <w:t>erApril15RedeemedIn2026AndThereafterMembersrt:ScenarioForecastMemberncr:A5125SeniorNotesDue2029Member2026-04-152026-04-150000070866ncr:A8125NotesDue2025Member2021-08-120000070866srt:GuarantorSubsidiariesMemberncr:A8125NotesDue2025Memberncr:NCRInternational</w:t>
      </w:r>
      <w:r>
        <w:rPr>
          <w:rFonts w:eastAsia="Times New Roman"/>
          <w:vanish/>
        </w:rPr>
        <w:t>Inc.Member2021-08-1200000708662021-08-122021-08-120000070866ncr:LossOnRedemptionOfDebtDeferredFinancingFeesMember2021-08-122021-08-120000070866ncr:LossOnRedemptionOfDebtCashRedemptionPremiumMember2021-08-122021-08-120000070866ncr:BancOfAmericaLeasingCapita</w:t>
      </w:r>
      <w:r>
        <w:rPr>
          <w:rFonts w:eastAsia="Times New Roman"/>
          <w:vanish/>
        </w:rPr>
        <w:t>lLLCMemberus-gaap:LineOfCreditMember2022-12-310000070866ncr:BancOfAmericaLeasingCapitalLLCMemberus-gaap:LineOfCreditMember2022-12-012022-12-310000070866ncr:BancOfAmericaLeasingCapitalLLCMemberus-gaap:LineOfCreditMember2022-01-012022-12-3100000708662021-09-</w:t>
      </w:r>
      <w:r>
        <w:rPr>
          <w:rFonts w:eastAsia="Times New Roman"/>
          <w:vanish/>
        </w:rPr>
        <w:t>300000070866us-gaap:DomesticCountryMember2022-12-310000070866srt:MinimumMember2022-12-310000070866srt:MaximumMember2022-12-310000070866ncr:StockIncentivePlan2013Member2022-12-310000070866srt:MinimumMemberncr:RestrictedStockPerformanceBasedMember2022-01-012</w:t>
      </w:r>
      <w:r>
        <w:rPr>
          <w:rFonts w:eastAsia="Times New Roman"/>
          <w:vanish/>
        </w:rPr>
        <w:t>022-12-310000070866ncr:RestrictedStockPerformanceBasedMembersrt:MaximumMember2022-01-012022-12-310000070866us-gaap:RestrictedStockMember2021-12-310000070866us-gaap:RestrictedStockMember2022-01-012022-12-310000070866us-gaap:RestrictedStockMember2022-12-3100</w:t>
      </w:r>
      <w:r>
        <w:rPr>
          <w:rFonts w:eastAsia="Times New Roman"/>
          <w:vanish/>
        </w:rPr>
        <w:t>00070866ncr:RestrictedStockServiceBasedMember2022-01-012022-12-310000070866ncr:RestrictedStockPerformanceBasedMember2022-01-012022-12-310000070866ncr:RestrictedStockUnitsGrantedFebruary232021Memberus-gaap:PerformanceSharesMember2022-12-310000070866us-gaap:</w:t>
      </w:r>
      <w:r>
        <w:rPr>
          <w:rFonts w:eastAsia="Times New Roman"/>
          <w:vanish/>
        </w:rPr>
        <w:t>RestrictedStockUnitsRSUMemberncr:RestrictedStockUnitsGrantedFebruary232021Member2022-01-012022-12-3100000708662022-12-212022-12-210000070866us-gaap:ShareBasedCompensationAwardTrancheTwoMemberus-gaap:PerformanceSharesMember2022-12-212022-12-210000070866srt:</w:t>
      </w:r>
      <w:r>
        <w:rPr>
          <w:rFonts w:eastAsia="Times New Roman"/>
          <w:vanish/>
        </w:rPr>
        <w:t>MinimumMemberus-gaap:PerformanceSharesMember2022-12-210000070866srt:MaximumMemberus-gaap:PerformanceSharesMember2022-12-210000070866us-gaap:PerformanceSharesMember2022-01-012022-12-310000070866us-gaap:EmployeeStockOptionMembersrt:MaximumMember2022-01-01202</w:t>
      </w:r>
      <w:r>
        <w:rPr>
          <w:rFonts w:eastAsia="Times New Roman"/>
          <w:vanish/>
        </w:rPr>
        <w:t>2-12-310000070866srt:MinimumMemberus-gaap:EmployeeStockOptionMember2022-01-012022-12-310000070866us-gaap:EmployeeStockOptionMember2021-12-310000070866us-gaap:EmployeeStockOptionMember2022-01-012022-12-310000070866us-gaap:EmployeeStockOptionMember2022-12-31</w:t>
      </w:r>
      <w:r>
        <w:rPr>
          <w:rFonts w:eastAsia="Times New Roman"/>
          <w:vanish/>
        </w:rPr>
        <w:t>0000070866us-gaap:EmployeeStockOptionMember2021-01-012021-12-310000070866us-gaap:EmployeeStockOptionMember2020-01-012020-12-310000070866ncr:EmployeeStockPurchasePlanMember2022-01-012022-12-310000070866ncr:EmployeeStockPurchasePlanMember2022-12-310000070866</w:t>
      </w:r>
      <w:r>
        <w:rPr>
          <w:rFonts w:eastAsia="Times New Roman"/>
          <w:vanish/>
        </w:rPr>
        <w:t>ncr:EmployeeStockPurchasePlanMember2021-01-012021-12-310000070866ncr:EmployeeStockPurchasePlanMember2020-01-012020-12-310000070866us-gaap:EmployeeStockMember2022-01-012022-12-310000070866us-gaap:EmployeeStockMember2021-01-012021-12-310000070866us-gaap:Empl</w:t>
      </w:r>
      <w:r>
        <w:rPr>
          <w:rFonts w:eastAsia="Times New Roman"/>
          <w:vanish/>
        </w:rPr>
        <w:t>oyeeStockMember2020-01-012020-12-310000070866us-gaap:EmployeeStockMember2022-12-310000070866ncr:AmendedEmployeeStockMember2022-12-310000070866us-gaap:DomesticPlanMember2021-12-310000070866us-gaap:DomesticPlanMember2020-12-310000070866us-gaap:ForeignPlanMem</w:t>
      </w:r>
      <w:r>
        <w:rPr>
          <w:rFonts w:eastAsia="Times New Roman"/>
          <w:vanish/>
        </w:rPr>
        <w:t>ber2021-12-310000070866us-gaap:ForeignPlanMember2020-12-310000070866us-gaap:PensionPlansDefinedBenefitMember2021-12-310000070866us-gaap:PensionPlansDefinedBenefitMember2020-12-310000070866us-gaap:DomesticPlanMember2022-01-012022-12-310000070866us-gaap:Dome</w:t>
      </w:r>
      <w:r>
        <w:rPr>
          <w:rFonts w:eastAsia="Times New Roman"/>
          <w:vanish/>
        </w:rPr>
        <w:t>sticPlanMember2021-01-012021-12-310000070866us-gaap:ForeignPlanMember2022-01-012022-12-310000070866us-gaap:ForeignPlanMember2021-01-012021-12-310000070866us-gaap:PensionPlansDefinedBenefitMember2022-01-012022-12-310000070866us-gaap:PensionPlansDefinedBenef</w:t>
      </w:r>
      <w:r>
        <w:rPr>
          <w:rFonts w:eastAsia="Times New Roman"/>
          <w:vanish/>
        </w:rPr>
        <w:t>itMember2021-01-012021-12-310000070866us-gaap:DomesticPlanMember2022-12-310000070866us-gaap:ForeignPlanMember2022-12-310000070866us-gaap:PensionPlansDefinedBenefitMember2022-12-310000070866us-gaap:DomesticPlanMember2020-01-012020-12-310000070866us-gaap:For</w:t>
      </w:r>
      <w:r>
        <w:rPr>
          <w:rFonts w:eastAsia="Times New Roman"/>
          <w:vanish/>
        </w:rPr>
        <w:t>eignPlanMember2020-01-012020-12-310000070866us-gaap:PensionPlansDefinedBenefitMember2020-01-012020-12-310000070866us-gaap:DomesticPlanMemberus-gaap:EquitySecuritiesMember2022-12-310000070866us-gaap:DomesticPlanMemberus-gaap:EquitySecuritiesMember2021-12-31</w:t>
      </w:r>
      <w:r>
        <w:rPr>
          <w:rFonts w:eastAsia="Times New Roman"/>
          <w:vanish/>
        </w:rPr>
        <w:t>0000070866srt:MinimumMemberus-gaap:DomesticPlanMemberus-gaap:EquitySecuritiesMember2022-12-310000070866us-gaap:DomesticPlanMembersrt:MaximumMemberus-gaap:EquitySecuritiesMember2022-12-310000070866us-gaap:ForeignPlanMemberus-gaap:EquitySecuritiesMember2022-</w:t>
      </w:r>
      <w:r>
        <w:rPr>
          <w:rFonts w:eastAsia="Times New Roman"/>
          <w:vanish/>
        </w:rPr>
        <w:t>12-310000070866us-gaap:ForeignPlanMemberus-gaap:EquitySecuritiesMember2021-12-310000070866us-gaap:ForeignPlanMembersrt:MinimumMemberus-gaap:EquitySecuritiesMember2022-12-310000070866us-gaap:ForeignPlanMembersrt:MaximumMemberus-gaap:EquitySecuritiesMember20</w:t>
      </w:r>
      <w:r>
        <w:rPr>
          <w:rFonts w:eastAsia="Times New Roman"/>
          <w:vanish/>
        </w:rPr>
        <w:t>22-12-310000070866us-gaap:DomesticPlanMemberus-gaap:DebtSecuritiesMember2022-12-310000070866us-gaap:DomesticPlanMemberus-gaap:DebtSecuritiesMember2021-12-310000070866srt:MinimumMemberus-gaap:DomesticPlanMemberus-gaap:DebtSecuritiesMember2022-12-31000007086</w:t>
      </w:r>
      <w:r>
        <w:rPr>
          <w:rFonts w:eastAsia="Times New Roman"/>
          <w:vanish/>
        </w:rPr>
        <w:t>6us-gaap:DomesticPlanMembersrt:MaximumMemberus-gaap:DebtSecuritiesMember2022-12-310000070866us-gaap:ForeignPlanMemberus-gaap:DebtSecuritiesMember2022-12-310000070866us-gaap:ForeignPlanMemberus-gaap:DebtSecuritiesMember2021-12-310000070866us-gaap:ForeignPla</w:t>
      </w:r>
      <w:r>
        <w:rPr>
          <w:rFonts w:eastAsia="Times New Roman"/>
          <w:vanish/>
        </w:rPr>
        <w:t>nMembersrt:MinimumMemberus-gaap:DebtSecuritiesMember2022-12-310000070866us-gaap:ForeignPlanMembersrt:MaximumMemberus-gaap:DebtSecuritiesMember2022-12-310000070866us-gaap:DomesticPlanMemberus-gaap:RealEstateMember2022-12-310000070866us-gaap:DomesticPlanMemb</w:t>
      </w:r>
      <w:r>
        <w:rPr>
          <w:rFonts w:eastAsia="Times New Roman"/>
          <w:vanish/>
        </w:rPr>
        <w:t>erus-gaap:RealEstateMember2021-12-310000070866srt:MinimumMemberus-gaap:DomesticPlanMemberus-gaap:RealEstateMember2022-12-310000070866us-gaap:DomesticPlanMemberus-gaap:RealEstateMembersrt:MaximumMember2022-12-310000070866us-gaap:ForeignPlanMemberus-gaap:Rea</w:t>
      </w:r>
      <w:r>
        <w:rPr>
          <w:rFonts w:eastAsia="Times New Roman"/>
          <w:vanish/>
        </w:rPr>
        <w:t>lEstateMember2022-12-310000070866us-gaap:ForeignPlanMemberus-gaap:RealEstateMember2021-12-310000070866us-gaap:ForeignPlanMembersrt:MinimumMemberus-gaap:RealEstateMember2022-12-310000070866us-gaap:ForeignPlanMemberus-gaap:RealEstateMembersrt:MaximumMember20</w:t>
      </w:r>
      <w:r>
        <w:rPr>
          <w:rFonts w:eastAsia="Times New Roman"/>
          <w:vanish/>
        </w:rPr>
        <w:t>22-12-310000070866us-gaap:DomesticPlanMemberncr:OtherEquitySecuritiesMember2022-12-310000070866us-gaap:DomesticPlanMemberncr:OtherEquitySecuritiesMember2021-12-310000070866srt:MinimumMemberus-gaap:DomesticPlanMemberncr:OtherEquitySecuritiesMember2022-12-31</w:t>
      </w:r>
      <w:r>
        <w:rPr>
          <w:rFonts w:eastAsia="Times New Roman"/>
          <w:vanish/>
        </w:rPr>
        <w:t>0000070866us-gaap:DomesticPlanMemberncr:OtherEquitySecuritiesMembersrt:MaximumMember2022-12-310000070866us-gaap:ForeignPlanMemberncr:OtherEquitySecuritiesMember2022-12-310000070866us-gaap:ForeignPlanMemberncr:OtherEquitySecuritiesMember2021-12-310000070866</w:t>
      </w:r>
      <w:r>
        <w:rPr>
          <w:rFonts w:eastAsia="Times New Roman"/>
          <w:vanish/>
        </w:rPr>
        <w:t>us-gaap:ForeignPlanMembersrt:MinimumMemberncr:OtherEquitySecuritiesMember2022-12-310000070866us-gaap:ForeignPlanMemberncr:OtherEquitySecuritiesMembersrt:MaximumMember2022-12-310000070866us-gaap:DomesticPlanMemberncr:EquitySecuritiesCommonStockMember2022-12</w:t>
      </w:r>
      <w:r>
        <w:rPr>
          <w:rFonts w:eastAsia="Times New Roman"/>
          <w:vanish/>
        </w:rPr>
        <w:t>-310000070866us-gaap:FairValueInputsLevel1Memberus-gaap:DomesticPlanMemberncr:EquitySecuritiesCommonStockMember2022-12-310000070866us-gaap:DomesticPlanMemberus-gaap:FairValueInputsLevel2Memberncr:EquitySecuritiesCommonStockMember2022-12-310000070866us-gaap</w:t>
      </w:r>
      <w:r>
        <w:rPr>
          <w:rFonts w:eastAsia="Times New Roman"/>
          <w:vanish/>
        </w:rPr>
        <w:t>:FairValueInputsLevel3Memberus-gaap:DomesticPlanMemberncr:EquitySecuritiesCommonStockMember2022-12-310000070866us-gaap:DomesticPlanMemberncr:NotSubjecttoLevelingMemberncr:EquitySecuritiesCommonStockMember2022-12-310000070866us-gaap:ForeignPlanMemberncr:Equ</w:t>
      </w:r>
      <w:r>
        <w:rPr>
          <w:rFonts w:eastAsia="Times New Roman"/>
          <w:vanish/>
        </w:rPr>
        <w:t>itySecuritiesCommonStockMember2022-12-310000070866us-gaap:FairValueInputsLevel1Memberus-gaap:ForeignPlanMemberncr:EquitySecuritiesCommonStockMember2022-12-310000070866us-gaap:ForeignPlanMemberus-gaap:FairValueInputsLevel2Memberncr:EquitySecuritiesCommonSto</w:t>
      </w:r>
      <w:r>
        <w:rPr>
          <w:rFonts w:eastAsia="Times New Roman"/>
          <w:vanish/>
        </w:rPr>
        <w:t>ckMember2022-12-310000070866us-gaap:FairValueInputsLevel3Memberus-gaap:ForeignPlanMemberncr:EquitySecuritiesCommonStockMember2022-12-310000070866us-gaap:ForeignPlanMemberncr:NotSubjecttoLevelingMemberncr:EquitySecuritiesCommonStockMember2022-12-31000007086</w:t>
      </w:r>
      <w:r>
        <w:rPr>
          <w:rFonts w:eastAsia="Times New Roman"/>
          <w:vanish/>
        </w:rPr>
        <w:t>6ncr:CommonAndCommingledTrustsEquitiesMemberus-gaap:DomesticPlanMember2022-12-310000070866us-gaap:FairValueInputsLevel1Memberncr:CommonAndCommingledTrustsEquitiesMemberus-gaap:DomesticPlanMember2022-12-310000070866ncr:CommonAndCommingledTrustsEquitiesMembe</w:t>
      </w:r>
      <w:r>
        <w:rPr>
          <w:rFonts w:eastAsia="Times New Roman"/>
          <w:vanish/>
        </w:rPr>
        <w:t>rus-gaap:DomesticPlanMemberus-gaap:FairValueInputsLevel2Member2022-12-310000070866us-gaap:FairValueInputsLevel3Memberncr:CommonAndCommingledTrustsEquitiesMemberus-gaap:DomesticPlanMember2022-12-310000070866ncr:CommonAndCommingledTrustsEquitiesMemberus-gaap</w:t>
      </w:r>
      <w:r>
        <w:rPr>
          <w:rFonts w:eastAsia="Times New Roman"/>
          <w:vanish/>
        </w:rPr>
        <w:t>:DomesticPlanMemberncr:NotSubjecttoLevelingMember2022-12-310000070866us-gaap:ForeignPlanMemberncr:CommonAndCommingledTrustsEquitiesMember2022-12-310000070866us-gaap:FairValueInputsLevel1Memberus-gaap:ForeignPlanMemberncr:CommonAndCommingledTrustsEquitiesMe</w:t>
      </w:r>
      <w:r>
        <w:rPr>
          <w:rFonts w:eastAsia="Times New Roman"/>
          <w:vanish/>
        </w:rPr>
        <w:t>mber2022-12-310000070866us-gaap:ForeignPlanMemberncr:CommonAndCommingledTrustsEquitiesMemberus-gaap:FairValueInputsLevel2Member2022-12-310000070866us-gaap:FairValueInputsLevel3Memberus-gaap:ForeignPlanMemberncr:CommonAndCommingledTrustsEquitiesMember2022-1</w:t>
      </w:r>
      <w:r>
        <w:rPr>
          <w:rFonts w:eastAsia="Times New Roman"/>
          <w:vanish/>
        </w:rPr>
        <w:t>2-310000070866us-gaap:ForeignPlanMemberncr:CommonAndCommingledTrustsEquitiesMemberncr:NotSubjecttoLevelingMember2022-12-310000070866ncr:GovernmentDebtSecuritiesMemberus-gaap:DomesticPlanMember2022-12-310000070866us-gaap:FairValueInputsLevel1Memberncr:Gover</w:t>
      </w:r>
      <w:r>
        <w:rPr>
          <w:rFonts w:eastAsia="Times New Roman"/>
          <w:vanish/>
        </w:rPr>
        <w:t>nmentDebtSecuritiesMemberus-gaap:DomesticPlanMember2022-12-310000070866ncr:GovernmentDebtSecuritiesMemberus-gaap:DomesticPlanMemberus-gaap:FairValueInputsLevel2Member2022-12-310000070866us-gaap:FairValueInputsLevel3Memberncr:GovernmentDebtSecuritiesMemberu</w:t>
      </w:r>
      <w:r>
        <w:rPr>
          <w:rFonts w:eastAsia="Times New Roman"/>
          <w:vanish/>
        </w:rPr>
        <w:t>s-gaap:DomesticPlanMember2022-12-310000070866ncr:GovernmentDebtSecuritiesMemberus-gaap:DomesticPlanMemberncr:NotSubjecttoLevelingMember2022-12-310000070866ncr:GovernmentDebtSecuritiesMemberus-gaap:ForeignPlanMember2022-12-310000070866us-gaap:FairValueInput</w:t>
      </w:r>
      <w:r>
        <w:rPr>
          <w:rFonts w:eastAsia="Times New Roman"/>
          <w:vanish/>
        </w:rPr>
        <w:t>sLevel1Memberncr:GovernmentDebtSecuritiesMemberus-gaap:ForeignPlanMember2022-12-310000070866ncr:GovernmentDebtSecuritiesMemberus-gaap:ForeignPlanMemberus-gaap:FairValueInputsLevel2Member2022-12-310000070866us-gaap:FairValueInputsLevel3Memberncr:GovernmentD</w:t>
      </w:r>
      <w:r>
        <w:rPr>
          <w:rFonts w:eastAsia="Times New Roman"/>
          <w:vanish/>
        </w:rPr>
        <w:t>ebtSecuritiesMemberus-gaap:ForeignPlanMember2022-12-310000070866ncr:GovernmentDebtSecuritiesMemberus-gaap:ForeignPlanMemberncr:NotSubjecttoLevelingMember2022-12-310000070866us-gaap:DomesticPlanMemberus-gaap:CorporateDebtSecuritiesMember2022-12-310000070866</w:t>
      </w:r>
      <w:r>
        <w:rPr>
          <w:rFonts w:eastAsia="Times New Roman"/>
          <w:vanish/>
        </w:rPr>
        <w:t>us-gaap:FairValueInputsLevel1Memberus-gaap:DomesticPlanMemberus-gaap:CorporateDebtSecuritiesMember2022-12-310000070866us-gaap:DomesticPlanMemberus-gaap:CorporateDebtSecuritiesMemberus-gaap:FairValueInputsLevel2Member2022-12-310000070866us-gaap:FairValueInp</w:t>
      </w:r>
      <w:r>
        <w:rPr>
          <w:rFonts w:eastAsia="Times New Roman"/>
          <w:vanish/>
        </w:rPr>
        <w:t>utsLevel3Memberus-gaap:DomesticPlanMemberus-gaap:CorporateDebtSecuritiesMember2022-12-310000070866us-gaap:DomesticPlanMemberus-gaap:CorporateDebtSecuritiesMemberncr:NotSubjecttoLevelingMember2022-12-310000070866us-gaap:ForeignPlanMemberus-gaap:CorporateDeb</w:t>
      </w:r>
      <w:r>
        <w:rPr>
          <w:rFonts w:eastAsia="Times New Roman"/>
          <w:vanish/>
        </w:rPr>
        <w:t>tSecuritiesMember2022-12-310000070866us-gaap:FairValueInputsLevel1Memberus-gaap:ForeignPlanMemberus-gaap:CorporateDebtSecuritiesMember2022-12-310000070866us-gaap:ForeignPlanMemberus-gaap:CorporateDebtSecuritiesMemberus-gaap:FairValueInputsLevel2Member2022-</w:t>
      </w:r>
      <w:r>
        <w:rPr>
          <w:rFonts w:eastAsia="Times New Roman"/>
          <w:vanish/>
        </w:rPr>
        <w:t>12-310000070866us-gaap:FairValueInputsLevel3Memberus-gaap:ForeignPlanMemberus-gaap:CorporateDebtSecuritiesMember2022-12-310000070866us-gaap:ForeignPlanMemberus-gaap:CorporateDebtSecuritiesMemberncr:NotSubjecttoLevelingMember2022-12-310000070866us-gaap:Dome</w:t>
      </w:r>
      <w:r>
        <w:rPr>
          <w:rFonts w:eastAsia="Times New Roman"/>
          <w:vanish/>
        </w:rPr>
        <w:t>sticPlanMemberncr:CommonAndCommingledTrustsBondsMember2022-12-310000070866us-gaap:FairValueInputsLevel1Memberus-gaap:DomesticPlanMemberncr:CommonAndCommingledTrustsBondsMember2022-12-310000070866us-gaap:DomesticPlanMemberus-gaap:FairValueInputsLevel2Member</w:t>
      </w:r>
      <w:r>
        <w:rPr>
          <w:rFonts w:eastAsia="Times New Roman"/>
          <w:vanish/>
        </w:rPr>
        <w:t>ncr:CommonAndCommingledTrustsBondsMember2022-12-310000070866us-gaap:FairValueInputsLevel3Memberus-gaap:DomesticPlanMemberncr:CommonAndCommingledTrustsBondsMember2022-12-310000070866us-gaap:DomesticPlanMemberncr:NotSubjecttoLevelingMemberncr:CommonAndCommin</w:t>
      </w:r>
      <w:r>
        <w:rPr>
          <w:rFonts w:eastAsia="Times New Roman"/>
          <w:vanish/>
        </w:rPr>
        <w:t>gledTrustsBondsMember2022-12-310000070866us-gaap:ForeignPlanMemberncr:CommonAndCommingledTrustsBondsMember2022-12-310000070866us-gaap:FairValueInputsLevel1Memberus-gaap:ForeignPlanMemberncr:CommonAndCommingledTrustsBondsMember2022-12-310000070866us-gaap:Fo</w:t>
      </w:r>
      <w:r>
        <w:rPr>
          <w:rFonts w:eastAsia="Times New Roman"/>
          <w:vanish/>
        </w:rPr>
        <w:t>reignPlanMemberus-gaap:FairValueInputsLevel2Memberncr:CommonAndCommingledTrustsBondsMember2022-12-310000070866us-gaap:FairValueInputsLevel3Memberus-gaap:ForeignPlanMemberncr:CommonAndCommingledTrustsBondsMember2022-12-310000070866us-gaap:ForeignPlanMembern</w:t>
      </w:r>
      <w:r>
        <w:rPr>
          <w:rFonts w:eastAsia="Times New Roman"/>
          <w:vanish/>
        </w:rPr>
        <w:t>cr:NotSubjecttoLevelingMemberncr:CommonAndCommingledTrustsBondsMember2022-12-310000070866us-gaap:DomesticPlanMemberncr:InsuranceProductsMember2022-12-310000070866us-gaap:FairValueInputsLevel1Memberus-gaap:DomesticPlanMemberncr:InsuranceProductsMember2022-1</w:t>
      </w:r>
      <w:r>
        <w:rPr>
          <w:rFonts w:eastAsia="Times New Roman"/>
          <w:vanish/>
        </w:rPr>
        <w:t>2-310000070866us-gaap:DomesticPlanMemberus-gaap:FairValueInputsLevel2Memberncr:InsuranceProductsMember2022-12-310000070866us-gaap:FairValueInputsLevel3Memberus-gaap:DomesticPlanMemberncr:InsuranceProductsMember2022-12-310000070866us-gaap:DomesticPlanMember</w:t>
      </w:r>
      <w:r>
        <w:rPr>
          <w:rFonts w:eastAsia="Times New Roman"/>
          <w:vanish/>
        </w:rPr>
        <w:t>ncr:NotSubjecttoLevelingMemberncr:InsuranceProductsMember2022-12-310000070866us-gaap:ForeignPlanMemberncr:InsuranceProductsMember2022-12-310000070866us-gaap:FairValueInputsLevel1Memberus-gaap:ForeignPlanMemberncr:InsuranceProductsMember2022-12-310000070866</w:t>
      </w:r>
      <w:r>
        <w:rPr>
          <w:rFonts w:eastAsia="Times New Roman"/>
          <w:vanish/>
        </w:rPr>
        <w:t>us-gaap:ForeignPlanMemberus-gaap:FairValueInputsLevel2Memberncr:InsuranceProductsMember2022-12-310000070866us-gaap:FairValueInputsLevel3Memberus-gaap:ForeignPlanMemberncr:InsuranceProductsMember2022-12-310000070866us-gaap:ForeignPlanMemberncr:NotSubjecttoL</w:t>
      </w:r>
      <w:r>
        <w:rPr>
          <w:rFonts w:eastAsia="Times New Roman"/>
          <w:vanish/>
        </w:rPr>
        <w:t>evelingMemberncr:InsuranceProductsMember2022-12-310000070866us-gaap:DomesticPlanMemberncr:PartnershipAndJointVentureInterestsRealEstateMember2022-12-310000070866us-gaap:FairValueInputsLevel1Memberus-gaap:DomesticPlanMemberncr:PartnershipAndJointVentureInte</w:t>
      </w:r>
      <w:r>
        <w:rPr>
          <w:rFonts w:eastAsia="Times New Roman"/>
          <w:vanish/>
        </w:rPr>
        <w:t>restsRealEstateMember2022-12-310000070866us-gaap:DomesticPlanMemberus-gaap:FairValueInputsLevel2Memberncr:PartnershipAndJointVentureInterestsRealEstateMember2022-12-310000070866us-gaap:FairValueInputsLevel3Memberus-gaap:DomesticPlanMemberncr:PartnershipAnd</w:t>
      </w:r>
      <w:r>
        <w:rPr>
          <w:rFonts w:eastAsia="Times New Roman"/>
          <w:vanish/>
        </w:rPr>
        <w:t>JointVentureInterestsRealEstateMember2022-12-310000070866us-gaap:DomesticPlanMemberncr:NotSubjecttoLevelingMemberncr:PartnershipAndJointVentureInterestsRealEstateMember2022-12-310000070866us-gaap:ForeignPlanMemberncr:PartnershipAndJointVentureInterestsReal</w:t>
      </w:r>
      <w:r>
        <w:rPr>
          <w:rFonts w:eastAsia="Times New Roman"/>
          <w:vanish/>
        </w:rPr>
        <w:t>EstateMember2022-12-310000070866us-gaap:FairValueInputsLevel1Memberus-gaap:ForeignPlanMemberncr:PartnershipAndJointVentureInterestsRealEstateMember2022-12-310000070866us-gaap:ForeignPlanMemberus-gaap:FairValueInputsLevel2Memberncr:PartnershipAndJointVentur</w:t>
      </w:r>
      <w:r>
        <w:rPr>
          <w:rFonts w:eastAsia="Times New Roman"/>
          <w:vanish/>
        </w:rPr>
        <w:t>eInterestsRealEstateMember2022-12-310000070866us-gaap:FairValueInputsLevel3Memberus-gaap:ForeignPlanMemberncr:PartnershipAndJointVentureInterestsRealEstateMember2022-12-310000070866us-gaap:ForeignPlanMemberncr:NotSubjecttoLevelingMemberncr:PartnershipAndJo</w:t>
      </w:r>
      <w:r>
        <w:rPr>
          <w:rFonts w:eastAsia="Times New Roman"/>
          <w:vanish/>
        </w:rPr>
        <w:t>intVentureInterestsRealEstateMember2022-12-310000070866ncr:RealEstateAndOtherMemberus-gaap:DomesticPlanMember2022-12-310000070866us-gaap:FairValueInputsLevel1Memberncr:RealEstateAndOtherMemberus-gaap:DomesticPlanMember2022-12-310000070866ncr:RealEstateAndO</w:t>
      </w:r>
      <w:r>
        <w:rPr>
          <w:rFonts w:eastAsia="Times New Roman"/>
          <w:vanish/>
        </w:rPr>
        <w:t>therMemberus-gaap:DomesticPlanMemberus-gaap:FairValueInputsLevel2Member2022-12-310000070866us-gaap:FairValueInputsLevel3Memberncr:RealEstateAndOtherMemberus-gaap:DomesticPlanMember2022-12-310000070866ncr:RealEstateAndOtherMemberus-gaap:DomesticPlanMembernc</w:t>
      </w:r>
      <w:r>
        <w:rPr>
          <w:rFonts w:eastAsia="Times New Roman"/>
          <w:vanish/>
        </w:rPr>
        <w:t>r:NotSubjecttoLevelingMember2022-12-310000070866us-gaap:ForeignPlanMemberncr:RealEstateAndOtherMember2022-12-310000070866us-gaap:FairValueInputsLevel1Memberus-gaap:ForeignPlanMemberncr:RealEstateAndOtherMember2022-12-310000070866us-gaap:ForeignPlanMembernc</w:t>
      </w:r>
      <w:r>
        <w:rPr>
          <w:rFonts w:eastAsia="Times New Roman"/>
          <w:vanish/>
        </w:rPr>
        <w:t>r:RealEstateAndOtherMemberus-gaap:FairValueInputsLevel2Member2022-12-310000070866us-gaap:FairValueInputsLevel3Memberus-gaap:ForeignPlanMemberncr:RealEstateAndOtherMember2022-12-310000070866us-gaap:ForeignPlanMemberncr:RealEstateAndOtherMemberncr:NotSubject</w:t>
      </w:r>
      <w:r>
        <w:rPr>
          <w:rFonts w:eastAsia="Times New Roman"/>
          <w:vanish/>
        </w:rPr>
        <w:t>toLevelingMember2022-12-310000070866us-gaap:DomesticPlanMemberncr:CommonAndCommingledTrustsShortTermInvestmentsMember2022-12-310000070866us-gaap:FairValueInputsLevel1Memberus-gaap:DomesticPlanMemberncr:CommonAndCommingledTrustsShortTermInvestmentsMember202</w:t>
      </w:r>
      <w:r>
        <w:rPr>
          <w:rFonts w:eastAsia="Times New Roman"/>
          <w:vanish/>
        </w:rPr>
        <w:t>2-12-310000070866us-gaap:DomesticPlanMemberncr:CommonAndCommingledTrustsShortTermInvestmentsMemberus-gaap:FairValueInputsLevel2Member2022-12-310000070866us-gaap:FairValueInputsLevel3Memberus-gaap:DomesticPlanMemberncr:CommonAndCommingledTrustsShortTermInve</w:t>
      </w:r>
      <w:r>
        <w:rPr>
          <w:rFonts w:eastAsia="Times New Roman"/>
          <w:vanish/>
        </w:rPr>
        <w:t>stmentsMember2022-12-310000070866us-gaap:DomesticPlanMemberncr:CommonAndCommingledTrustsShortTermInvestmentsMemberncr:NotSubjecttoLevelingMember2022-12-310000070866us-gaap:ForeignPlanMemberncr:CommonAndCommingledTrustsShortTermInvestmentsMember2022-12-3100</w:t>
      </w:r>
      <w:r>
        <w:rPr>
          <w:rFonts w:eastAsia="Times New Roman"/>
          <w:vanish/>
        </w:rPr>
        <w:t>00070866us-gaap:FairValueInputsLevel1Memberus-gaap:ForeignPlanMemberncr:CommonAndCommingledTrustsShortTermInvestmentsMember2022-12-310000070866us-gaap:ForeignPlanMemberncr:CommonAndCommingledTrustsShortTermInvestmentsMemberus-gaap:FairValueInputsLevel2Memb</w:t>
      </w:r>
      <w:r>
        <w:rPr>
          <w:rFonts w:eastAsia="Times New Roman"/>
          <w:vanish/>
        </w:rPr>
        <w:t>er2022-12-310000070866us-gaap:FairValueInputsLevel3Memberus-gaap:ForeignPlanMemberncr:CommonAndCommingledTrustsShortTermInvestmentsMember2022-12-310000070866us-gaap:ForeignPlanMemberncr:CommonAndCommingledTrustsShortTermInvestmentsMemberncr:NotSubjecttoLev</w:t>
      </w:r>
      <w:r>
        <w:rPr>
          <w:rFonts w:eastAsia="Times New Roman"/>
          <w:vanish/>
        </w:rPr>
        <w:t>elingMember2022-12-310000070866ncr:CommonAndCommingledTrustsBalancedMemberus-gaap:DomesticPlanMember2022-12-310000070866us-gaap:FairValueInputsLevel1Memberncr:CommonAndCommingledTrustsBalancedMemberus-gaap:DomesticPlanMember2022-12-310000070866ncr:CommonAn</w:t>
      </w:r>
      <w:r>
        <w:rPr>
          <w:rFonts w:eastAsia="Times New Roman"/>
          <w:vanish/>
        </w:rPr>
        <w:t>dCommingledTrustsBalancedMemberus-gaap:DomesticPlanMemberus-gaap:FairValueInputsLevel2Member2022-12-310000070866us-gaap:FairValueInputsLevel3Memberncr:CommonAndCommingledTrustsBalancedMemberus-gaap:DomesticPlanMember2022-12-310000070866ncr:CommonAndComming</w:t>
      </w:r>
      <w:r>
        <w:rPr>
          <w:rFonts w:eastAsia="Times New Roman"/>
          <w:vanish/>
        </w:rPr>
        <w:t>ledTrustsBalancedMemberus-gaap:DomesticPlanMemberncr:NotSubjecttoLevelingMember2022-12-310000070866us-gaap:ForeignPlanMemberncr:CommonAndCommingledTrustsBalancedMember2022-12-310000070866us-gaap:FairValueInputsLevel1Memberus-gaap:ForeignPlanMemberncr:Commo</w:t>
      </w:r>
      <w:r>
        <w:rPr>
          <w:rFonts w:eastAsia="Times New Roman"/>
          <w:vanish/>
        </w:rPr>
        <w:t>nAndCommingledTrustsBalancedMember2022-12-310000070866us-gaap:ForeignPlanMemberncr:CommonAndCommingledTrustsBalancedMemberus-gaap:FairValueInputsLevel2Member2022-12-310000070866us-gaap:FairValueInputsLevel3Memberus-gaap:ForeignPlanMemberncr:CommonAndCommin</w:t>
      </w:r>
      <w:r>
        <w:rPr>
          <w:rFonts w:eastAsia="Times New Roman"/>
          <w:vanish/>
        </w:rPr>
        <w:t>gledTrustsBalancedMember2022-12-310000070866us-gaap:ForeignPlanMemberncr:CommonAndCommingledTrustsBalancedMemberncr:NotSubjecttoLevelingMember2022-12-310000070866us-gaap:DomesticPlanMemberncr:PartnershipAndJointVentureInterestsOtherMember2022-12-3100000708</w:t>
      </w:r>
      <w:r>
        <w:rPr>
          <w:rFonts w:eastAsia="Times New Roman"/>
          <w:vanish/>
        </w:rPr>
        <w:t>66us-gaap:FairValueInputsLevel1Memberus-gaap:DomesticPlanMemberncr:PartnershipAndJointVentureInterestsOtherMember2022-12-310000070866us-gaap:DomesticPlanMemberus-gaap:FairValueInputsLevel2Memberncr:PartnershipAndJointVentureInterestsOtherMember2022-12-3100</w:t>
      </w:r>
      <w:r>
        <w:rPr>
          <w:rFonts w:eastAsia="Times New Roman"/>
          <w:vanish/>
        </w:rPr>
        <w:t>00070866us-gaap:FairValueInputsLevel3Memberus-gaap:DomesticPlanMemberncr:PartnershipAndJointVentureInterestsOtherMember2022-12-310000070866us-gaap:DomesticPlanMemberncr:NotSubjecttoLevelingMemberncr:PartnershipAndJointVentureInterestsOtherMember2022-12-310</w:t>
      </w:r>
      <w:r>
        <w:rPr>
          <w:rFonts w:eastAsia="Times New Roman"/>
          <w:vanish/>
        </w:rPr>
        <w:t>000070866us-gaap:ForeignPlanMemberncr:PartnershipAndJointVentureInterestsOtherMember2022-12-310000070866us-gaap:FairValueInputsLevel1Memberus-gaap:ForeignPlanMemberncr:PartnershipAndJointVentureInterestsOtherMember2022-12-310000070866us-gaap:ForeignPlanMem</w:t>
      </w:r>
      <w:r>
        <w:rPr>
          <w:rFonts w:eastAsia="Times New Roman"/>
          <w:vanish/>
        </w:rPr>
        <w:t>berus-gaap:FairValueInputsLevel2Memberncr:PartnershipAndJointVentureInterestsOtherMember2022-12-310000070866us-gaap:FairValueInputsLevel3Memberus-gaap:ForeignPlanMemberncr:PartnershipAndJointVentureInterestsOtherMember2022-12-310000070866us-gaap:ForeignPla</w:t>
      </w:r>
      <w:r>
        <w:rPr>
          <w:rFonts w:eastAsia="Times New Roman"/>
          <w:vanish/>
        </w:rPr>
        <w:t>nMemberncr:NotSubjecttoLevelingMemberncr:PartnershipAndJointVentureInterestsOtherMember2022-12-310000070866us-gaap:DomesticPlanMemberncr:MutualFundsMember2022-12-310000070866us-gaap:FairValueInputsLevel1Memberus-gaap:DomesticPlanMemberncr:MutualFundsMember</w:t>
      </w:r>
      <w:r>
        <w:rPr>
          <w:rFonts w:eastAsia="Times New Roman"/>
          <w:vanish/>
        </w:rPr>
        <w:t>2022-12-310000070866us-gaap:DomesticPlanMemberncr:MutualFundsMemberus-gaap:FairValueInputsLevel2Member2022-12-310000070866us-gaap:FairValueInputsLevel3Memberus-gaap:DomesticPlanMemberncr:MutualFundsMember2022-12-310000070866us-gaap:DomesticPlanMemberncr:Mu</w:t>
      </w:r>
      <w:r>
        <w:rPr>
          <w:rFonts w:eastAsia="Times New Roman"/>
          <w:vanish/>
        </w:rPr>
        <w:t>tualFundsMemberncr:NotSubjecttoLevelingMember2022-12-310000070866us-gaap:ForeignPlanMemberncr:MutualFundsMember2022-12-310000070866us-gaap:FairValueInputsLevel1Memberus-gaap:ForeignPlanMemberncr:MutualFundsMember2022-12-310000070866us-gaap:ForeignPlanMembe</w:t>
      </w:r>
      <w:r>
        <w:rPr>
          <w:rFonts w:eastAsia="Times New Roman"/>
          <w:vanish/>
        </w:rPr>
        <w:t>rncr:MutualFundsMemberus-gaap:FairValueInputsLevel2Member2022-12-310000070866us-gaap:FairValueInputsLevel3Memberus-gaap:ForeignPlanMemberncr:MutualFundsMember2022-12-310000070866us-gaap:ForeignPlanMemberncr:MutualFundsMemberncr:NotSubjecttoLevelingMember20</w:t>
      </w:r>
      <w:r>
        <w:rPr>
          <w:rFonts w:eastAsia="Times New Roman"/>
          <w:vanish/>
        </w:rPr>
        <w:t>22-12-310000070866us-gaap:HedgeFundsMemberus-gaap:DomesticPlanMember2022-12-310000070866us-gaap:FairValueInputsLevel1Memberus-gaap:HedgeFundsMemberus-gaap:DomesticPlanMember2022-12-310000070866us-gaap:HedgeFundsMemberus-gaap:DomesticPlanMemberus-gaap:FairV</w:t>
      </w:r>
      <w:r>
        <w:rPr>
          <w:rFonts w:eastAsia="Times New Roman"/>
          <w:vanish/>
        </w:rPr>
        <w:t>alueInputsLevel2Member2022-12-310000070866us-gaap:FairValueInputsLevel3Memberus-gaap:HedgeFundsMemberus-gaap:DomesticPlanMember2022-12-310000070866us-gaap:HedgeFundsMemberus-gaap:DomesticPlanMemberncr:NotSubjecttoLevelingMember2022-12-310000070866us-gaap:H</w:t>
      </w:r>
      <w:r>
        <w:rPr>
          <w:rFonts w:eastAsia="Times New Roman"/>
          <w:vanish/>
        </w:rPr>
        <w:t>edgeFundsMemberus-gaap:ForeignPlanMember2022-12-310000070866us-gaap:FairValueInputsLevel1Memberus-gaap:HedgeFundsMemberus-gaap:ForeignPlanMember2022-12-310000070866us-gaap:HedgeFundsMemberus-gaap:ForeignPlanMemberus-gaap:FairValueInputsLevel2Member2022-12-</w:t>
      </w:r>
      <w:r>
        <w:rPr>
          <w:rFonts w:eastAsia="Times New Roman"/>
          <w:vanish/>
        </w:rPr>
        <w:t>310000070866us-gaap:FairValueInputsLevel3Memberus-gaap:HedgeFundsMemberus-gaap:ForeignPlanMember2022-12-310000070866us-gaap:HedgeFundsMemberus-gaap:ForeignPlanMemberncr:NotSubjecttoLevelingMember2022-12-310000070866us-gaap:DomesticPlanMemberus-gaap:MoneyMa</w:t>
      </w:r>
      <w:r>
        <w:rPr>
          <w:rFonts w:eastAsia="Times New Roman"/>
          <w:vanish/>
        </w:rPr>
        <w:t>rketFundsMember2022-12-310000070866us-gaap:FairValueInputsLevel1Memberus-gaap:DomesticPlanMemberus-gaap:MoneyMarketFundsMember2022-12-310000070866us-gaap:DomesticPlanMemberus-gaap:FairValueInputsLevel2Memberus-gaap:MoneyMarketFundsMember2022-12-31000007086</w:t>
      </w:r>
      <w:r>
        <w:rPr>
          <w:rFonts w:eastAsia="Times New Roman"/>
          <w:vanish/>
        </w:rPr>
        <w:t>6us-gaap:FairValueInputsLevel3Memberus-gaap:DomesticPlanMemberus-gaap:MoneyMarketFundsMember2022-12-310000070866us-gaap:DomesticPlanMemberus-gaap:MoneyMarketFundsMemberncr:NotSubjecttoLevelingMember2022-12-310000070866us-gaap:ForeignPlanMemberus-gaap:Money</w:t>
      </w:r>
      <w:r>
        <w:rPr>
          <w:rFonts w:eastAsia="Times New Roman"/>
          <w:vanish/>
        </w:rPr>
        <w:t>MarketFundsMember2022-12-310000070866us-gaap:FairValueInputsLevel1Memberus-gaap:ForeignPlanMemberus-gaap:MoneyMarketFundsMember2022-12-310000070866us-gaap:ForeignPlanMemberus-gaap:FairValueInputsLevel2Memberus-gaap:MoneyMarketFundsMember2022-12-31000007086</w:t>
      </w:r>
      <w:r>
        <w:rPr>
          <w:rFonts w:eastAsia="Times New Roman"/>
          <w:vanish/>
        </w:rPr>
        <w:t>6us-gaap:FairValueInputsLevel3Memberus-gaap:ForeignPlanMemberus-gaap:MoneyMarketFundsMember2022-12-310000070866us-gaap:ForeignPlanMemberus-gaap:MoneyMarketFundsMemberncr:NotSubjecttoLevelingMember2022-12-310000070866us-gaap:FairValueInputsLevel1Memberus-ga</w:t>
      </w:r>
      <w:r>
        <w:rPr>
          <w:rFonts w:eastAsia="Times New Roman"/>
          <w:vanish/>
        </w:rPr>
        <w:t>ap:DomesticPlanMember2022-12-310000070866us-gaap:DomesticPlanMemberus-gaap:FairValueInputsLevel2Member2022-12-310000070866us-gaap:FairValueInputsLevel3Memberus-gaap:DomesticPlanMember2022-12-310000070866us-gaap:DomesticPlanMemberncr:NotSubjecttoLevelingMem</w:t>
      </w:r>
      <w:r>
        <w:rPr>
          <w:rFonts w:eastAsia="Times New Roman"/>
          <w:vanish/>
        </w:rPr>
        <w:t>ber2022-12-310000070866us-gaap:FairValueInputsLevel1Memberus-gaap:ForeignPlanMember2022-12-310000070866us-gaap:ForeignPlanMemberus-gaap:FairValueInputsLevel2Member2022-12-310000070866us-gaap:FairValueInputsLevel3Memberus-gaap:ForeignPlanMember2022-12-31000</w:t>
      </w:r>
      <w:r>
        <w:rPr>
          <w:rFonts w:eastAsia="Times New Roman"/>
          <w:vanish/>
        </w:rPr>
        <w:t>0070866us-gaap:ForeignPlanMemberncr:NotSubjecttoLevelingMember2022-12-310000070866us-gaap:DomesticPlanMemberncr:EquitySecuritiesCommonStockMember2021-12-310000070866us-gaap:FairValueInputsLevel1Memberus-gaap:DomesticPlanMemberncr:EquitySecuritiesCommonStoc</w:t>
      </w:r>
      <w:r>
        <w:rPr>
          <w:rFonts w:eastAsia="Times New Roman"/>
          <w:vanish/>
        </w:rPr>
        <w:t>kMember2021-12-310000070866us-gaap:DomesticPlanMemberus-gaap:FairValueInputsLevel2Memberncr:EquitySecuritiesCommonStockMember2021-12-310000070866us-gaap:FairValueInputsLevel3Memberus-gaap:DomesticPlanMemberncr:EquitySecuritiesCommonStockMember2021-12-31000</w:t>
      </w:r>
      <w:r>
        <w:rPr>
          <w:rFonts w:eastAsia="Times New Roman"/>
          <w:vanish/>
        </w:rPr>
        <w:t>0070866us-gaap:DomesticPlanMemberncr:NotSubjecttoLevelingMemberncr:EquitySecuritiesCommonStockMember2021-12-310000070866us-gaap:ForeignPlanMemberncr:EquitySecuritiesCommonStockMember2021-12-310000070866us-gaap:FairValueInputsLevel1Memberus-gaap:ForeignPlan</w:t>
      </w:r>
      <w:r>
        <w:rPr>
          <w:rFonts w:eastAsia="Times New Roman"/>
          <w:vanish/>
        </w:rPr>
        <w:t>Memberncr:EquitySecuritiesCommonStockMember2021-12-310000070866us-gaap:ForeignPlanMemberus-gaap:FairValueInputsLevel2Memberncr:EquitySecuritiesCommonStockMember2021-12-310000070866us-gaap:FairValueInputsLevel3Memberus-gaap:ForeignPlanMemberncr:EquitySecuri</w:t>
      </w:r>
      <w:r>
        <w:rPr>
          <w:rFonts w:eastAsia="Times New Roman"/>
          <w:vanish/>
        </w:rPr>
        <w:t>tiesCommonStockMember2021-12-310000070866us-gaap:ForeignPlanMemberncr:NotSubjecttoLevelingMemberncr:EquitySecuritiesCommonStockMember2021-12-310000070866ncr:CommonAndCommingledTrustsEquitiesMemberus-gaap:DomesticPlanMember2021-12-310000070866us-gaap:FairVa</w:t>
      </w:r>
      <w:r>
        <w:rPr>
          <w:rFonts w:eastAsia="Times New Roman"/>
          <w:vanish/>
        </w:rPr>
        <w:t>lueInputsLevel1Memberncr:CommonAndCommingledTrustsEquitiesMemberus-gaap:DomesticPlanMember2021-12-310000070866ncr:CommonAndCommingledTrustsEquitiesMemberus-gaap:DomesticPlanMemberus-gaap:FairValueInputsLevel2Member2021-12-310000070866us-gaap:FairValueInput</w:t>
      </w:r>
      <w:r>
        <w:rPr>
          <w:rFonts w:eastAsia="Times New Roman"/>
          <w:vanish/>
        </w:rPr>
        <w:t>sLevel3Memberncr:CommonAndCommingledTrustsEquitiesMemberus-gaap:DomesticPlanMember2021-12-310000070866ncr:CommonAndCommingledTrustsEquitiesMemberus-gaap:DomesticPlanMemberncr:NotSubjecttoLevelingMember2021-12-310000070866us-gaap:ForeignPlanMemberncr:Common</w:t>
      </w:r>
      <w:r>
        <w:rPr>
          <w:rFonts w:eastAsia="Times New Roman"/>
          <w:vanish/>
        </w:rPr>
        <w:t>AndCommingledTrustsEquitiesMember2021-12-310000070866us-gaap:FairValueInputsLevel1Memberus-gaap:ForeignPlanMemberncr:CommonAndCommingledTrustsEquitiesMember2021-12-310000070866us-gaap:ForeignPlanMemberncr:CommonAndCommingledTrustsEquitiesMemberus-gaap:Fair</w:t>
      </w:r>
      <w:r>
        <w:rPr>
          <w:rFonts w:eastAsia="Times New Roman"/>
          <w:vanish/>
        </w:rPr>
        <w:t>ValueInputsLevel2Member2021-12-310000070866us-gaap:FairValueInputsLevel3Memberus-gaap:ForeignPlanMemberncr:CommonAndCommingledTrustsEquitiesMember2021-12-310000070866us-gaap:ForeignPlanMemberncr:CommonAndCommingledTrustsEquitiesMemberncr:NotSubjecttoLeveli</w:t>
      </w:r>
      <w:r>
        <w:rPr>
          <w:rFonts w:eastAsia="Times New Roman"/>
          <w:vanish/>
        </w:rPr>
        <w:t>ngMember2021-12-310000070866ncr:GovernmentDebtSecuritiesMemberus-gaap:DomesticPlanMember2021-12-310000070866us-gaap:FairValueInputsLevel1Memberncr:GovernmentDebtSecuritiesMemberus-gaap:DomesticPlanMember2021-12-310000070866ncr:GovernmentDebtSecuritiesMembe</w:t>
      </w:r>
      <w:r>
        <w:rPr>
          <w:rFonts w:eastAsia="Times New Roman"/>
          <w:vanish/>
        </w:rPr>
        <w:t>rus-gaap:DomesticPlanMemberus-gaap:FairValueInputsLevel2Member2021-12-310000070866us-gaap:FairValueInputsLevel3Memberncr:GovernmentDebtSecuritiesMemberus-gaap:DomesticPlanMember2021-12-310000070866ncr:GovernmentDebtSecuritiesMemberus-gaap:DomesticPlanMembe</w:t>
      </w:r>
      <w:r>
        <w:rPr>
          <w:rFonts w:eastAsia="Times New Roman"/>
          <w:vanish/>
        </w:rPr>
        <w:t>rncr:NotSubjecttoLevelingMember2021-12-310000070866ncr:GovernmentDebtSecuritiesMemberus-gaap:ForeignPlanMember2021-12-310000070866us-gaap:FairValueInputsLevel1Memberncr:GovernmentDebtSecuritiesMemberus-gaap:ForeignPlanMember2021-12-310000070866ncr:Governme</w:t>
      </w:r>
      <w:r>
        <w:rPr>
          <w:rFonts w:eastAsia="Times New Roman"/>
          <w:vanish/>
        </w:rPr>
        <w:t>ntDebtSecuritiesMemberus-gaap:ForeignPlanMemberus-gaap:FairValueInputsLevel2Member2021-12-310000070866us-gaap:FairValueInputsLevel3Memberncr:GovernmentDebtSecuritiesMemberus-gaap:ForeignPlanMember2021-12-310000070866ncr:GovernmentDebtSecuritiesMemberus-gaa</w:t>
      </w:r>
      <w:r>
        <w:rPr>
          <w:rFonts w:eastAsia="Times New Roman"/>
          <w:vanish/>
        </w:rPr>
        <w:t>p:ForeignPlanMemberncr:NotSubjecttoLevelingMember2021-12-310000070866us-gaap:DomesticPlanMemberus-gaap:CorporateDebtSecuritiesMember2021-12-310000070866us-gaap:FairValueInputsLevel1Memberus-gaap:DomesticPlanMemberus-gaap:CorporateDebtSecuritiesMember2021-1</w:t>
      </w:r>
      <w:r>
        <w:rPr>
          <w:rFonts w:eastAsia="Times New Roman"/>
          <w:vanish/>
        </w:rPr>
        <w:t>2-310000070866us-gaap:DomesticPlanMemberus-gaap:CorporateDebtSecuritiesMemberus-gaap:FairValueInputsLevel2Member2021-12-310000070866us-gaap:FairValueInputsLevel3Memberus-gaap:DomesticPlanMemberus-gaap:CorporateDebtSecuritiesMember2021-12-310000070866us-gaa</w:t>
      </w:r>
      <w:r>
        <w:rPr>
          <w:rFonts w:eastAsia="Times New Roman"/>
          <w:vanish/>
        </w:rPr>
        <w:t>p:DomesticPlanMemberus-gaap:CorporateDebtSecuritiesMemberncr:NotSubjecttoLevelingMember2021-12-310000070866us-gaap:ForeignPlanMemberus-gaap:CorporateDebtSecuritiesMember2021-12-310000070866us-gaap:FairValueInputsLevel1Memberus-gaap:ForeignPlanMemberus-gaap</w:t>
      </w:r>
      <w:r>
        <w:rPr>
          <w:rFonts w:eastAsia="Times New Roman"/>
          <w:vanish/>
        </w:rPr>
        <w:t>:CorporateDebtSecuritiesMember2021-12-310000070866us-gaap:ForeignPlanMemberus-gaap:CorporateDebtSecuritiesMemberus-gaap:FairValueInputsLevel2Member2021-12-310000070866us-gaap:FairValueInputsLevel3Memberus-gaap:ForeignPlanMemberus-gaap:CorporateDebtSecuriti</w:t>
      </w:r>
      <w:r>
        <w:rPr>
          <w:rFonts w:eastAsia="Times New Roman"/>
          <w:vanish/>
        </w:rPr>
        <w:t>esMember2021-12-310000070866us-gaap:ForeignPlanMemberus-gaap:CorporateDebtSecuritiesMemberncr:NotSubjecttoLevelingMember2021-12-310000070866us-gaap:DomesticPlanMemberncr:CommonAndCommingledTrustsBondsMember2021-12-310000070866us-gaap:FairValueInputsLevel1M</w:t>
      </w:r>
      <w:r>
        <w:rPr>
          <w:rFonts w:eastAsia="Times New Roman"/>
          <w:vanish/>
        </w:rPr>
        <w:t>emberus-gaap:DomesticPlanMemberncr:CommonAndCommingledTrustsBondsMember2021-12-310000070866us-gaap:DomesticPlanMemberus-gaap:FairValueInputsLevel2Memberncr:CommonAndCommingledTrustsBondsMember2021-12-310000070866us-gaap:FairValueInputsLevel3Memberus-gaap:D</w:t>
      </w:r>
      <w:r>
        <w:rPr>
          <w:rFonts w:eastAsia="Times New Roman"/>
          <w:vanish/>
        </w:rPr>
        <w:t>omesticPlanMemberncr:CommonAndCommingledTrustsBondsMember2021-12-310000070866us-gaap:DomesticPlanMemberncr:NotSubjecttoLevelingMemberncr:CommonAndCommingledTrustsBondsMember2021-12-310000070866us-gaap:ForeignPlanMemberncr:CommonAndCommingledTrustsBondsMemb</w:t>
      </w:r>
      <w:r>
        <w:rPr>
          <w:rFonts w:eastAsia="Times New Roman"/>
          <w:vanish/>
        </w:rPr>
        <w:t>er2021-12-310000070866us-gaap:FairValueInputsLevel1Memberus-gaap:ForeignPlanMemberncr:CommonAndCommingledTrustsBondsMember2021-12-310000070866us-gaap:ForeignPlanMemberus-gaap:FairValueInputsLevel2Memberncr:CommonAndCommingledTrustsBondsMember2021-12-310000</w:t>
      </w:r>
      <w:r>
        <w:rPr>
          <w:rFonts w:eastAsia="Times New Roman"/>
          <w:vanish/>
        </w:rPr>
        <w:t>070866us-gaap:FairValueInputsLevel3Memberus-gaap:ForeignPlanMemberncr:CommonAndCommingledTrustsBondsMember2021-12-310000070866us-gaap:ForeignPlanMemberncr:NotSubjecttoLevelingMemberncr:CommonAndCommingledTrustsBondsMember2021-12-310000070866us-gaap:Domesti</w:t>
      </w:r>
      <w:r>
        <w:rPr>
          <w:rFonts w:eastAsia="Times New Roman"/>
          <w:vanish/>
        </w:rPr>
        <w:t>cPlanMemberncr:InsuranceProductsMember2021-12-310000070866us-gaap:FairValueInputsLevel1Memberus-gaap:DomesticPlanMemberncr:InsuranceProductsMember2021-12-310000070866us-gaap:DomesticPlanMemberus-gaap:FairValueInputsLevel2Memberncr:InsuranceProductsMember20</w:t>
      </w:r>
      <w:r>
        <w:rPr>
          <w:rFonts w:eastAsia="Times New Roman"/>
          <w:vanish/>
        </w:rPr>
        <w:t>21-12-310000070866us-gaap:FairValueInputsLevel3Memberus-gaap:DomesticPlanMemberncr:InsuranceProductsMember2021-12-310000070866us-gaap:DomesticPlanMemberncr:NotSubjecttoLevelingMemberncr:InsuranceProductsMember2021-12-310000070866us-gaap:ForeignPlanMembernc</w:t>
      </w:r>
      <w:r>
        <w:rPr>
          <w:rFonts w:eastAsia="Times New Roman"/>
          <w:vanish/>
        </w:rPr>
        <w:t>r:InsuranceProductsMember2021-12-310000070866us-gaap:FairValueInputsLevel1Memberus-gaap:ForeignPlanMemberncr:InsuranceProductsMember2021-12-310000070866us-gaap:ForeignPlanMemberus-gaap:FairValueInputsLevel2Memberncr:InsuranceProductsMember2021-12-310000070</w:t>
      </w:r>
      <w:r>
        <w:rPr>
          <w:rFonts w:eastAsia="Times New Roman"/>
          <w:vanish/>
        </w:rPr>
        <w:t>866us-gaap:FairValueInputsLevel3Memberus-gaap:ForeignPlanMemberncr:InsuranceProductsMember2021-12-310000070866us-gaap:ForeignPlanMemberncr:NotSubjecttoLevelingMemberncr:InsuranceProductsMember2021-12-310000070866us-gaap:DomesticPlanMemberncr:PartnershipAnd</w:t>
      </w:r>
      <w:r>
        <w:rPr>
          <w:rFonts w:eastAsia="Times New Roman"/>
          <w:vanish/>
        </w:rPr>
        <w:t>JointVentureInterestsRealEstateMember2021-12-310000070866us-gaap:FairValueInputsLevel1Memberus-gaap:DomesticPlanMemberncr:PartnershipAndJointVentureInterestsRealEstateMember2021-12-310000070866us-gaap:DomesticPlanMemberus-gaap:FairValueInputsLevel2Membernc</w:t>
      </w:r>
      <w:r>
        <w:rPr>
          <w:rFonts w:eastAsia="Times New Roman"/>
          <w:vanish/>
        </w:rPr>
        <w:t>r:PartnershipAndJointVentureInterestsRealEstateMember2021-12-310000070866us-gaap:FairValueInputsLevel3Memberus-gaap:DomesticPlanMemberncr:PartnershipAndJointVentureInterestsRealEstateMember2021-12-310000070866us-gaap:DomesticPlanMemberncr:NotSubjecttoLevel</w:t>
      </w:r>
      <w:r>
        <w:rPr>
          <w:rFonts w:eastAsia="Times New Roman"/>
          <w:vanish/>
        </w:rPr>
        <w:t>ingMemberncr:PartnershipAndJointVentureInterestsRealEstateMember2021-12-310000070866us-gaap:ForeignPlanMemberncr:PartnershipAndJointVentureInterestsRealEstateMember2021-12-310000070866us-gaap:FairValueInputsLevel1Memberus-gaap:ForeignPlanMemberncr:Partners</w:t>
      </w:r>
      <w:r>
        <w:rPr>
          <w:rFonts w:eastAsia="Times New Roman"/>
          <w:vanish/>
        </w:rPr>
        <w:t>hipAndJointVentureInterestsRealEstateMember2021-12-310000070866us-gaap:ForeignPlanMemberus-gaap:FairValueInputsLevel2Memberncr:PartnershipAndJointVentureInterestsRealEstateMember2021-12-310000070866us-gaap:FairValueInputsLevel3Memberus-gaap:ForeignPlanMemb</w:t>
      </w:r>
      <w:r>
        <w:rPr>
          <w:rFonts w:eastAsia="Times New Roman"/>
          <w:vanish/>
        </w:rPr>
        <w:t>erncr:PartnershipAndJointVentureInterestsRealEstateMember2021-12-310000070866us-gaap:ForeignPlanMemberncr:NotSubjecttoLevelingMemberncr:PartnershipAndJointVentureInterestsRealEstateMember2021-12-310000070866ncr:RealEstateAndOtherMemberus-gaap:DomesticPlanM</w:t>
      </w:r>
      <w:r>
        <w:rPr>
          <w:rFonts w:eastAsia="Times New Roman"/>
          <w:vanish/>
        </w:rPr>
        <w:t>ember2021-12-310000070866us-gaap:FairValueInputsLevel1Memberncr:RealEstateAndOtherMemberus-gaap:DomesticPlanMember2021-12-310000070866ncr:RealEstateAndOtherMemberus-gaap:DomesticPlanMemberus-gaap:FairValueInputsLevel2Member2021-12-310000070866us-gaap:FairV</w:t>
      </w:r>
      <w:r>
        <w:rPr>
          <w:rFonts w:eastAsia="Times New Roman"/>
          <w:vanish/>
        </w:rPr>
        <w:t>alueInputsLevel3Memberncr:RealEstateAndOtherMemberus-gaap:DomesticPlanMember2021-12-310000070866ncr:RealEstateAndOtherMemberus-gaap:DomesticPlanMemberncr:NotSubjecttoLevelingMember2021-12-310000070866us-gaap:ForeignPlanMemberncr:RealEstateAndOtherMember202</w:t>
      </w:r>
      <w:r>
        <w:rPr>
          <w:rFonts w:eastAsia="Times New Roman"/>
          <w:vanish/>
        </w:rPr>
        <w:t>1-12-310000070866us-gaap:FairValueInputsLevel1Memberus-gaap:ForeignPlanMemberncr:RealEstateAndOtherMember2021-12-310000070866us-gaap:ForeignPlanMemberncr:RealEstateAndOtherMemberus-gaap:FairValueInputsLevel2Member2021-12-310000070866us-gaap:FairValueInputs</w:t>
      </w:r>
      <w:r>
        <w:rPr>
          <w:rFonts w:eastAsia="Times New Roman"/>
          <w:vanish/>
        </w:rPr>
        <w:t>Level3Memberus-gaap:ForeignPlanMemberncr:RealEstateAndOtherMember2021-12-310000070866us-gaap:ForeignPlanMemberncr:RealEstateAndOtherMemberncr:NotSubjecttoLevelingMember2021-12-310000070866us-gaap:DomesticPlanMemberncr:CommonAndCommingledTrustsShortTermInve</w:t>
      </w:r>
      <w:r>
        <w:rPr>
          <w:rFonts w:eastAsia="Times New Roman"/>
          <w:vanish/>
        </w:rPr>
        <w:t>stmentsMember2021-12-310000070866us-gaap:FairValueInputsLevel1Memberus-gaap:DomesticPlanMemberncr:CommonAndCommingledTrustsShortTermInvestmentsMember2021-12-310000070866us-gaap:DomesticPlanMemberncr:CommonAndCommingledTrustsShortTermInvestmentsMemberus-gaa</w:t>
      </w:r>
      <w:r>
        <w:rPr>
          <w:rFonts w:eastAsia="Times New Roman"/>
          <w:vanish/>
        </w:rPr>
        <w:t>p:FairValueInputsLevel2Member2021-12-310000070866us-gaap:FairValueInputsLevel3Memberus-gaap:DomesticPlanMemberncr:CommonAndCommingledTrustsShortTermInvestmentsMember2021-12-310000070866us-gaap:DomesticPlanMemberncr:CommonAndCommingledTrustsShortTermInvestm</w:t>
      </w:r>
      <w:r>
        <w:rPr>
          <w:rFonts w:eastAsia="Times New Roman"/>
          <w:vanish/>
        </w:rPr>
        <w:t>entsMemberncr:NotSubjecttoLevelingMember2021-12-310000070866us-gaap:ForeignPlanMemberncr:CommonAndCommingledTrustsShortTermInvestmentsMember2021-12-310000070866us-gaap:FairValueInputsLevel1Memberus-gaap:ForeignPlanMemberncr:CommonAndCommingledTrustsShortTe</w:t>
      </w:r>
      <w:r>
        <w:rPr>
          <w:rFonts w:eastAsia="Times New Roman"/>
          <w:vanish/>
        </w:rPr>
        <w:t>rmInvestmentsMember2021-12-310000070866us-gaap:ForeignPlanMemberncr:CommonAndCommingledTrustsShortTermInvestmentsMemberus-gaap:FairValueInputsLevel2Member2021-12-310000070866us-gaap:FairValueInputsLevel3Memberus-gaap:ForeignPlanMemberncr:CommonAndCommingle</w:t>
      </w:r>
      <w:r>
        <w:rPr>
          <w:rFonts w:eastAsia="Times New Roman"/>
          <w:vanish/>
        </w:rPr>
        <w:t>dTrustsShortTermInvestmentsMember2021-12-310000070866us-gaap:ForeignPlanMemberncr:CommonAndCommingledTrustsShortTermInvestmentsMemberncr:NotSubjecttoLevelingMember2021-12-310000070866ncr:CommonAndCommingledTrustsBalancedMemberus-gaap:DomesticPlanMember2021</w:t>
      </w:r>
      <w:r>
        <w:rPr>
          <w:rFonts w:eastAsia="Times New Roman"/>
          <w:vanish/>
        </w:rPr>
        <w:t>-12-310000070866us-gaap:FairValueInputsLevel1Memberncr:CommonAndCommingledTrustsBalancedMemberus-gaap:DomesticPlanMember2021-12-310000070866ncr:CommonAndCommingledTrustsBalancedMemberus-gaap:DomesticPlanMemberus-gaap:FairValueInputsLevel2Member2021-12-3100</w:t>
      </w:r>
      <w:r>
        <w:rPr>
          <w:rFonts w:eastAsia="Times New Roman"/>
          <w:vanish/>
        </w:rPr>
        <w:t>00070866us-gaap:FairValueInputsLevel3Memberncr:CommonAndCommingledTrustsBalancedMemberus-gaap:DomesticPlanMember2021-12-310000070866ncr:CommonAndCommingledTrustsBalancedMemberus-gaap:DomesticPlanMemberncr:NotSubjecttoLevelingMember2021-12-310000070866us-ga</w:t>
      </w:r>
      <w:r>
        <w:rPr>
          <w:rFonts w:eastAsia="Times New Roman"/>
          <w:vanish/>
        </w:rPr>
        <w:t>ap:ForeignPlanMemberncr:CommonAndCommingledTrustsBalancedMember2021-12-310000070866us-gaap:FairValueInputsLevel1Memberus-gaap:ForeignPlanMemberncr:CommonAndCommingledTrustsBalancedMember2021-12-310000070866us-gaap:ForeignPlanMemberncr:CommonAndCommingledTr</w:t>
      </w:r>
      <w:r>
        <w:rPr>
          <w:rFonts w:eastAsia="Times New Roman"/>
          <w:vanish/>
        </w:rPr>
        <w:t>ustsBalancedMemberus-gaap:FairValueInputsLevel2Member2021-12-310000070866us-gaap:FairValueInputsLevel3Memberus-gaap:ForeignPlanMemberncr:CommonAndCommingledTrustsBalancedMember2021-12-310000070866us-gaap:ForeignPlanMemberncr:CommonAndCommingledTrustsBalanc</w:t>
      </w:r>
      <w:r>
        <w:rPr>
          <w:rFonts w:eastAsia="Times New Roman"/>
          <w:vanish/>
        </w:rPr>
        <w:t>edMemberncr:NotSubjecttoLevelingMember2021-12-310000070866us-gaap:DomesticPlanMemberncr:PartnershipAndJointVentureInterestsOtherMember2021-12-310000070866us-gaap:FairValueInputsLevel1Memberus-gaap:DomesticPlanMemberncr:PartnershipAndJointVentureInterestsOt</w:t>
      </w:r>
      <w:r>
        <w:rPr>
          <w:rFonts w:eastAsia="Times New Roman"/>
          <w:vanish/>
        </w:rPr>
        <w:t>herMember2021-12-310000070866us-gaap:DomesticPlanMemberus-gaap:FairValueInputsLevel2Memberncr:PartnershipAndJointVentureInterestsOtherMember2021-12-310000070866us-gaap:FairValueInputsLevel3Memberus-gaap:DomesticPlanMemberncr:PartnershipAndJointVentureInter</w:t>
      </w:r>
      <w:r>
        <w:rPr>
          <w:rFonts w:eastAsia="Times New Roman"/>
          <w:vanish/>
        </w:rPr>
        <w:t>estsOtherMember2021-12-310000070866us-gaap:DomesticPlanMemberncr:NotSubjecttoLevelingMemberncr:PartnershipAndJointVentureInterestsOtherMember2021-12-310000070866us-gaap:ForeignPlanMemberncr:PartnershipAndJointVentureInterestsOtherMember2021-12-310000070866</w:t>
      </w:r>
      <w:r>
        <w:rPr>
          <w:rFonts w:eastAsia="Times New Roman"/>
          <w:vanish/>
        </w:rPr>
        <w:t>us-gaap:FairValueInputsLevel1Memberus-gaap:ForeignPlanMemberncr:PartnershipAndJointVentureInterestsOtherMember2021-12-310000070866us-gaap:ForeignPlanMemberus-gaap:FairValueInputsLevel2Memberncr:PartnershipAndJointVentureInterestsOtherMember2021-12-31000007</w:t>
      </w:r>
      <w:r>
        <w:rPr>
          <w:rFonts w:eastAsia="Times New Roman"/>
          <w:vanish/>
        </w:rPr>
        <w:t>0866us-gaap:FairValueInputsLevel3Memberus-gaap:ForeignPlanMemberncr:PartnershipAndJointVentureInterestsOtherMember2021-12-310000070866us-gaap:ForeignPlanMemberncr:NotSubjecttoLevelingMemberncr:PartnershipAndJointVentureInterestsOtherMember2021-12-310000070</w:t>
      </w:r>
      <w:r>
        <w:rPr>
          <w:rFonts w:eastAsia="Times New Roman"/>
          <w:vanish/>
        </w:rPr>
        <w:t>866us-gaap:DomesticPlanMemberncr:MutualFundsMember2021-12-310000070866us-gaap:FairValueInputsLevel1Memberus-gaap:DomesticPlanMemberncr:MutualFundsMember2021-12-310000070866us-gaap:DomesticPlanMemberncr:MutualFundsMemberus-gaap:FairValueInputsLevel2Member20</w:t>
      </w:r>
      <w:r>
        <w:rPr>
          <w:rFonts w:eastAsia="Times New Roman"/>
          <w:vanish/>
        </w:rPr>
        <w:t>21-12-310000070866us-gaap:FairValueInputsLevel3Memberus-gaap:DomesticPlanMemberncr:MutualFundsMember2021-12-310000070866us-gaap:DomesticPlanMemberncr:MutualFundsMemberncr:NotSubjecttoLevelingMember2021-12-310000070866us-gaap:ForeignPlanMemberncr:MutualFund</w:t>
      </w:r>
      <w:r>
        <w:rPr>
          <w:rFonts w:eastAsia="Times New Roman"/>
          <w:vanish/>
        </w:rPr>
        <w:t>sMember2021-12-310000070866us-gaap:FairValueInputsLevel1Memberus-gaap:ForeignPlanMemberncr:MutualFundsMember2021-12-310000070866us-gaap:ForeignPlanMemberncr:MutualFundsMemberus-gaap:FairValueInputsLevel2Member2021-12-310000070866us-gaap:FairValueInputsLeve</w:t>
      </w:r>
      <w:r>
        <w:rPr>
          <w:rFonts w:eastAsia="Times New Roman"/>
          <w:vanish/>
        </w:rPr>
        <w:t>l3Memberus-gaap:ForeignPlanMemberncr:MutualFundsMember2021-12-310000070866us-gaap:ForeignPlanMemberncr:MutualFundsMemberncr:NotSubjecttoLevelingMember2021-12-310000070866us-gaap:DomesticPlanMemberus-gaap:MoneyMarketFundsMember2021-12-310000070866us-gaap:Fa</w:t>
      </w:r>
      <w:r>
        <w:rPr>
          <w:rFonts w:eastAsia="Times New Roman"/>
          <w:vanish/>
        </w:rPr>
        <w:t>irValueInputsLevel1Memberus-gaap:DomesticPlanMemberus-gaap:MoneyMarketFundsMember2021-12-310000070866us-gaap:DomesticPlanMemberus-gaap:FairValueInputsLevel2Memberus-gaap:MoneyMarketFundsMember2021-12-310000070866us-gaap:FairValueInputsLevel3Memberus-gaap:D</w:t>
      </w:r>
      <w:r>
        <w:rPr>
          <w:rFonts w:eastAsia="Times New Roman"/>
          <w:vanish/>
        </w:rPr>
        <w:t>omesticPlanMemberus-gaap:MoneyMarketFundsMember2021-12-310000070866us-gaap:DomesticPlanMemberus-gaap:MoneyMarketFundsMemberncr:NotSubjecttoLevelingMember2021-12-310000070866us-gaap:ForeignPlanMemberus-gaap:MoneyMarketFundsMember2021-12-310000070866us-gaap:</w:t>
      </w:r>
      <w:r>
        <w:rPr>
          <w:rFonts w:eastAsia="Times New Roman"/>
          <w:vanish/>
        </w:rPr>
        <w:t>FairValueInputsLevel1Memberus-gaap:ForeignPlanMemberus-gaap:MoneyMarketFundsMember2021-12-310000070866us-gaap:ForeignPlanMemberus-gaap:FairValueInputsLevel2Memberus-gaap:MoneyMarketFundsMember2021-12-310000070866us-gaap:FairValueInputsLevel3Memberus-gaap:F</w:t>
      </w:r>
      <w:r>
        <w:rPr>
          <w:rFonts w:eastAsia="Times New Roman"/>
          <w:vanish/>
        </w:rPr>
        <w:t>oreignPlanMemberus-gaap:MoneyMarketFundsMember2021-12-310000070866us-gaap:ForeignPlanMemberus-gaap:MoneyMarketFundsMemberncr:NotSubjecttoLevelingMember2021-12-310000070866us-gaap:FairValueInputsLevel1Memberus-gaap:DomesticPlanMember2021-12-310000070866us-g</w:t>
      </w:r>
      <w:r>
        <w:rPr>
          <w:rFonts w:eastAsia="Times New Roman"/>
          <w:vanish/>
        </w:rPr>
        <w:t>aap:DomesticPlanMemberus-gaap:FairValueInputsLevel2Member2021-12-310000070866us-gaap:FairValueInputsLevel3Memberus-gaap:DomesticPlanMember2021-12-310000070866us-gaap:DomesticPlanMemberncr:NotSubjecttoLevelingMember2021-12-310000070866us-gaap:FairValueInput</w:t>
      </w:r>
      <w:r>
        <w:rPr>
          <w:rFonts w:eastAsia="Times New Roman"/>
          <w:vanish/>
        </w:rPr>
        <w:t>sLevel1Memberus-gaap:ForeignPlanMember2021-12-310000070866us-gaap:ForeignPlanMemberus-gaap:FairValueInputsLevel2Member2021-12-310000070866us-gaap:FairValueInputsLevel3Memberus-gaap:ForeignPlanMember2021-12-310000070866us-gaap:ForeignPlanMemberncr:NotSubjec</w:t>
      </w:r>
      <w:r>
        <w:rPr>
          <w:rFonts w:eastAsia="Times New Roman"/>
          <w:vanish/>
        </w:rPr>
        <w:t>ttoLevelingMember2021-12-310000070866us-gaap:FairValueInputsLevel3Memberus-gaap:ForeignPlanMember2020-12-310000070866us-gaap:FairValueInputsLevel3Memberus-gaap:ForeignPlanMember2021-01-012021-12-310000070866us-gaap:FairValueInputsLevel3Memberus-gaap:Foreig</w:t>
      </w:r>
      <w:r>
        <w:rPr>
          <w:rFonts w:eastAsia="Times New Roman"/>
          <w:vanish/>
        </w:rPr>
        <w:t>nPlanMember2022-01-012022-12-310000070866us-gaap:OtherPostretirementBenefitPlansDefinedBenefitMember2021-12-310000070866us-gaap:OtherPostretirementBenefitPlansDefinedBenefitMember2020-12-310000070866us-gaap:OtherPostretirementBenefitPlansDefinedBenefitMemb</w:t>
      </w:r>
      <w:r>
        <w:rPr>
          <w:rFonts w:eastAsia="Times New Roman"/>
          <w:vanish/>
        </w:rPr>
        <w:t>er2022-01-012022-12-310000070866us-gaap:OtherPostretirementBenefitPlansDefinedBenefitMember2021-01-012021-12-310000070866us-gaap:OtherPostretirementBenefitPlansDefinedBenefitMember2022-12-310000070866us-gaap:OtherPostretirementBenefitPlansDefinedBenefitMem</w:t>
      </w:r>
      <w:r>
        <w:rPr>
          <w:rFonts w:eastAsia="Times New Roman"/>
          <w:vanish/>
        </w:rPr>
        <w:t>ber2020-01-012020-12-310000070866us-gaap:OtherPostretirementBenefitPlansDefinedBenefitMemberncr:BeforeAge65Member2022-12-310000070866us-gaap:OtherPostretirementBenefitPlansDefinedBenefitMemberncr:AfterAge65Member2022-12-310000070866us-gaap:OtherPostretirem</w:t>
      </w:r>
      <w:r>
        <w:rPr>
          <w:rFonts w:eastAsia="Times New Roman"/>
          <w:vanish/>
        </w:rPr>
        <w:t>entBenefitPlansDefinedBenefitMemberncr:BeforeAge65Member2021-12-310000070866us-gaap:OtherPostretirementBenefitPlansDefinedBenefitMemberncr:AfterAge65Member2021-12-310000070866ncr:PostemploymentBenefitPlansDefinedBenefitMember2021-12-310000070866ncr:Postemp</w:t>
      </w:r>
      <w:r>
        <w:rPr>
          <w:rFonts w:eastAsia="Times New Roman"/>
          <w:vanish/>
        </w:rPr>
        <w:t>loymentBenefitPlansDefinedBenefitMember2020-12-310000070866ncr:PostemploymentBenefitPlansDefinedBenefitMember2022-01-012022-12-310000070866ncr:PostemploymentBenefitPlansDefinedBenefitMember2021-01-012021-12-310000070866ncr:PostemploymentBenefitPlansDefined</w:t>
      </w:r>
      <w:r>
        <w:rPr>
          <w:rFonts w:eastAsia="Times New Roman"/>
          <w:vanish/>
        </w:rPr>
        <w:t>BenefitMember2022-12-310000070866ncr:PostemploymentBenefitPlansDefinedBenefitMember2020-01-012020-12-310000070866ncr:DefinedContributionUSPlanMember2022-01-012022-12-310000070866ncr:DefinedContributionUSPlanMember2021-01-012021-12-310000070866ncr:DefinedCo</w:t>
      </w:r>
      <w:r>
        <w:rPr>
          <w:rFonts w:eastAsia="Times New Roman"/>
          <w:vanish/>
        </w:rPr>
        <w:t>ntributionUSPlanMember2020-01-012020-12-310000070866ncr:DefinedContributionAllOtherPlansMember2022-01-012022-12-310000070866ncr:DefinedContributionAllOtherPlansMember2021-01-012021-12-310000070866ncr:DefinedContributionAllOtherPlansMember2020-01-012020-12-</w:t>
      </w:r>
      <w:r>
        <w:rPr>
          <w:rFonts w:eastAsia="Times New Roman"/>
          <w:vanish/>
        </w:rPr>
        <w:t>310000070866ncr:CloudOfChangeLLCMember2022-10-272022-10-270000070866us-gaap:SubsequentEventMemberncr:CloudOfChangeLLCMember2023-02-270000070866ncr:FoxRiverSiteMember2022-12-31ncr:entity0000070866ncr:FoxRiverSiteMember2021-12-310000070866ncr:KalamazooRiverS</w:t>
      </w:r>
      <w:r>
        <w:rPr>
          <w:rFonts w:eastAsia="Times New Roman"/>
          <w:vanish/>
        </w:rPr>
        <w:t>iteMember2022-12-31ncr:company0000070866ncr:KalamazooRiverSiteMember2010-12-31ncr:defendantncr:affiliateCorporation0000070866ncr:KalamazooRiverSiteMember2013-12-310000070866ncr:KalamazooRiverSiteMember2018-03-292018-03-290000070866ncr:KalamazooRiverSiteMem</w:t>
      </w:r>
      <w:r>
        <w:rPr>
          <w:rFonts w:eastAsia="Times New Roman"/>
          <w:vanish/>
        </w:rPr>
        <w:t>ber2018-03-290000070866ncr:CompanyOneMemberncr:KalamazooRiverSiteMember2018-03-292018-03-290000070866ncr:CompanyTwoMemberncr:KalamazooRiverSiteMember2018-03-292018-03-290000070866ncr:KalamazooRiverSiteMember2021-12-310000070866srt:MinimumMemberncr:Kalamazo</w:t>
      </w:r>
      <w:r>
        <w:rPr>
          <w:rFonts w:eastAsia="Times New Roman"/>
          <w:vanish/>
        </w:rPr>
        <w:t>oRiverSiteMember2022-12-310000070866srt:MaximumMemberncr:KalamazooRiverSiteMember2022-12-310000070866ncr:EbinaMember2022-12-310000070866ncr:EbinaMember2021-12-3100000708662021-12-012021-12-310000070866us-gaap:ConvertiblePreferredStockMember2015-12-04000007</w:t>
      </w:r>
      <w:r>
        <w:rPr>
          <w:rFonts w:eastAsia="Times New Roman"/>
          <w:vanish/>
        </w:rPr>
        <w:t>0866us-gaap:ConvertiblePreferredStockMember2017-03-170000070866us-gaap:ConvertiblePreferredStockMember2019-09-180000070866us-gaap:ConvertiblePreferredStockMember2019-09-182019-09-180000070866us-gaap:ConvertiblePreferredStockMember2020-10-060000070866us-gaa</w:t>
      </w:r>
      <w:r>
        <w:rPr>
          <w:rFonts w:eastAsia="Times New Roman"/>
          <w:vanish/>
        </w:rPr>
        <w:t>p:ConvertiblePreferredStockMember2020-10-1200000708662020-10-062020-10-06utr:Rate0000070866us-gaap:ConvertiblePreferredStockMember2022-12-310000070866us-gaap:ConvertiblePreferredStockMember2022-01-012022-12-3100000708662018-12-040000070866us-gaap:SeriesAPr</w:t>
      </w:r>
      <w:r>
        <w:rPr>
          <w:rFonts w:eastAsia="Times New Roman"/>
          <w:vanish/>
        </w:rPr>
        <w:t>eferredStockMember2022-01-012022-12-310000070866ncr:RestrictedStockUnitsRSUsandStockOptionsMember2022-01-012022-12-310000070866us-gaap:SeriesAPreferredStockMember2021-01-012021-12-310000070866ncr:RestrictedStockUnitsRSUsandStockOptionsMember2021-01-012021-</w:t>
      </w:r>
      <w:r>
        <w:rPr>
          <w:rFonts w:eastAsia="Times New Roman"/>
          <w:vanish/>
        </w:rPr>
        <w:t>12-310000070866us-gaap:SeriesAPreferredStockMember2020-01-012020-12-310000070866ncr:RestrictedStockUnitsRSUsandStockOptionsMember2020-01-012020-12-31ncr:currency0000070866us-gaap:AccumulatedGainLossCashFlowHedgeIncludingNoncontrollingInterestMemberus-gaap:</w:t>
      </w:r>
      <w:r>
        <w:rPr>
          <w:rFonts w:eastAsia="Times New Roman"/>
          <w:vanish/>
        </w:rPr>
        <w:t>ForeignExchangeContractMember2022-12-310000070866us-gaap:SwapMember2022-01-3100000708662022-01-310000070866ncr:TerminatedInterestRateCapMember2022-03-3100000708662022-03-012022-03-3100000708662022-03-310000070866srt:MinimumMember2022-03-310000070866srt:Max</w:t>
      </w:r>
      <w:r>
        <w:rPr>
          <w:rFonts w:eastAsia="Times New Roman"/>
          <w:vanish/>
        </w:rPr>
        <w:t>imumMember2022-03-310000070866ncr:TerminatedInterestRateCapMember2022-06-3000000708662022-06-012022-06-300000070866srt:MinimumMember2022-06-300000070866srt:MaximumMember2022-06-300000070866ncr:AOCIAttributableToInterestRateDerivativesMember2022-12-31000007</w:t>
      </w:r>
      <w:r>
        <w:rPr>
          <w:rFonts w:eastAsia="Times New Roman"/>
          <w:vanish/>
        </w:rPr>
        <w:t>0866ncr:AOCIAttributableToInterestRateDerivativesMember2021-12-310000070866us-gaap:InterestRateCapMemberus-gaap:PrepaidExpensesAndOtherCurrentAssetsMemberus-gaap:DesignatedAsHedgingInstrumentMember2022-12-310000070866us-gaap:InterestRateCapMemberus-gaap:Ot</w:t>
      </w:r>
      <w:r>
        <w:rPr>
          <w:rFonts w:eastAsia="Times New Roman"/>
          <w:vanish/>
        </w:rPr>
        <w:t>herCurrentLiabilitiesMemberus-gaap:DesignatedAsHedgingInstrumentMember2022-12-310000070866us-gaap:OtherAssetsMemberus-gaap:InterestRateCapMemberus-gaap:DesignatedAsHedgingInstrumentMember2022-12-310000070866us-gaap:OtherLiabilitiesMemberus-gaap:InterestRat</w:t>
      </w:r>
      <w:r>
        <w:rPr>
          <w:rFonts w:eastAsia="Times New Roman"/>
          <w:vanish/>
        </w:rPr>
        <w:t>eCapMemberus-gaap:DesignatedAsHedgingInstrumentMember2022-12-310000070866us-gaap:DesignatedAsHedgingInstrumentMember2022-12-310000070866us-gaap:NondesignatedMemberus-gaap:ForeignExchangeContractMember2022-12-310000070866us-gaap:NondesignatedMember2022-12-3</w:t>
      </w:r>
      <w:r>
        <w:rPr>
          <w:rFonts w:eastAsia="Times New Roman"/>
          <w:vanish/>
        </w:rPr>
        <w:t>10000070866us-gaap:InterestRateCapMemberus-gaap:DesignatedAsHedgingInstrumentMember2021-12-310000070866us-gaap:DesignatedAsHedgingInstrumentMember2021-12-310000070866us-gaap:NondesignatedMemberus-gaap:ForeignExchangeContractMember2021-12-310000070866us-gaa</w:t>
      </w:r>
      <w:r>
        <w:rPr>
          <w:rFonts w:eastAsia="Times New Roman"/>
          <w:vanish/>
        </w:rPr>
        <w:t>p:NondesignatedMember2021-12-310000070866us-gaap:InterestRateContractMemberus-gaap:CashFlowHedgingMemberus-gaap:CostOfSalesMember2022-01-012022-12-310000070866us-gaap:InterestRateContractMemberus-gaap:CashFlowHedgingMemberus-gaap:CostOfSalesMember2021-01-0</w:t>
      </w:r>
      <w:r>
        <w:rPr>
          <w:rFonts w:eastAsia="Times New Roman"/>
          <w:vanish/>
        </w:rPr>
        <w:t>12021-12-310000070866us-gaap:InterestRateContractMemberus-gaap:CashFlowHedgingMemberus-gaap:CostOfSalesMember2020-01-012020-12-310000070866us-gaap:InterestRateContractMemberus-gaap:CashFlowHedgingMemberus-gaap:InterestExpenseMember2022-01-012022-12-3100000</w:t>
      </w:r>
      <w:r>
        <w:rPr>
          <w:rFonts w:eastAsia="Times New Roman"/>
          <w:vanish/>
        </w:rPr>
        <w:t>70866us-gaap:InterestRateContractMemberus-gaap:CashFlowHedgingMemberus-gaap:InterestExpenseMember2021-01-012021-12-310000070866us-gaap:InterestRateContractMemberus-gaap:CashFlowHedgingMemberus-gaap:InterestExpenseMember2020-01-012020-12-310000070866ncr:Cos</w:t>
      </w:r>
      <w:r>
        <w:rPr>
          <w:rFonts w:eastAsia="Times New Roman"/>
          <w:vanish/>
        </w:rPr>
        <w:t>tOfProductsMemberus-gaap:ForeignExchangeContractMemberus-gaap:CashFlowHedgingMember2022-01-012022-12-310000070866ncr:CostOfProductsMemberus-gaap:ForeignExchangeContractMemberus-gaap:CashFlowHedgingMember2021-01-012021-12-310000070866ncr:CostOfProductsMembe</w:t>
      </w:r>
      <w:r>
        <w:rPr>
          <w:rFonts w:eastAsia="Times New Roman"/>
          <w:vanish/>
        </w:rPr>
        <w:t>rus-gaap:ForeignExchangeContractMemberus-gaap:CashFlowHedgingMember2020-01-012020-12-310000070866us-gaap:ForeignExchangeContractMemberncr:OtherIncomeExpenseMember2022-01-012022-12-310000070866us-gaap:ForeignExchangeContractMemberncr:OtherIncomeExpenseMembe</w:t>
      </w:r>
      <w:r>
        <w:rPr>
          <w:rFonts w:eastAsia="Times New Roman"/>
          <w:vanish/>
        </w:rPr>
        <w:t>r2021-01-012021-12-310000070866us-gaap:ForeignExchangeContractMemberncr:OtherIncomeExpenseMember2020-01-012020-12-310000070866us-gaap:CashFlowHedgingMember2022-01-012022-12-310000070866us-gaap:CashFlowHedgingMember2021-01-012021-12-310000070866us-gaap:Cash</w:t>
      </w:r>
      <w:r>
        <w:rPr>
          <w:rFonts w:eastAsia="Times New Roman"/>
          <w:vanish/>
        </w:rPr>
        <w:t>FlowHedgingMember2020-01-012020-12-310000070866us-gaap:EstimateOfFairValueFairValueDisclosureMemberus-gaap:FairValueMeasurementsRecurringMember2022-12-310000070866us-gaap:FairValueInputsLevel1Memberus-gaap:FairValueMeasurementsRecurringMember2022-12-310000</w:t>
      </w:r>
      <w:r>
        <w:rPr>
          <w:rFonts w:eastAsia="Times New Roman"/>
          <w:vanish/>
        </w:rPr>
        <w:t>070866us-gaap:FairValueInputsLevel2Memberus-gaap:FairValueMeasurementsRecurringMember2022-12-310000070866us-gaap:FairValueInputsLevel3Memberus-gaap:FairValueMeasurementsRecurringMember2022-12-310000070866us-gaap:EstimateOfFairValueFairValueDisclosureMember</w:t>
      </w:r>
      <w:r>
        <w:rPr>
          <w:rFonts w:eastAsia="Times New Roman"/>
          <w:vanish/>
        </w:rPr>
        <w:t>us-gaap:FairValueMeasurementsRecurringMember2021-12-310000070866us-gaap:FairValueInputsLevel1Memberus-gaap:FairValueMeasurementsRecurringMember2021-12-310000070866us-gaap:FairValueInputsLevel2Memberus-gaap:FairValueMeasurementsRecurringMember2021-12-310000</w:t>
      </w:r>
      <w:r>
        <w:rPr>
          <w:rFonts w:eastAsia="Times New Roman"/>
          <w:vanish/>
        </w:rPr>
        <w:t>070866us-gaap:FairValueInputsLevel3Memberus-gaap:FairValueMeasurementsRecurringMember2021-12-310000070866us-gaap:AccumulatedTranslationAdjustmentMember2019-12-310000070866us-gaap:AccumulatedDefinedBenefitPlansAdjustmentMember2019-12-310000070866us-gaap:Acc</w:t>
      </w:r>
      <w:r>
        <w:rPr>
          <w:rFonts w:eastAsia="Times New Roman"/>
          <w:vanish/>
        </w:rPr>
        <w:t>umulatedGainLossNetCashFlowHedgeParentMember2019-12-310000070866us-gaap:AccumulatedTranslationAdjustmentMember2020-01-012020-12-310000070866us-gaap:AccumulatedDefinedBenefitPlansAdjustmentMember2020-01-012020-12-310000070866us-gaap:AccumulatedGainLossNetCa</w:t>
      </w:r>
      <w:r>
        <w:rPr>
          <w:rFonts w:eastAsia="Times New Roman"/>
          <w:vanish/>
        </w:rPr>
        <w:t>shFlowHedgeParentMember2020-01-012020-12-310000070866us-gaap:AccumulatedTranslationAdjustmentMember2020-12-310000070866us-gaap:AccumulatedDefinedBenefitPlansAdjustmentMember2020-12-310000070866us-gaap:AccumulatedGainLossNetCashFlowHedgeParentMember2020-12-</w:t>
      </w:r>
      <w:r>
        <w:rPr>
          <w:rFonts w:eastAsia="Times New Roman"/>
          <w:vanish/>
        </w:rPr>
        <w:t>310000070866us-gaap:AccumulatedTranslationAdjustmentMember2021-01-012021-12-310000070866us-gaap:AccumulatedDefinedBenefitPlansAdjustmentMember2021-01-012021-12-310000070866us-gaap:AccumulatedGainLossNetCashFlowHedgeParentMember2021-01-012021-12-31000007086</w:t>
      </w:r>
      <w:r>
        <w:rPr>
          <w:rFonts w:eastAsia="Times New Roman"/>
          <w:vanish/>
        </w:rPr>
        <w:t>6us-gaap:AccumulatedTranslationAdjustmentMember2021-12-310000070866us-gaap:AccumulatedDefinedBenefitPlansAdjustmentMember2021-12-310000070866us-gaap:AccumulatedGainLossNetCashFlowHedgeParentMember2021-12-310000070866us-gaap:AccumulatedTranslationAdjustment</w:t>
      </w:r>
      <w:r>
        <w:rPr>
          <w:rFonts w:eastAsia="Times New Roman"/>
          <w:vanish/>
        </w:rPr>
        <w:t>Member2022-01-012022-12-310000070866us-gaap:AccumulatedDefinedBenefitPlansAdjustmentMember2022-01-012022-12-310000070866us-gaap:AccumulatedGainLossNetCashFlowHedgeParentMember2022-01-012022-12-310000070866us-gaap:AccumulatedTranslationAdjustmentMember2022-</w:t>
      </w:r>
      <w:r>
        <w:rPr>
          <w:rFonts w:eastAsia="Times New Roman"/>
          <w:vanish/>
        </w:rPr>
        <w:t>12-310000070866us-gaap:AccumulatedDefinedBenefitPlansAdjustmentMember2022-12-310000070866us-gaap:AccumulatedGainLossNetCashFlowHedgeParentMember2022-12-310000070866us-gaap:AccumulatedDefinedBenefitPlansAdjustmentNetUnamortizedGainLossMemberus-gaap:ProductM</w:t>
      </w:r>
      <w:r>
        <w:rPr>
          <w:rFonts w:eastAsia="Times New Roman"/>
          <w:vanish/>
        </w:rPr>
        <w:t>emberus-gaap:ReclassificationOutOfAccumulatedOtherComprehensiveIncomeMember2022-01-012022-12-310000070866us-gaap:ProductMemberus-gaap:ReclassificationOutOfAccumulatedOtherComprehensiveIncomeMemberus-gaap:AccumulatedDefinedBenefitPlansAdjustmentNetPriorServ</w:t>
      </w:r>
      <w:r>
        <w:rPr>
          <w:rFonts w:eastAsia="Times New Roman"/>
          <w:vanish/>
        </w:rPr>
        <w:t>iceCostCreditMember2022-01-012022-12-310000070866us-gaap:ProductMemberus-gaap:ReclassificationOutOfAccumulatedOtherComprehensiveIncomeMemberus-gaap:AccumulatedGainLossNetCashFlowHedgeParentMember2022-01-012022-12-310000070866us-gaap:ProductMemberus-gaap:Re</w:t>
      </w:r>
      <w:r>
        <w:rPr>
          <w:rFonts w:eastAsia="Times New Roman"/>
          <w:vanish/>
        </w:rPr>
        <w:t>classificationOutOfAccumulatedOtherComprehensiveIncomeMember2022-01-012022-12-310000070866us-gaap:AccumulatedDefinedBenefitPlansAdjustmentNetUnamortizedGainLossMemberus-gaap:ReclassificationOutOfAccumulatedOtherComprehensiveIncomeMemberus-gaap:ServiceMembe</w:t>
      </w:r>
      <w:r>
        <w:rPr>
          <w:rFonts w:eastAsia="Times New Roman"/>
          <w:vanish/>
        </w:rPr>
        <w:t>r2022-01-012022-12-310000070866us-gaap:ReclassificationOutOfAccumulatedOtherComprehensiveIncomeMemberus-gaap:ServiceMemberus-gaap:AccumulatedDefinedBenefitPlansAdjustmentNetPriorServiceCostCreditMember2022-01-012022-12-310000070866us-gaap:ReclassificationO</w:t>
      </w:r>
      <w:r>
        <w:rPr>
          <w:rFonts w:eastAsia="Times New Roman"/>
          <w:vanish/>
        </w:rPr>
        <w:t>utOfAccumulatedOtherComprehensiveIncomeMemberus-gaap:AccumulatedGainLossNetCashFlowHedgeParentMemberus-gaap:ServiceMember2022-01-012022-12-310000070866us-gaap:ReclassificationOutOfAccumulatedOtherComprehensiveIncomeMemberus-gaap:ServiceMember2022-01-012022</w:t>
      </w:r>
      <w:r>
        <w:rPr>
          <w:rFonts w:eastAsia="Times New Roman"/>
          <w:vanish/>
        </w:rPr>
        <w:t>-12-310000070866us-gaap:AccumulatedDefinedBenefitPlansAdjustmentNetUnamortizedGainLossMemberus-gaap:ReclassificationOutOfAccumulatedOtherComprehensiveIncomeMember2022-01-012022-12-310000070866us-gaap:ReclassificationOutOfAccumulatedOtherComprehensiveIncome</w:t>
      </w:r>
      <w:r>
        <w:rPr>
          <w:rFonts w:eastAsia="Times New Roman"/>
          <w:vanish/>
        </w:rPr>
        <w:t>Memberus-gaap:AccumulatedDefinedBenefitPlansAdjustmentNetPriorServiceCostCreditMember2022-01-012022-12-310000070866us-gaap:ReclassificationOutOfAccumulatedOtherComprehensiveIncomeMemberus-gaap:AccumulatedGainLossNetCashFlowHedgeParentMember2022-01-012022-1</w:t>
      </w:r>
      <w:r>
        <w:rPr>
          <w:rFonts w:eastAsia="Times New Roman"/>
          <w:vanish/>
        </w:rPr>
        <w:t>2-310000070866us-gaap:ReclassificationOutOfAccumulatedOtherComprehensiveIncomeMember2022-01-012022-12-310000070866us-gaap:AccumulatedDefinedBenefitPlansAdjustmentNetUnamortizedGainLossMemberus-gaap:ProductMemberus-gaap:ReclassificationOutOfAccumulatedOther</w:t>
      </w:r>
      <w:r>
        <w:rPr>
          <w:rFonts w:eastAsia="Times New Roman"/>
          <w:vanish/>
        </w:rPr>
        <w:t>ComprehensiveIncomeMember2021-01-012021-12-310000070866us-gaap:ProductMemberus-gaap:ReclassificationOutOfAccumulatedOtherComprehensiveIncomeMemberus-gaap:AccumulatedDefinedBenefitPlansAdjustmentNetPriorServiceCostCreditMember2021-01-012021-12-310000070866u</w:t>
      </w:r>
      <w:r>
        <w:rPr>
          <w:rFonts w:eastAsia="Times New Roman"/>
          <w:vanish/>
        </w:rPr>
        <w:t>s-gaap:ProductMemberus-gaap:ReclassificationOutOfAccumulatedOtherComprehensiveIncomeMemberus-gaap:AccumulatedGainLossNetCashFlowHedgeParentMember2021-01-012021-12-310000070866us-gaap:ProductMemberus-gaap:ReclassificationOutOfAccumulatedOtherComprehensiveIn</w:t>
      </w:r>
      <w:r>
        <w:rPr>
          <w:rFonts w:eastAsia="Times New Roman"/>
          <w:vanish/>
        </w:rPr>
        <w:t>comeMember2021-01-012021-12-310000070866us-gaap:AccumulatedDefinedBenefitPlansAdjustmentNetUnamortizedGainLossMemberus-gaap:ReclassificationOutOfAccumulatedOtherComprehensiveIncomeMemberus-gaap:ServiceMember2021-01-012021-12-310000070866us-gaap:Reclassific</w:t>
      </w:r>
      <w:r>
        <w:rPr>
          <w:rFonts w:eastAsia="Times New Roman"/>
          <w:vanish/>
        </w:rPr>
        <w:t>ationOutOfAccumulatedOtherComprehensiveIncomeMemberus-gaap:ServiceMemberus-gaap:AccumulatedDefinedBenefitPlansAdjustmentNetPriorServiceCostCreditMember2021-01-012021-12-310000070866us-gaap:ReclassificationOutOfAccumulatedOtherComprehensiveIncomeMemberus-ga</w:t>
      </w:r>
      <w:r>
        <w:rPr>
          <w:rFonts w:eastAsia="Times New Roman"/>
          <w:vanish/>
        </w:rPr>
        <w:t>ap:AccumulatedGainLossNetCashFlowHedgeParentMemberus-gaap:ServiceMember2021-01-012021-12-310000070866us-gaap:ReclassificationOutOfAccumulatedOtherComprehensiveIncomeMemberus-gaap:ServiceMember2021-01-012021-12-310000070866us-gaap:AccumulatedDefinedBenefitP</w:t>
      </w:r>
      <w:r>
        <w:rPr>
          <w:rFonts w:eastAsia="Times New Roman"/>
          <w:vanish/>
        </w:rPr>
        <w:t>lansAdjustmentNetUnamortizedGainLossMemberus-gaap:ReclassificationOutOfAccumulatedOtherComprehensiveIncomeMember2021-01-012021-12-310000070866us-gaap:ReclassificationOutOfAccumulatedOtherComprehensiveIncomeMemberus-gaap:AccumulatedDefinedBenefitPlansAdjust</w:t>
      </w:r>
      <w:r>
        <w:rPr>
          <w:rFonts w:eastAsia="Times New Roman"/>
          <w:vanish/>
        </w:rPr>
        <w:t>mentNetPriorServiceCostCreditMember2021-01-012021-12-310000070866us-gaap:ReclassificationOutOfAccumulatedOtherComprehensiveIncomeMemberus-gaap:AccumulatedGainLossNetCashFlowHedgeParentMember2021-01-012021-12-310000070866us-gaap:ReclassificationOutOfAccumul</w:t>
      </w:r>
      <w:r>
        <w:rPr>
          <w:rFonts w:eastAsia="Times New Roman"/>
          <w:vanish/>
        </w:rPr>
        <w:t>atedOtherComprehensiveIncomeMember2021-01-012021-12-310000070866us-gaap:AccumulatedDefinedBenefitPlansAdjustmentNetUnamortizedGainLossMemberus-gaap:ProductMemberus-gaap:ReclassificationOutOfAccumulatedOtherComprehensiveIncomeMember2020-01-012020-12-3100000</w:t>
      </w:r>
      <w:r>
        <w:rPr>
          <w:rFonts w:eastAsia="Times New Roman"/>
          <w:vanish/>
        </w:rPr>
        <w:t>70866us-gaap:ProductMemberus-gaap:ReclassificationOutOfAccumulatedOtherComprehensiveIncomeMemberus-gaap:AccumulatedDefinedBenefitPlansAdjustmentNetPriorServiceCostCreditMember2020-01-012020-12-310000070866us-gaap:ProductMemberus-gaap:ReclassificationOutOfA</w:t>
      </w:r>
      <w:r>
        <w:rPr>
          <w:rFonts w:eastAsia="Times New Roman"/>
          <w:vanish/>
        </w:rPr>
        <w:t>ccumulatedOtherComprehensiveIncomeMemberus-gaap:AccumulatedGainLossNetCashFlowHedgeParentMember2020-01-012020-12-310000070866us-gaap:ProductMemberus-gaap:ReclassificationOutOfAccumulatedOtherComprehensiveIncomeMember2020-01-012020-12-310000070866us-gaap:Ac</w:t>
      </w:r>
      <w:r>
        <w:rPr>
          <w:rFonts w:eastAsia="Times New Roman"/>
          <w:vanish/>
        </w:rPr>
        <w:t>cumulatedDefinedBenefitPlansAdjustmentNetUnamortizedGainLossMemberus-gaap:ReclassificationOutOfAccumulatedOtherComprehensiveIncomeMemberus-gaap:ServiceMember2020-01-012020-12-310000070866us-gaap:ReclassificationOutOfAccumulatedOtherComprehensiveIncomeMembe</w:t>
      </w:r>
      <w:r>
        <w:rPr>
          <w:rFonts w:eastAsia="Times New Roman"/>
          <w:vanish/>
        </w:rPr>
        <w:t>rus-gaap:ServiceMemberus-gaap:AccumulatedDefinedBenefitPlansAdjustmentNetPriorServiceCostCreditMember2020-01-012020-12-310000070866us-gaap:ReclassificationOutOfAccumulatedOtherComprehensiveIncomeMemberus-gaap:AccumulatedGainLossNetCashFlowHedgeParentMember</w:t>
      </w:r>
      <w:r>
        <w:rPr>
          <w:rFonts w:eastAsia="Times New Roman"/>
          <w:vanish/>
        </w:rPr>
        <w:t>us-gaap:ServiceMember2020-01-012020-12-310000070866us-gaap:ReclassificationOutOfAccumulatedOtherComprehensiveIncomeMemberus-gaap:ServiceMember2020-01-012020-12-310000070866us-gaap:AccumulatedDefinedBenefitPlansAdjustmentNetUnamortizedGainLossMemberus-gaap:</w:t>
      </w:r>
      <w:r>
        <w:rPr>
          <w:rFonts w:eastAsia="Times New Roman"/>
          <w:vanish/>
        </w:rPr>
        <w:t>ReclassificationOutOfAccumulatedOtherComprehensiveIncomeMember2020-01-012020-12-310000070866us-gaap:ReclassificationOutOfAccumulatedOtherComprehensiveIncomeMemberus-gaap:AccumulatedDefinedBenefitPlansAdjustmentNetPriorServiceCostCreditMember2020-01-012020-</w:t>
      </w:r>
      <w:r>
        <w:rPr>
          <w:rFonts w:eastAsia="Times New Roman"/>
          <w:vanish/>
        </w:rPr>
        <w:t>12-310000070866us-gaap:ReclassificationOutOfAccumulatedOtherComprehensiveIncomeMemberus-gaap:AccumulatedGainLossNetCashFlowHedgeParentMember2020-01-012020-12-310000070866us-gaap:ReclassificationOutOfAccumulatedOtherComprehensiveIncomeMember2020-01-012020-1</w:t>
      </w:r>
      <w:r>
        <w:rPr>
          <w:rFonts w:eastAsia="Times New Roman"/>
          <w:vanish/>
        </w:rPr>
        <w:t>2-310000070866srt:RevisionOfPriorPeriodErrorCorrectionAdjustmentMember2022-12-310000070866srt:RevisionOfPriorPeriodErrorCorrectionAdjustmentMember2022-10-012022-12-310000070866srt:RevisionOfPriorPeriodErrorCorrectionAdjustmentMember2022-01-012022-03-310000</w:t>
      </w:r>
      <w:r>
        <w:rPr>
          <w:rFonts w:eastAsia="Times New Roman"/>
          <w:vanish/>
        </w:rPr>
        <w:t>070866srt:RevisionOfPriorPeriodErrorCorrectionAdjustmentMember2022-04-012022-06-300000070866srt:RevisionOfPriorPeriodErrorCorrectionAdjustmentMember2022-07-012022-09-300000070866srt:RevisionOfPriorPeriodErrorCorrectionAdjustmentMember2022-01-012022-12-3100</w:t>
      </w:r>
      <w:r>
        <w:rPr>
          <w:rFonts w:eastAsia="Times New Roman"/>
          <w:vanish/>
        </w:rPr>
        <w:t>000708662021-10-012021-12-3100000708662020-10-012020-12-310000070866us-gaap:LandAndLandImprovementsMember2022-12-310000070866us-gaap:LandAndLandImprovementsMember2021-12-310000070866us-gaap:BuildingAndBuildingImprovementsMember2022-12-310000070866us-gaap:B</w:t>
      </w:r>
      <w:r>
        <w:rPr>
          <w:rFonts w:eastAsia="Times New Roman"/>
          <w:vanish/>
        </w:rPr>
        <w:t>uildingAndBuildingImprovementsMember2021-12-310000070866us-gaap:MachineryAndEquipmentMember2022-12-310000070866us-gaap:MachineryAndEquipmentMember2021-12-310000070866us-gaap:AllowanceForCreditLossMember2021-12-310000070866us-gaap:AllowanceForCreditLossMemb</w:t>
      </w:r>
      <w:r>
        <w:rPr>
          <w:rFonts w:eastAsia="Times New Roman"/>
          <w:vanish/>
        </w:rPr>
        <w:t>er2022-12-310000070866us-gaap:ValuationAllowanceOfDeferredTaxAssetsMember2021-12-310000070866us-gaap:ValuationAllowanceOfDeferredTaxAssetsMember2022-01-012022-12-310000070866us-gaap:ValuationAllowanceOfDeferredTaxAssetsMember2022-12-310000070866us-gaap:All</w:t>
      </w:r>
      <w:r>
        <w:rPr>
          <w:rFonts w:eastAsia="Times New Roman"/>
          <w:vanish/>
        </w:rPr>
        <w:t>owanceForCreditLossMember2020-12-310000070866us-gaap:ValuationAllowanceOfDeferredTaxAssetsMember2020-12-310000070866us-gaap:ValuationAllowanceOfDeferredTaxAssetsMember2021-01-012021-12-310000070866us-gaap:AllowanceForCreditLossMember2019-12-310000070866us-</w:t>
      </w:r>
      <w:r>
        <w:rPr>
          <w:rFonts w:eastAsia="Times New Roman"/>
          <w:vanish/>
        </w:rPr>
        <w:t>gaap:AllowanceForCreditLossMember2020-01-012020-12-310000070866us-gaap:ValuationAllowanceOfDeferredTaxAssetsMember2019-12-310000070866us-gaap:ValuationAllowanceOfDeferredTaxAssetsMember2020-01-012020-12-31</w:t>
      </w:r>
    </w:p>
    <w:p w:rsidR="00000000" w:rsidRDefault="0040289C">
      <w:pPr>
        <w:divId w:val="90190979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140294538"/>
        <w:rPr>
          <w:rFonts w:eastAsia="Times New Roman"/>
        </w:rPr>
      </w:pPr>
    </w:p>
    <w:tbl>
      <w:tblPr>
        <w:tblW w:w="4279" w:type="pct"/>
        <w:jc w:val="center"/>
        <w:tblCellMar>
          <w:top w:w="15" w:type="dxa"/>
          <w:left w:w="15" w:type="dxa"/>
          <w:bottom w:w="15" w:type="dxa"/>
          <w:right w:w="15" w:type="dxa"/>
        </w:tblCellMar>
        <w:tblLook w:val="04A0" w:firstRow="1" w:lastRow="0" w:firstColumn="1" w:lastColumn="0" w:noHBand="0" w:noVBand="1"/>
      </w:tblPr>
      <w:tblGrid>
        <w:gridCol w:w="56"/>
        <w:gridCol w:w="7016"/>
        <w:gridCol w:w="36"/>
      </w:tblGrid>
      <w:tr w:rsidR="00000000">
        <w:trPr>
          <w:jc w:val="center"/>
        </w:trPr>
        <w:tc>
          <w:tcPr>
            <w:tcW w:w="50" w:type="pct"/>
            <w:vAlign w:val="center"/>
            <w:hideMark/>
          </w:tcPr>
          <w:p w:rsidR="00000000" w:rsidRDefault="0040289C">
            <w:pPr>
              <w:jc w:val="right"/>
              <w:rPr>
                <w:rFonts w:eastAsia="Times New Roman"/>
              </w:rPr>
            </w:pPr>
          </w:p>
        </w:tc>
        <w:tc>
          <w:tcPr>
            <w:tcW w:w="494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jc w:val="center"/>
        <w:rPr>
          <w:rFonts w:eastAsia="Times New Roman"/>
        </w:rPr>
      </w:pPr>
      <w:r>
        <w:rPr>
          <w:rFonts w:eastAsia="Times New Roman"/>
          <w:b/>
          <w:bCs/>
          <w:color w:val="000000"/>
          <w:sz w:val="36"/>
          <w:szCs w:val="36"/>
        </w:rPr>
        <w:t>UNITED STATES</w:t>
      </w:r>
    </w:p>
    <w:p w:rsidR="00000000" w:rsidRDefault="0040289C">
      <w:pPr>
        <w:jc w:val="center"/>
        <w:rPr>
          <w:rFonts w:eastAsia="Times New Roman"/>
        </w:rPr>
      </w:pPr>
      <w:r>
        <w:rPr>
          <w:rFonts w:eastAsia="Times New Roman"/>
          <w:b/>
          <w:bCs/>
          <w:color w:val="000000"/>
          <w:sz w:val="36"/>
          <w:szCs w:val="36"/>
        </w:rPr>
        <w:t>SECURITIES AND EXCHANGE COMMISSION</w:t>
      </w:r>
    </w:p>
    <w:p w:rsidR="00000000" w:rsidRDefault="0040289C">
      <w:pPr>
        <w:jc w:val="center"/>
        <w:rPr>
          <w:rFonts w:eastAsia="Times New Roman"/>
        </w:rPr>
      </w:pPr>
      <w:r>
        <w:rPr>
          <w:rFonts w:eastAsia="Times New Roman"/>
          <w:b/>
          <w:bCs/>
          <w:color w:val="000000"/>
        </w:rPr>
        <w:t>Washington, D.C. 20549</w:t>
      </w:r>
    </w:p>
    <w:p w:rsidR="00000000" w:rsidRDefault="0040289C">
      <w:pPr>
        <w:jc w:val="center"/>
        <w:divId w:val="388267341"/>
        <w:rPr>
          <w:rFonts w:eastAsia="Times New Roman"/>
        </w:rPr>
      </w:pPr>
      <w:r>
        <w:rPr>
          <w:rFonts w:eastAsia="Times New Roman"/>
          <w:color w:val="000000"/>
          <w:sz w:val="20"/>
          <w:szCs w:val="20"/>
        </w:rPr>
        <w:t>________________________</w:t>
      </w:r>
    </w:p>
    <w:p w:rsidR="00000000" w:rsidRDefault="0040289C">
      <w:pPr>
        <w:jc w:val="center"/>
        <w:divId w:val="776026879"/>
        <w:rPr>
          <w:rFonts w:eastAsia="Times New Roman"/>
        </w:rPr>
      </w:pPr>
      <w:r>
        <w:rPr>
          <w:rFonts w:eastAsia="Times New Roman"/>
          <w:b/>
          <w:bCs/>
          <w:color w:val="000000"/>
          <w:sz w:val="36"/>
          <w:szCs w:val="36"/>
        </w:rPr>
        <w:t xml:space="preserve">FORM 10-K </w:t>
      </w:r>
    </w:p>
    <w:p w:rsidR="00000000" w:rsidRDefault="0040289C">
      <w:pPr>
        <w:jc w:val="center"/>
        <w:divId w:val="1708800064"/>
        <w:rPr>
          <w:rFonts w:eastAsia="Times New Roman"/>
        </w:rPr>
      </w:pPr>
      <w:r>
        <w:rPr>
          <w:rFonts w:eastAsia="Times New Roman"/>
          <w:color w:val="000000"/>
          <w:sz w:val="20"/>
          <w:szCs w:val="20"/>
        </w:rPr>
        <w:t>________________________</w:t>
      </w:r>
    </w:p>
    <w:p w:rsidR="00000000" w:rsidRDefault="0040289C">
      <w:pPr>
        <w:divId w:val="2070492657"/>
        <w:rPr>
          <w:rFonts w:eastAsia="Times New Roman"/>
        </w:rPr>
      </w:pPr>
      <w:r>
        <w:rPr>
          <w:rFonts w:eastAsia="Times New Roman"/>
          <w:b/>
          <w:bCs/>
          <w:color w:val="000000"/>
          <w:sz w:val="20"/>
          <w:szCs w:val="20"/>
        </w:rPr>
        <w:t>(Mark One)</w:t>
      </w:r>
    </w:p>
    <w:tbl>
      <w:tblPr>
        <w:tblW w:w="11055" w:type="dxa"/>
        <w:tblCellMar>
          <w:top w:w="15" w:type="dxa"/>
          <w:left w:w="15" w:type="dxa"/>
          <w:bottom w:w="15" w:type="dxa"/>
          <w:right w:w="15" w:type="dxa"/>
        </w:tblCellMar>
        <w:tblLook w:val="04A0" w:firstRow="1" w:lastRow="0" w:firstColumn="1" w:lastColumn="0" w:noHBand="0" w:noVBand="1"/>
      </w:tblPr>
      <w:tblGrid>
        <w:gridCol w:w="36"/>
        <w:gridCol w:w="379"/>
        <w:gridCol w:w="36"/>
        <w:gridCol w:w="36"/>
        <w:gridCol w:w="10532"/>
        <w:gridCol w:w="36"/>
      </w:tblGrid>
      <w:tr w:rsidR="00000000">
        <w:trPr>
          <w:divId w:val="1685277103"/>
        </w:trPr>
        <w:tc>
          <w:tcPr>
            <w:tcW w:w="20" w:type="dxa"/>
            <w:vAlign w:val="center"/>
            <w:hideMark/>
          </w:tcPr>
          <w:p w:rsidR="00000000" w:rsidRDefault="0040289C">
            <w:pPr>
              <w:rPr>
                <w:rFonts w:eastAsia="Times New Roman"/>
              </w:rPr>
            </w:pPr>
          </w:p>
        </w:tc>
        <w:tc>
          <w:tcPr>
            <w:tcW w:w="380" w:type="dxa"/>
            <w:vAlign w:val="center"/>
            <w:hideMark/>
          </w:tcPr>
          <w:p w:rsidR="00000000" w:rsidRDefault="0040289C">
            <w:pPr>
              <w:spacing w:after="100"/>
              <w:rPr>
                <w:rFonts w:eastAsia="Times New Roman"/>
                <w:sz w:val="20"/>
                <w:szCs w:val="20"/>
              </w:rPr>
            </w:pPr>
          </w:p>
        </w:tc>
        <w:tc>
          <w:tcPr>
            <w:tcW w:w="20" w:type="dxa"/>
            <w:vAlign w:val="center"/>
            <w:hideMark/>
          </w:tcPr>
          <w:p w:rsidR="00000000" w:rsidRDefault="0040289C">
            <w:pPr>
              <w:spacing w:after="100"/>
              <w:rPr>
                <w:rFonts w:eastAsia="Times New Roman"/>
                <w:sz w:val="20"/>
                <w:szCs w:val="20"/>
              </w:rPr>
            </w:pPr>
          </w:p>
        </w:tc>
        <w:tc>
          <w:tcPr>
            <w:tcW w:w="20" w:type="dxa"/>
            <w:vAlign w:val="center"/>
            <w:hideMark/>
          </w:tcPr>
          <w:p w:rsidR="00000000" w:rsidRDefault="0040289C">
            <w:pPr>
              <w:spacing w:after="100"/>
              <w:rPr>
                <w:rFonts w:eastAsia="Times New Roman"/>
                <w:sz w:val="20"/>
                <w:szCs w:val="20"/>
              </w:rPr>
            </w:pPr>
          </w:p>
        </w:tc>
        <w:tc>
          <w:tcPr>
            <w:tcW w:w="10595" w:type="dxa"/>
            <w:vAlign w:val="center"/>
            <w:hideMark/>
          </w:tcPr>
          <w:p w:rsidR="00000000" w:rsidRDefault="0040289C">
            <w:pPr>
              <w:spacing w:after="100"/>
              <w:rPr>
                <w:rFonts w:eastAsia="Times New Roman"/>
                <w:sz w:val="20"/>
                <w:szCs w:val="20"/>
              </w:rPr>
            </w:pPr>
          </w:p>
        </w:tc>
        <w:tc>
          <w:tcPr>
            <w:tcW w:w="20" w:type="dxa"/>
            <w:vAlign w:val="center"/>
            <w:hideMark/>
          </w:tcPr>
          <w:p w:rsidR="00000000" w:rsidRDefault="0040289C">
            <w:pPr>
              <w:spacing w:after="100"/>
              <w:rPr>
                <w:rFonts w:eastAsia="Times New Roman"/>
                <w:sz w:val="20"/>
                <w:szCs w:val="20"/>
              </w:rPr>
            </w:pPr>
          </w:p>
        </w:tc>
      </w:tr>
      <w:tr w:rsidR="00000000">
        <w:trPr>
          <w:divId w:val="1685277103"/>
          <w:trHeight w:val="300"/>
        </w:trPr>
        <w:tc>
          <w:tcPr>
            <w:tcW w:w="0" w:type="auto"/>
            <w:gridSpan w:val="3"/>
            <w:tcMar>
              <w:top w:w="30" w:type="dxa"/>
              <w:left w:w="20" w:type="dxa"/>
              <w:bottom w:w="30" w:type="dxa"/>
              <w:right w:w="20" w:type="dxa"/>
            </w:tcMar>
            <w:hideMark/>
          </w:tcPr>
          <w:p w:rsidR="00000000" w:rsidRDefault="0040289C">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ANNUAL REPORT PURSUANT TO SECTION 13 OR 15(d) OF THE SECURITIES EXCHANGE ACT OF 1934</w:t>
            </w:r>
          </w:p>
        </w:tc>
      </w:tr>
    </w:tbl>
    <w:tbl>
      <w:tblPr>
        <w:tblW w:w="4855" w:type="pct"/>
        <w:tblCellMar>
          <w:top w:w="15" w:type="dxa"/>
          <w:left w:w="15" w:type="dxa"/>
          <w:bottom w:w="15" w:type="dxa"/>
          <w:right w:w="15" w:type="dxa"/>
        </w:tblCellMar>
        <w:tblLook w:val="04A0" w:firstRow="1" w:lastRow="0" w:firstColumn="1" w:lastColumn="0" w:noHBand="0" w:noVBand="1"/>
      </w:tblPr>
      <w:tblGrid>
        <w:gridCol w:w="66"/>
        <w:gridCol w:w="188"/>
        <w:gridCol w:w="36"/>
        <w:gridCol w:w="67"/>
        <w:gridCol w:w="7672"/>
        <w:gridCol w:w="36"/>
      </w:tblGrid>
      <w:tr w:rsidR="00000000">
        <w:tc>
          <w:tcPr>
            <w:tcW w:w="50" w:type="pct"/>
            <w:vAlign w:val="center"/>
            <w:hideMark/>
          </w:tcPr>
          <w:p w:rsidR="00000000" w:rsidRDefault="0040289C">
            <w:pPr>
              <w:rPr>
                <w:rFonts w:eastAsia="Times New Roman"/>
              </w:rPr>
            </w:pPr>
          </w:p>
        </w:tc>
        <w:tc>
          <w:tcPr>
            <w:tcW w:w="1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6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divId w:val="1652518932"/>
              <w:rPr>
                <w:rFonts w:eastAsia="Times New Roman"/>
              </w:rPr>
            </w:pPr>
            <w:r>
              <w:rPr>
                <w:rFonts w:eastAsia="Times New Roman"/>
                <w:b/>
                <w:bCs/>
                <w:color w:val="000000"/>
                <w:sz w:val="20"/>
                <w:szCs w:val="20"/>
              </w:rPr>
              <w:t>For the fiscal year ended December 31, 2022</w:t>
            </w:r>
          </w:p>
        </w:tc>
      </w:tr>
    </w:tbl>
    <w:p w:rsidR="00000000" w:rsidRDefault="0040289C">
      <w:pPr>
        <w:divId w:val="2668130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7"/>
        <w:gridCol w:w="69"/>
        <w:gridCol w:w="4048"/>
        <w:gridCol w:w="36"/>
      </w:tblGrid>
      <w:tr w:rsidR="00000000">
        <w:trPr>
          <w:divId w:val="266813095"/>
        </w:trPr>
        <w:tc>
          <w:tcPr>
            <w:tcW w:w="50" w:type="pct"/>
            <w:vAlign w:val="center"/>
            <w:hideMark/>
          </w:tcPr>
          <w:p w:rsidR="00000000" w:rsidRDefault="0040289C">
            <w:pPr>
              <w:rPr>
                <w:rFonts w:eastAsia="Times New Roman"/>
              </w:rPr>
            </w:pPr>
          </w:p>
        </w:tc>
        <w:tc>
          <w:tcPr>
            <w:tcW w:w="244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4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266813095"/>
        </w:trPr>
        <w:tc>
          <w:tcPr>
            <w:tcW w:w="0" w:type="auto"/>
            <w:gridSpan w:val="6"/>
            <w:tcMar>
              <w:top w:w="30" w:type="dxa"/>
              <w:left w:w="20" w:type="dxa"/>
              <w:bottom w:w="30" w:type="dxa"/>
              <w:right w:w="20" w:type="dxa"/>
            </w:tcMar>
            <w:hideMark/>
          </w:tcPr>
          <w:p w:rsidR="00000000" w:rsidRDefault="0040289C">
            <w:pPr>
              <w:spacing w:after="100"/>
              <w:jc w:val="center"/>
              <w:rPr>
                <w:rFonts w:eastAsia="Times New Roman"/>
              </w:rPr>
            </w:pPr>
            <w:r>
              <w:rPr>
                <w:rFonts w:eastAsia="Times New Roman"/>
                <w:b/>
                <w:bCs/>
                <w:color w:val="000000"/>
                <w:sz w:val="20"/>
                <w:szCs w:val="20"/>
              </w:rPr>
              <w:t>or</w:t>
            </w:r>
          </w:p>
        </w:tc>
      </w:tr>
    </w:tbl>
    <w:tbl>
      <w:tblPr>
        <w:tblW w:w="4617" w:type="pct"/>
        <w:tblCellMar>
          <w:top w:w="15" w:type="dxa"/>
          <w:left w:w="15" w:type="dxa"/>
          <w:bottom w:w="15" w:type="dxa"/>
          <w:right w:w="15" w:type="dxa"/>
        </w:tblCellMar>
        <w:tblLook w:val="04A0" w:firstRow="1" w:lastRow="0" w:firstColumn="1" w:lastColumn="0" w:noHBand="0" w:noVBand="1"/>
      </w:tblPr>
      <w:tblGrid>
        <w:gridCol w:w="62"/>
        <w:gridCol w:w="191"/>
        <w:gridCol w:w="36"/>
        <w:gridCol w:w="63"/>
        <w:gridCol w:w="7282"/>
        <w:gridCol w:w="36"/>
      </w:tblGrid>
      <w:tr w:rsidR="00000000">
        <w:tc>
          <w:tcPr>
            <w:tcW w:w="50" w:type="pct"/>
            <w:vAlign w:val="center"/>
            <w:hideMark/>
          </w:tcPr>
          <w:p w:rsidR="00000000" w:rsidRDefault="0040289C">
            <w:pPr>
              <w:rPr>
                <w:rFonts w:eastAsia="Times New Roman"/>
              </w:rPr>
            </w:pPr>
          </w:p>
        </w:tc>
        <w:tc>
          <w:tcPr>
            <w:tcW w:w="1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5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548999353"/>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TRANSITION REPORT PURSUANT TO SECTION 13 OR 15(d) OF THE SECURITIES EXCHANGE ACT OF 1934</w:t>
            </w:r>
            <w:r>
              <w:rPr>
                <w:rFonts w:eastAsia="Times New Roman"/>
                <w:b/>
                <w:bCs/>
                <w:color w:val="000000"/>
                <w:sz w:val="20"/>
                <w:szCs w:val="20"/>
              </w:rPr>
              <w:br/>
            </w:r>
            <w:r>
              <w:rPr>
                <w:rFonts w:eastAsia="Times New Roman"/>
                <w:b/>
                <w:bCs/>
                <w:color w:val="000000"/>
                <w:sz w:val="20"/>
                <w:szCs w:val="20"/>
              </w:rPr>
              <w:br/>
              <w:t>For the transition period from ____________ to ____________</w:t>
            </w:r>
          </w:p>
        </w:tc>
      </w:tr>
    </w:tbl>
    <w:p w:rsidR="00000000" w:rsidRDefault="0040289C">
      <w:pPr>
        <w:divId w:val="1868566216"/>
        <w:rPr>
          <w:rFonts w:eastAsia="Times New Roman"/>
        </w:rPr>
      </w:pPr>
    </w:p>
    <w:tbl>
      <w:tblPr>
        <w:tblW w:w="4786" w:type="pct"/>
        <w:tblCellMar>
          <w:top w:w="15" w:type="dxa"/>
          <w:left w:w="15" w:type="dxa"/>
          <w:bottom w:w="15" w:type="dxa"/>
          <w:right w:w="15" w:type="dxa"/>
        </w:tblCellMar>
        <w:tblLook w:val="04A0" w:firstRow="1" w:lastRow="0" w:firstColumn="1" w:lastColumn="0" w:noHBand="0" w:noVBand="1"/>
      </w:tblPr>
      <w:tblGrid>
        <w:gridCol w:w="36"/>
        <w:gridCol w:w="132"/>
        <w:gridCol w:w="36"/>
        <w:gridCol w:w="52"/>
        <w:gridCol w:w="7659"/>
        <w:gridCol w:w="36"/>
      </w:tblGrid>
      <w:tr w:rsidR="00000000">
        <w:trPr>
          <w:divId w:val="2018389256"/>
        </w:trPr>
        <w:tc>
          <w:tcPr>
            <w:tcW w:w="5" w:type="pct"/>
            <w:vAlign w:val="center"/>
            <w:hideMark/>
          </w:tcPr>
          <w:p w:rsidR="00000000" w:rsidRDefault="0040289C">
            <w:pPr>
              <w:rPr>
                <w:rFonts w:eastAsia="Times New Roman"/>
              </w:rPr>
            </w:pPr>
          </w:p>
        </w:tc>
        <w:tc>
          <w:tcPr>
            <w:tcW w:w="10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83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2018389256"/>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divId w:val="267393243"/>
              <w:rPr>
                <w:rFonts w:eastAsia="Times New Roman"/>
              </w:rPr>
            </w:pPr>
            <w:r>
              <w:rPr>
                <w:rFonts w:eastAsia="Times New Roman"/>
                <w:b/>
                <w:bCs/>
                <w:color w:val="000000"/>
                <w:sz w:val="20"/>
                <w:szCs w:val="20"/>
              </w:rPr>
              <w:t>Commission File Number: 001-00395</w:t>
            </w:r>
          </w:p>
        </w:tc>
      </w:tr>
    </w:tbl>
    <w:p w:rsidR="00000000" w:rsidRDefault="0040289C">
      <w:pPr>
        <w:jc w:val="center"/>
        <w:divId w:val="849878549"/>
        <w:rPr>
          <w:rFonts w:eastAsia="Times New Roman"/>
        </w:rPr>
      </w:pPr>
      <w:r>
        <w:rPr>
          <w:rFonts w:eastAsia="Times New Roman"/>
          <w:color w:val="000000"/>
          <w:sz w:val="20"/>
          <w:szCs w:val="20"/>
        </w:rPr>
        <w:t> ________________________</w:t>
      </w:r>
    </w:p>
    <w:p w:rsidR="00000000" w:rsidRDefault="0040289C">
      <w:pPr>
        <w:jc w:val="center"/>
        <w:divId w:val="666513987"/>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0289C">
      <w:pPr>
        <w:jc w:val="center"/>
        <w:divId w:val="1317345082"/>
        <w:rPr>
          <w:rFonts w:eastAsia="Times New Roman"/>
        </w:rPr>
      </w:pPr>
      <w:r>
        <w:rPr>
          <w:rFonts w:eastAsia="Times New Roman"/>
          <w:b/>
          <w:bCs/>
          <w:color w:val="54B948"/>
          <w:sz w:val="28"/>
          <w:szCs w:val="28"/>
        </w:rPr>
        <w:t xml:space="preserve">NCR CORPORATION </w:t>
      </w:r>
    </w:p>
    <w:p w:rsidR="00000000" w:rsidRDefault="0040289C">
      <w:pPr>
        <w:jc w:val="center"/>
        <w:rPr>
          <w:rFonts w:eastAsia="Times New Roman"/>
        </w:rPr>
      </w:pPr>
      <w:r>
        <w:rPr>
          <w:rFonts w:eastAsia="Times New Roman"/>
          <w:b/>
          <w:bCs/>
          <w:color w:val="000000"/>
          <w:sz w:val="20"/>
          <w:szCs w:val="20"/>
        </w:rPr>
        <w:t>(Exact name of registrant as specified in its charter)</w:t>
      </w:r>
    </w:p>
    <w:p w:rsidR="00000000" w:rsidRDefault="0040289C">
      <w:pPr>
        <w:jc w:val="center"/>
        <w:rPr>
          <w:rFonts w:eastAsia="Times New Roman"/>
        </w:rPr>
      </w:pPr>
    </w:p>
    <w:p w:rsidR="00000000" w:rsidRDefault="0040289C">
      <w:pPr>
        <w:jc w:val="center"/>
        <w:divId w:val="171536441"/>
        <w:rPr>
          <w:rFonts w:eastAsia="Times New Roman"/>
        </w:rPr>
      </w:pPr>
      <w:r>
        <w:rPr>
          <w:rFonts w:eastAsia="Times New Roman"/>
          <w:color w:val="000000"/>
          <w:sz w:val="20"/>
          <w:szCs w:val="20"/>
        </w:rPr>
        <w:t>________________________</w:t>
      </w:r>
    </w:p>
    <w:p w:rsidR="00000000" w:rsidRDefault="0040289C">
      <w:pPr>
        <w:jc w:val="center"/>
        <w:divId w:val="1892842080"/>
        <w:rPr>
          <w:rFonts w:eastAsia="Times New Roman"/>
        </w:rPr>
      </w:pPr>
      <w:r>
        <w:rPr>
          <w:rFonts w:eastAsia="Times New Roman"/>
          <w:color w:val="000000"/>
          <w:sz w:val="20"/>
          <w:szCs w:val="20"/>
        </w:rPr>
        <w:t> </w:t>
      </w:r>
    </w:p>
    <w:tbl>
      <w:tblPr>
        <w:tblW w:w="4580" w:type="pct"/>
        <w:jc w:val="center"/>
        <w:tblCellMar>
          <w:top w:w="15" w:type="dxa"/>
          <w:left w:w="15" w:type="dxa"/>
          <w:bottom w:w="15" w:type="dxa"/>
          <w:right w:w="15" w:type="dxa"/>
        </w:tblCellMar>
        <w:tblLook w:val="04A0" w:firstRow="1" w:lastRow="0" w:firstColumn="1" w:lastColumn="0" w:noHBand="0" w:noVBand="1"/>
      </w:tblPr>
      <w:tblGrid>
        <w:gridCol w:w="61"/>
        <w:gridCol w:w="3690"/>
        <w:gridCol w:w="36"/>
        <w:gridCol w:w="62"/>
        <w:gridCol w:w="182"/>
        <w:gridCol w:w="36"/>
        <w:gridCol w:w="62"/>
        <w:gridCol w:w="3442"/>
        <w:gridCol w:w="37"/>
      </w:tblGrid>
      <w:tr w:rsidR="00000000">
        <w:trPr>
          <w:divId w:val="22364754"/>
          <w:jc w:val="center"/>
        </w:trPr>
        <w:tc>
          <w:tcPr>
            <w:tcW w:w="50" w:type="pct"/>
            <w:vAlign w:val="center"/>
            <w:hideMark/>
          </w:tcPr>
          <w:p w:rsidR="00000000" w:rsidRDefault="0040289C">
            <w:pPr>
              <w:jc w:val="center"/>
              <w:rPr>
                <w:rFonts w:eastAsia="Times New Roman"/>
              </w:rPr>
            </w:pPr>
          </w:p>
        </w:tc>
        <w:tc>
          <w:tcPr>
            <w:tcW w:w="24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27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22364754"/>
          <w:jc w:val="center"/>
        </w:trPr>
        <w:tc>
          <w:tcPr>
            <w:tcW w:w="0" w:type="auto"/>
            <w:gridSpan w:val="3"/>
            <w:tcMar>
              <w:top w:w="30" w:type="dxa"/>
              <w:left w:w="20" w:type="dxa"/>
              <w:bottom w:w="30" w:type="dxa"/>
              <w:right w:w="20" w:type="dxa"/>
            </w:tcMar>
            <w:hideMark/>
          </w:tcPr>
          <w:p w:rsidR="00000000" w:rsidRDefault="0040289C">
            <w:pPr>
              <w:spacing w:after="100"/>
              <w:jc w:val="center"/>
              <w:rPr>
                <w:rFonts w:eastAsia="Times New Roman"/>
              </w:rPr>
            </w:pPr>
            <w:r>
              <w:rPr>
                <w:rFonts w:eastAsia="Times New Roman"/>
                <w:b/>
                <w:bCs/>
                <w:color w:val="000000"/>
                <w:sz w:val="20"/>
                <w:szCs w:val="20"/>
              </w:rPr>
              <w:t>Maryland</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40289C">
            <w:pPr>
              <w:spacing w:after="100"/>
              <w:jc w:val="center"/>
              <w:rPr>
                <w:rFonts w:eastAsia="Times New Roman"/>
              </w:rPr>
            </w:pPr>
            <w:r>
              <w:rPr>
                <w:rFonts w:eastAsia="Times New Roman"/>
                <w:b/>
                <w:bCs/>
                <w:color w:val="000000"/>
                <w:sz w:val="20"/>
                <w:szCs w:val="20"/>
              </w:rPr>
              <w:t>31-0387920</w:t>
            </w:r>
          </w:p>
        </w:tc>
      </w:tr>
      <w:tr w:rsidR="00000000">
        <w:trPr>
          <w:divId w:val="22364754"/>
          <w:jc w:val="center"/>
        </w:trPr>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40289C">
      <w:pPr>
        <w:jc w:val="center"/>
        <w:rPr>
          <w:rFonts w:eastAsia="Times New Roman"/>
        </w:rPr>
      </w:pPr>
      <w:r>
        <w:rPr>
          <w:rFonts w:eastAsia="Times New Roman"/>
          <w:b/>
          <w:bCs/>
          <w:color w:val="000000"/>
          <w:sz w:val="20"/>
          <w:szCs w:val="20"/>
        </w:rPr>
        <w:t xml:space="preserve">864 Spring Street NW </w:t>
      </w:r>
    </w:p>
    <w:p w:rsidR="00000000" w:rsidRDefault="0040289C">
      <w:pPr>
        <w:jc w:val="center"/>
        <w:rPr>
          <w:rFonts w:eastAsia="Times New Roman"/>
        </w:rPr>
      </w:pPr>
      <w:r>
        <w:rPr>
          <w:rFonts w:eastAsia="Times New Roman"/>
          <w:b/>
          <w:bCs/>
          <w:color w:val="000000"/>
          <w:sz w:val="20"/>
          <w:szCs w:val="20"/>
        </w:rPr>
        <w:t xml:space="preserve">Atlanta, GA 30308 </w:t>
      </w:r>
    </w:p>
    <w:p w:rsidR="00000000" w:rsidRDefault="0040289C">
      <w:pPr>
        <w:jc w:val="center"/>
        <w:rPr>
          <w:rFonts w:eastAsia="Times New Roman"/>
        </w:rPr>
      </w:pPr>
      <w:r>
        <w:rPr>
          <w:rFonts w:eastAsia="Times New Roman"/>
          <w:b/>
          <w:bCs/>
          <w:color w:val="000000"/>
          <w:sz w:val="16"/>
          <w:szCs w:val="16"/>
        </w:rPr>
        <w:t>(Address of principal executive offices) (Zip Code)</w:t>
      </w:r>
    </w:p>
    <w:p w:rsidR="00000000" w:rsidRDefault="0040289C">
      <w:pPr>
        <w:jc w:val="center"/>
        <w:divId w:val="1283225179"/>
        <w:rPr>
          <w:rFonts w:eastAsia="Times New Roman"/>
        </w:rPr>
      </w:pPr>
      <w:r>
        <w:rPr>
          <w:rFonts w:eastAsia="Times New Roman"/>
          <w:b/>
          <w:bCs/>
          <w:color w:val="000000"/>
          <w:sz w:val="20"/>
          <w:szCs w:val="20"/>
        </w:rPr>
        <w:t>Registrant’</w:t>
      </w:r>
      <w:r>
        <w:rPr>
          <w:rFonts w:eastAsia="Times New Roman"/>
          <w:b/>
          <w:bCs/>
          <w:color w:val="000000"/>
          <w:sz w:val="20"/>
          <w:szCs w:val="20"/>
        </w:rPr>
        <w:t xml:space="preserve">s telephone number, including area code: (937) 445-1936 </w:t>
      </w:r>
    </w:p>
    <w:p w:rsidR="00000000" w:rsidRDefault="0040289C">
      <w:pPr>
        <w:divId w:val="927495728"/>
        <w:rPr>
          <w:rFonts w:eastAsia="Times New Roman"/>
        </w:rPr>
      </w:pPr>
      <w:r>
        <w:rPr>
          <w:rFonts w:eastAsia="Times New Roman"/>
          <w:b/>
          <w:bCs/>
          <w:color w:val="000000"/>
          <w:sz w:val="20"/>
          <w:szCs w:val="20"/>
        </w:rPr>
        <w:t>Securities registered pursuant to Section 12(b) of the Act:</w:t>
      </w:r>
    </w:p>
    <w:tbl>
      <w:tblPr>
        <w:tblW w:w="4843" w:type="pct"/>
        <w:jc w:val="center"/>
        <w:tblCellMar>
          <w:top w:w="15" w:type="dxa"/>
          <w:left w:w="15" w:type="dxa"/>
          <w:bottom w:w="15" w:type="dxa"/>
          <w:right w:w="15" w:type="dxa"/>
        </w:tblCellMar>
        <w:tblLook w:val="04A0" w:firstRow="1" w:lastRow="0" w:firstColumn="1" w:lastColumn="0" w:noHBand="0" w:noVBand="1"/>
      </w:tblPr>
      <w:tblGrid>
        <w:gridCol w:w="66"/>
        <w:gridCol w:w="3384"/>
        <w:gridCol w:w="37"/>
        <w:gridCol w:w="66"/>
        <w:gridCol w:w="1093"/>
        <w:gridCol w:w="36"/>
        <w:gridCol w:w="66"/>
        <w:gridCol w:w="3261"/>
        <w:gridCol w:w="36"/>
      </w:tblGrid>
      <w:tr w:rsidR="00000000">
        <w:trPr>
          <w:divId w:val="1317801992"/>
          <w:jc w:val="center"/>
        </w:trPr>
        <w:tc>
          <w:tcPr>
            <w:tcW w:w="50" w:type="pct"/>
            <w:vAlign w:val="center"/>
            <w:hideMark/>
          </w:tcPr>
          <w:p w:rsidR="00000000" w:rsidRDefault="0040289C">
            <w:pPr>
              <w:rPr>
                <w:rFonts w:eastAsia="Times New Roman"/>
              </w:rPr>
            </w:pPr>
          </w:p>
        </w:tc>
        <w:tc>
          <w:tcPr>
            <w:tcW w:w="211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0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317801992"/>
          <w:jc w:val="center"/>
        </w:trPr>
        <w:tc>
          <w:tcPr>
            <w:tcW w:w="0" w:type="auto"/>
            <w:gridSpan w:val="3"/>
            <w:tcMar>
              <w:top w:w="30" w:type="dxa"/>
              <w:left w:w="20" w:type="dxa"/>
              <w:bottom w:w="30" w:type="dxa"/>
              <w:right w:w="20" w:type="dxa"/>
            </w:tcMar>
            <w:hideMark/>
          </w:tcPr>
          <w:p w:rsidR="00000000" w:rsidRDefault="0040289C">
            <w:pPr>
              <w:spacing w:after="100"/>
              <w:jc w:val="center"/>
              <w:rPr>
                <w:rFonts w:eastAsia="Times New Roman"/>
              </w:rPr>
            </w:pPr>
            <w:r>
              <w:rPr>
                <w:rFonts w:eastAsia="Times New Roman"/>
                <w:b/>
                <w:bCs/>
                <w:color w:val="000000"/>
                <w:sz w:val="20"/>
                <w:szCs w:val="20"/>
              </w:rPr>
              <w:t>Title of each class</w:t>
            </w:r>
          </w:p>
        </w:tc>
        <w:tc>
          <w:tcPr>
            <w:tcW w:w="0" w:type="auto"/>
            <w:gridSpan w:val="3"/>
            <w:tcMar>
              <w:top w:w="30" w:type="dxa"/>
              <w:left w:w="20" w:type="dxa"/>
              <w:bottom w:w="30" w:type="dxa"/>
              <w:right w:w="20" w:type="dxa"/>
            </w:tcMar>
            <w:hideMark/>
          </w:tcPr>
          <w:p w:rsidR="00000000" w:rsidRDefault="0040289C">
            <w:pPr>
              <w:spacing w:after="100"/>
              <w:jc w:val="center"/>
              <w:rPr>
                <w:rFonts w:eastAsia="Times New Roman"/>
              </w:rPr>
            </w:pPr>
            <w:r>
              <w:rPr>
                <w:rFonts w:eastAsia="Times New Roman"/>
                <w:b/>
                <w:bCs/>
                <w:color w:val="000000"/>
                <w:sz w:val="20"/>
                <w:szCs w:val="20"/>
              </w:rPr>
              <w:t>Trading Symbol(s)</w:t>
            </w:r>
          </w:p>
        </w:tc>
        <w:tc>
          <w:tcPr>
            <w:tcW w:w="0" w:type="auto"/>
            <w:gridSpan w:val="3"/>
            <w:tcMar>
              <w:top w:w="30" w:type="dxa"/>
              <w:left w:w="20" w:type="dxa"/>
              <w:bottom w:w="30" w:type="dxa"/>
              <w:right w:w="20" w:type="dxa"/>
            </w:tcMar>
            <w:hideMark/>
          </w:tcPr>
          <w:p w:rsidR="00000000" w:rsidRDefault="0040289C">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1317801992"/>
          <w:jc w:val="center"/>
        </w:trPr>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Common Stock, par value $0.01 per share</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NCR</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New York Stock Exchange</w:t>
            </w:r>
          </w:p>
        </w:tc>
      </w:tr>
    </w:tbl>
    <w:p w:rsidR="00000000" w:rsidRDefault="0040289C">
      <w:pPr>
        <w:jc w:val="center"/>
        <w:divId w:val="185021061"/>
        <w:rPr>
          <w:rFonts w:eastAsia="Times New Roman"/>
        </w:rPr>
      </w:pPr>
      <w:r>
        <w:rPr>
          <w:rFonts w:eastAsia="Times New Roman"/>
          <w:b/>
          <w:bCs/>
          <w:color w:val="000000"/>
          <w:sz w:val="20"/>
          <w:szCs w:val="20"/>
        </w:rPr>
        <w:t xml:space="preserve">Securities registered pursuant to Section 12(g) of the Act: </w:t>
      </w:r>
      <w:r>
        <w:rPr>
          <w:rFonts w:eastAsia="Times New Roman"/>
          <w:color w:val="000000"/>
          <w:sz w:val="20"/>
          <w:szCs w:val="20"/>
        </w:rPr>
        <w:t>None</w:t>
      </w:r>
    </w:p>
    <w:p w:rsidR="00000000" w:rsidRDefault="0040289C">
      <w:pPr>
        <w:jc w:val="center"/>
        <w:rPr>
          <w:rFonts w:eastAsia="Times New Roman"/>
        </w:rPr>
      </w:pPr>
      <w:r>
        <w:rPr>
          <w:rFonts w:eastAsia="Times New Roman"/>
          <w:color w:val="000000"/>
          <w:sz w:val="20"/>
          <w:szCs w:val="20"/>
        </w:rPr>
        <w:t>________________________</w:t>
      </w:r>
    </w:p>
    <w:p w:rsidR="00000000" w:rsidRDefault="0040289C">
      <w:pPr>
        <w:divId w:val="539784470"/>
        <w:rPr>
          <w:rFonts w:eastAsia="Times New Roman"/>
        </w:rPr>
      </w:pPr>
      <w:r>
        <w:rPr>
          <w:rFonts w:eastAsia="Times New Roman"/>
          <w:color w:val="000000"/>
          <w:sz w:val="20"/>
          <w:szCs w:val="20"/>
        </w:rPr>
        <w:t>    </w:t>
      </w:r>
      <w:r>
        <w:rPr>
          <w:rFonts w:eastAsia="Times New Roman"/>
          <w:color w:val="000000"/>
          <w:sz w:val="20"/>
          <w:szCs w:val="20"/>
        </w:rPr>
        <w:t xml:space="preserve">Indicate by check mark if the registrant is a well-known seasoned issuer, as defined in Rule 405 of the Securities Act. </w:t>
      </w:r>
      <w:r>
        <w:rPr>
          <w:rFonts w:ascii="Arial Unicode MS" w:eastAsia="Times New Roman" w:hAnsi="Arial Unicode MS"/>
          <w:color w:val="000000"/>
          <w:sz w:val="20"/>
          <w:szCs w:val="20"/>
        </w:rPr>
        <w:t>Yes</w:t>
      </w:r>
      <w:r>
        <w:rPr>
          <w:rFonts w:eastAsia="Times New Roman"/>
          <w:color w:val="000000"/>
          <w:sz w:val="20"/>
          <w:szCs w:val="20"/>
        </w:rPr>
        <w:t>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40289C">
      <w:pPr>
        <w:divId w:val="2145659058"/>
        <w:rPr>
          <w:rFonts w:eastAsia="Times New Roman"/>
        </w:rPr>
      </w:pPr>
      <w:r>
        <w:rPr>
          <w:rFonts w:ascii="Arial" w:eastAsia="Times New Roman" w:hAnsi="Arial" w:cs="Arial"/>
          <w:color w:val="000000"/>
          <w:sz w:val="20"/>
          <w:szCs w:val="20"/>
        </w:rPr>
        <w:lastRenderedPageBreak/>
        <w:t>    </w:t>
      </w:r>
      <w:r>
        <w:rPr>
          <w:rFonts w:eastAsia="Times New Roman"/>
          <w:color w:val="000000"/>
          <w:sz w:val="20"/>
          <w:szCs w:val="20"/>
        </w:rPr>
        <w:t xml:space="preserve">Indicate by check mark if the registrant is not required to file reports pursuant to Section 13 or Section 15(d) of </w:t>
      </w:r>
      <w:r>
        <w:rPr>
          <w:rFonts w:eastAsia="Times New Roman"/>
          <w:color w:val="000000"/>
          <w:sz w:val="20"/>
          <w:szCs w:val="20"/>
        </w:rPr>
        <w:t>the Act. Yes  </w:t>
      </w:r>
      <w:r>
        <w:rPr>
          <w:rFonts w:ascii="Wingdings" w:eastAsia="Times New Roman" w:hAnsi="Wingdings"/>
          <w:color w:val="000000"/>
          <w:sz w:val="20"/>
          <w:szCs w:val="20"/>
        </w:rPr>
        <w:t>o</w:t>
      </w:r>
      <w:r>
        <w:rPr>
          <w:rFonts w:eastAsia="Times New Roman"/>
          <w:color w:val="000000"/>
          <w:sz w:val="20"/>
          <w:szCs w:val="20"/>
        </w:rPr>
        <w:t>    No </w:t>
      </w:r>
      <w:r>
        <w:rPr>
          <w:rFonts w:eastAsia="Times New Roman"/>
          <w:color w:val="000000"/>
          <w:sz w:val="22"/>
          <w:szCs w:val="22"/>
        </w:rPr>
        <w:t> </w:t>
      </w:r>
      <w:r>
        <w:rPr>
          <w:rFonts w:ascii="Wingdings" w:eastAsia="Times New Roman" w:hAnsi="Wingdings"/>
          <w:color w:val="000000"/>
          <w:sz w:val="20"/>
          <w:szCs w:val="20"/>
        </w:rPr>
        <w:t>þ</w:t>
      </w:r>
    </w:p>
    <w:p w:rsidR="00000000" w:rsidRDefault="0040289C">
      <w:pPr>
        <w:divId w:val="1524392639"/>
        <w:rPr>
          <w:rFonts w:eastAsia="Times New Roman"/>
        </w:rPr>
      </w:pPr>
      <w:r>
        <w:rPr>
          <w:rFonts w:eastAsia="Times New Roman"/>
          <w:color w:val="000000"/>
          <w:sz w:val="20"/>
          <w:szCs w:val="20"/>
        </w:rPr>
        <w:t>    Indicate by check mark whether the registrant (1) has filed all reports required to be filed by Section 13 or 15(d) of the Securities Exchange Act of 1934 during the preceding 12 months (or for such shorter period that the regi</w:t>
      </w:r>
      <w:r>
        <w:rPr>
          <w:rFonts w:eastAsia="Times New Roman"/>
          <w:color w:val="000000"/>
          <w:sz w:val="20"/>
          <w:szCs w:val="20"/>
        </w:rPr>
        <w:t>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40289C">
      <w:pPr>
        <w:divId w:val="1904827300"/>
        <w:rPr>
          <w:rFonts w:eastAsia="Times New Roman"/>
        </w:rPr>
      </w:pPr>
      <w:r>
        <w:rPr>
          <w:rFonts w:eastAsia="Times New Roman"/>
          <w:color w:val="000000"/>
          <w:sz w:val="20"/>
          <w:szCs w:val="20"/>
        </w:rPr>
        <w:t>    Indicate by check mark whether the registrant has submitted electronically every Interactive Data File required to b</w:t>
      </w:r>
      <w:r>
        <w:rPr>
          <w:rFonts w:eastAsia="Times New Roman"/>
          <w:color w:val="000000"/>
          <w:sz w:val="20"/>
          <w:szCs w:val="20"/>
        </w:rPr>
        <w:t>e submitted pursuant to Rule 405 of Regulation S-T (§ 232.405 of this chapter) during the preceding 12 months (or for such shorter period that the registrant was required to submit such files).    Yes  </w:t>
      </w:r>
      <w:r>
        <w:rPr>
          <w:rFonts w:ascii="Wingdings" w:eastAsia="Times New Roman" w:hAnsi="Wingdings"/>
          <w:color w:val="000000"/>
          <w:sz w:val="20"/>
          <w:szCs w:val="20"/>
        </w:rPr>
        <w:t>þ</w:t>
      </w:r>
      <w:r>
        <w:rPr>
          <w:rFonts w:eastAsia="Times New Roman"/>
          <w:color w:val="000000"/>
          <w:sz w:val="20"/>
          <w:szCs w:val="20"/>
        </w:rPr>
        <w:t>    No  </w:t>
      </w:r>
      <w:r>
        <w:rPr>
          <w:rFonts w:ascii="Wingdings" w:eastAsia="Times New Roman" w:hAnsi="Wingdings"/>
          <w:color w:val="000000"/>
          <w:sz w:val="20"/>
          <w:szCs w:val="20"/>
        </w:rPr>
        <w:t>o</w:t>
      </w:r>
    </w:p>
    <w:p w:rsidR="00000000" w:rsidRDefault="0040289C">
      <w:pPr>
        <w:divId w:val="1164052657"/>
        <w:rPr>
          <w:rFonts w:eastAsia="Times New Roman"/>
        </w:rPr>
      </w:pPr>
      <w:r>
        <w:rPr>
          <w:rFonts w:eastAsia="Times New Roman"/>
          <w:color w:val="000000"/>
          <w:sz w:val="20"/>
          <w:szCs w:val="20"/>
        </w:rPr>
        <w:t>    Indicate by check mark whether the regi</w:t>
      </w:r>
      <w:r>
        <w:rPr>
          <w:rFonts w:eastAsia="Times New Roman"/>
          <w:color w:val="000000"/>
          <w:sz w:val="20"/>
          <w:szCs w:val="20"/>
        </w:rPr>
        <w:t>strant is a large accelerated filer, an accelerated filer, a non-accelerated filer, a smaller reporting company, or an emerging growth company. See the definitions of “large accelerated filer,” “accelerated filer,” “smaller reporting company,” and "emergin</w:t>
      </w:r>
      <w:r>
        <w:rPr>
          <w:rFonts w:eastAsia="Times New Roman"/>
          <w:color w:val="000000"/>
          <w:sz w:val="20"/>
          <w:szCs w:val="20"/>
        </w:rPr>
        <w:t>g growth company" in Rule 12b-2 of the Exchange Act.</w:t>
      </w:r>
    </w:p>
    <w:tbl>
      <w:tblPr>
        <w:tblW w:w="3872" w:type="pct"/>
        <w:jc w:val="center"/>
        <w:tblCellMar>
          <w:top w:w="15" w:type="dxa"/>
          <w:left w:w="15" w:type="dxa"/>
          <w:bottom w:w="15" w:type="dxa"/>
          <w:right w:w="15" w:type="dxa"/>
        </w:tblCellMar>
        <w:tblLook w:val="04A0" w:firstRow="1" w:lastRow="0" w:firstColumn="1" w:lastColumn="0" w:noHBand="0" w:noVBand="1"/>
      </w:tblPr>
      <w:tblGrid>
        <w:gridCol w:w="45"/>
        <w:gridCol w:w="1262"/>
        <w:gridCol w:w="36"/>
        <w:gridCol w:w="69"/>
        <w:gridCol w:w="144"/>
        <w:gridCol w:w="36"/>
        <w:gridCol w:w="39"/>
        <w:gridCol w:w="2643"/>
        <w:gridCol w:w="36"/>
        <w:gridCol w:w="39"/>
        <w:gridCol w:w="111"/>
        <w:gridCol w:w="36"/>
        <w:gridCol w:w="39"/>
        <w:gridCol w:w="1612"/>
        <w:gridCol w:w="36"/>
        <w:gridCol w:w="69"/>
        <w:gridCol w:w="144"/>
        <w:gridCol w:w="36"/>
      </w:tblGrid>
      <w:tr w:rsidR="00000000">
        <w:trPr>
          <w:divId w:val="1654673872"/>
          <w:jc w:val="center"/>
        </w:trPr>
        <w:tc>
          <w:tcPr>
            <w:tcW w:w="50" w:type="pct"/>
            <w:vAlign w:val="center"/>
            <w:hideMark/>
          </w:tcPr>
          <w:p w:rsidR="00000000" w:rsidRDefault="0040289C">
            <w:pPr>
              <w:rPr>
                <w:rFonts w:eastAsia="Times New Roman"/>
              </w:rPr>
            </w:pPr>
          </w:p>
        </w:tc>
        <w:tc>
          <w:tcPr>
            <w:tcW w:w="100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07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2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654673872"/>
          <w:jc w:val="center"/>
        </w:trPr>
        <w:tc>
          <w:tcPr>
            <w:tcW w:w="0" w:type="auto"/>
            <w:gridSpan w:val="3"/>
            <w:tcMar>
              <w:top w:w="30" w:type="dxa"/>
              <w:left w:w="20" w:type="dxa"/>
              <w:bottom w:w="30" w:type="dxa"/>
              <w:right w:w="20" w:type="dxa"/>
            </w:tcMar>
            <w:hideMark/>
          </w:tcPr>
          <w:p w:rsidR="00000000" w:rsidRDefault="0040289C">
            <w:pPr>
              <w:spacing w:after="100"/>
              <w:jc w:val="right"/>
              <w:divId w:val="197343945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40289C">
            <w:pPr>
              <w:spacing w:after="100"/>
              <w:divId w:val="232354740"/>
              <w:rPr>
                <w:rFonts w:eastAsia="Times New Roman"/>
              </w:rPr>
            </w:pPr>
            <w:r>
              <w:rPr>
                <w:rFonts w:ascii="Wingdings" w:eastAsia="Times New Roman" w:hAnsi="Wingdings"/>
                <w:color w:val="000000"/>
                <w:sz w:val="20"/>
                <w:szCs w:val="20"/>
              </w:rPr>
              <w:t>þ</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40289C">
            <w:pPr>
              <w:spacing w:after="100"/>
              <w:jc w:val="right"/>
              <w:divId w:val="1704287607"/>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40289C">
            <w:pPr>
              <w:spacing w:after="100"/>
              <w:divId w:val="1232547481"/>
              <w:rPr>
                <w:rFonts w:eastAsia="Times New Roman"/>
              </w:rPr>
            </w:pPr>
            <w:r>
              <w:rPr>
                <w:rFonts w:ascii="Wingdings" w:eastAsia="Times New Roman" w:hAnsi="Wingdings"/>
                <w:color w:val="000000"/>
                <w:sz w:val="20"/>
                <w:szCs w:val="20"/>
              </w:rPr>
              <w:t>o</w:t>
            </w:r>
          </w:p>
        </w:tc>
      </w:tr>
      <w:tr w:rsidR="00000000">
        <w:trPr>
          <w:divId w:val="1654673872"/>
          <w:jc w:val="center"/>
        </w:trPr>
        <w:tc>
          <w:tcPr>
            <w:tcW w:w="0" w:type="auto"/>
            <w:gridSpan w:val="3"/>
            <w:tcMar>
              <w:top w:w="30" w:type="dxa"/>
              <w:left w:w="20" w:type="dxa"/>
              <w:bottom w:w="30" w:type="dxa"/>
              <w:right w:w="20" w:type="dxa"/>
            </w:tcMar>
            <w:hideMark/>
          </w:tcPr>
          <w:p w:rsidR="00000000" w:rsidRDefault="0040289C">
            <w:pPr>
              <w:spacing w:after="100"/>
              <w:jc w:val="right"/>
              <w:divId w:val="800154757"/>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40289C">
            <w:pPr>
              <w:spacing w:after="100"/>
              <w:divId w:val="1889955423"/>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40289C">
            <w:pPr>
              <w:spacing w:after="100"/>
              <w:jc w:val="right"/>
              <w:divId w:val="1275408555"/>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40289C">
            <w:pPr>
              <w:spacing w:after="100"/>
              <w:divId w:val="904990639"/>
              <w:rPr>
                <w:rFonts w:eastAsia="Times New Roman"/>
              </w:rPr>
            </w:pPr>
            <w:r>
              <w:rPr>
                <w:rFonts w:ascii="Segoe UI Symbol" w:eastAsia="Times New Roman" w:hAnsi="Segoe UI Symbol" w:cs="Segoe UI Symbol"/>
                <w:color w:val="000000"/>
                <w:sz w:val="20"/>
                <w:szCs w:val="20"/>
              </w:rPr>
              <w:t>☐</w:t>
            </w:r>
          </w:p>
        </w:tc>
      </w:tr>
      <w:tr w:rsidR="00000000">
        <w:trPr>
          <w:divId w:val="1654673872"/>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40289C">
            <w:pPr>
              <w:spacing w:after="100"/>
              <w:jc w:val="right"/>
              <w:divId w:val="992681245"/>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40289C">
            <w:pPr>
              <w:spacing w:after="100"/>
              <w:divId w:val="1885751908"/>
              <w:rPr>
                <w:rFonts w:eastAsia="Times New Roman"/>
              </w:rPr>
            </w:pPr>
            <w:r>
              <w:rPr>
                <w:rFonts w:ascii="Segoe UI Symbol" w:eastAsia="Times New Roman" w:hAnsi="Segoe UI Symbol" w:cs="Segoe UI Symbol"/>
                <w:color w:val="000000"/>
                <w:sz w:val="20"/>
                <w:szCs w:val="20"/>
              </w:rPr>
              <w:t>☐</w:t>
            </w:r>
          </w:p>
        </w:tc>
      </w:tr>
    </w:tbl>
    <w:p w:rsidR="00000000" w:rsidRDefault="0040289C">
      <w:pPr>
        <w:ind w:firstLine="720"/>
        <w:divId w:val="930358493"/>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rsidR="00000000" w:rsidRDefault="0040289C">
      <w:pPr>
        <w:ind w:firstLine="720"/>
        <w:divId w:val="1425885357"/>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20"/>
          <w:szCs w:val="20"/>
        </w:rPr>
        <w:t xml:space="preserve">registered public accounting firm that prepared or issued its audit report. Yes </w:t>
      </w:r>
      <w:r>
        <w:rPr>
          <w:rFonts w:ascii="Wingdings" w:eastAsia="Times New Roman" w:hAnsi="Wingdings"/>
          <w:color w:val="000000"/>
          <w:sz w:val="20"/>
          <w:szCs w:val="20"/>
        </w:rPr>
        <w:t>þ</w:t>
      </w:r>
      <w:r>
        <w:rPr>
          <w:rFonts w:ascii="Wingdings" w:eastAsia="Times New Roman" w:hAnsi="Wingdings"/>
          <w:color w:val="000000"/>
          <w:sz w:val="20"/>
          <w:szCs w:val="20"/>
        </w:rPr>
        <w:t xml:space="preserve"> </w:t>
      </w:r>
      <w:r>
        <w:rPr>
          <w:rFonts w:eastAsia="Times New Roman"/>
          <w:color w:val="000000"/>
          <w:sz w:val="20"/>
          <w:szCs w:val="20"/>
        </w:rPr>
        <w:t> No  </w:t>
      </w:r>
      <w:r>
        <w:rPr>
          <w:rFonts w:ascii="Wingdings" w:eastAsia="Times New Roman" w:hAnsi="Wingdings"/>
          <w:color w:val="000000"/>
          <w:sz w:val="20"/>
          <w:szCs w:val="20"/>
        </w:rPr>
        <w:t>o</w:t>
      </w:r>
    </w:p>
    <w:p w:rsidR="00000000" w:rsidRDefault="0040289C">
      <w:pPr>
        <w:divId w:val="1139147191"/>
        <w:rPr>
          <w:rFonts w:eastAsia="Times New Roman"/>
        </w:rPr>
      </w:pPr>
      <w:r>
        <w:rPr>
          <w:rFonts w:eastAsia="Times New Roman"/>
          <w:color w:val="000000"/>
          <w:sz w:val="20"/>
          <w:szCs w:val="20"/>
        </w:rPr>
        <w:t>    If securities are registered pursuant to Section 12(b) of the Act, indicate by check mark whether the financial statements of the registrant included in the filing</w:t>
      </w:r>
      <w:r>
        <w:rPr>
          <w:rFonts w:eastAsia="Times New Roman"/>
          <w:color w:val="000000"/>
          <w:sz w:val="20"/>
          <w:szCs w:val="20"/>
        </w:rPr>
        <w:t xml:space="preserve"> reflect the correction of an error to previously issued financial statements. </w:t>
      </w:r>
      <w:r>
        <w:rPr>
          <w:rFonts w:ascii="Wingdings" w:eastAsia="Times New Roman" w:hAnsi="Wingdings"/>
          <w:color w:val="000000"/>
          <w:sz w:val="20"/>
          <w:szCs w:val="20"/>
        </w:rPr>
        <w:t>o</w:t>
      </w:r>
    </w:p>
    <w:p w:rsidR="00000000" w:rsidRDefault="0040289C">
      <w:pPr>
        <w:ind w:firstLine="720"/>
        <w:divId w:val="1160341063"/>
        <w:rPr>
          <w:rFonts w:eastAsia="Times New Roman"/>
        </w:rPr>
      </w:pPr>
      <w:r>
        <w:rPr>
          <w:rFonts w:eastAsia="Times New Roman"/>
          <w:color w:val="000000"/>
          <w:sz w:val="20"/>
          <w:szCs w:val="20"/>
        </w:rPr>
        <w:t>Indicate by check mark whether any of those error corrections are restatements that required a recovery analysis of incentive-based compensation received by any of the registr</w:t>
      </w:r>
      <w:r>
        <w:rPr>
          <w:rFonts w:eastAsia="Times New Roman"/>
          <w:color w:val="000000"/>
          <w:sz w:val="20"/>
          <w:szCs w:val="20"/>
        </w:rPr>
        <w:t xml:space="preserve">ant's executive officers during the relevant recovery period pursuant to §240.10D-1(b). </w:t>
      </w:r>
      <w:r>
        <w:rPr>
          <w:rFonts w:ascii="Wingdings" w:eastAsia="Times New Roman" w:hAnsi="Wingdings"/>
          <w:color w:val="000000"/>
          <w:sz w:val="20"/>
          <w:szCs w:val="20"/>
        </w:rPr>
        <w:t>o</w:t>
      </w:r>
    </w:p>
    <w:p w:rsidR="00000000" w:rsidRDefault="0040289C">
      <w:pPr>
        <w:ind w:firstLine="720"/>
        <w:divId w:val="1689136195"/>
        <w:rPr>
          <w:rFonts w:eastAsia="Times New Roman"/>
        </w:rPr>
      </w:pPr>
      <w:r>
        <w:rPr>
          <w:rFonts w:eastAsia="Times New Roman"/>
          <w:color w:val="000000"/>
          <w:sz w:val="20"/>
          <w:szCs w:val="20"/>
        </w:rPr>
        <w:t>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Wingdings" w:eastAsia="Times New Roman" w:hAnsi="Wingdings"/>
          <w:color w:val="000000"/>
          <w:sz w:val="20"/>
          <w:szCs w:val="20"/>
        </w:rPr>
        <w:t>þ</w:t>
      </w:r>
    </w:p>
    <w:p w:rsidR="00000000" w:rsidRDefault="0040289C">
      <w:pPr>
        <w:ind w:firstLine="720"/>
        <w:divId w:val="286621375"/>
        <w:rPr>
          <w:rFonts w:eastAsia="Times New Roman"/>
        </w:rPr>
      </w:pPr>
      <w:r>
        <w:rPr>
          <w:rFonts w:eastAsia="Times New Roman"/>
          <w:color w:val="000000"/>
          <w:sz w:val="20"/>
          <w:szCs w:val="20"/>
        </w:rPr>
        <w:t>The aggregate market value of voting and non-v</w:t>
      </w:r>
      <w:r>
        <w:rPr>
          <w:rFonts w:eastAsia="Times New Roman"/>
          <w:color w:val="000000"/>
          <w:sz w:val="20"/>
          <w:szCs w:val="20"/>
        </w:rPr>
        <w:t xml:space="preserve">oting common equity held by non-affiliates of the registrant as of June 30, 2022, the last business day of NCR Corporation's most recently completed second fiscal quarter, was approximately $4.2 billion. </w:t>
      </w:r>
    </w:p>
    <w:p w:rsidR="00000000" w:rsidRDefault="0040289C">
      <w:pPr>
        <w:ind w:firstLine="720"/>
        <w:divId w:val="329408743"/>
        <w:rPr>
          <w:rFonts w:eastAsia="Times New Roman"/>
        </w:rPr>
      </w:pPr>
      <w:r>
        <w:rPr>
          <w:rFonts w:eastAsia="Times New Roman"/>
          <w:color w:val="000000"/>
          <w:sz w:val="20"/>
          <w:szCs w:val="20"/>
        </w:rPr>
        <w:t>As of February </w:t>
      </w:r>
      <w:r>
        <w:rPr>
          <w:rFonts w:eastAsia="Times New Roman"/>
          <w:color w:val="000000"/>
          <w:sz w:val="20"/>
          <w:szCs w:val="20"/>
        </w:rPr>
        <w:t>10, 2023, there were approximately 139.3 million shares of common stock issued and outstanding.</w:t>
      </w:r>
    </w:p>
    <w:tbl>
      <w:tblPr>
        <w:tblW w:w="4279" w:type="pct"/>
        <w:jc w:val="center"/>
        <w:tblCellMar>
          <w:top w:w="15" w:type="dxa"/>
          <w:left w:w="15" w:type="dxa"/>
          <w:bottom w:w="15" w:type="dxa"/>
          <w:right w:w="15" w:type="dxa"/>
        </w:tblCellMar>
        <w:tblLook w:val="04A0" w:firstRow="1" w:lastRow="0" w:firstColumn="1" w:lastColumn="0" w:noHBand="0" w:noVBand="1"/>
      </w:tblPr>
      <w:tblGrid>
        <w:gridCol w:w="56"/>
        <w:gridCol w:w="7016"/>
        <w:gridCol w:w="36"/>
      </w:tblGrid>
      <w:tr w:rsidR="00000000">
        <w:trPr>
          <w:divId w:val="1780948690"/>
          <w:jc w:val="center"/>
        </w:trPr>
        <w:tc>
          <w:tcPr>
            <w:tcW w:w="50" w:type="pct"/>
            <w:vAlign w:val="center"/>
            <w:hideMark/>
          </w:tcPr>
          <w:p w:rsidR="00000000" w:rsidRDefault="0040289C">
            <w:pPr>
              <w:ind w:firstLine="720"/>
              <w:rPr>
                <w:rFonts w:eastAsia="Times New Roman"/>
              </w:rPr>
            </w:pPr>
          </w:p>
        </w:tc>
        <w:tc>
          <w:tcPr>
            <w:tcW w:w="494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78094869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ind w:firstLine="495"/>
        <w:divId w:val="2071073040"/>
        <w:rPr>
          <w:rFonts w:eastAsia="Times New Roman"/>
        </w:rPr>
      </w:pPr>
    </w:p>
    <w:p w:rsidR="00000000" w:rsidRDefault="0040289C">
      <w:pPr>
        <w:divId w:val="653602034"/>
        <w:rPr>
          <w:rFonts w:eastAsia="Times New Roman"/>
        </w:rPr>
      </w:pPr>
    </w:p>
    <w:p w:rsidR="00000000" w:rsidRDefault="0040289C">
      <w:pPr>
        <w:rPr>
          <w:rFonts w:eastAsia="Times New Roman"/>
        </w:rPr>
      </w:pPr>
      <w:r>
        <w:rPr>
          <w:rFonts w:eastAsia="Times New Roman"/>
        </w:rPr>
        <w:pict>
          <v:rect id="_x0000_i1026" style="width:0;height:1.5pt" o:hralign="center" o:hrstd="t" o:hr="t" fillcolor="#a0a0a0" stroked="f"/>
        </w:pict>
      </w:r>
    </w:p>
    <w:p w:rsidR="00000000" w:rsidRDefault="0040289C">
      <w:pPr>
        <w:divId w:val="49237484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414085060"/>
        <w:rPr>
          <w:rFonts w:eastAsia="Times New Roman"/>
        </w:rPr>
      </w:pPr>
    </w:p>
    <w:p w:rsidR="00000000" w:rsidRDefault="0040289C">
      <w:pPr>
        <w:jc w:val="center"/>
        <w:divId w:val="1703898055"/>
        <w:rPr>
          <w:rFonts w:eastAsia="Times New Roman"/>
        </w:rPr>
      </w:pPr>
      <w:r>
        <w:rPr>
          <w:rFonts w:eastAsia="Times New Roman"/>
          <w:b/>
          <w:bCs/>
          <w:color w:val="000000"/>
          <w:sz w:val="20"/>
          <w:szCs w:val="20"/>
        </w:rPr>
        <w:lastRenderedPageBreak/>
        <w:t xml:space="preserve">DOCUMENTS INCORPORATED BY REFERENCE </w:t>
      </w:r>
    </w:p>
    <w:tbl>
      <w:tblPr>
        <w:tblW w:w="4844" w:type="pct"/>
        <w:jc w:val="center"/>
        <w:tblCellMar>
          <w:top w:w="15" w:type="dxa"/>
          <w:left w:w="15" w:type="dxa"/>
          <w:bottom w:w="15" w:type="dxa"/>
          <w:right w:w="15" w:type="dxa"/>
        </w:tblCellMar>
        <w:tblLook w:val="04A0" w:firstRow="1" w:lastRow="0" w:firstColumn="1" w:lastColumn="0" w:noHBand="0" w:noVBand="1"/>
      </w:tblPr>
      <w:tblGrid>
        <w:gridCol w:w="66"/>
        <w:gridCol w:w="754"/>
        <w:gridCol w:w="36"/>
        <w:gridCol w:w="66"/>
        <w:gridCol w:w="7089"/>
        <w:gridCol w:w="36"/>
      </w:tblGrid>
      <w:tr w:rsidR="00000000">
        <w:trPr>
          <w:divId w:val="1011569231"/>
          <w:jc w:val="center"/>
        </w:trPr>
        <w:tc>
          <w:tcPr>
            <w:tcW w:w="50" w:type="pct"/>
            <w:vAlign w:val="center"/>
            <w:hideMark/>
          </w:tcPr>
          <w:p w:rsidR="00000000" w:rsidRDefault="0040289C">
            <w:pPr>
              <w:jc w:val="center"/>
              <w:rPr>
                <w:rFonts w:eastAsia="Times New Roman"/>
              </w:rPr>
            </w:pPr>
          </w:p>
        </w:tc>
        <w:tc>
          <w:tcPr>
            <w:tcW w:w="47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1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011569231"/>
          <w:jc w:val="center"/>
        </w:trPr>
        <w:tc>
          <w:tcPr>
            <w:tcW w:w="0" w:type="auto"/>
            <w:gridSpan w:val="3"/>
            <w:tcMar>
              <w:top w:w="30" w:type="dxa"/>
              <w:left w:w="20" w:type="dxa"/>
              <w:bottom w:w="30" w:type="dxa"/>
              <w:right w:w="20" w:type="dxa"/>
            </w:tcMar>
            <w:hideMark/>
          </w:tcPr>
          <w:p w:rsidR="00000000" w:rsidRDefault="0040289C">
            <w:pPr>
              <w:spacing w:after="100"/>
              <w:jc w:val="right"/>
              <w:rPr>
                <w:rFonts w:eastAsia="Times New Roman"/>
              </w:rPr>
            </w:pPr>
            <w:r>
              <w:rPr>
                <w:rFonts w:eastAsia="Times New Roman"/>
                <w:color w:val="000000"/>
                <w:sz w:val="20"/>
                <w:szCs w:val="20"/>
              </w:rPr>
              <w:t>Part III:</w:t>
            </w:r>
          </w:p>
        </w:tc>
        <w:tc>
          <w:tcPr>
            <w:tcW w:w="0" w:type="auto"/>
            <w:gridSpan w:val="3"/>
            <w:tcMar>
              <w:top w:w="30" w:type="dxa"/>
              <w:left w:w="20" w:type="dxa"/>
              <w:bottom w:w="30" w:type="dxa"/>
              <w:right w:w="20" w:type="dxa"/>
            </w:tcMar>
            <w:vAlign w:val="bottom"/>
            <w:hideMark/>
          </w:tcPr>
          <w:p w:rsidR="00000000" w:rsidRDefault="0040289C">
            <w:pPr>
              <w:spacing w:after="100"/>
              <w:divId w:val="1590191815"/>
              <w:rPr>
                <w:rFonts w:eastAsia="Times New Roman"/>
              </w:rPr>
            </w:pPr>
            <w:r>
              <w:rPr>
                <w:rFonts w:eastAsia="Times New Roman"/>
                <w:color w:val="000000"/>
                <w:sz w:val="20"/>
                <w:szCs w:val="20"/>
              </w:rPr>
              <w:t>Portions of the Registrant’</w:t>
            </w:r>
            <w:r>
              <w:rPr>
                <w:rFonts w:eastAsia="Times New Roman"/>
                <w:color w:val="000000"/>
                <w:sz w:val="20"/>
                <w:szCs w:val="20"/>
              </w:rPr>
              <w:t>s Definitive Proxy Statement for its Annual Meeting of Stockholders to be filed pursuant to Regulation 14A within 120 days after the Registrant’s fiscal year end of December 31, 2022 are incorporated by reference into Part III of this Report.</w:t>
            </w:r>
          </w:p>
        </w:tc>
      </w:tr>
    </w:tbl>
    <w:p w:rsidR="00000000" w:rsidRDefault="0040289C">
      <w:pPr>
        <w:divId w:val="1179855273"/>
        <w:rPr>
          <w:rFonts w:eastAsia="Times New Roman"/>
        </w:rPr>
      </w:pPr>
    </w:p>
    <w:p w:rsidR="00000000" w:rsidRDefault="0040289C">
      <w:pPr>
        <w:jc w:val="center"/>
        <w:rPr>
          <w:rFonts w:eastAsia="Times New Roman"/>
        </w:rPr>
      </w:pPr>
      <w:r>
        <w:rPr>
          <w:rFonts w:eastAsia="Times New Roman"/>
          <w:b/>
          <w:bCs/>
          <w:color w:val="000000"/>
          <w:sz w:val="20"/>
          <w:szCs w:val="20"/>
        </w:rPr>
        <w:t>TABLE OF CONTENTS</w:t>
      </w:r>
    </w:p>
    <w:p w:rsidR="00000000" w:rsidRDefault="0040289C">
      <w:pPr>
        <w:divId w:val="1344240900"/>
        <w:rPr>
          <w:rFonts w:eastAsia="Times New Roman"/>
        </w:rPr>
      </w:pPr>
      <w:r>
        <w:rPr>
          <w:rFonts w:eastAsia="Times New Roman"/>
          <w:color w:val="000000"/>
          <w:sz w:val="18"/>
          <w:szCs w:val="18"/>
        </w:rPr>
        <w:t> </w:t>
      </w:r>
    </w:p>
    <w:tbl>
      <w:tblPr>
        <w:tblW w:w="4823" w:type="pct"/>
        <w:tblCellMar>
          <w:top w:w="15" w:type="dxa"/>
          <w:left w:w="15" w:type="dxa"/>
          <w:bottom w:w="15" w:type="dxa"/>
          <w:right w:w="15" w:type="dxa"/>
        </w:tblCellMar>
        <w:tblLook w:val="04A0" w:firstRow="1" w:lastRow="0" w:firstColumn="1" w:lastColumn="0" w:noHBand="0" w:noVBand="1"/>
      </w:tblPr>
      <w:tblGrid>
        <w:gridCol w:w="65"/>
        <w:gridCol w:w="552"/>
        <w:gridCol w:w="36"/>
        <w:gridCol w:w="66"/>
        <w:gridCol w:w="6787"/>
        <w:gridCol w:w="38"/>
        <w:gridCol w:w="66"/>
        <w:gridCol w:w="366"/>
        <w:gridCol w:w="36"/>
      </w:tblGrid>
      <w:tr w:rsidR="00000000">
        <w:trPr>
          <w:divId w:val="400719368"/>
        </w:trPr>
        <w:tc>
          <w:tcPr>
            <w:tcW w:w="50" w:type="pct"/>
            <w:vAlign w:val="center"/>
            <w:hideMark/>
          </w:tcPr>
          <w:p w:rsidR="00000000" w:rsidRDefault="0040289C">
            <w:pPr>
              <w:rPr>
                <w:rFonts w:eastAsia="Times New Roman"/>
              </w:rPr>
            </w:pPr>
          </w:p>
        </w:tc>
        <w:tc>
          <w:tcPr>
            <w:tcW w:w="35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4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400719368"/>
          <w:trHeight w:val="30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u w:val="single"/>
              </w:rPr>
              <w:t>Item</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16"/>
                <w:szCs w:val="16"/>
                <w:u w:val="single"/>
              </w:rPr>
              <w:t>Page</w:t>
            </w:r>
          </w:p>
        </w:tc>
      </w:tr>
      <w:tr w:rsidR="00000000">
        <w:trPr>
          <w:divId w:val="400719368"/>
          <w:trHeight w:val="240"/>
        </w:trPr>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divId w:val="1089349186"/>
              <w:rPr>
                <w:rFonts w:eastAsia="Times New Roman"/>
              </w:rPr>
            </w:pPr>
            <w:hyperlink w:anchor="if07fd8a5a4294970a048ac5c5178b1ea_13" w:history="1">
              <w:r>
                <w:rPr>
                  <w:rStyle w:val="a3"/>
                  <w:rFonts w:eastAsia="Times New Roman"/>
                  <w:sz w:val="20"/>
                  <w:szCs w:val="20"/>
                </w:rPr>
                <w:t>Forward-Looking Statements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3" w:history="1">
              <w:r>
                <w:rPr>
                  <w:rStyle w:val="a3"/>
                  <w:rFonts w:eastAsia="Times New Roman"/>
                  <w:sz w:val="20"/>
                  <w:szCs w:val="20"/>
                </w:rPr>
                <w:t>i</w:t>
              </w:r>
            </w:hyperlink>
          </w:p>
        </w:tc>
      </w:tr>
      <w:tr w:rsidR="00000000">
        <w:trPr>
          <w:divId w:val="400719368"/>
          <w:trHeight w:val="240"/>
        </w:trPr>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divId w:val="400719368"/>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40289C">
            <w:pPr>
              <w:spacing w:after="100"/>
              <w:divId w:val="866522367"/>
              <w:rPr>
                <w:rFonts w:eastAsia="Times New Roman"/>
              </w:rPr>
            </w:pPr>
            <w:hyperlink w:anchor="if07fd8a5a4294970a048ac5c5178b1ea_19"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9" w:history="1">
              <w:r>
                <w:rPr>
                  <w:rStyle w:val="a3"/>
                  <w:rFonts w:eastAsia="Times New Roman"/>
                  <w:sz w:val="20"/>
                  <w:szCs w:val="20"/>
                </w:rPr>
                <w:t>1</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1A.</w:t>
            </w:r>
          </w:p>
        </w:tc>
        <w:tc>
          <w:tcPr>
            <w:tcW w:w="0" w:type="auto"/>
            <w:gridSpan w:val="3"/>
            <w:tcMar>
              <w:top w:w="30" w:type="dxa"/>
              <w:left w:w="20" w:type="dxa"/>
              <w:bottom w:w="30" w:type="dxa"/>
              <w:right w:w="20" w:type="dxa"/>
            </w:tcMar>
            <w:vAlign w:val="bottom"/>
            <w:hideMark/>
          </w:tcPr>
          <w:p w:rsidR="00000000" w:rsidRDefault="0040289C">
            <w:pPr>
              <w:spacing w:after="100"/>
              <w:divId w:val="325714412"/>
              <w:rPr>
                <w:rFonts w:eastAsia="Times New Roman"/>
              </w:rPr>
            </w:pPr>
            <w:hyperlink w:anchor="if07fd8a5a4294970a048ac5c5178b1ea_22"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2" w:history="1">
              <w:r>
                <w:rPr>
                  <w:rStyle w:val="a3"/>
                  <w:rFonts w:eastAsia="Times New Roman"/>
                  <w:sz w:val="20"/>
                  <w:szCs w:val="20"/>
                </w:rPr>
                <w:t>13</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1B.</w:t>
            </w:r>
          </w:p>
        </w:tc>
        <w:tc>
          <w:tcPr>
            <w:tcW w:w="0" w:type="auto"/>
            <w:gridSpan w:val="3"/>
            <w:tcMar>
              <w:top w:w="30" w:type="dxa"/>
              <w:left w:w="20" w:type="dxa"/>
              <w:bottom w:w="30" w:type="dxa"/>
              <w:right w:w="20" w:type="dxa"/>
            </w:tcMar>
            <w:vAlign w:val="bottom"/>
            <w:hideMark/>
          </w:tcPr>
          <w:p w:rsidR="00000000" w:rsidRDefault="0040289C">
            <w:pPr>
              <w:spacing w:after="100"/>
              <w:divId w:val="1404454767"/>
              <w:rPr>
                <w:rFonts w:eastAsia="Times New Roman"/>
              </w:rPr>
            </w:pPr>
            <w:hyperlink w:anchor="if07fd8a5a4294970a048ac5c5178b1ea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5" w:history="1">
              <w:r>
                <w:rPr>
                  <w:rStyle w:val="a3"/>
                  <w:rFonts w:eastAsia="Times New Roman"/>
                  <w:sz w:val="20"/>
                  <w:szCs w:val="20"/>
                </w:rPr>
                <w:t>31</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40289C">
            <w:pPr>
              <w:spacing w:after="100"/>
              <w:divId w:val="233853990"/>
              <w:rPr>
                <w:rFonts w:eastAsia="Times New Roman"/>
              </w:rPr>
            </w:pPr>
            <w:hyperlink w:anchor="if07fd8a5a4294970a048ac5c5178b1ea_28"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8" w:history="1">
              <w:r>
                <w:rPr>
                  <w:rStyle w:val="a3"/>
                  <w:rFonts w:eastAsia="Times New Roman"/>
                  <w:sz w:val="20"/>
                  <w:szCs w:val="20"/>
                </w:rPr>
                <w:t>31</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40289C">
            <w:pPr>
              <w:spacing w:after="100"/>
              <w:divId w:val="1771315907"/>
              <w:rPr>
                <w:rFonts w:eastAsia="Times New Roman"/>
              </w:rPr>
            </w:pPr>
            <w:hyperlink w:anchor="if07fd8a5a4294970a048ac5c5178b1ea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31" w:history="1">
              <w:r>
                <w:rPr>
                  <w:rStyle w:val="a3"/>
                  <w:rFonts w:eastAsia="Times New Roman"/>
                  <w:sz w:val="20"/>
                  <w:szCs w:val="20"/>
                </w:rPr>
                <w:t>31</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40289C">
            <w:pPr>
              <w:spacing w:after="100"/>
              <w:divId w:val="387925591"/>
              <w:rPr>
                <w:rFonts w:eastAsia="Times New Roman"/>
              </w:rPr>
            </w:pPr>
            <w:hyperlink w:anchor="if07fd8a5a4294970a048ac5c5178b1ea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34" w:history="1">
              <w:r>
                <w:rPr>
                  <w:rStyle w:val="a3"/>
                  <w:rFonts w:eastAsia="Times New Roman"/>
                  <w:sz w:val="20"/>
                  <w:szCs w:val="20"/>
                </w:rPr>
                <w:t>31</w:t>
              </w:r>
            </w:hyperlink>
          </w:p>
        </w:tc>
      </w:tr>
      <w:tr w:rsidR="00000000">
        <w:trPr>
          <w:divId w:val="400719368"/>
          <w:trHeight w:val="160"/>
        </w:trPr>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divId w:val="400719368"/>
          <w:trHeight w:val="18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40289C">
            <w:pPr>
              <w:spacing w:after="100"/>
              <w:divId w:val="476264528"/>
              <w:rPr>
                <w:rFonts w:eastAsia="Times New Roman"/>
              </w:rPr>
            </w:pPr>
            <w:hyperlink w:anchor="if07fd8a5a4294970a048ac5c5178b1ea_40" w:history="1">
              <w:r>
                <w:rPr>
                  <w:rStyle w:val="a3"/>
                  <w:rFonts w:eastAsia="Times New Roman"/>
                  <w:sz w:val="20"/>
                  <w:szCs w:val="20"/>
                </w:rPr>
                <w:t>Market for the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40" w:history="1">
              <w:r>
                <w:rPr>
                  <w:rStyle w:val="a3"/>
                  <w:rFonts w:eastAsia="Times New Roman"/>
                  <w:sz w:val="20"/>
                  <w:szCs w:val="20"/>
                </w:rPr>
                <w:t>32</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40289C">
            <w:pPr>
              <w:spacing w:after="100"/>
              <w:divId w:val="10423090"/>
              <w:rPr>
                <w:rFonts w:eastAsia="Times New Roman"/>
              </w:rPr>
            </w:pPr>
            <w:r>
              <w:rPr>
                <w:rFonts w:eastAsia="Times New Roman"/>
                <w:color w:val="000000"/>
                <w:sz w:val="20"/>
                <w:szCs w:val="20"/>
              </w:rPr>
              <w:t>[</w:t>
            </w:r>
            <w:hyperlink w:anchor="if07fd8a5a4294970a048ac5c5178b1ea_43" w:history="1">
              <w:r>
                <w:rPr>
                  <w:rStyle w:val="a3"/>
                  <w:rFonts w:eastAsia="Times New Roman"/>
                  <w:sz w:val="20"/>
                  <w:szCs w:val="20"/>
                </w:rPr>
                <w:t>Reserved</w:t>
              </w:r>
            </w:hyperlink>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43" w:history="1">
              <w:r>
                <w:rPr>
                  <w:rStyle w:val="a3"/>
                  <w:rFonts w:eastAsia="Times New Roman"/>
                  <w:sz w:val="20"/>
                  <w:szCs w:val="20"/>
                </w:rPr>
                <w:t>33</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40289C">
            <w:pPr>
              <w:spacing w:after="100"/>
              <w:divId w:val="103616446"/>
              <w:rPr>
                <w:rFonts w:eastAsia="Times New Roman"/>
              </w:rPr>
            </w:pPr>
            <w:hyperlink w:anchor="if07fd8a5a4294970a048ac5c5178b1ea_49"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46" w:history="1">
              <w:r>
                <w:rPr>
                  <w:rStyle w:val="a3"/>
                  <w:rFonts w:eastAsia="Times New Roman"/>
                  <w:sz w:val="20"/>
                  <w:szCs w:val="20"/>
                </w:rPr>
                <w:t>34</w:t>
              </w:r>
            </w:hyperlink>
          </w:p>
        </w:tc>
      </w:tr>
      <w:tr w:rsidR="00000000">
        <w:trPr>
          <w:divId w:val="400719368"/>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7A.</w:t>
            </w:r>
          </w:p>
        </w:tc>
        <w:tc>
          <w:tcPr>
            <w:tcW w:w="0" w:type="auto"/>
            <w:gridSpan w:val="3"/>
            <w:tcMar>
              <w:top w:w="30" w:type="dxa"/>
              <w:left w:w="20" w:type="dxa"/>
              <w:bottom w:w="30" w:type="dxa"/>
              <w:right w:w="20" w:type="dxa"/>
            </w:tcMar>
            <w:vAlign w:val="bottom"/>
            <w:hideMark/>
          </w:tcPr>
          <w:p w:rsidR="00000000" w:rsidRDefault="0040289C">
            <w:pPr>
              <w:spacing w:after="100"/>
              <w:divId w:val="72826111"/>
              <w:rPr>
                <w:rFonts w:eastAsia="Times New Roman"/>
              </w:rPr>
            </w:pPr>
            <w:hyperlink w:anchor="if07fd8a5a4294970a048ac5c5178b1ea_127"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27" w:history="1">
              <w:r>
                <w:rPr>
                  <w:rStyle w:val="a3"/>
                  <w:rFonts w:eastAsia="Times New Roman"/>
                  <w:sz w:val="20"/>
                  <w:szCs w:val="20"/>
                </w:rPr>
                <w:t>53</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40289C">
            <w:pPr>
              <w:spacing w:after="100"/>
              <w:divId w:val="489758189"/>
              <w:rPr>
                <w:rFonts w:eastAsia="Times New Roman"/>
              </w:rPr>
            </w:pPr>
            <w:hyperlink w:anchor="if07fd8a5a4294970a048ac5c5178b1ea_130"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33" w:history="1">
              <w:r>
                <w:rPr>
                  <w:rStyle w:val="a3"/>
                  <w:rFonts w:eastAsia="Times New Roman"/>
                  <w:sz w:val="20"/>
                  <w:szCs w:val="20"/>
                </w:rPr>
                <w:t>55</w:t>
              </w:r>
            </w:hyperlink>
          </w:p>
        </w:tc>
      </w:tr>
      <w:tr w:rsidR="00000000">
        <w:trPr>
          <w:divId w:val="400719368"/>
          <w:trHeight w:val="240"/>
        </w:trPr>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40289C">
            <w:pPr>
              <w:spacing w:after="100"/>
              <w:divId w:val="251358081"/>
              <w:rPr>
                <w:rFonts w:eastAsia="Times New Roman"/>
              </w:rPr>
            </w:pPr>
            <w:hyperlink w:anchor="if07fd8a5a4294970a048ac5c5178b1ea_214"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14" w:history="1">
              <w:r>
                <w:rPr>
                  <w:rStyle w:val="a3"/>
                  <w:rFonts w:eastAsia="Times New Roman"/>
                  <w:sz w:val="20"/>
                  <w:szCs w:val="20"/>
                </w:rPr>
                <w:t>124</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9A.</w:t>
            </w:r>
          </w:p>
        </w:tc>
        <w:tc>
          <w:tcPr>
            <w:tcW w:w="0" w:type="auto"/>
            <w:gridSpan w:val="3"/>
            <w:tcMar>
              <w:top w:w="30" w:type="dxa"/>
              <w:left w:w="20" w:type="dxa"/>
              <w:bottom w:w="30" w:type="dxa"/>
              <w:right w:w="20" w:type="dxa"/>
            </w:tcMar>
            <w:vAlign w:val="bottom"/>
            <w:hideMark/>
          </w:tcPr>
          <w:p w:rsidR="00000000" w:rsidRDefault="0040289C">
            <w:pPr>
              <w:spacing w:after="100"/>
              <w:divId w:val="1249123037"/>
              <w:rPr>
                <w:rFonts w:eastAsia="Times New Roman"/>
              </w:rPr>
            </w:pPr>
            <w:hyperlink w:anchor="if07fd8a5a4294970a048ac5c5178b1ea_217"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17" w:history="1">
              <w:r>
                <w:rPr>
                  <w:rStyle w:val="a3"/>
                  <w:rFonts w:eastAsia="Times New Roman"/>
                  <w:sz w:val="20"/>
                  <w:szCs w:val="20"/>
                </w:rPr>
                <w:t>125</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9B.</w:t>
            </w:r>
          </w:p>
        </w:tc>
        <w:tc>
          <w:tcPr>
            <w:tcW w:w="0" w:type="auto"/>
            <w:gridSpan w:val="3"/>
            <w:tcMar>
              <w:top w:w="30" w:type="dxa"/>
              <w:left w:w="20" w:type="dxa"/>
              <w:bottom w:w="30" w:type="dxa"/>
              <w:right w:w="20" w:type="dxa"/>
            </w:tcMar>
            <w:vAlign w:val="bottom"/>
            <w:hideMark/>
          </w:tcPr>
          <w:p w:rsidR="00000000" w:rsidRDefault="0040289C">
            <w:pPr>
              <w:spacing w:after="100"/>
              <w:divId w:val="575867437"/>
              <w:rPr>
                <w:rFonts w:eastAsia="Times New Roman"/>
              </w:rPr>
            </w:pPr>
            <w:hyperlink w:anchor="if07fd8a5a4294970a048ac5c5178b1ea_220"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20" w:history="1">
              <w:r>
                <w:rPr>
                  <w:rStyle w:val="a3"/>
                  <w:rFonts w:eastAsia="Times New Roman"/>
                  <w:sz w:val="20"/>
                  <w:szCs w:val="20"/>
                </w:rPr>
                <w:t>126</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9C.</w:t>
            </w:r>
          </w:p>
        </w:tc>
        <w:tc>
          <w:tcPr>
            <w:tcW w:w="0" w:type="auto"/>
            <w:gridSpan w:val="3"/>
            <w:tcMar>
              <w:top w:w="30" w:type="dxa"/>
              <w:left w:w="20" w:type="dxa"/>
              <w:bottom w:w="30" w:type="dxa"/>
              <w:right w:w="20" w:type="dxa"/>
            </w:tcMar>
            <w:vAlign w:val="bottom"/>
            <w:hideMark/>
          </w:tcPr>
          <w:p w:rsidR="00000000" w:rsidRDefault="0040289C">
            <w:pPr>
              <w:spacing w:after="100"/>
              <w:divId w:val="1874345468"/>
              <w:rPr>
                <w:rFonts w:eastAsia="Times New Roman"/>
              </w:rPr>
            </w:pPr>
            <w:hyperlink w:anchor="if07fd8a5a4294970a048ac5c5178b1ea_10995" w:history="1">
              <w:r>
                <w:rPr>
                  <w:rStyle w:val="a3"/>
                  <w:rFonts w:eastAsia="Times New Roman"/>
                  <w:sz w:val="20"/>
                  <w:szCs w:val="20"/>
                </w:rPr>
                <w:t>Disclosure Regarding Foreign Jurisdiction That Prevent Inspections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20" w:history="1">
              <w:r>
                <w:rPr>
                  <w:rStyle w:val="a3"/>
                  <w:rFonts w:eastAsia="Times New Roman"/>
                  <w:sz w:val="20"/>
                  <w:szCs w:val="20"/>
                </w:rPr>
                <w:t>126</w:t>
              </w:r>
            </w:hyperlink>
          </w:p>
        </w:tc>
      </w:tr>
      <w:tr w:rsidR="00000000">
        <w:trPr>
          <w:divId w:val="400719368"/>
          <w:trHeight w:val="120"/>
        </w:trPr>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divId w:val="400719368"/>
          <w:trHeight w:val="18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40289C">
            <w:pPr>
              <w:spacing w:after="100"/>
              <w:divId w:val="266079170"/>
              <w:rPr>
                <w:rFonts w:eastAsia="Times New Roman"/>
              </w:rPr>
            </w:pPr>
            <w:hyperlink w:anchor="if07fd8a5a4294970a048ac5c5178b1ea_226"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26" w:history="1">
              <w:r>
                <w:rPr>
                  <w:rStyle w:val="a3"/>
                  <w:rFonts w:eastAsia="Times New Roman"/>
                  <w:sz w:val="20"/>
                  <w:szCs w:val="20"/>
                </w:rPr>
                <w:t>127</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40289C">
            <w:pPr>
              <w:spacing w:after="100"/>
              <w:divId w:val="182329474"/>
              <w:rPr>
                <w:rFonts w:eastAsia="Times New Roman"/>
              </w:rPr>
            </w:pPr>
            <w:hyperlink w:anchor="if07fd8a5a4294970a048ac5c5178b1ea_229"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29" w:history="1">
              <w:r>
                <w:rPr>
                  <w:rStyle w:val="a3"/>
                  <w:rFonts w:eastAsia="Times New Roman"/>
                  <w:sz w:val="20"/>
                  <w:szCs w:val="20"/>
                </w:rPr>
                <w:t>127</w:t>
              </w:r>
            </w:hyperlink>
          </w:p>
        </w:tc>
      </w:tr>
      <w:tr w:rsidR="00000000">
        <w:trPr>
          <w:divId w:val="400719368"/>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40289C">
            <w:pPr>
              <w:spacing w:after="100"/>
              <w:divId w:val="993220721"/>
              <w:rPr>
                <w:rFonts w:eastAsia="Times New Roman"/>
              </w:rPr>
            </w:pPr>
            <w:hyperlink w:anchor="if07fd8a5a4294970a048ac5c5178b1ea_232" w:history="1">
              <w:r>
                <w:rPr>
                  <w:rStyle w:val="a3"/>
                  <w:rFonts w:eastAsia="Times New Roman"/>
                  <w:sz w:val="20"/>
                  <w:szCs w:val="20"/>
                </w:rPr>
                <w:t>Security Ownership of Certain Beneficia</w:t>
              </w:r>
              <w:r>
                <w:rPr>
                  <w:rStyle w:val="a3"/>
                  <w:rFonts w:eastAsia="Times New Roman"/>
                  <w:sz w:val="20"/>
                  <w:szCs w:val="20"/>
                </w:rPr>
                <w:t>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32" w:history="1">
              <w:r>
                <w:rPr>
                  <w:rStyle w:val="a3"/>
                  <w:rFonts w:eastAsia="Times New Roman"/>
                  <w:sz w:val="20"/>
                  <w:szCs w:val="20"/>
                </w:rPr>
                <w:t>127</w:t>
              </w:r>
            </w:hyperlink>
          </w:p>
        </w:tc>
      </w:tr>
      <w:tr w:rsidR="00000000">
        <w:trPr>
          <w:divId w:val="40071936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lastRenderedPageBreak/>
              <w:t>13</w:t>
            </w:r>
          </w:p>
        </w:tc>
        <w:tc>
          <w:tcPr>
            <w:tcW w:w="0" w:type="auto"/>
            <w:gridSpan w:val="3"/>
            <w:tcMar>
              <w:top w:w="30" w:type="dxa"/>
              <w:left w:w="20" w:type="dxa"/>
              <w:bottom w:w="30" w:type="dxa"/>
              <w:right w:w="20" w:type="dxa"/>
            </w:tcMar>
            <w:vAlign w:val="bottom"/>
            <w:hideMark/>
          </w:tcPr>
          <w:p w:rsidR="00000000" w:rsidRDefault="0040289C">
            <w:pPr>
              <w:spacing w:after="100"/>
              <w:divId w:val="2005929877"/>
              <w:rPr>
                <w:rFonts w:eastAsia="Times New Roman"/>
              </w:rPr>
            </w:pPr>
            <w:hyperlink w:anchor="if07fd8a5a4294970a048ac5c5178b1ea_235"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35" w:history="1">
              <w:r>
                <w:rPr>
                  <w:rStyle w:val="a3"/>
                  <w:rFonts w:eastAsia="Times New Roman"/>
                  <w:sz w:val="20"/>
                  <w:szCs w:val="20"/>
                </w:rPr>
                <w:t>127</w:t>
              </w:r>
            </w:hyperlink>
          </w:p>
        </w:tc>
      </w:tr>
      <w:tr w:rsidR="00000000">
        <w:trPr>
          <w:divId w:val="400719368"/>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40289C">
            <w:pPr>
              <w:spacing w:after="100"/>
              <w:divId w:val="1115442149"/>
              <w:rPr>
                <w:rFonts w:eastAsia="Times New Roman"/>
              </w:rPr>
            </w:pPr>
            <w:hyperlink w:anchor="if07fd8a5a4294970a048ac5c5178b1ea_238"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38" w:history="1">
              <w:r>
                <w:rPr>
                  <w:rStyle w:val="a3"/>
                  <w:rFonts w:eastAsia="Times New Roman"/>
                  <w:sz w:val="20"/>
                  <w:szCs w:val="20"/>
                </w:rPr>
                <w:t>127</w:t>
              </w:r>
            </w:hyperlink>
          </w:p>
        </w:tc>
      </w:tr>
      <w:tr w:rsidR="00000000">
        <w:trPr>
          <w:divId w:val="400719368"/>
          <w:trHeight w:val="180"/>
        </w:trPr>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divId w:val="400719368"/>
          <w:trHeight w:val="18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00719368"/>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40289C">
            <w:pPr>
              <w:spacing w:after="100"/>
              <w:divId w:val="608515503"/>
              <w:rPr>
                <w:rFonts w:eastAsia="Times New Roman"/>
              </w:rPr>
            </w:pPr>
            <w:hyperlink w:anchor="if07fd8a5a4294970a048ac5c5178b1ea_244" w:history="1">
              <w:r>
                <w:rPr>
                  <w:rStyle w:val="a3"/>
                  <w:rFonts w:eastAsia="Times New Roman"/>
                  <w:sz w:val="20"/>
                  <w:szCs w:val="20"/>
                </w:rPr>
                <w:t>Exhibits and Financial Statement Schedule</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44" w:history="1">
              <w:r>
                <w:rPr>
                  <w:rStyle w:val="a3"/>
                  <w:rFonts w:eastAsia="Times New Roman"/>
                  <w:sz w:val="20"/>
                  <w:szCs w:val="20"/>
                </w:rPr>
                <w:t>128</w:t>
              </w:r>
            </w:hyperlink>
          </w:p>
        </w:tc>
      </w:tr>
      <w:tr w:rsidR="00000000">
        <w:trPr>
          <w:divId w:val="400719368"/>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rsidR="00000000" w:rsidRDefault="0040289C">
            <w:pPr>
              <w:spacing w:after="100"/>
              <w:divId w:val="442917553"/>
              <w:rPr>
                <w:rFonts w:eastAsia="Times New Roman"/>
              </w:rPr>
            </w:pPr>
            <w:hyperlink w:anchor="if07fd8a5a4294970a048ac5c5178b1ea_247"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47" w:history="1">
              <w:r>
                <w:rPr>
                  <w:rStyle w:val="a3"/>
                  <w:rFonts w:eastAsia="Times New Roman"/>
                  <w:sz w:val="20"/>
                  <w:szCs w:val="20"/>
                </w:rPr>
                <w:t>132</w:t>
              </w:r>
            </w:hyperlink>
          </w:p>
        </w:tc>
      </w:tr>
    </w:tbl>
    <w:p w:rsidR="00000000" w:rsidRDefault="0040289C">
      <w:pPr>
        <w:divId w:val="765466348"/>
        <w:rPr>
          <w:rFonts w:eastAsia="Times New Roman"/>
        </w:rPr>
      </w:pPr>
    </w:p>
    <w:p w:rsidR="00000000" w:rsidRDefault="0040289C">
      <w:pPr>
        <w:jc w:val="both"/>
        <w:rPr>
          <w:rFonts w:eastAsia="Times New Roman"/>
        </w:rPr>
      </w:pPr>
      <w:r>
        <w:rPr>
          <w:rFonts w:eastAsia="Times New Roman"/>
          <w:color w:val="000000"/>
          <w:sz w:val="20"/>
          <w:szCs w:val="20"/>
        </w:rPr>
        <w:t>This Report contains trademarks, service marks and registered marks of NCR Corporation and its subsidiaries, and of other companies, as indicated. Unless otherwise indicated, the terms “NCR,” the “Company,” “we,” “us,” and “our” refer to NCR Corporati</w:t>
      </w:r>
      <w:r>
        <w:rPr>
          <w:rFonts w:eastAsia="Times New Roman"/>
          <w:color w:val="000000"/>
          <w:sz w:val="20"/>
          <w:szCs w:val="20"/>
        </w:rPr>
        <w:t>on and its subsidiaries.</w:t>
      </w:r>
    </w:p>
    <w:p w:rsidR="00000000" w:rsidRDefault="0040289C">
      <w:pPr>
        <w:divId w:val="1922060497"/>
        <w:rPr>
          <w:rFonts w:eastAsia="Times New Roman"/>
        </w:rPr>
      </w:pPr>
    </w:p>
    <w:p w:rsidR="00000000" w:rsidRDefault="0040289C">
      <w:pPr>
        <w:divId w:val="2124958168"/>
        <w:rPr>
          <w:rFonts w:eastAsia="Times New Roman"/>
        </w:rPr>
      </w:pPr>
    </w:p>
    <w:p w:rsidR="00000000" w:rsidRDefault="0040289C">
      <w:pPr>
        <w:divId w:val="294415931"/>
        <w:rPr>
          <w:rFonts w:eastAsia="Times New Roman"/>
        </w:rPr>
      </w:pPr>
    </w:p>
    <w:p w:rsidR="00000000" w:rsidRDefault="0040289C">
      <w:pPr>
        <w:rPr>
          <w:rFonts w:eastAsia="Times New Roman"/>
        </w:rPr>
      </w:pPr>
      <w:r>
        <w:rPr>
          <w:rFonts w:eastAsia="Times New Roman"/>
        </w:rPr>
        <w:pict>
          <v:rect id="_x0000_i1027" style="width:0;height:1.5pt" o:hralign="center" o:hrstd="t" o:hr="t" fillcolor="#a0a0a0" stroked="f"/>
        </w:pict>
      </w:r>
    </w:p>
    <w:p w:rsidR="00000000" w:rsidRDefault="0040289C">
      <w:pPr>
        <w:divId w:val="144704084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886184502"/>
        <w:rPr>
          <w:rFonts w:eastAsia="Times New Roman"/>
        </w:rPr>
      </w:pPr>
    </w:p>
    <w:p w:rsidR="00000000" w:rsidRDefault="0040289C">
      <w:pPr>
        <w:divId w:val="474108563"/>
        <w:rPr>
          <w:rFonts w:eastAsia="Times New Roman"/>
        </w:rPr>
      </w:pPr>
      <w:r>
        <w:rPr>
          <w:rFonts w:eastAsia="Times New Roman"/>
          <w:b/>
          <w:bCs/>
          <w:color w:val="000000"/>
          <w:sz w:val="20"/>
          <w:szCs w:val="20"/>
        </w:rPr>
        <w:t>FORWARD-LOOKING STATEMENTS</w:t>
      </w:r>
    </w:p>
    <w:p w:rsidR="00000000" w:rsidRDefault="0040289C">
      <w:pPr>
        <w:jc w:val="both"/>
        <w:rPr>
          <w:rFonts w:eastAsia="Times New Roman"/>
        </w:rPr>
      </w:pPr>
      <w:r>
        <w:rPr>
          <w:rFonts w:eastAsia="Times New Roman"/>
          <w:color w:val="000000"/>
          <w:sz w:val="20"/>
          <w:szCs w:val="20"/>
        </w:rPr>
        <w:t>This Annual Report on Form 10-K contains “forward-looking statements” within the meaning of Section 27A of the Sec</w:t>
      </w:r>
      <w:r>
        <w:rPr>
          <w:rFonts w:eastAsia="Times New Roman"/>
          <w:color w:val="000000"/>
          <w:sz w:val="20"/>
          <w:szCs w:val="20"/>
        </w:rPr>
        <w:t>urities Act of 1933, as amended, and Section 21E of the Securities Exchange Act of 1934, as amended, pursuant to the safe harbor provisions of the Private Securities Litigation Reform Act of 1995 (the “Act”). Forward-looking statements use words such as “e</w:t>
      </w:r>
      <w:r>
        <w:rPr>
          <w:rFonts w:eastAsia="Times New Roman"/>
          <w:color w:val="000000"/>
          <w:sz w:val="20"/>
          <w:szCs w:val="20"/>
        </w:rPr>
        <w:t>xpect,” “anticipate,” “outlook,” “intend,” “plan,” “confident,” “believe,” “will,” “should,” “would,” “potential,” “positioning,” “proposed,” “planned,” “objective,” “likely,” “could,” “may,” and words of similar meaning, as well as other words or expressi</w:t>
      </w:r>
      <w:r>
        <w:rPr>
          <w:rFonts w:eastAsia="Times New Roman"/>
          <w:color w:val="000000"/>
          <w:sz w:val="20"/>
          <w:szCs w:val="20"/>
        </w:rPr>
        <w:t>ons referencing future events, conditions or circumstances. We intend these forward-looking statements to be covered by the safe harbor provisions for forward-looking statements contained in the Act. Statements that describe or relate to NCR’s plans, goals</w:t>
      </w:r>
      <w:r>
        <w:rPr>
          <w:rFonts w:eastAsia="Times New Roman"/>
          <w:color w:val="000000"/>
          <w:sz w:val="20"/>
          <w:szCs w:val="20"/>
        </w:rPr>
        <w:t>, intentions, strategies, or financial outlook, and statements that do not relate to historical or current fact, are examples of forward-looking statements. Examples of forward-looking statements in this Annual Report include, without limitation, statement</w:t>
      </w:r>
      <w:r>
        <w:rPr>
          <w:rFonts w:eastAsia="Times New Roman"/>
          <w:color w:val="000000"/>
          <w:sz w:val="20"/>
          <w:szCs w:val="20"/>
        </w:rPr>
        <w:t xml:space="preserve">s regarding: our expectations of demand for our solutions and execution and the impact thereof on our financial results in 2022; NCR's focus on advancing our strategic growth initiatives and transforming NCR into a software-led as-a-service company with a </w:t>
      </w:r>
      <w:r>
        <w:rPr>
          <w:rFonts w:eastAsia="Times New Roman"/>
          <w:color w:val="000000"/>
          <w:sz w:val="20"/>
          <w:szCs w:val="20"/>
        </w:rPr>
        <w:t>higher mix of recurring revenue streams; our expectations of NCR's ability to deliver increased value to customers and stockholders; and statements regarding the planned separation of NCR into two separate companies, including, but not limited to, statemen</w:t>
      </w:r>
      <w:r>
        <w:rPr>
          <w:rFonts w:eastAsia="Times New Roman"/>
          <w:color w:val="000000"/>
          <w:sz w:val="20"/>
          <w:szCs w:val="20"/>
        </w:rPr>
        <w:t xml:space="preserve">ts regarding the anticipated timing and structure of such planned transaction, the future commercial or financial performance of the digital commerce company or the ATM company following such planned transaction, value creation and ability to innovate and </w:t>
      </w:r>
      <w:r>
        <w:rPr>
          <w:rFonts w:eastAsia="Times New Roman"/>
          <w:color w:val="000000"/>
          <w:sz w:val="20"/>
          <w:szCs w:val="20"/>
        </w:rPr>
        <w:t>drive growth generally as a result of such transaction, and the expected capital structure of the companies at the time of and following the transaction. Forward-looking statements are based on our current beliefs, expectations and assumptions, which may n</w:t>
      </w:r>
      <w:r>
        <w:rPr>
          <w:rFonts w:eastAsia="Times New Roman"/>
          <w:color w:val="000000"/>
          <w:sz w:val="20"/>
          <w:szCs w:val="20"/>
        </w:rPr>
        <w:t xml:space="preserve">ot prove to be accurate, and involve a number of known and unknown risks and uncertainties, many of which are out of NCR's control. Forward-looking statements are not guarantees of future performance, and there are a number of important factors that could </w:t>
      </w:r>
      <w:r>
        <w:rPr>
          <w:rFonts w:eastAsia="Times New Roman"/>
          <w:color w:val="000000"/>
          <w:sz w:val="20"/>
          <w:szCs w:val="20"/>
        </w:rPr>
        <w:t xml:space="preserve">cause actual outcomes and results to differ materially from the results contemplated by such forward-looking statements, including those factors relating to: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•Strategy and Technology: transforming our business model; development and introduction of new </w:t>
      </w:r>
      <w:r>
        <w:rPr>
          <w:rFonts w:eastAsia="Times New Roman"/>
          <w:color w:val="000000"/>
          <w:sz w:val="20"/>
          <w:szCs w:val="20"/>
        </w:rPr>
        <w:t>solutions; competition in the technology industry; integration of acquisitions and management of alliance activities; and our multinational operations;</w:t>
      </w:r>
    </w:p>
    <w:p w:rsidR="00000000" w:rsidRDefault="0040289C">
      <w:pPr>
        <w:ind w:hanging="360"/>
        <w:divId w:val="10882478"/>
        <w:rPr>
          <w:rFonts w:eastAsia="Times New Roman"/>
        </w:rPr>
      </w:pPr>
      <w:r>
        <w:rPr>
          <w:rFonts w:ascii="Arial" w:eastAsia="Times New Roman" w:hAnsi="Arial" w:cs="Arial"/>
          <w:color w:val="000000"/>
        </w:rPr>
        <w:t>•</w:t>
      </w:r>
      <w:r>
        <w:rPr>
          <w:rFonts w:eastAsia="Times New Roman"/>
          <w:color w:val="000000"/>
          <w:sz w:val="20"/>
          <w:szCs w:val="20"/>
        </w:rPr>
        <w:t>Business Operations: domestic and global economic and credit conditions; risks and uncertainties from t</w:t>
      </w:r>
      <w:r>
        <w:rPr>
          <w:rFonts w:eastAsia="Times New Roman"/>
          <w:color w:val="000000"/>
          <w:sz w:val="20"/>
          <w:szCs w:val="20"/>
        </w:rPr>
        <w:t xml:space="preserve">he payments-related business and industry; disruptions in our data center hosting and public cloud facilities; retention and attraction of key employees; defects, errors, installation difficulties or development delays; failure of third-party suppliers; a </w:t>
      </w:r>
      <w:r>
        <w:rPr>
          <w:rFonts w:eastAsia="Times New Roman"/>
          <w:color w:val="000000"/>
          <w:sz w:val="20"/>
          <w:szCs w:val="20"/>
        </w:rPr>
        <w:t xml:space="preserve">major natural disaster or catastrophic event, including the impact of the coronavirus (COVID-19) pandemic and geopolitical and macroeconomic </w:t>
      </w:r>
      <w:r>
        <w:rPr>
          <w:rFonts w:eastAsia="Times New Roman"/>
          <w:color w:val="000000"/>
          <w:sz w:val="20"/>
          <w:szCs w:val="20"/>
        </w:rPr>
        <w:lastRenderedPageBreak/>
        <w:t xml:space="preserve">challenges; environmental exposures from historical and ongoing manufacturing activities; and climate change; </w:t>
      </w:r>
    </w:p>
    <w:p w:rsidR="00000000" w:rsidRDefault="0040289C">
      <w:pPr>
        <w:ind w:hanging="360"/>
        <w:jc w:val="both"/>
        <w:rPr>
          <w:rFonts w:eastAsia="Times New Roman"/>
        </w:rPr>
      </w:pPr>
      <w:r>
        <w:rPr>
          <w:rFonts w:eastAsia="Times New Roman"/>
          <w:color w:val="000000"/>
          <w:sz w:val="20"/>
          <w:szCs w:val="20"/>
        </w:rPr>
        <w:t>•Dat</w:t>
      </w:r>
      <w:r>
        <w:rPr>
          <w:rFonts w:eastAsia="Times New Roman"/>
          <w:color w:val="000000"/>
          <w:sz w:val="20"/>
          <w:szCs w:val="20"/>
        </w:rPr>
        <w:t>a Privacy &amp; Security: impact of data protection, cybersecurity and data privacy including any related issues;</w:t>
      </w:r>
    </w:p>
    <w:p w:rsidR="00000000" w:rsidRDefault="0040289C">
      <w:pPr>
        <w:ind w:hanging="360"/>
        <w:jc w:val="both"/>
        <w:rPr>
          <w:rFonts w:eastAsia="Times New Roman"/>
        </w:rPr>
      </w:pPr>
      <w:r>
        <w:rPr>
          <w:rFonts w:eastAsia="Times New Roman"/>
          <w:color w:val="000000"/>
          <w:sz w:val="20"/>
          <w:szCs w:val="20"/>
        </w:rPr>
        <w:t xml:space="preserve">•Finance and Accounting: our level of indebtedness; the terms governing our indebtedness; incurrence of additional debt or similar liabilities or </w:t>
      </w:r>
      <w:r>
        <w:rPr>
          <w:rFonts w:eastAsia="Times New Roman"/>
          <w:color w:val="000000"/>
          <w:sz w:val="20"/>
          <w:szCs w:val="20"/>
        </w:rPr>
        <w:t>obligations; access or renewal of financing sources; our cash flow sufficiency to service our indebtedness; interest rate risks; the terms governing our trade receivables facility; the impact of certain changes in control relating to acceleration of our in</w:t>
      </w:r>
      <w:r>
        <w:rPr>
          <w:rFonts w:eastAsia="Times New Roman"/>
          <w:color w:val="000000"/>
          <w:sz w:val="20"/>
          <w:szCs w:val="20"/>
        </w:rPr>
        <w:t>debtedness, our obligations under other financing arrangements, or required repurchase of our senior unsecured notes; any lowering or withdrawal of the ratings assigned to our debt securities by rating agencies; our pension liabilities; and write down of t</w:t>
      </w:r>
      <w:r>
        <w:rPr>
          <w:rFonts w:eastAsia="Times New Roman"/>
          <w:color w:val="000000"/>
          <w:sz w:val="20"/>
          <w:szCs w:val="20"/>
        </w:rPr>
        <w:t>he value of certain significant assets;</w:t>
      </w:r>
    </w:p>
    <w:p w:rsidR="00000000" w:rsidRDefault="0040289C">
      <w:pPr>
        <w:ind w:hanging="360"/>
        <w:jc w:val="both"/>
        <w:rPr>
          <w:rFonts w:eastAsia="Times New Roman"/>
        </w:rPr>
      </w:pPr>
      <w:r>
        <w:rPr>
          <w:rFonts w:eastAsia="Times New Roman"/>
          <w:color w:val="000000"/>
          <w:sz w:val="20"/>
          <w:szCs w:val="20"/>
        </w:rPr>
        <w:t>•Law and Compliance: protection of our intellectual property; changes to our tax rates and additional income tax liabilities; uncertainties regarding regulations, lawsuits and other related matters; and changes to cr</w:t>
      </w:r>
      <w:r>
        <w:rPr>
          <w:rFonts w:eastAsia="Times New Roman"/>
          <w:color w:val="000000"/>
          <w:sz w:val="20"/>
          <w:szCs w:val="20"/>
        </w:rPr>
        <w:t>yptocurrency regulations;</w:t>
      </w:r>
    </w:p>
    <w:p w:rsidR="00000000" w:rsidRDefault="0040289C">
      <w:pPr>
        <w:ind w:hanging="360"/>
        <w:jc w:val="both"/>
        <w:rPr>
          <w:rFonts w:eastAsia="Times New Roman"/>
        </w:rPr>
      </w:pPr>
      <w:r>
        <w:rPr>
          <w:rFonts w:eastAsia="Times New Roman"/>
          <w:color w:val="000000"/>
          <w:sz w:val="20"/>
          <w:szCs w:val="20"/>
        </w:rPr>
        <w:t>•Governance: impact of the terms of our Series A Convertible Preferred (“Series A”) Stock relating to voting power, share dilution and market price of our common stock; rights, preferences and privileges of Series A stockholders c</w:t>
      </w:r>
      <w:r>
        <w:rPr>
          <w:rFonts w:eastAsia="Times New Roman"/>
          <w:color w:val="000000"/>
          <w:sz w:val="20"/>
          <w:szCs w:val="20"/>
        </w:rPr>
        <w:t>ompared to the rights of our common stockholders; and actions or proposals from stockholders that do not align with our business strategies or the interests of our other stockholders;</w:t>
      </w:r>
    </w:p>
    <w:p w:rsidR="00000000" w:rsidRDefault="0040289C">
      <w:pPr>
        <w:ind w:hanging="360"/>
        <w:jc w:val="both"/>
        <w:rPr>
          <w:rFonts w:eastAsia="Times New Roman"/>
        </w:rPr>
      </w:pPr>
      <w:r>
        <w:rPr>
          <w:rFonts w:eastAsia="Times New Roman"/>
          <w:color w:val="000000"/>
          <w:sz w:val="20"/>
          <w:szCs w:val="20"/>
        </w:rPr>
        <w:t>•Planned Separation: an unexpected failure to complete, or unexpected de</w:t>
      </w:r>
      <w:r>
        <w:rPr>
          <w:rFonts w:eastAsia="Times New Roman"/>
          <w:color w:val="000000"/>
          <w:sz w:val="20"/>
          <w:szCs w:val="20"/>
        </w:rPr>
        <w:t xml:space="preserve">lays in completing, the necessary actions for the planned separation, or to obtain the necessary approvals to complete these actions; that the potential strategic benefits, synergies or opportunities expected from the separation may not be realized or may </w:t>
      </w:r>
      <w:r>
        <w:rPr>
          <w:rFonts w:eastAsia="Times New Roman"/>
          <w:color w:val="000000"/>
          <w:sz w:val="20"/>
          <w:szCs w:val="20"/>
        </w:rPr>
        <w:t>take longer to realize than expected; costs of implementation of the separation and any changes to the configuration of businesses included in the separation if implemented; the potential inability to access or reduced access to the capital markets or incr</w:t>
      </w:r>
      <w:r>
        <w:rPr>
          <w:rFonts w:eastAsia="Times New Roman"/>
          <w:color w:val="000000"/>
          <w:sz w:val="20"/>
          <w:szCs w:val="20"/>
        </w:rPr>
        <w:t>eased cost of borrowings, including as a result of a credit rating downgrade; the potential adverse reactions to the planned separation by customers, suppliers, strategic partners or key personnel and potential difficulties in maintaining relationships wit</w:t>
      </w:r>
      <w:r>
        <w:rPr>
          <w:rFonts w:eastAsia="Times New Roman"/>
          <w:color w:val="000000"/>
          <w:sz w:val="20"/>
          <w:szCs w:val="20"/>
        </w:rPr>
        <w:t>h such persons and risks associated with third party contracts containing consent and/or other provisions that may be triggered by the planned separation; the risk that any newly formed entity to house the digital commerce or ATM business would have no cre</w:t>
      </w:r>
      <w:r>
        <w:rPr>
          <w:rFonts w:eastAsia="Times New Roman"/>
          <w:color w:val="000000"/>
          <w:sz w:val="20"/>
          <w:szCs w:val="20"/>
        </w:rPr>
        <w:t>dit rating and may not have access to the capital markets on acceptable terms; unforeseen tax liabilities or changes in tax law; requests or requirements of governmental authorities related to certain existing liabilities; and the ability to obtain or cons</w:t>
      </w:r>
      <w:r>
        <w:rPr>
          <w:rFonts w:eastAsia="Times New Roman"/>
          <w:color w:val="000000"/>
          <w:sz w:val="20"/>
          <w:szCs w:val="20"/>
        </w:rPr>
        <w:t>ummate financing or refinancing related to the transaction upon acceptable terms or at all.</w:t>
      </w:r>
    </w:p>
    <w:p w:rsidR="00000000" w:rsidRDefault="0040289C">
      <w:pPr>
        <w:jc w:val="both"/>
        <w:rPr>
          <w:rFonts w:eastAsia="Times New Roman"/>
        </w:rPr>
      </w:pPr>
    </w:p>
    <w:p w:rsidR="00000000" w:rsidRDefault="0040289C">
      <w:pPr>
        <w:jc w:val="center"/>
        <w:divId w:val="1582905536"/>
        <w:rPr>
          <w:rFonts w:eastAsia="Times New Roman"/>
        </w:rPr>
      </w:pPr>
      <w:r>
        <w:rPr>
          <w:rFonts w:eastAsia="Times New Roman"/>
          <w:color w:val="000000"/>
          <w:sz w:val="20"/>
          <w:szCs w:val="20"/>
        </w:rPr>
        <w:t>i</w:t>
      </w:r>
    </w:p>
    <w:p w:rsidR="00000000" w:rsidRDefault="0040289C">
      <w:pPr>
        <w:rPr>
          <w:rFonts w:eastAsia="Times New Roman"/>
        </w:rPr>
      </w:pPr>
      <w:r>
        <w:rPr>
          <w:rFonts w:eastAsia="Times New Roman"/>
        </w:rPr>
        <w:pict>
          <v:rect id="_x0000_i1028" style="width:0;height:1.5pt" o:hralign="center" o:hrstd="t" o:hr="t" fillcolor="#a0a0a0" stroked="f"/>
        </w:pict>
      </w:r>
    </w:p>
    <w:p w:rsidR="00000000" w:rsidRDefault="0040289C">
      <w:pPr>
        <w:divId w:val="6935469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725641945"/>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Should one or more of these risks or uncert</w:t>
      </w:r>
      <w:r>
        <w:rPr>
          <w:rFonts w:eastAsia="Times New Roman"/>
          <w:color w:val="000000"/>
          <w:sz w:val="20"/>
          <w:szCs w:val="20"/>
        </w:rPr>
        <w:t>ainties materialize, or should underlying assumptions prove incorrect, actual results may vary materially from those set forth in the forward-looking statements. There can be no guarantee that the planned separation will be completed in the expected form o</w:t>
      </w:r>
      <w:r>
        <w:rPr>
          <w:rFonts w:eastAsia="Times New Roman"/>
          <w:color w:val="000000"/>
          <w:sz w:val="20"/>
          <w:szCs w:val="20"/>
        </w:rPr>
        <w:t>r within the expected time frame or at all. Nor can there be any guarantee that the digital commerce business and ATM business after a separation will be able to realize any of the potential strategic benefits, synergies or opportunities as a result of the</w:t>
      </w:r>
      <w:r>
        <w:rPr>
          <w:rFonts w:eastAsia="Times New Roman"/>
          <w:color w:val="000000"/>
          <w:sz w:val="20"/>
          <w:szCs w:val="20"/>
        </w:rPr>
        <w:t xml:space="preserve">se actions. Neither can there be any guarantee that shareholders will achieve any particular level of shareholder returns. Nor can there be any guarantee that the planned separation will enhance value for shareholders, or that NCR or any of its divisions, </w:t>
      </w:r>
      <w:r>
        <w:rPr>
          <w:rFonts w:eastAsia="Times New Roman"/>
          <w:color w:val="000000"/>
          <w:sz w:val="20"/>
          <w:szCs w:val="20"/>
        </w:rPr>
        <w:t>or separate digital commerce and ATM business, will be commercially successful in the future, or achieve any particular credit rating or financial results. Additional information concerning these and other factors can be found in the Company’s filings with</w:t>
      </w:r>
      <w:r>
        <w:rPr>
          <w:rFonts w:eastAsia="Times New Roman"/>
          <w:color w:val="000000"/>
          <w:sz w:val="20"/>
          <w:szCs w:val="20"/>
        </w:rPr>
        <w:t xml:space="preserve"> the U.S. Securities and Exchange Commission, including this annual report on Form 10-K, quarterly reports on Form 10-Q and current reports on Form 8-K. Any forward-looking statement speaks only as of the date on which it is made. The Company does not unde</w:t>
      </w:r>
      <w:r>
        <w:rPr>
          <w:rFonts w:eastAsia="Times New Roman"/>
          <w:color w:val="000000"/>
          <w:sz w:val="20"/>
          <w:szCs w:val="20"/>
        </w:rPr>
        <w:t>rtake any obligation to publicly update or revise any forward-looking statements, whether as a result of new information, future events or otherwise, except as required by law.</w:t>
      </w:r>
    </w:p>
    <w:p w:rsidR="00000000" w:rsidRDefault="0040289C">
      <w:pPr>
        <w:jc w:val="both"/>
        <w:divId w:val="296841218"/>
        <w:rPr>
          <w:rFonts w:eastAsia="Times New Roman"/>
        </w:rPr>
      </w:pPr>
    </w:p>
    <w:p w:rsidR="00000000" w:rsidRDefault="0040289C">
      <w:pPr>
        <w:divId w:val="450516708"/>
        <w:rPr>
          <w:rFonts w:eastAsia="Times New Roman"/>
        </w:rPr>
      </w:pPr>
    </w:p>
    <w:p w:rsidR="00000000" w:rsidRDefault="0040289C">
      <w:pPr>
        <w:jc w:val="center"/>
        <w:divId w:val="65997228"/>
        <w:rPr>
          <w:rFonts w:eastAsia="Times New Roman"/>
        </w:rPr>
      </w:pPr>
      <w:r>
        <w:rPr>
          <w:rFonts w:eastAsia="Times New Roman"/>
          <w:color w:val="000000"/>
          <w:sz w:val="20"/>
          <w:szCs w:val="20"/>
        </w:rPr>
        <w:t>i</w:t>
      </w:r>
    </w:p>
    <w:p w:rsidR="00000000" w:rsidRDefault="0040289C">
      <w:pPr>
        <w:rPr>
          <w:rFonts w:eastAsia="Times New Roman"/>
        </w:rPr>
      </w:pPr>
      <w:r>
        <w:rPr>
          <w:rFonts w:eastAsia="Times New Roman"/>
        </w:rPr>
        <w:pict>
          <v:rect id="_x0000_i1029" style="width:0;height:1.5pt" o:hralign="center" o:hrstd="t" o:hr="t" fillcolor="#a0a0a0" stroked="f"/>
        </w:pict>
      </w:r>
    </w:p>
    <w:p w:rsidR="00000000" w:rsidRDefault="0040289C">
      <w:pPr>
        <w:divId w:val="167178750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56509760"/>
        <w:rPr>
          <w:rFonts w:eastAsia="Times New Roman"/>
        </w:rPr>
      </w:pPr>
    </w:p>
    <w:p w:rsidR="00000000" w:rsidRDefault="0040289C">
      <w:pPr>
        <w:jc w:val="center"/>
        <w:rPr>
          <w:rFonts w:eastAsia="Times New Roman"/>
        </w:rPr>
      </w:pPr>
      <w:r>
        <w:rPr>
          <w:rFonts w:eastAsia="Times New Roman"/>
          <w:b/>
          <w:bCs/>
          <w:color w:val="000000"/>
          <w:sz w:val="20"/>
          <w:szCs w:val="20"/>
        </w:rPr>
        <w:t>PART I</w:t>
      </w:r>
    </w:p>
    <w:p w:rsidR="00000000" w:rsidRDefault="0040289C">
      <w:pPr>
        <w:jc w:val="center"/>
        <w:rPr>
          <w:rFonts w:eastAsia="Times New Roman"/>
        </w:rPr>
      </w:pPr>
    </w:p>
    <w:p w:rsidR="00000000" w:rsidRDefault="0040289C">
      <w:pPr>
        <w:divId w:val="83186454"/>
        <w:rPr>
          <w:rFonts w:eastAsia="Times New Roman"/>
        </w:rPr>
      </w:pPr>
    </w:p>
    <w:p w:rsidR="00000000" w:rsidRDefault="0040289C">
      <w:pPr>
        <w:jc w:val="both"/>
        <w:rPr>
          <w:rFonts w:eastAsia="Times New Roman"/>
        </w:rPr>
      </w:pPr>
      <w:r>
        <w:rPr>
          <w:rFonts w:eastAsia="Times New Roman"/>
          <w:b/>
          <w:bCs/>
          <w:color w:val="000000"/>
          <w:sz w:val="20"/>
          <w:szCs w:val="20"/>
        </w:rPr>
        <w:t>Item 1.        BUSINESS</w:t>
      </w:r>
    </w:p>
    <w:p w:rsidR="00000000" w:rsidRDefault="0040289C">
      <w:pPr>
        <w:jc w:val="both"/>
        <w:divId w:val="166601366"/>
        <w:rPr>
          <w:rFonts w:eastAsia="Times New Roman"/>
        </w:rPr>
      </w:pPr>
      <w:r>
        <w:rPr>
          <w:rFonts w:eastAsia="Times New Roman"/>
          <w:b/>
          <w:bCs/>
          <w:color w:val="000000"/>
          <w:sz w:val="20"/>
          <w:szCs w:val="20"/>
        </w:rPr>
        <w:t xml:space="preserve">General </w:t>
      </w:r>
    </w:p>
    <w:p w:rsidR="00000000" w:rsidRDefault="0040289C">
      <w:pPr>
        <w:jc w:val="both"/>
        <w:divId w:val="1470973071"/>
        <w:rPr>
          <w:rFonts w:eastAsia="Times New Roman"/>
        </w:rPr>
      </w:pPr>
      <w:r>
        <w:rPr>
          <w:rFonts w:eastAsia="Times New Roman"/>
          <w:i/>
          <w:iCs/>
          <w:color w:val="000000"/>
          <w:sz w:val="20"/>
          <w:szCs w:val="20"/>
        </w:rPr>
        <w:t>General Development of the Business</w:t>
      </w:r>
    </w:p>
    <w:p w:rsidR="00000000" w:rsidRDefault="0040289C">
      <w:pPr>
        <w:jc w:val="both"/>
        <w:rPr>
          <w:rFonts w:eastAsia="Times New Roman"/>
        </w:rPr>
      </w:pPr>
      <w:r>
        <w:rPr>
          <w:rFonts w:eastAsia="Times New Roman"/>
          <w:color w:val="000000"/>
          <w:sz w:val="20"/>
          <w:szCs w:val="20"/>
        </w:rPr>
        <w:t>NCR Corporation (“NCR”, the “Company”, “we” or “us”</w:t>
      </w:r>
      <w:r>
        <w:rPr>
          <w:rFonts w:eastAsia="Times New Roman"/>
          <w:color w:val="000000"/>
          <w:sz w:val="20"/>
          <w:szCs w:val="20"/>
        </w:rPr>
        <w:t>) was originally incorporated in 1884 and is a software- and services-led enterprise technology provider that runs stores, restaurants and self-directed banking for our customers, which includes businesses of all sizes. NCR is a global company that is head</w:t>
      </w:r>
      <w:r>
        <w:rPr>
          <w:rFonts w:eastAsia="Times New Roman"/>
          <w:color w:val="000000"/>
          <w:sz w:val="20"/>
          <w:szCs w:val="20"/>
        </w:rPr>
        <w:t xml:space="preserve">quartered in Atlanta, Georgia. Our software platform, which runs in the cloud and includes microservices and APIs that integrate with our customers' systems, and our NCR-as-a-Service solutions bring together all of the capabilities and competencies of NCR </w:t>
      </w:r>
      <w:r>
        <w:rPr>
          <w:rFonts w:eastAsia="Times New Roman"/>
          <w:color w:val="000000"/>
          <w:sz w:val="20"/>
          <w:szCs w:val="20"/>
        </w:rPr>
        <w:t>to power the technology to run our customers’ operations. Our portfolio includes digital first software and services offerings for banking, retailers and restaurants, as well as payments processing and networks, multi-vendor connected device services, auto</w:t>
      </w:r>
      <w:r>
        <w:rPr>
          <w:rFonts w:eastAsia="Times New Roman"/>
          <w:color w:val="000000"/>
          <w:sz w:val="20"/>
          <w:szCs w:val="20"/>
        </w:rPr>
        <w:t>mated teller machines (“ATMs”), self-checkout (“SCO”) kiosks and related technologies, point of sale (“POS”) terminals and other self-service technologies. We also resell third-party networking products and provide related service offerings in the telecomm</w:t>
      </w:r>
      <w:r>
        <w:rPr>
          <w:rFonts w:eastAsia="Times New Roman"/>
          <w:color w:val="000000"/>
          <w:sz w:val="20"/>
          <w:szCs w:val="20"/>
        </w:rPr>
        <w:t>unications and technology sector. Our solutions are designed to support our transition to becoming a software platform and payments company.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has grown organically, as well as through acquisitions, to add software, services and other capabilities that</w:t>
      </w:r>
      <w:r>
        <w:rPr>
          <w:rFonts w:eastAsia="Times New Roman"/>
          <w:color w:val="000000"/>
          <w:sz w:val="20"/>
          <w:szCs w:val="20"/>
        </w:rPr>
        <w:t xml:space="preserve"> complement or enhance our existing offer portfolio, including, but not limited to, acquisitions relating to payments and cryptocurrency, digital banking, ATM-as-a-Service, and commerce platform offerings. NCR continuously evaluates potential acquisitions </w:t>
      </w:r>
      <w:r>
        <w:rPr>
          <w:rFonts w:eastAsia="Times New Roman"/>
          <w:color w:val="000000"/>
          <w:sz w:val="20"/>
          <w:szCs w:val="20"/>
        </w:rPr>
        <w:t>and develops new solutions intended to support the Company’s long-term strategy. In 2021, NCR completed the acquisition, among others, of Cardtronics plc (“Cardtronics”) to accelerate our NCR-as-a-Service strategy adding the Allpoint debit network, which i</w:t>
      </w:r>
      <w:r>
        <w:rPr>
          <w:rFonts w:eastAsia="Times New Roman"/>
          <w:color w:val="000000"/>
          <w:sz w:val="20"/>
          <w:szCs w:val="20"/>
        </w:rPr>
        <w:t>s highly complementary to our payments platform and enables us to connect retail and bank customers. In early 2022, NCR completed the acquisition of LibertyX, with the goal of enabling NCR to provide a complete digital currency solution, including the abil</w:t>
      </w:r>
      <w:r>
        <w:rPr>
          <w:rFonts w:eastAsia="Times New Roman"/>
          <w:color w:val="000000"/>
          <w:sz w:val="20"/>
          <w:szCs w:val="20"/>
        </w:rPr>
        <w:t>ity to buy and sell cryptocurrency, conduct cross-border remittance, and accept digital currency payments across digital and physical channels.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NCR’s reputation is founded upon over 139 years of providing quality products, services and solutions to our c</w:t>
      </w:r>
      <w:r>
        <w:rPr>
          <w:rFonts w:eastAsia="Times New Roman"/>
          <w:color w:val="000000"/>
          <w:sz w:val="20"/>
          <w:szCs w:val="20"/>
        </w:rPr>
        <w:t>ustomers. At the heart of our customer and other business relationships is a commitment to acting responsibly, ethically and with the highest level of integrity. This commitment is reflected in NCR’s Code of Conduct, which is available on the Corporate Gov</w:t>
      </w:r>
      <w:r>
        <w:rPr>
          <w:rFonts w:eastAsia="Times New Roman"/>
          <w:color w:val="000000"/>
          <w:sz w:val="20"/>
          <w:szCs w:val="20"/>
        </w:rPr>
        <w:t>ernance page of our website.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Corporation’s common stock is listed on the New York Stock Exchange and trades under the symbol “NCR.”</w:t>
      </w:r>
    </w:p>
    <w:p w:rsidR="00000000" w:rsidRDefault="0040289C">
      <w:pPr>
        <w:jc w:val="both"/>
        <w:divId w:val="1058669758"/>
        <w:rPr>
          <w:rFonts w:eastAsia="Times New Roman"/>
        </w:rPr>
      </w:pPr>
      <w:r>
        <w:rPr>
          <w:rFonts w:eastAsia="Times New Roman"/>
          <w:i/>
          <w:iCs/>
          <w:color w:val="000000"/>
          <w:sz w:val="20"/>
          <w:szCs w:val="20"/>
        </w:rPr>
        <w:t xml:space="preserve">Operating Segments </w:t>
      </w:r>
    </w:p>
    <w:p w:rsidR="00000000" w:rsidRDefault="0040289C">
      <w:pPr>
        <w:jc w:val="both"/>
        <w:divId w:val="1901019036"/>
        <w:rPr>
          <w:rFonts w:eastAsia="Times New Roman"/>
        </w:rPr>
      </w:pPr>
      <w:r>
        <w:rPr>
          <w:rFonts w:eastAsia="Times New Roman"/>
          <w:color w:val="000000"/>
          <w:sz w:val="20"/>
          <w:szCs w:val="20"/>
        </w:rPr>
        <w:t>Effective January 1, 2022, the Company realigned its reportable segments to correspond with change</w:t>
      </w:r>
      <w:r>
        <w:rPr>
          <w:rFonts w:eastAsia="Times New Roman"/>
          <w:color w:val="000000"/>
          <w:sz w:val="20"/>
          <w:szCs w:val="20"/>
        </w:rPr>
        <w:t>s to its operating model, management structure and organizational responsibilities. The reportable segments effective January 1, 2022 include: Retail, Hospitality, Digital Banking, Payments &amp; Network, and Self-Service Banking.</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i/>
          <w:iCs/>
          <w:color w:val="000000"/>
          <w:sz w:val="20"/>
          <w:szCs w:val="20"/>
        </w:rPr>
        <w:t>•Retail</w:t>
      </w:r>
      <w:r>
        <w:rPr>
          <w:rFonts w:eastAsia="Times New Roman"/>
          <w:color w:val="000000"/>
          <w:sz w:val="20"/>
          <w:szCs w:val="20"/>
        </w:rPr>
        <w:t xml:space="preserve"> - We offer software</w:t>
      </w:r>
      <w:r>
        <w:rPr>
          <w:rFonts w:eastAsia="Times New Roman"/>
          <w:color w:val="000000"/>
          <w:sz w:val="20"/>
          <w:szCs w:val="20"/>
        </w:rPr>
        <w:t xml:space="preserve">-led solutions to customers in the retail industry, leading with digital to connect retail operations end to end to integrate all aspects of a customer’s operations in indoor and outdoor settings from POS, to payments, inventory management, fraud and loss </w:t>
      </w:r>
      <w:r>
        <w:rPr>
          <w:rFonts w:eastAsia="Times New Roman"/>
          <w:color w:val="000000"/>
          <w:sz w:val="20"/>
          <w:szCs w:val="20"/>
        </w:rPr>
        <w:t>prevention applications, loyalty and consumer engagement. These solutions include retail-oriented technologies such as comprehensive API-point of sale retail software platforms and applications, hardware terminals, self-service kiosks including SCO, paymen</w:t>
      </w:r>
      <w:r>
        <w:rPr>
          <w:rFonts w:eastAsia="Times New Roman"/>
          <w:color w:val="000000"/>
          <w:sz w:val="20"/>
          <w:szCs w:val="20"/>
        </w:rPr>
        <w:t>t processing and merchant acquiring solutions, and bar-code scanners.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Hospitality</w:t>
      </w:r>
      <w:r>
        <w:rPr>
          <w:rFonts w:eastAsia="Times New Roman"/>
          <w:color w:val="000000"/>
          <w:sz w:val="20"/>
          <w:szCs w:val="20"/>
        </w:rPr>
        <w:t xml:space="preserve"> - We offer technology solutions to customers in the hospitality industry, including table-service, quick-service and fast casual restaurants of all sizes, that are designe</w:t>
      </w:r>
      <w:r>
        <w:rPr>
          <w:rFonts w:eastAsia="Times New Roman"/>
          <w:color w:val="000000"/>
          <w:sz w:val="20"/>
          <w:szCs w:val="20"/>
        </w:rPr>
        <w:t>d to improve operational efficiency, increase customer satisfaction, streamline order and transaction processing and reduce operating costs. Our solutions include POS hardware and software solutions, payment processing and merchant acquiring services, inst</w:t>
      </w:r>
      <w:r>
        <w:rPr>
          <w:rFonts w:eastAsia="Times New Roman"/>
          <w:color w:val="000000"/>
          <w:sz w:val="20"/>
          <w:szCs w:val="20"/>
        </w:rPr>
        <w:t>allation, maintenance, as well as managed and professional services.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E101A"/>
          <w:sz w:val="20"/>
          <w:szCs w:val="20"/>
        </w:rPr>
        <w:t>•</w:t>
      </w:r>
      <w:r>
        <w:rPr>
          <w:rFonts w:eastAsia="Times New Roman"/>
          <w:i/>
          <w:iCs/>
          <w:color w:val="000000"/>
          <w:sz w:val="20"/>
          <w:szCs w:val="20"/>
        </w:rPr>
        <w:t>Digital Banking</w:t>
      </w:r>
      <w:r>
        <w:rPr>
          <w:rFonts w:eastAsia="Times New Roman"/>
          <w:color w:val="000000"/>
          <w:sz w:val="20"/>
          <w:szCs w:val="20"/>
        </w:rPr>
        <w:t xml:space="preserve"> - NCR Digital Banking helps financial institutions implement their digital-first platform strategy by providing solutions for account opening, account management, trans</w:t>
      </w:r>
      <w:r>
        <w:rPr>
          <w:rFonts w:eastAsia="Times New Roman"/>
          <w:color w:val="000000"/>
          <w:sz w:val="20"/>
          <w:szCs w:val="20"/>
        </w:rPr>
        <w:t xml:space="preserve">action processing, imaging, and branch services to enable financial institutions to offer a compelling customer experience. </w:t>
      </w:r>
    </w:p>
    <w:p w:rsidR="00000000" w:rsidRDefault="0040289C">
      <w:pPr>
        <w:jc w:val="center"/>
        <w:divId w:val="1859732570"/>
        <w:rPr>
          <w:rFonts w:eastAsia="Times New Roman"/>
        </w:rPr>
      </w:pPr>
      <w:r>
        <w:rPr>
          <w:rFonts w:eastAsia="Times New Roman"/>
          <w:color w:val="000000"/>
          <w:sz w:val="20"/>
          <w:szCs w:val="20"/>
        </w:rPr>
        <w:t>1</w:t>
      </w:r>
    </w:p>
    <w:p w:rsidR="00000000" w:rsidRDefault="0040289C">
      <w:pPr>
        <w:rPr>
          <w:rFonts w:eastAsia="Times New Roman"/>
        </w:rPr>
      </w:pPr>
      <w:r>
        <w:rPr>
          <w:rFonts w:eastAsia="Times New Roman"/>
        </w:rPr>
        <w:pict>
          <v:rect id="_x0000_i1030" style="width:0;height:1.5pt" o:hralign="center" o:hrstd="t" o:hr="t" fillcolor="#a0a0a0" stroked="f"/>
        </w:pict>
      </w:r>
    </w:p>
    <w:p w:rsidR="00000000" w:rsidRDefault="0040289C">
      <w:pPr>
        <w:divId w:val="14995514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46040494"/>
        <w:rPr>
          <w:rFonts w:eastAsia="Times New Roman"/>
        </w:rPr>
      </w:pPr>
    </w:p>
    <w:p w:rsidR="00000000" w:rsidRDefault="0040289C">
      <w:pPr>
        <w:jc w:val="both"/>
        <w:rPr>
          <w:rFonts w:eastAsia="Times New Roman"/>
        </w:rPr>
      </w:pPr>
    </w:p>
    <w:p w:rsidR="00000000" w:rsidRDefault="0040289C">
      <w:pPr>
        <w:ind w:hanging="360"/>
        <w:jc w:val="both"/>
        <w:rPr>
          <w:rFonts w:eastAsia="Times New Roman"/>
        </w:rPr>
      </w:pPr>
      <w:r>
        <w:rPr>
          <w:rFonts w:eastAsia="Times New Roman"/>
          <w:i/>
          <w:iCs/>
          <w:color w:val="000000"/>
          <w:sz w:val="20"/>
          <w:szCs w:val="20"/>
        </w:rPr>
        <w:t>•Payments &amp; Network</w:t>
      </w:r>
      <w:r>
        <w:rPr>
          <w:rFonts w:eastAsia="Times New Roman"/>
          <w:color w:val="000000"/>
          <w:sz w:val="20"/>
          <w:szCs w:val="20"/>
        </w:rPr>
        <w:t xml:space="preserve"> - </w:t>
      </w:r>
      <w:r>
        <w:rPr>
          <w:rFonts w:eastAsia="Times New Roman"/>
          <w:color w:val="0E101A"/>
          <w:sz w:val="20"/>
          <w:szCs w:val="20"/>
        </w:rPr>
        <w:t>We provide a cost-effective way for financial institutions, fintechs, and neobanks to reach and serve their customers through our network of ATMs and mul</w:t>
      </w:r>
      <w:r>
        <w:rPr>
          <w:rFonts w:eastAsia="Times New Roman"/>
          <w:color w:val="0E101A"/>
          <w:sz w:val="20"/>
          <w:szCs w:val="20"/>
        </w:rPr>
        <w:t xml:space="preserve">ti-functioning financial services kiosks. </w:t>
      </w:r>
      <w:r>
        <w:rPr>
          <w:rFonts w:eastAsia="Times New Roman"/>
          <w:color w:val="000000"/>
          <w:sz w:val="20"/>
          <w:szCs w:val="20"/>
        </w:rPr>
        <w:t>We offer credit unions, banks, digital banks, fintechs, stored-value debit card issuers, and other consumer financial services providers access to our Allpoint retail-based ATM network, providing convenient and fee</w:t>
      </w:r>
      <w:r>
        <w:rPr>
          <w:rFonts w:eastAsia="Times New Roman"/>
          <w:color w:val="000000"/>
          <w:sz w:val="20"/>
          <w:szCs w:val="20"/>
        </w:rPr>
        <w:t>-free cash withdrawal and deposit access to their customers and cardholders as well as</w:t>
      </w:r>
      <w:r>
        <w:rPr>
          <w:rFonts w:eastAsia="Times New Roman"/>
          <w:color w:val="0E101A"/>
          <w:sz w:val="20"/>
          <w:szCs w:val="20"/>
        </w:rPr>
        <w:t xml:space="preserve"> the ability to convert a digital value to cash, or vice versa, via NCRPay360. We also provide ATM branding solutions to financial institutions, ATM management and servic</w:t>
      </w:r>
      <w:r>
        <w:rPr>
          <w:rFonts w:eastAsia="Times New Roman"/>
          <w:color w:val="0E101A"/>
          <w:sz w:val="20"/>
          <w:szCs w:val="20"/>
        </w:rPr>
        <w:t xml:space="preserve">es to retailers and other businesses, as well as </w:t>
      </w:r>
      <w:r>
        <w:rPr>
          <w:rFonts w:eastAsia="Times New Roman"/>
          <w:color w:val="000000"/>
          <w:sz w:val="20"/>
          <w:szCs w:val="20"/>
        </w:rPr>
        <w:t>payment processing and merchant acquiring services in the retail, hospitality and other industries</w:t>
      </w:r>
      <w:r>
        <w:rPr>
          <w:rFonts w:eastAsia="Times New Roman"/>
          <w:color w:val="0E101A"/>
          <w:sz w:val="20"/>
          <w:szCs w:val="20"/>
        </w:rPr>
        <w:t xml:space="preserve">.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Self-Service Banking</w:t>
      </w:r>
      <w:r>
        <w:rPr>
          <w:rFonts w:eastAsia="Times New Roman"/>
          <w:color w:val="000000"/>
          <w:sz w:val="20"/>
          <w:szCs w:val="20"/>
        </w:rPr>
        <w:t xml:space="preserve"> </w:t>
      </w:r>
      <w:r>
        <w:rPr>
          <w:rFonts w:eastAsia="Times New Roman"/>
          <w:color w:val="000000"/>
          <w:sz w:val="20"/>
          <w:szCs w:val="20"/>
        </w:rPr>
        <w:t>- We offer solutions to enable customers in the financial services industry to reduce costs, generate new revenue streams and enhance customer loyalty. These solutions include a comprehensive line of ATM hardware and software, and related installation, mai</w:t>
      </w:r>
      <w:r>
        <w:rPr>
          <w:rFonts w:eastAsia="Times New Roman"/>
          <w:color w:val="000000"/>
          <w:sz w:val="20"/>
          <w:szCs w:val="20"/>
        </w:rPr>
        <w:t>ntenance, and managed and professional services. We also offer solutions to manage and run the ATM channel end-to-end for financial institutions that includes back office, cash management, software management and ATM deployment, among others.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Corporate a</w:t>
      </w:r>
      <w:r>
        <w:rPr>
          <w:rFonts w:eastAsia="Times New Roman"/>
          <w:color w:val="000000"/>
          <w:sz w:val="20"/>
          <w:szCs w:val="20"/>
        </w:rPr>
        <w:t>nd Other includes income and expenses related to corporate functions that are not specifically attributable to an individual reportable segment along with any immaterial operating segment(s).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Eliminations include revenues from contracts with customers an</w:t>
      </w:r>
      <w:r>
        <w:rPr>
          <w:rFonts w:eastAsia="Times New Roman"/>
          <w:color w:val="000000"/>
          <w:sz w:val="20"/>
          <w:szCs w:val="20"/>
        </w:rPr>
        <w:t>d the related costs that are reported in the Payments &amp; Network segment as well as in the Retail or Hospitality segments, including merchant acquiring services that are monetized via payments.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Our Strategy</w:t>
      </w:r>
    </w:p>
    <w:p w:rsidR="00000000" w:rsidRDefault="0040289C">
      <w:pPr>
        <w:jc w:val="both"/>
        <w:divId w:val="2145196562"/>
        <w:rPr>
          <w:rFonts w:eastAsia="Times New Roman"/>
        </w:rPr>
      </w:pPr>
      <w:r>
        <w:rPr>
          <w:rFonts w:eastAsia="Times New Roman"/>
          <w:color w:val="000000"/>
          <w:sz w:val="20"/>
          <w:szCs w:val="20"/>
        </w:rPr>
        <w:t>In order to provide long-term value to all our s</w:t>
      </w:r>
      <w:r>
        <w:rPr>
          <w:rFonts w:eastAsia="Times New Roman"/>
          <w:color w:val="000000"/>
          <w:sz w:val="20"/>
          <w:szCs w:val="20"/>
        </w:rPr>
        <w:t>takeholders, we set complementary business goals and financial strategies. NCR is continuing its transition to become a software platform and payments company with a shift to a higher level of recurring revenue. Our business goal is to be a leading enterpr</w:t>
      </w:r>
      <w:r>
        <w:rPr>
          <w:rFonts w:eastAsia="Times New Roman"/>
          <w:color w:val="000000"/>
          <w:sz w:val="20"/>
          <w:szCs w:val="20"/>
        </w:rPr>
        <w:t>ise technology provider that runs stores, restaurants and self-directed banking through our software platform and our NCR-as-a-Service solutions. By helping our customers run stores, restaurants and banks better, they have more time to create customer expe</w:t>
      </w:r>
      <w:r>
        <w:rPr>
          <w:rFonts w:eastAsia="Times New Roman"/>
          <w:color w:val="000000"/>
          <w:sz w:val="20"/>
          <w:szCs w:val="20"/>
        </w:rPr>
        <w:t xml:space="preserve">riences that drive lasting success. </w:t>
      </w:r>
    </w:p>
    <w:p w:rsidR="00000000" w:rsidRDefault="0040289C">
      <w:pPr>
        <w:jc w:val="both"/>
        <w:divId w:val="1165508200"/>
        <w:rPr>
          <w:rFonts w:eastAsia="Times New Roman"/>
        </w:rPr>
      </w:pPr>
      <w:r>
        <w:rPr>
          <w:rFonts w:eastAsia="Times New Roman"/>
          <w:color w:val="000000"/>
          <w:sz w:val="20"/>
          <w:szCs w:val="20"/>
        </w:rPr>
        <w:t xml:space="preserve">Additionally, on September 15, 2022, NCR announced a plan to separate into two independent, publicly traded companies – one focused on digital commerce, the other on ATMs. The separation is intended to be structured in </w:t>
      </w:r>
      <w:r>
        <w:rPr>
          <w:rFonts w:eastAsia="Times New Roman"/>
          <w:color w:val="000000"/>
          <w:sz w:val="20"/>
          <w:szCs w:val="20"/>
        </w:rPr>
        <w:t>a tax-free manner. The separation transaction will follow the satisfaction of customary conditions, including effectiveness of appropriate filings with the U.S. Securities and Exchange Commission, and the completion of audited financial statements. The cur</w:t>
      </w:r>
      <w:r>
        <w:rPr>
          <w:rFonts w:eastAsia="Times New Roman"/>
          <w:color w:val="000000"/>
          <w:sz w:val="20"/>
          <w:szCs w:val="20"/>
        </w:rPr>
        <w:t>rent target is to complete the separation by the end of 2023. Should alternative options become available in the future that could deliver superior value to our shareholders than the planned separation, such as a whole or partial company sale of NCR, the B</w:t>
      </w:r>
      <w:r>
        <w:rPr>
          <w:rFonts w:eastAsia="Times New Roman"/>
          <w:color w:val="000000"/>
          <w:sz w:val="20"/>
          <w:szCs w:val="20"/>
        </w:rPr>
        <w:t>oard remains open to considering alternative scenarios. Additional details are included in Part II, Item 7 “Management's Discussion and Analysis of Financial Condition and Results of Operations.”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Execution of our business goals and financial strategies i</w:t>
      </w:r>
      <w:r>
        <w:rPr>
          <w:rFonts w:eastAsia="Times New Roman"/>
          <w:color w:val="000000"/>
          <w:sz w:val="20"/>
          <w:szCs w:val="20"/>
        </w:rPr>
        <w:t>s driven by the following key pillars: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Focus on our customers</w:t>
      </w:r>
      <w:r>
        <w:rPr>
          <w:rFonts w:eastAsia="Times New Roman"/>
          <w:color w:val="000000"/>
          <w:sz w:val="20"/>
          <w:szCs w:val="20"/>
        </w:rPr>
        <w:t xml:space="preserve">. We encourage our employees to treat every customer as if they are our only customer. If we provide better service and better quality products than our competitors, it is our belief that our </w:t>
      </w:r>
      <w:r>
        <w:rPr>
          <w:rFonts w:eastAsia="Times New Roman"/>
          <w:color w:val="000000"/>
          <w:sz w:val="20"/>
          <w:szCs w:val="20"/>
        </w:rPr>
        <w:t>customers will likely buy more from NCR. We are increasingly becoming active, strategic advisors to our clients, helping them retool and reinvent their business, and this is reflected in a significant increase in our Net Promoter Score, a measure of custom</w:t>
      </w:r>
      <w:r>
        <w:rPr>
          <w:rFonts w:eastAsia="Times New Roman"/>
          <w:color w:val="000000"/>
          <w:sz w:val="20"/>
          <w:szCs w:val="20"/>
        </w:rPr>
        <w:t>er experience, from 14 in 2018 to 52 in 2022. We believe this focus has and will lead to increased access to higher level customer contacts, earlier entrance into the sales cycles, and additional opportunities for upselling and cross-selling as a software-</w:t>
      </w:r>
      <w:r>
        <w:rPr>
          <w:rFonts w:eastAsia="Times New Roman"/>
          <w:color w:val="000000"/>
          <w:sz w:val="20"/>
          <w:szCs w:val="20"/>
        </w:rPr>
        <w:t xml:space="preserve"> and services- led company.</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Take care of our employees. </w:t>
      </w:r>
      <w:r>
        <w:rPr>
          <w:rFonts w:eastAsia="Times New Roman"/>
          <w:color w:val="000000"/>
          <w:sz w:val="20"/>
          <w:szCs w:val="20"/>
        </w:rPr>
        <w:t>Our employees are the direct face of NCR to our clients. NCR has actively worked to increase employee engagement and satisfaction, as well as to create a culture of performance and innovation focus</w:t>
      </w:r>
      <w:r>
        <w:rPr>
          <w:rFonts w:eastAsia="Times New Roman"/>
          <w:color w:val="000000"/>
          <w:sz w:val="20"/>
          <w:szCs w:val="20"/>
        </w:rPr>
        <w:t>ed on software and services.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Bring high-quality, innovative products to market.</w:t>
      </w:r>
      <w:r>
        <w:rPr>
          <w:rFonts w:eastAsia="Times New Roman"/>
          <w:color w:val="000000"/>
          <w:sz w:val="20"/>
          <w:szCs w:val="20"/>
        </w:rPr>
        <w:t xml:space="preserve"> NCR focuses its research and development investments on elevating product quality and bringing new solutions to market in our key focus areas of digital banking, our next-ge</w:t>
      </w:r>
      <w:r>
        <w:rPr>
          <w:rFonts w:eastAsia="Times New Roman"/>
          <w:color w:val="000000"/>
          <w:sz w:val="20"/>
          <w:szCs w:val="20"/>
        </w:rPr>
        <w:t>neration retail architecture, including our NCR Emeral</w:t>
      </w:r>
      <w:r>
        <w:rPr>
          <w:rFonts w:eastAsia="Times New Roman"/>
          <w:color w:val="000000"/>
          <w:sz w:val="20"/>
          <w:szCs w:val="20"/>
        </w:rPr>
        <w:t>d</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xml:space="preserve"> cloud-based point of sale product, our Aloh</w:t>
      </w:r>
      <w:r>
        <w:rPr>
          <w:rFonts w:eastAsia="Times New Roman"/>
          <w:color w:val="000000"/>
          <w:sz w:val="20"/>
          <w:szCs w:val="20"/>
        </w:rPr>
        <w:t>a</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xml:space="preserve"> Essentials solution bundle, and payments and self-service banking solutions. Additionally, we have placed an increasing priority on improvements in how</w:t>
      </w:r>
      <w:r>
        <w:rPr>
          <w:rFonts w:eastAsia="Times New Roman"/>
          <w:color w:val="000000"/>
          <w:sz w:val="20"/>
          <w:szCs w:val="20"/>
        </w:rPr>
        <w:t xml:space="preserve"> we go to market with NCR-as-a-Service, as well as how we package and deliver our solutions as all-in-one bundles designed around a software platform, making it easier for our customers to buy and for our teams to sell.</w:t>
      </w:r>
    </w:p>
    <w:p w:rsidR="00000000" w:rsidRDefault="0040289C">
      <w:pPr>
        <w:jc w:val="both"/>
        <w:rPr>
          <w:rFonts w:eastAsia="Times New Roman"/>
        </w:rPr>
      </w:pPr>
    </w:p>
    <w:p w:rsidR="00000000" w:rsidRDefault="0040289C">
      <w:pPr>
        <w:jc w:val="center"/>
        <w:divId w:val="897936829"/>
        <w:rPr>
          <w:rFonts w:eastAsia="Times New Roman"/>
        </w:rPr>
      </w:pPr>
      <w:r>
        <w:rPr>
          <w:rFonts w:eastAsia="Times New Roman"/>
          <w:color w:val="000000"/>
          <w:sz w:val="20"/>
          <w:szCs w:val="20"/>
        </w:rPr>
        <w:t>2</w:t>
      </w:r>
    </w:p>
    <w:p w:rsidR="00000000" w:rsidRDefault="0040289C">
      <w:pPr>
        <w:rPr>
          <w:rFonts w:eastAsia="Times New Roman"/>
        </w:rPr>
      </w:pPr>
      <w:r>
        <w:rPr>
          <w:rFonts w:eastAsia="Times New Roman"/>
        </w:rPr>
        <w:pict>
          <v:rect id="_x0000_i1031" style="width:0;height:1.5pt" o:hralign="center" o:hrstd="t" o:hr="t" fillcolor="#a0a0a0" stroked="f"/>
        </w:pict>
      </w:r>
    </w:p>
    <w:p w:rsidR="00000000" w:rsidRDefault="0040289C">
      <w:pPr>
        <w:divId w:val="192669346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512838268"/>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Leverage our brand.</w:t>
      </w:r>
      <w:r>
        <w:rPr>
          <w:rFonts w:eastAsia="Times New Roman"/>
          <w:color w:val="000000"/>
          <w:sz w:val="20"/>
          <w:szCs w:val="20"/>
        </w:rPr>
        <w:t xml:space="preserve"> </w:t>
      </w:r>
      <w:r>
        <w:rPr>
          <w:rFonts w:eastAsia="Times New Roman"/>
          <w:color w:val="000000"/>
          <w:sz w:val="20"/>
          <w:szCs w:val="20"/>
        </w:rPr>
        <w:t>We believe NCR has one of the best-known and respected brands in the industries we serve. We consider this to be a strong competitive differentiation with significant equity in our worldwide markets.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Products and Services </w:t>
      </w:r>
    </w:p>
    <w:p w:rsidR="00000000" w:rsidRDefault="0040289C">
      <w:pPr>
        <w:jc w:val="both"/>
        <w:divId w:val="425613079"/>
        <w:rPr>
          <w:rFonts w:eastAsia="Times New Roman"/>
        </w:rPr>
      </w:pPr>
      <w:r>
        <w:rPr>
          <w:rFonts w:eastAsia="Times New Roman"/>
          <w:color w:val="000000"/>
          <w:sz w:val="20"/>
          <w:szCs w:val="20"/>
        </w:rPr>
        <w:t>We are an enterprise technology</w:t>
      </w:r>
      <w:r>
        <w:rPr>
          <w:rFonts w:eastAsia="Times New Roman"/>
          <w:color w:val="000000"/>
          <w:sz w:val="20"/>
          <w:szCs w:val="20"/>
        </w:rPr>
        <w:t xml:space="preserve"> provider selling a portfolio of digital-first software, as-a-service offers, services, payments and hardware. Our offerings fall into the following categories: </w:t>
      </w:r>
    </w:p>
    <w:p w:rsidR="00000000" w:rsidRDefault="0040289C">
      <w:pPr>
        <w:jc w:val="both"/>
        <w:divId w:val="935744492"/>
        <w:rPr>
          <w:rFonts w:eastAsia="Times New Roman"/>
        </w:rPr>
      </w:pPr>
      <w:r>
        <w:rPr>
          <w:rFonts w:eastAsia="Times New Roman"/>
          <w:i/>
          <w:iCs/>
          <w:color w:val="000000"/>
          <w:sz w:val="20"/>
          <w:szCs w:val="20"/>
        </w:rPr>
        <w:t xml:space="preserve">Retail </w:t>
      </w:r>
    </w:p>
    <w:p w:rsidR="00000000" w:rsidRDefault="0040289C">
      <w:pPr>
        <w:jc w:val="both"/>
        <w:divId w:val="607347610"/>
        <w:rPr>
          <w:rFonts w:eastAsia="Times New Roman"/>
        </w:rPr>
      </w:pPr>
      <w:r>
        <w:rPr>
          <w:rFonts w:eastAsia="Times New Roman"/>
          <w:color w:val="000000"/>
          <w:sz w:val="20"/>
          <w:szCs w:val="20"/>
        </w:rPr>
        <w:t>We offer software-led solutions to customers in the retail industry, leading with digi</w:t>
      </w:r>
      <w:r>
        <w:rPr>
          <w:rFonts w:eastAsia="Times New Roman"/>
          <w:color w:val="000000"/>
          <w:sz w:val="20"/>
          <w:szCs w:val="20"/>
        </w:rPr>
        <w:t>tal to connect retail operations end to end to integrate all aspects of a customer’s operations in indoor and outdoor settings from POS, to payments, inventory management, fraud and loss prevention applications, loyalty and consumer engagement. These solut</w:t>
      </w:r>
      <w:r>
        <w:rPr>
          <w:rFonts w:eastAsia="Times New Roman"/>
          <w:color w:val="000000"/>
          <w:sz w:val="20"/>
          <w:szCs w:val="20"/>
        </w:rPr>
        <w:t>ions are designed to improve operational efficiency, selling productivity, customer satisfaction and purchasing decisions; provide secure checkout processes and payment systems; and increase service levels. Solutions include retail-oriented technologies su</w:t>
      </w:r>
      <w:r>
        <w:rPr>
          <w:rFonts w:eastAsia="Times New Roman"/>
          <w:color w:val="000000"/>
          <w:sz w:val="20"/>
          <w:szCs w:val="20"/>
        </w:rPr>
        <w:t>ch as comprehensive API-point of sale retail software platforms and applications, SCO, other hardware terminals and peripherals, payment processing and merchant acquiring solutions, consumer engagement solutions like eCommerce and loyalty programs, along w</w:t>
      </w:r>
      <w:r>
        <w:rPr>
          <w:rFonts w:eastAsia="Times New Roman"/>
          <w:color w:val="000000"/>
          <w:sz w:val="20"/>
          <w:szCs w:val="20"/>
        </w:rPr>
        <w:t xml:space="preserve">ith consulting, implementation, support and managed services to meet our customers' needs. </w:t>
      </w:r>
    </w:p>
    <w:p w:rsidR="00000000" w:rsidRDefault="0040289C">
      <w:pPr>
        <w:jc w:val="both"/>
        <w:divId w:val="1050762554"/>
        <w:rPr>
          <w:rFonts w:eastAsia="Times New Roman"/>
        </w:rPr>
      </w:pPr>
      <w:r>
        <w:rPr>
          <w:rFonts w:eastAsia="Times New Roman"/>
          <w:i/>
          <w:iCs/>
          <w:color w:val="000000"/>
          <w:sz w:val="20"/>
          <w:szCs w:val="20"/>
        </w:rPr>
        <w:t>Hospitality</w:t>
      </w:r>
      <w:r>
        <w:rPr>
          <w:rFonts w:eastAsia="Times New Roman"/>
          <w:color w:val="000000"/>
          <w:sz w:val="20"/>
          <w:szCs w:val="20"/>
        </w:rPr>
        <w:t xml:space="preserve"> </w:t>
      </w:r>
    </w:p>
    <w:p w:rsidR="00000000" w:rsidRDefault="0040289C">
      <w:pPr>
        <w:jc w:val="both"/>
        <w:rPr>
          <w:rFonts w:eastAsia="Times New Roman"/>
        </w:rPr>
      </w:pPr>
      <w:r>
        <w:rPr>
          <w:rFonts w:eastAsia="Times New Roman"/>
          <w:color w:val="000000"/>
          <w:sz w:val="20"/>
          <w:szCs w:val="20"/>
        </w:rPr>
        <w:t>We offer technology solutions to customers in the hospitality industry, including table-service, quick-service and fast casual restaurants of all sizes</w:t>
      </w:r>
      <w:r>
        <w:rPr>
          <w:rFonts w:eastAsia="Times New Roman"/>
          <w:color w:val="000000"/>
          <w:sz w:val="20"/>
          <w:szCs w:val="20"/>
        </w:rPr>
        <w:t>, that are designed to improve operational efficiency, increase customer satisfaction, streamline order and transaction processing and reduce operating costs. Our portfolio includes cloud-based and cloud-enabled software applications for point-of-sale, bac</w:t>
      </w:r>
      <w:r>
        <w:rPr>
          <w:rFonts w:eastAsia="Times New Roman"/>
          <w:color w:val="000000"/>
          <w:sz w:val="20"/>
          <w:szCs w:val="20"/>
        </w:rPr>
        <w:t>k office, payment processing, kitchen production, restaurant management, eCommerce and consumer marketing and loyalty. We also provide hospitality-oriented hardware products such as POS terminals, kitchen display systems, handheld devices, printers and per</w:t>
      </w:r>
      <w:r>
        <w:rPr>
          <w:rFonts w:eastAsia="Times New Roman"/>
          <w:color w:val="000000"/>
          <w:sz w:val="20"/>
          <w:szCs w:val="20"/>
        </w:rPr>
        <w:t>ipherals. And finally, we seek to help reduce the complexities of running restaurants through our services capabilities, including strategic consulting, technology deployment and implementation, support and managed services.</w:t>
      </w:r>
    </w:p>
    <w:p w:rsidR="00000000" w:rsidRDefault="0040289C">
      <w:pPr>
        <w:jc w:val="both"/>
        <w:divId w:val="428815212"/>
        <w:rPr>
          <w:rFonts w:eastAsia="Times New Roman"/>
        </w:rPr>
      </w:pPr>
      <w:r>
        <w:rPr>
          <w:rFonts w:eastAsia="Times New Roman"/>
          <w:i/>
          <w:iCs/>
          <w:color w:val="000000"/>
          <w:sz w:val="20"/>
          <w:szCs w:val="20"/>
        </w:rPr>
        <w:t>Digital Banking</w:t>
      </w:r>
    </w:p>
    <w:p w:rsidR="00000000" w:rsidRDefault="0040289C">
      <w:pPr>
        <w:jc w:val="both"/>
        <w:rPr>
          <w:rFonts w:eastAsia="Times New Roman"/>
        </w:rPr>
      </w:pPr>
      <w:r>
        <w:rPr>
          <w:rFonts w:eastAsia="Times New Roman"/>
          <w:color w:val="000000"/>
          <w:sz w:val="20"/>
          <w:szCs w:val="20"/>
        </w:rPr>
        <w:t>NCR's Digital B</w:t>
      </w:r>
      <w:r>
        <w:rPr>
          <w:rFonts w:eastAsia="Times New Roman"/>
          <w:color w:val="000000"/>
          <w:sz w:val="20"/>
          <w:szCs w:val="20"/>
        </w:rPr>
        <w:t>anking segment offers solutions that enable anytime-anywhere convenience for a financial institution’s consumer and business customers. Our account opening software unifies the sales and onboarding experience across digital, branch and call center channels</w:t>
      </w:r>
      <w:r>
        <w:rPr>
          <w:rFonts w:eastAsia="Times New Roman"/>
          <w:color w:val="000000"/>
          <w:sz w:val="20"/>
          <w:szCs w:val="20"/>
        </w:rPr>
        <w:t xml:space="preserve"> for mid-market community banks and credit unions. We also help financial institutions implement their digital first platform strategy by providing solutions for banking channel services, transaction processing, imaging, and branch services. </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Payments &amp;</w:t>
      </w:r>
      <w:r>
        <w:rPr>
          <w:rFonts w:eastAsia="Times New Roman"/>
          <w:i/>
          <w:iCs/>
          <w:color w:val="000000"/>
          <w:sz w:val="20"/>
          <w:szCs w:val="20"/>
        </w:rPr>
        <w:t xml:space="preserve"> Network</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offer solutions to customers in the financial services industry that power their digital transformation through software, services and hardware to deliver differentiated experiences for their customers and improve efficiency for the financial</w:t>
      </w:r>
      <w:r>
        <w:rPr>
          <w:rFonts w:eastAsia="Times New Roman"/>
          <w:color w:val="000000"/>
          <w:sz w:val="20"/>
          <w:szCs w:val="20"/>
        </w:rPr>
        <w:t xml:space="preserve"> institution. Our Payments &amp; Network segments offer credit unions, banks, digital banks, Fintechs, stored-value debit card issuers, and other consumer financial services providers access to our Allpoint retail-based ATM network, providing convenient and su</w:t>
      </w:r>
      <w:r>
        <w:rPr>
          <w:rFonts w:eastAsia="Times New Roman"/>
          <w:color w:val="000000"/>
          <w:sz w:val="20"/>
          <w:szCs w:val="20"/>
        </w:rPr>
        <w:t>rcharge-free cash withdrawal and deposit access to their customers and cardholders as well as</w:t>
      </w:r>
      <w:r>
        <w:rPr>
          <w:rFonts w:eastAsia="Times New Roman"/>
          <w:color w:val="0E101A"/>
          <w:sz w:val="20"/>
          <w:szCs w:val="20"/>
        </w:rPr>
        <w:t xml:space="preserve"> the ability to convert a digital value to cash, or vice versa, via NCRPay360. </w:t>
      </w:r>
      <w:r>
        <w:rPr>
          <w:rFonts w:eastAsia="Times New Roman"/>
          <w:color w:val="000000"/>
          <w:sz w:val="20"/>
          <w:szCs w:val="20"/>
        </w:rPr>
        <w:t>We also provide branding opportunities for financial institutions on our extensive A</w:t>
      </w:r>
      <w:r>
        <w:rPr>
          <w:rFonts w:eastAsia="Times New Roman"/>
          <w:color w:val="000000"/>
          <w:sz w:val="20"/>
          <w:szCs w:val="20"/>
        </w:rPr>
        <w:t>TM network, providing a cost-effective way for banks to expand their presence and customer service and experience. Our solutions also support</w:t>
      </w:r>
      <w:r>
        <w:rPr>
          <w:rFonts w:eastAsia="Times New Roman"/>
          <w:color w:val="0E101A"/>
          <w:sz w:val="20"/>
          <w:szCs w:val="20"/>
        </w:rPr>
        <w:t xml:space="preserve"> </w:t>
      </w:r>
      <w:r>
        <w:rPr>
          <w:rFonts w:eastAsia="Times New Roman"/>
          <w:color w:val="000000"/>
          <w:sz w:val="20"/>
          <w:szCs w:val="20"/>
        </w:rPr>
        <w:t>payment processing and merchant acquiring services in the retail, hospitality and other industries</w:t>
      </w:r>
      <w:r>
        <w:rPr>
          <w:rFonts w:eastAsia="Times New Roman"/>
          <w:color w:val="0E101A"/>
          <w:sz w:val="20"/>
          <w:szCs w:val="20"/>
        </w:rPr>
        <w:t>.</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Self-Service</w:t>
      </w:r>
      <w:r>
        <w:rPr>
          <w:rFonts w:eastAsia="Times New Roman"/>
          <w:i/>
          <w:iCs/>
          <w:color w:val="000000"/>
          <w:sz w:val="20"/>
          <w:szCs w:val="20"/>
        </w:rPr>
        <w:t xml:space="preserve"> Banking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managed services, including ATM-as-a-Service solutions, help banks run their end-to-end ATM channel, including transaction processing, managing cash and cash delivery, supplies, and telecommunications as well as routine and technical mainten</w:t>
      </w:r>
      <w:r>
        <w:rPr>
          <w:rFonts w:eastAsia="Times New Roman"/>
          <w:color w:val="000000"/>
          <w:sz w:val="20"/>
          <w:szCs w:val="20"/>
        </w:rPr>
        <w:t xml:space="preserve">ance, positioning NCR as a strategic partner. We offer a full line of software such as multi-vendor ATM management systems software application suite and related hardware including multi-function ATMS, interactive teller machines (ITMs), thin-client ATMs, </w:t>
      </w:r>
      <w:r>
        <w:rPr>
          <w:rFonts w:eastAsia="Times New Roman"/>
          <w:color w:val="000000"/>
          <w:sz w:val="20"/>
          <w:szCs w:val="20"/>
        </w:rPr>
        <w:t xml:space="preserve">cash dispensers, and cash recycling ATMs. </w:t>
      </w:r>
    </w:p>
    <w:p w:rsidR="00000000" w:rsidRDefault="0040289C">
      <w:pPr>
        <w:jc w:val="both"/>
        <w:rPr>
          <w:rFonts w:eastAsia="Times New Roman"/>
        </w:rPr>
      </w:pPr>
    </w:p>
    <w:p w:rsidR="00000000" w:rsidRDefault="0040289C">
      <w:pPr>
        <w:jc w:val="both"/>
        <w:divId w:val="1069883909"/>
        <w:rPr>
          <w:rFonts w:eastAsia="Times New Roman"/>
        </w:rPr>
      </w:pPr>
      <w:r>
        <w:rPr>
          <w:rFonts w:eastAsia="Times New Roman"/>
          <w:i/>
          <w:iCs/>
          <w:color w:val="000000"/>
          <w:sz w:val="20"/>
          <w:szCs w:val="20"/>
        </w:rPr>
        <w:t>Telecommunications &amp; Technology</w:t>
      </w:r>
    </w:p>
    <w:p w:rsidR="00000000" w:rsidRDefault="0040289C">
      <w:pPr>
        <w:jc w:val="both"/>
        <w:rPr>
          <w:rFonts w:eastAsia="Times New Roman"/>
        </w:rPr>
      </w:pPr>
      <w:r>
        <w:rPr>
          <w:rFonts w:eastAsia="Times New Roman"/>
          <w:color w:val="000000"/>
          <w:sz w:val="20"/>
          <w:szCs w:val="20"/>
        </w:rPr>
        <w:t>We offer managed network and infrastructure services to enterprise clients across all industries via direct relationships with communications service providers and technology manu</w:t>
      </w:r>
      <w:r>
        <w:rPr>
          <w:rFonts w:eastAsia="Times New Roman"/>
          <w:color w:val="000000"/>
          <w:sz w:val="20"/>
          <w:szCs w:val="20"/>
        </w:rPr>
        <w:t>facturers. Our customers rely on us as a strategic partner to help them reduce complexity, improve cost efficiency, and enable global geographical reach. We deliver expert professional, field, and remote services for modern network technologies including S</w:t>
      </w:r>
      <w:r>
        <w:rPr>
          <w:rFonts w:eastAsia="Times New Roman"/>
          <w:color w:val="000000"/>
          <w:sz w:val="20"/>
          <w:szCs w:val="20"/>
        </w:rPr>
        <w:t>oftware-Defined Wide Area Networking, Network Functions Virtualization, Wireless Local Area Networks, Optical Networking, and Cloud Computing.</w:t>
      </w:r>
    </w:p>
    <w:p w:rsidR="00000000" w:rsidRDefault="0040289C">
      <w:pPr>
        <w:jc w:val="center"/>
        <w:divId w:val="876042413"/>
        <w:rPr>
          <w:rFonts w:eastAsia="Times New Roman"/>
        </w:rPr>
      </w:pPr>
      <w:r>
        <w:rPr>
          <w:rFonts w:eastAsia="Times New Roman"/>
          <w:color w:val="000000"/>
          <w:sz w:val="20"/>
          <w:szCs w:val="20"/>
        </w:rPr>
        <w:t>3</w:t>
      </w:r>
    </w:p>
    <w:p w:rsidR="00000000" w:rsidRDefault="0040289C">
      <w:pPr>
        <w:rPr>
          <w:rFonts w:eastAsia="Times New Roman"/>
        </w:rPr>
      </w:pPr>
      <w:r>
        <w:rPr>
          <w:rFonts w:eastAsia="Times New Roman"/>
        </w:rPr>
        <w:pict>
          <v:rect id="_x0000_i1032" style="width:0;height:1.5pt" o:hralign="center" o:hrstd="t" o:hr="t" fillcolor="#a0a0a0" stroked="f"/>
        </w:pict>
      </w:r>
    </w:p>
    <w:p w:rsidR="00000000" w:rsidRDefault="0040289C">
      <w:pPr>
        <w:divId w:val="747531487"/>
        <w:rPr>
          <w:rFonts w:eastAsia="Times New Roman"/>
        </w:rPr>
      </w:pPr>
      <w:hyperlink w:anchor="if07fd8a5a4294970a048ac5c5178b1ea_10" w:history="1">
        <w:r>
          <w:rPr>
            <w:rStyle w:val="a3"/>
            <w:rFonts w:eastAsia="Times New Roman"/>
            <w:sz w:val="16"/>
            <w:szCs w:val="16"/>
          </w:rPr>
          <w:t>Table of Conten</w:t>
        </w:r>
        <w:r>
          <w:rPr>
            <w:rStyle w:val="a3"/>
            <w:rFonts w:eastAsia="Times New Roman"/>
            <w:sz w:val="16"/>
            <w:szCs w:val="16"/>
          </w:rPr>
          <w:t>ts</w:t>
        </w:r>
      </w:hyperlink>
    </w:p>
    <w:p w:rsidR="00000000" w:rsidRDefault="0040289C">
      <w:pPr>
        <w:jc w:val="right"/>
        <w:divId w:val="1113941406"/>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Target Markets and Distribution Channels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NCR provides solutions to customers of varying sizes in the retail, hospitality, financial, and telecommunications and technology (“T&amp;T”) industries.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provide the technology that helps customers run self-directed banking, which primarily centers aroun</w:t>
      </w:r>
      <w:r>
        <w:rPr>
          <w:rFonts w:eastAsia="Times New Roman"/>
          <w:color w:val="000000"/>
          <w:sz w:val="20"/>
          <w:szCs w:val="20"/>
        </w:rPr>
        <w:t>d our digital banking and ATM businesses, including software and services, as well as our Allpoint retail-based and surcharge-free ATM network. Our solutions also serve the retail markets through convenience banking products for retailers designed to compl</w:t>
      </w:r>
      <w:r>
        <w:rPr>
          <w:rFonts w:eastAsia="Times New Roman"/>
          <w:color w:val="000000"/>
          <w:sz w:val="20"/>
          <w:szCs w:val="20"/>
        </w:rPr>
        <w:t>ement their core businesses. Our financial solutions customers are located throughout the world in both developed and emerging markets. We have historically sold the majority of our Digital Banking, Payments &amp; Network and Self-Service Banking segment solut</w:t>
      </w:r>
      <w:r>
        <w:rPr>
          <w:rFonts w:eastAsia="Times New Roman"/>
          <w:color w:val="000000"/>
          <w:sz w:val="20"/>
          <w:szCs w:val="20"/>
        </w:rPr>
        <w:t>ions through a direct sales channel, and have augmented our presence through distributors and value-added resellers.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provide solutions to the retail and hospitality industries that run the store and run the restaurant including, but not limited to, PO</w:t>
      </w:r>
      <w:r>
        <w:rPr>
          <w:rFonts w:eastAsia="Times New Roman"/>
          <w:color w:val="000000"/>
          <w:sz w:val="20"/>
          <w:szCs w:val="20"/>
        </w:rPr>
        <w:t>S software and hardware, SCO software and hardware, loyalty software, supply chain and payment solutions. We also provide store virtualization, Internet of Things (IoT), and micro-services platform solutions to modernize store and restaurant IT infrastruct</w:t>
      </w:r>
      <w:r>
        <w:rPr>
          <w:rFonts w:eastAsia="Times New Roman"/>
          <w:color w:val="000000"/>
          <w:sz w:val="20"/>
          <w:szCs w:val="20"/>
        </w:rPr>
        <w:t>ure. Our Retail segment customers include all sizes of food, drug and mass merchandisers, which includes grocery stores, drug stores, and big box retailers, as well as department and specialty retail stores, convenience and fuel retailers across the globe.</w:t>
      </w:r>
      <w:r>
        <w:rPr>
          <w:rFonts w:eastAsia="Times New Roman"/>
          <w:color w:val="000000"/>
          <w:sz w:val="20"/>
          <w:szCs w:val="20"/>
        </w:rPr>
        <w:t xml:space="preserve"> Our Hospitality segment customers include quick service, table service and fast casual restaurants, small and medium size restaurants across independent restaurant operators, emerging and national chains, and large global brands. Our solutions are sold th</w:t>
      </w:r>
      <w:r>
        <w:rPr>
          <w:rFonts w:eastAsia="Times New Roman"/>
          <w:color w:val="000000"/>
          <w:sz w:val="20"/>
          <w:szCs w:val="20"/>
        </w:rPr>
        <w:t>rough a direct sales force and through relationships with value-added resellers, distributors, dealers and other indirect sales channels.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provide service and support for our products and solutions through services contracts with our customers. We have</w:t>
      </w:r>
      <w:r>
        <w:rPr>
          <w:rFonts w:eastAsia="Times New Roman"/>
          <w:color w:val="000000"/>
          <w:sz w:val="20"/>
          <w:szCs w:val="20"/>
        </w:rPr>
        <w:t xml:space="preserve"> also established managed services contracts with key customers and continue to pursue additional managed services relationships. We believe that longer term managed services arrangements can help improve the efficiency and performance of a customer’s busi</w:t>
      </w:r>
      <w:r>
        <w:rPr>
          <w:rFonts w:eastAsia="Times New Roman"/>
          <w:color w:val="000000"/>
          <w:sz w:val="20"/>
          <w:szCs w:val="20"/>
        </w:rPr>
        <w:t>ness, and also increase the strategic and financial importance of its relationship with NCR. We also service competing technologies and third-party products. The primary sales channel for our services is our direct sales teams, which exist across all geogr</w:t>
      </w:r>
      <w:r>
        <w:rPr>
          <w:rFonts w:eastAsia="Times New Roman"/>
          <w:color w:val="000000"/>
          <w:sz w:val="20"/>
          <w:szCs w:val="20"/>
        </w:rPr>
        <w:t>aphies where we operate around the world. Our services professionals provide these services directly to end customers.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Competition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face a diverse group of competitors in the financial, retail, hospitality and other industries, including the T&amp;T ind</w:t>
      </w:r>
      <w:r>
        <w:rPr>
          <w:rFonts w:eastAsia="Times New Roman"/>
          <w:color w:val="000000"/>
          <w:sz w:val="20"/>
          <w:szCs w:val="20"/>
        </w:rPr>
        <w:t>ustry, in which we sell our digital-first portfolio of software, services and hardware. The primary competitive factors can vary by geographic area where we operate around the world, but typically include: value and quality of the solutions or products; to</w:t>
      </w:r>
      <w:r>
        <w:rPr>
          <w:rFonts w:eastAsia="Times New Roman"/>
          <w:color w:val="000000"/>
          <w:sz w:val="20"/>
          <w:szCs w:val="20"/>
        </w:rPr>
        <w:t>tal cost of ownership; industry knowledge of the vendor; the vendor’s ability to provide and support a total end-to-end solution; the vendor’s ability to integrate new and existing systems; fit of the vendor’s strategic vision with the customer’s strategic</w:t>
      </w:r>
      <w:r>
        <w:rPr>
          <w:rFonts w:eastAsia="Times New Roman"/>
          <w:color w:val="000000"/>
          <w:sz w:val="20"/>
          <w:szCs w:val="20"/>
        </w:rPr>
        <w:t xml:space="preserve"> direction; and quality of the vendor’s consulting, deployment and support services.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the financial industry, our Digital Banking, Payments &amp; Network and Self-Serve Banking segments face a variety of competitors offering financial services and software</w:t>
      </w:r>
      <w:r>
        <w:rPr>
          <w:rFonts w:eastAsia="Times New Roman"/>
          <w:color w:val="000000"/>
          <w:sz w:val="20"/>
          <w:szCs w:val="20"/>
        </w:rPr>
        <w:t xml:space="preserve"> including, among others, Fidelity National Information Services, Inc., Fiserv, Inc., Q2 Holdings, Inc., Temenos AG, Infosys Ltd., Alkami Technology, Inc. and ACI Worldwide, Inc. In addition, we face competition from ATM manufacturers including Diebold Nix</w:t>
      </w:r>
      <w:r>
        <w:rPr>
          <w:rFonts w:eastAsia="Times New Roman"/>
          <w:color w:val="000000"/>
          <w:sz w:val="20"/>
          <w:szCs w:val="20"/>
        </w:rPr>
        <w:t>dorf, Inc. and Hyosung TNS Inc., and ATM network operators including Euronet Worldwide, Inc., as well as regional firms across all geographies where we operate around the world.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the retail and hospitality industries, our Retail and Hospitality segment</w:t>
      </w:r>
      <w:r>
        <w:rPr>
          <w:rFonts w:eastAsia="Times New Roman"/>
          <w:color w:val="000000"/>
          <w:sz w:val="20"/>
          <w:szCs w:val="20"/>
        </w:rPr>
        <w:t>s face a variety of competitors across all geographies where we operate around the world. Our competitors vary by market segment, product, service offering and geographic area, and include Toshiba Tec Corporation, Flooid, Oracle Corporation, GK Software SE</w:t>
      </w:r>
      <w:r>
        <w:rPr>
          <w:rFonts w:eastAsia="Times New Roman"/>
          <w:color w:val="000000"/>
          <w:sz w:val="20"/>
          <w:szCs w:val="20"/>
        </w:rPr>
        <w:t xml:space="preserve">, PAR Technology Corporation, Olo Inc., Aptos, Inc., Lightspeed, Diebold Nixdorf, Inc., Fujitsu Limited, SAP and HP Inc., among others. In addition, we face new competitors including Toast, Inc., Revel Systems, Inc., Square, Inc., and Upserve, Inc., among </w:t>
      </w:r>
      <w:r>
        <w:rPr>
          <w:rFonts w:eastAsia="Times New Roman"/>
          <w:color w:val="000000"/>
          <w:sz w:val="20"/>
          <w:szCs w:val="20"/>
        </w:rPr>
        <w:t xml:space="preserve">others.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primary services competitors are the companies identified above, as well as other regional and local independent services firms across all geographies where we operate around the world. We also face services competition from global enterpris</w:t>
      </w:r>
      <w:r>
        <w:rPr>
          <w:rFonts w:eastAsia="Times New Roman"/>
          <w:color w:val="000000"/>
          <w:sz w:val="20"/>
          <w:szCs w:val="20"/>
        </w:rPr>
        <w:t>e technology companies including IBM Corporation, and CompuCom (owned by Variant Equity Advisors) among others, as these firms continue to focus on services as a core business strategy.</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2095198231"/>
        <w:rPr>
          <w:rFonts w:eastAsia="Times New Roman"/>
        </w:rPr>
      </w:pPr>
      <w:r>
        <w:rPr>
          <w:rFonts w:eastAsia="Times New Roman"/>
          <w:color w:val="000000"/>
          <w:sz w:val="20"/>
          <w:szCs w:val="20"/>
        </w:rPr>
        <w:t>4</w:t>
      </w:r>
    </w:p>
    <w:p w:rsidR="00000000" w:rsidRDefault="0040289C">
      <w:pPr>
        <w:rPr>
          <w:rFonts w:eastAsia="Times New Roman"/>
        </w:rPr>
      </w:pPr>
      <w:r>
        <w:rPr>
          <w:rFonts w:eastAsia="Times New Roman"/>
        </w:rPr>
        <w:pict>
          <v:rect id="_x0000_i1033" style="width:0;height:1.5pt" o:hralign="center" o:hrstd="t" o:hr="t" fillcolor="#a0a0a0" stroked="f"/>
        </w:pict>
      </w:r>
    </w:p>
    <w:p w:rsidR="00000000" w:rsidRDefault="0040289C">
      <w:pPr>
        <w:divId w:val="124237319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24679397"/>
        <w:rPr>
          <w:rFonts w:eastAsia="Times New Roman"/>
        </w:rPr>
      </w:pPr>
    </w:p>
    <w:p w:rsidR="00000000" w:rsidRDefault="0040289C">
      <w:pPr>
        <w:jc w:val="both"/>
        <w:rPr>
          <w:rFonts w:eastAsia="Times New Roman"/>
        </w:rPr>
      </w:pPr>
      <w:r>
        <w:rPr>
          <w:rFonts w:eastAsia="Times New Roman"/>
          <w:b/>
          <w:bCs/>
          <w:color w:val="000000"/>
          <w:sz w:val="20"/>
          <w:szCs w:val="20"/>
        </w:rPr>
        <w:t xml:space="preserve">Research and Development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We remain focused on designing and developing solutions that anticipate our customers’ </w:t>
      </w:r>
      <w:r>
        <w:rPr>
          <w:rFonts w:eastAsia="Times New Roman"/>
          <w:color w:val="000000"/>
          <w:sz w:val="20"/>
          <w:szCs w:val="20"/>
        </w:rPr>
        <w:t>changing technological needs as well as consumer preferences. Our expenses for research and development were $217 million in 2022, $268 million in 2021, and $234 million in 2020. We anticipate that we will continue to have significant research and developm</w:t>
      </w:r>
      <w:r>
        <w:rPr>
          <w:rFonts w:eastAsia="Times New Roman"/>
          <w:color w:val="000000"/>
          <w:sz w:val="20"/>
          <w:szCs w:val="20"/>
        </w:rPr>
        <w:t>ent expenditures in the future in order to provide a continuing flow of innovative, high-quality products and services and to help maintain and enhance our competitive position. Information regarding the accounting and costs included in research and develo</w:t>
      </w:r>
      <w:r>
        <w:rPr>
          <w:rFonts w:eastAsia="Times New Roman"/>
          <w:color w:val="000000"/>
          <w:sz w:val="20"/>
          <w:szCs w:val="20"/>
        </w:rPr>
        <w:t xml:space="preserve">pment activities is included in Note 1, “Basis of Presentation and Significant Accounting Policies” of the Notes to Consolidated Financial Statements in Item 8 of Part II of this Report under "Research and Development Costs," and is incorporated herein by </w:t>
      </w:r>
      <w:r>
        <w:rPr>
          <w:rFonts w:eastAsia="Times New Roman"/>
          <w:color w:val="000000"/>
          <w:sz w:val="20"/>
          <w:szCs w:val="20"/>
        </w:rPr>
        <w:t xml:space="preserve">reference.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Patents and Trademarks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seeks patent protection for its innovations (including improvements), associated with its software, services, product, solutions, creations and developments (including hardware), where such protection is likely t</w:t>
      </w:r>
      <w:r>
        <w:rPr>
          <w:rFonts w:eastAsia="Times New Roman"/>
          <w:color w:val="000000"/>
          <w:sz w:val="20"/>
          <w:szCs w:val="20"/>
        </w:rPr>
        <w:t>o provide, especially strategic value to NCR. NCR owns approximately 1,350 patents in the United States and numerous other patents in foreign countries. The foreign patents are generally counterparts of NCR’s United States patents. Many of the patents owne</w:t>
      </w:r>
      <w:r>
        <w:rPr>
          <w:rFonts w:eastAsia="Times New Roman"/>
          <w:color w:val="000000"/>
          <w:sz w:val="20"/>
          <w:szCs w:val="20"/>
        </w:rPr>
        <w:t>d by NCR are licensed to others, and NCR is licensed under certain patents owned by others. As appropriate, NCR looks to monetize its patents to drive additional value from its patent portfolio. NCR also has numerous patent applications pending in the Unit</w:t>
      </w:r>
      <w:r>
        <w:rPr>
          <w:rFonts w:eastAsia="Times New Roman"/>
          <w:color w:val="000000"/>
          <w:sz w:val="20"/>
          <w:szCs w:val="20"/>
        </w:rPr>
        <w:t xml:space="preserve">ed States and in foreign countries. NCR’s portfolio of patents and patent applications is of significant value to NCR.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has registered certain trademarks, including service marks, in the United States and in foreign countries. NCR considers the “NCR”</w:t>
      </w:r>
      <w:r>
        <w:rPr>
          <w:rFonts w:eastAsia="Times New Roman"/>
          <w:color w:val="000000"/>
          <w:sz w:val="20"/>
          <w:szCs w:val="20"/>
        </w:rPr>
        <w:t xml:space="preserve"> and NCR logo marks, as well as its other trademarks (including service marks), to have significant value to NCR. Loss of NCR’s right to use the NCR trademark could be material. However, the NCR trademark has been used and owned by NCR for at least 100 yea</w:t>
      </w:r>
      <w:r>
        <w:rPr>
          <w:rFonts w:eastAsia="Times New Roman"/>
          <w:color w:val="000000"/>
          <w:sz w:val="20"/>
          <w:szCs w:val="20"/>
        </w:rPr>
        <w:t>rs, and NCR expects to maintain its rights in and to the NCR trademark for years to come.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Seasonality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sales have been historically seasonal, with lower revenue in the first quarter and higher revenue in the fourth quarter of each year. Such season</w:t>
      </w:r>
      <w:r>
        <w:rPr>
          <w:rFonts w:eastAsia="Times New Roman"/>
          <w:color w:val="000000"/>
          <w:sz w:val="20"/>
          <w:szCs w:val="20"/>
        </w:rPr>
        <w:t xml:space="preserve">ality also causes our working capital cash flow requirements to vary from quarter to quarter depending on variability in the volume, timing and mix of sales. In addition, revenue in the third month of each quarter is typically higher than in the first and </w:t>
      </w:r>
      <w:r>
        <w:rPr>
          <w:rFonts w:eastAsia="Times New Roman"/>
          <w:color w:val="000000"/>
          <w:sz w:val="20"/>
          <w:szCs w:val="20"/>
        </w:rPr>
        <w:t>second months. However, with the transition of our revenue mix to comprise a higher mix of recurring software and services revenue, we expect that our sales will continue to become more linear over time.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Manufacturing and Raw Materials </w:t>
      </w:r>
    </w:p>
    <w:p w:rsidR="00000000" w:rsidRDefault="0040289C">
      <w:pPr>
        <w:jc w:val="both"/>
        <w:rPr>
          <w:rFonts w:eastAsia="Times New Roman"/>
        </w:rPr>
      </w:pPr>
    </w:p>
    <w:p w:rsidR="00000000" w:rsidRDefault="0040289C">
      <w:pPr>
        <w:jc w:val="both"/>
        <w:divId w:val="723912490"/>
        <w:rPr>
          <w:rFonts w:eastAsia="Times New Roman"/>
        </w:rPr>
      </w:pPr>
      <w:r>
        <w:rPr>
          <w:rFonts w:eastAsia="Times New Roman"/>
          <w:color w:val="000000"/>
          <w:sz w:val="20"/>
          <w:szCs w:val="20"/>
        </w:rPr>
        <w:t xml:space="preserve">In most cases, </w:t>
      </w:r>
      <w:r>
        <w:rPr>
          <w:rFonts w:eastAsia="Times New Roman"/>
          <w:color w:val="000000"/>
          <w:sz w:val="20"/>
          <w:szCs w:val="20"/>
        </w:rPr>
        <w:t>there are a number of vendors providing the services and producing the parts and components that we utilize. However, there are some services and components that are purchased from single sources due to price, quality, technology or other reasons. In the p</w:t>
      </w:r>
      <w:r>
        <w:rPr>
          <w:rFonts w:eastAsia="Times New Roman"/>
          <w:color w:val="000000"/>
          <w:sz w:val="20"/>
          <w:szCs w:val="20"/>
        </w:rPr>
        <w:t>ast, we have been able to obtain an adequate supply of raw materials and components for virtually all materials used in the production process. We currently believe we have adequate resources of raw materials and components and that our portfolio of vendor</w:t>
      </w:r>
      <w:r>
        <w:rPr>
          <w:rFonts w:eastAsia="Times New Roman"/>
          <w:color w:val="000000"/>
          <w:sz w:val="20"/>
          <w:szCs w:val="20"/>
        </w:rPr>
        <w:t xml:space="preserve">s providing services and producing parts has the resources and facilities to overcome most unforeseen interruptions of supply. </w:t>
      </w:r>
    </w:p>
    <w:p w:rsidR="00000000" w:rsidRDefault="0040289C">
      <w:pPr>
        <w:divId w:val="1403719125"/>
        <w:rPr>
          <w:rFonts w:eastAsia="Times New Roman"/>
        </w:rPr>
      </w:pPr>
      <w:r>
        <w:rPr>
          <w:rFonts w:eastAsia="Times New Roman"/>
          <w:color w:val="000000"/>
          <w:sz w:val="20"/>
          <w:szCs w:val="20"/>
        </w:rPr>
        <w:t xml:space="preserve">As of December 31, 2022, NCR leverages a network of internal and third-party partner facilities across the globe to manufacture </w:t>
      </w:r>
      <w:r>
        <w:rPr>
          <w:rFonts w:eastAsia="Times New Roman"/>
          <w:color w:val="000000"/>
          <w:sz w:val="20"/>
          <w:szCs w:val="20"/>
        </w:rPr>
        <w:t xml:space="preserve">its products in Chennai, India and partner facilities located in Budapest, Hungary, Guadalajara, Mexico, Chihuahua, Mexico, and Xiamen, China. </w:t>
      </w:r>
    </w:p>
    <w:p w:rsidR="00000000" w:rsidRDefault="0040289C">
      <w:pPr>
        <w:jc w:val="both"/>
        <w:divId w:val="582182898"/>
        <w:rPr>
          <w:rFonts w:eastAsia="Times New Roman"/>
        </w:rPr>
      </w:pPr>
      <w:r>
        <w:rPr>
          <w:rFonts w:eastAsia="Times New Roman"/>
          <w:color w:val="000000"/>
          <w:sz w:val="20"/>
          <w:szCs w:val="20"/>
        </w:rPr>
        <w:t>Further information regarding the potential impact of these relationships on our business operations, and regard</w:t>
      </w:r>
      <w:r>
        <w:rPr>
          <w:rFonts w:eastAsia="Times New Roman"/>
          <w:color w:val="000000"/>
          <w:sz w:val="20"/>
          <w:szCs w:val="20"/>
        </w:rPr>
        <w:t>ing sources and availability of raw materials, is also included in Item 1A of this Report under the caption “Business Operations,” and is incorporated herein by reference.</w:t>
      </w:r>
    </w:p>
    <w:p w:rsidR="00000000" w:rsidRDefault="0040289C">
      <w:pPr>
        <w:jc w:val="both"/>
        <w:rPr>
          <w:rFonts w:eastAsia="Times New Roman"/>
        </w:rPr>
      </w:pPr>
      <w:r>
        <w:rPr>
          <w:rFonts w:eastAsia="Times New Roman"/>
          <w:b/>
          <w:bCs/>
          <w:color w:val="000000"/>
          <w:sz w:val="20"/>
          <w:szCs w:val="20"/>
        </w:rPr>
        <w:t xml:space="preserve">Product Backlog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Backlog includes orders confirmed for products scheduled to be sh</w:t>
      </w:r>
      <w:r>
        <w:rPr>
          <w:rFonts w:eastAsia="Times New Roman"/>
          <w:color w:val="000000"/>
          <w:sz w:val="20"/>
          <w:szCs w:val="20"/>
        </w:rPr>
        <w:t>ipped as well as certain professional and transaction services to be provided. Although we believe that the orders included in the backlog are firm, we may allow some orders to be canceled by the customer without penalty. Even when penalties for cancellati</w:t>
      </w:r>
      <w:r>
        <w:rPr>
          <w:rFonts w:eastAsia="Times New Roman"/>
          <w:color w:val="000000"/>
          <w:sz w:val="20"/>
          <w:szCs w:val="20"/>
        </w:rPr>
        <w:t>on are provided for in a customer contract, we may elect to permit cancellation of orders without penalty where management believes it is in our best interests to do so. Further, we have a significant portion of product revenue derived from term-based soft</w:t>
      </w:r>
      <w:r>
        <w:rPr>
          <w:rFonts w:eastAsia="Times New Roman"/>
          <w:color w:val="000000"/>
          <w:sz w:val="20"/>
          <w:szCs w:val="20"/>
        </w:rPr>
        <w:t xml:space="preserve">ware license arrangements that include customer termination rights and services revenue that is recurring or transaction based business, which backlog information has not historically been measured. Therefore, we do not believe that our backlog, as of any </w:t>
      </w:r>
      <w:r>
        <w:rPr>
          <w:rFonts w:eastAsia="Times New Roman"/>
          <w:color w:val="000000"/>
          <w:sz w:val="20"/>
          <w:szCs w:val="20"/>
        </w:rPr>
        <w:t xml:space="preserve">particular date, is necessarily indicative of revenue for any future period. </w:t>
      </w:r>
    </w:p>
    <w:p w:rsidR="00000000" w:rsidRDefault="0040289C">
      <w:pPr>
        <w:jc w:val="center"/>
        <w:divId w:val="1481967223"/>
        <w:rPr>
          <w:rFonts w:eastAsia="Times New Roman"/>
        </w:rPr>
      </w:pPr>
      <w:r>
        <w:rPr>
          <w:rFonts w:eastAsia="Times New Roman"/>
          <w:color w:val="000000"/>
          <w:sz w:val="20"/>
          <w:szCs w:val="20"/>
        </w:rPr>
        <w:t>5</w:t>
      </w:r>
    </w:p>
    <w:p w:rsidR="00000000" w:rsidRDefault="0040289C">
      <w:pPr>
        <w:rPr>
          <w:rFonts w:eastAsia="Times New Roman"/>
        </w:rPr>
      </w:pPr>
      <w:r>
        <w:rPr>
          <w:rFonts w:eastAsia="Times New Roman"/>
        </w:rPr>
        <w:pict>
          <v:rect id="_x0000_i1034" style="width:0;height:1.5pt" o:hralign="center" o:hrstd="t" o:hr="t" fillcolor="#a0a0a0" stroked="f"/>
        </w:pict>
      </w:r>
    </w:p>
    <w:p w:rsidR="00000000" w:rsidRDefault="0040289C">
      <w:pPr>
        <w:divId w:val="148262250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605650357"/>
        <w:rPr>
          <w:rFonts w:eastAsia="Times New Roman"/>
        </w:rPr>
      </w:pPr>
    </w:p>
    <w:p w:rsidR="00000000" w:rsidRDefault="0040289C">
      <w:pPr>
        <w:jc w:val="both"/>
        <w:rPr>
          <w:rFonts w:eastAsia="Times New Roman"/>
        </w:rPr>
      </w:pPr>
      <w:r>
        <w:rPr>
          <w:rFonts w:eastAsia="Times New Roman"/>
          <w:color w:val="000000"/>
          <w:sz w:val="20"/>
          <w:szCs w:val="20"/>
        </w:rPr>
        <w:t xml:space="preserve">However, backlog is included as a component of our remaining </w:t>
      </w:r>
      <w:r>
        <w:rPr>
          <w:rFonts w:eastAsia="Times New Roman"/>
          <w:color w:val="000000"/>
          <w:sz w:val="20"/>
          <w:szCs w:val="20"/>
        </w:rPr>
        <w:t>performance obligation to the extent we determine that the orders are non-cancelable. Refer to Note 1, “Basis of Presentation and Significant Accounting Policies”, of the Notes to Consolidated Financial Statements in Item 8 of Part II of this Report for ad</w:t>
      </w:r>
      <w:r>
        <w:rPr>
          <w:rFonts w:eastAsia="Times New Roman"/>
          <w:color w:val="000000"/>
          <w:sz w:val="20"/>
          <w:szCs w:val="20"/>
        </w:rPr>
        <w:t>ditional information on remaining performance obligations.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Risk Management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At the Board of Directors level, NCR has a standing Risk Committee. The Risk Committee assists NCR’s Board of Directors with its oversight of executive management’s responsibilities to design, implement and maintain an effective enterprise risk management </w:t>
      </w:r>
      <w:r>
        <w:rPr>
          <w:rFonts w:eastAsia="Times New Roman"/>
          <w:color w:val="000000"/>
          <w:sz w:val="20"/>
          <w:szCs w:val="20"/>
        </w:rPr>
        <w:t>(“ERM”) framework for the Company’s overall operational, information security, strategic, reputational, technology, environmental, social and governance (“ESG”), and other risks. The Risk Committee also assists the Board of Directors with its oversight res</w:t>
      </w:r>
      <w:r>
        <w:rPr>
          <w:rFonts w:eastAsia="Times New Roman"/>
          <w:color w:val="000000"/>
          <w:sz w:val="20"/>
          <w:szCs w:val="20"/>
        </w:rPr>
        <w:t>ponsibilities for matters relating to diversity, equity and inclusion (“DE&amp;I”), environment, health and safety (“EHS”), sustainability, and the security of our personnel and physical assets. At the management level, NCR's Office of Risk Management and Chie</w:t>
      </w:r>
      <w:r>
        <w:rPr>
          <w:rFonts w:eastAsia="Times New Roman"/>
          <w:color w:val="000000"/>
          <w:sz w:val="20"/>
          <w:szCs w:val="20"/>
        </w:rPr>
        <w:t>f Risk Officer assist NCR and the Risk Committee in fulfilling its objectives relating to ERM, ESG, third-party risk management (“TPRM”) and business continuity planning (BCP). The Company’s Chief Risk Officer is responsible for developing and managing for</w:t>
      </w:r>
      <w:r>
        <w:rPr>
          <w:rFonts w:eastAsia="Times New Roman"/>
          <w:color w:val="000000"/>
          <w:sz w:val="20"/>
          <w:szCs w:val="20"/>
        </w:rPr>
        <w:t>mal ERM, ESG, TPRM and BCP programs designed to identify, assess and respond to material and emerging risks and opportunities that may impact the achievement of the Company’s strategic objectives. NCR has also established an Executive Risk Committee that m</w:t>
      </w:r>
      <w:r>
        <w:rPr>
          <w:rFonts w:eastAsia="Times New Roman"/>
          <w:color w:val="000000"/>
          <w:sz w:val="20"/>
          <w:szCs w:val="20"/>
        </w:rPr>
        <w:t>eets routinely to monitor material risks, opportunities and NCR's response plans thereto.</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ESG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At NCR, we remain committed to creating positive change that supports an innovative and sustainable future in a responsible way. Our NCR business strategy dir</w:t>
      </w:r>
      <w:r>
        <w:rPr>
          <w:rFonts w:eastAsia="Times New Roman"/>
          <w:color w:val="000000"/>
          <w:sz w:val="20"/>
          <w:szCs w:val="20"/>
        </w:rPr>
        <w:t>ectly aligns with the ESG priorities that we established in 2020. The NCR business strategy is dependent on customer satisfaction and harnessing our culture of innovation. NCR’s focus on customer satisfaction is two-fold: we intend to represent the ESG qua</w:t>
      </w:r>
      <w:r>
        <w:rPr>
          <w:rFonts w:eastAsia="Times New Roman"/>
          <w:color w:val="000000"/>
          <w:sz w:val="20"/>
          <w:szCs w:val="20"/>
        </w:rPr>
        <w:t xml:space="preserve">lities our customers are looking for; and we intend for our employees to fulfill and answer these expectations. </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ESG Oversight.</w:t>
      </w:r>
      <w:r>
        <w:rPr>
          <w:rFonts w:eastAsia="Times New Roman"/>
          <w:color w:val="000000"/>
          <w:sz w:val="20"/>
          <w:szCs w:val="20"/>
        </w:rPr>
        <w:t xml:space="preserve"> NCR is committed to a strong oversight mechanism of ESG issues. NCR’s Board of Directors has direct oversight of ESG activitie</w:t>
      </w:r>
      <w:r>
        <w:rPr>
          <w:rFonts w:eastAsia="Times New Roman"/>
          <w:color w:val="000000"/>
          <w:sz w:val="20"/>
          <w:szCs w:val="20"/>
        </w:rPr>
        <w:t>s through its Risk Committee. The Risk Committee and other Board committees oversee components of ESG, including, business ethics and integrity, data protection, privacy and security, our people, DE&amp;I, environmental management, product innovation and manag</w:t>
      </w:r>
      <w:r>
        <w:rPr>
          <w:rFonts w:eastAsia="Times New Roman"/>
          <w:color w:val="000000"/>
          <w:sz w:val="20"/>
          <w:szCs w:val="20"/>
        </w:rPr>
        <w:t>ement, and supplier responsibility.</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Business Ethics and Integrity</w:t>
      </w:r>
      <w:r>
        <w:rPr>
          <w:rFonts w:eastAsia="Times New Roman"/>
          <w:color w:val="000000"/>
          <w:sz w:val="20"/>
          <w:szCs w:val="20"/>
        </w:rPr>
        <w:t>. Our Code of Conduct sets forth standards designed to uphold our values and foster integrity in our relationships with one another and our valued stakeholders. Our Code of Conduct is avail</w:t>
      </w:r>
      <w:r>
        <w:rPr>
          <w:rFonts w:eastAsia="Times New Roman"/>
          <w:color w:val="000000"/>
          <w:sz w:val="20"/>
          <w:szCs w:val="20"/>
        </w:rPr>
        <w:t>able at https://www.ncr.com/company/corporate-governance/code-of-conduct.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Everyone at NCR is required to annually take our Code of Conduct training, available in 17 languages. Since 2008, NCR has achieved 100% timely completion of its Code of Conduct tra</w:t>
      </w:r>
      <w:r>
        <w:rPr>
          <w:rFonts w:eastAsia="Times New Roman"/>
          <w:color w:val="000000"/>
          <w:sz w:val="20"/>
          <w:szCs w:val="20"/>
        </w:rPr>
        <w:t xml:space="preserve">ining. The Code of Conduct training is revised annually, taking into account the prior year’s compliance matters and the Company’s compliance risks.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Ethics and Compliance Program is responsible for managing the Company’s adherence to the Code of Con</w:t>
      </w:r>
      <w:r>
        <w:rPr>
          <w:rFonts w:eastAsia="Times New Roman"/>
          <w:color w:val="000000"/>
          <w:sz w:val="20"/>
          <w:szCs w:val="20"/>
        </w:rPr>
        <w:t>duct. Further, our Chief Ethics &amp; Compliance Officer oversees investigations pertaining to fraud, conflicts of interest, violations of laws, and other similar matters, and reports on those activities to one or more Committees of the Board.</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Data Protectio</w:t>
      </w:r>
      <w:r>
        <w:rPr>
          <w:rFonts w:eastAsia="Times New Roman"/>
          <w:i/>
          <w:iCs/>
          <w:color w:val="000000"/>
          <w:sz w:val="20"/>
          <w:szCs w:val="20"/>
        </w:rPr>
        <w:t>n, Privacy and Security.</w:t>
      </w:r>
      <w:r>
        <w:rPr>
          <w:rFonts w:eastAsia="Times New Roman"/>
          <w:color w:val="000000"/>
          <w:sz w:val="20"/>
          <w:szCs w:val="20"/>
        </w:rPr>
        <w:t xml:space="preserve"> At NCR, we are proud of our data protection, cybersecurity, and privacy programs. These initiatives receive oversight from the Board’s Risk Committee, as well as several members of our executive leadership team including the Chief </w:t>
      </w:r>
      <w:r>
        <w:rPr>
          <w:rFonts w:eastAsia="Times New Roman"/>
          <w:color w:val="000000"/>
          <w:sz w:val="20"/>
          <w:szCs w:val="20"/>
        </w:rPr>
        <w:t>Operations Officer, General Counsel, Chief Security Officer, and Chief Information Officer. NCR’s Chief Information Security Officer and Chief Privacy Officer are responsible for management of these programs. Additional support is provided by our Chief Eth</w:t>
      </w:r>
      <w:r>
        <w:rPr>
          <w:rFonts w:eastAsia="Times New Roman"/>
          <w:color w:val="000000"/>
          <w:sz w:val="20"/>
          <w:szCs w:val="20"/>
        </w:rPr>
        <w:t xml:space="preserve">ics &amp; Compliance Officer.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supports appropriate privacy protections for those with whom we interact. We foster a culture that values the privacy rights of individuals. Under the direction of NCR’s Chief Privacy Officer, the program offers thought lea</w:t>
      </w:r>
      <w:r>
        <w:rPr>
          <w:rFonts w:eastAsia="Times New Roman"/>
          <w:color w:val="000000"/>
          <w:sz w:val="20"/>
          <w:szCs w:val="20"/>
        </w:rPr>
        <w:t>dership, advice and guidance on privacy practices such as: complying with privacy laws and regulations; designing solutions with privacy in mind; implementing contracts governing intracompany activities; minimizing the collection of data; providing meaning</w:t>
      </w:r>
      <w:r>
        <w:rPr>
          <w:rFonts w:eastAsia="Times New Roman"/>
          <w:color w:val="000000"/>
          <w:sz w:val="20"/>
          <w:szCs w:val="20"/>
        </w:rPr>
        <w:t>ful notice and choice; and safeguarding information. The program is supported by privacy attorneys, privacy program managers within the business, and data protection officers in various locations internationally. Many of these privacy professionals have in</w:t>
      </w:r>
      <w:r>
        <w:rPr>
          <w:rFonts w:eastAsia="Times New Roman"/>
          <w:color w:val="000000"/>
          <w:sz w:val="20"/>
          <w:szCs w:val="20"/>
        </w:rPr>
        <w:t xml:space="preserve">dustry recognized privacy certifications from the International Association of Privacy Professionals.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Under the direction of NCR’s Chief Security Officer and Chief Information Security Officer, the Global Information Security organization is responsible</w:t>
      </w:r>
      <w:r>
        <w:rPr>
          <w:rFonts w:eastAsia="Times New Roman"/>
          <w:color w:val="000000"/>
          <w:sz w:val="20"/>
          <w:szCs w:val="20"/>
        </w:rPr>
        <w:t xml:space="preserve"> for implementing and maintaining an information security program with the goal to protect information </w:t>
      </w:r>
    </w:p>
    <w:p w:rsidR="00000000" w:rsidRDefault="0040289C">
      <w:pPr>
        <w:jc w:val="center"/>
        <w:divId w:val="2007171257"/>
        <w:rPr>
          <w:rFonts w:eastAsia="Times New Roman"/>
        </w:rPr>
      </w:pPr>
      <w:r>
        <w:rPr>
          <w:rFonts w:eastAsia="Times New Roman"/>
          <w:color w:val="000000"/>
          <w:sz w:val="20"/>
          <w:szCs w:val="20"/>
        </w:rPr>
        <w:t>6</w:t>
      </w:r>
    </w:p>
    <w:p w:rsidR="00000000" w:rsidRDefault="0040289C">
      <w:pPr>
        <w:rPr>
          <w:rFonts w:eastAsia="Times New Roman"/>
        </w:rPr>
      </w:pPr>
      <w:r>
        <w:rPr>
          <w:rFonts w:eastAsia="Times New Roman"/>
        </w:rPr>
        <w:pict>
          <v:rect id="_x0000_i1035" style="width:0;height:1.5pt" o:hralign="center" o:hrstd="t" o:hr="t" fillcolor="#a0a0a0" stroked="f"/>
        </w:pict>
      </w:r>
    </w:p>
    <w:p w:rsidR="00000000" w:rsidRDefault="0040289C">
      <w:pPr>
        <w:divId w:val="40226160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33306894"/>
        <w:rPr>
          <w:rFonts w:eastAsia="Times New Roman"/>
        </w:rPr>
      </w:pPr>
    </w:p>
    <w:p w:rsidR="00000000" w:rsidRDefault="0040289C">
      <w:pPr>
        <w:jc w:val="both"/>
        <w:rPr>
          <w:rFonts w:eastAsia="Times New Roman"/>
        </w:rPr>
      </w:pPr>
      <w:r>
        <w:rPr>
          <w:rFonts w:eastAsia="Times New Roman"/>
          <w:color w:val="000000"/>
          <w:sz w:val="20"/>
          <w:szCs w:val="20"/>
        </w:rPr>
        <w:t>technology resources and protect the confidentiality and integrity of data gathered on our people, partners, customers, and business assets. Also, we employ various information technology and protection methods designed to promote data security including f</w:t>
      </w:r>
      <w:r>
        <w:rPr>
          <w:rFonts w:eastAsia="Times New Roman"/>
          <w:color w:val="000000"/>
          <w:sz w:val="20"/>
          <w:szCs w:val="20"/>
        </w:rPr>
        <w:t>irewalls, intrusion prevention systems, denial of service detection, anomaly-based detection, anti-virus/anti-malware, endpoint encryption and detection and response software, Security Information and Event Management system, identity management technology</w:t>
      </w:r>
      <w:r>
        <w:rPr>
          <w:rFonts w:eastAsia="Times New Roman"/>
          <w:color w:val="000000"/>
          <w:sz w:val="20"/>
          <w:szCs w:val="20"/>
        </w:rPr>
        <w:t xml:space="preserve">, security analytics, multi-factor authentication and encryption.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To further our commitment to data privacy and cybersecurity: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NCR maintains the ISO 27001 certification for certain NCR locations throughout the United States, Europe, and India </w:t>
      </w:r>
    </w:p>
    <w:p w:rsidR="00000000" w:rsidRDefault="0040289C">
      <w:pPr>
        <w:ind w:hanging="360"/>
        <w:jc w:val="both"/>
        <w:rPr>
          <w:rFonts w:eastAsia="Times New Roman"/>
        </w:rPr>
      </w:pPr>
      <w:r>
        <w:rPr>
          <w:rFonts w:eastAsia="Times New Roman"/>
          <w:color w:val="000000"/>
          <w:sz w:val="20"/>
          <w:szCs w:val="20"/>
        </w:rPr>
        <w:t xml:space="preserve">•Third-party audits for PCI-DSS, PA-DSS and SSAE-18 SOC2 are conducted for certain service offerings </w:t>
      </w:r>
    </w:p>
    <w:p w:rsidR="00000000" w:rsidRDefault="0040289C">
      <w:pPr>
        <w:ind w:hanging="360"/>
        <w:jc w:val="both"/>
        <w:rPr>
          <w:rFonts w:eastAsia="Times New Roman"/>
        </w:rPr>
      </w:pPr>
      <w:r>
        <w:rPr>
          <w:rFonts w:eastAsia="Times New Roman"/>
          <w:color w:val="000000"/>
          <w:sz w:val="20"/>
          <w:szCs w:val="20"/>
        </w:rPr>
        <w:t>•NCR maintains a robust information s</w:t>
      </w:r>
      <w:r>
        <w:rPr>
          <w:rFonts w:eastAsia="Times New Roman"/>
          <w:color w:val="000000"/>
          <w:sz w:val="20"/>
          <w:szCs w:val="20"/>
        </w:rPr>
        <w:t>ecurity awareness and training program. Employees and contingent workers are required to complete training within 30 days of hire, as well as an annual refresher course. Additionally, NCR performs regular testing to help ensure employees can identify email</w:t>
      </w:r>
      <w:r>
        <w:rPr>
          <w:rFonts w:eastAsia="Times New Roman"/>
          <w:color w:val="000000"/>
          <w:sz w:val="20"/>
          <w:szCs w:val="20"/>
        </w:rPr>
        <w:t xml:space="preserve"> “phishing” attacks </w:t>
      </w:r>
    </w:p>
    <w:p w:rsidR="00000000" w:rsidRDefault="0040289C">
      <w:pPr>
        <w:ind w:hanging="360"/>
        <w:jc w:val="both"/>
        <w:rPr>
          <w:rFonts w:eastAsia="Times New Roman"/>
        </w:rPr>
      </w:pPr>
      <w:r>
        <w:rPr>
          <w:rFonts w:eastAsia="Times New Roman"/>
          <w:color w:val="000000"/>
          <w:sz w:val="20"/>
          <w:szCs w:val="20"/>
        </w:rPr>
        <w:t xml:space="preserve">•NCR’s corporate insurance policies include certain information security risk policies that cover network security, privacy and cyber events </w:t>
      </w:r>
    </w:p>
    <w:p w:rsidR="00000000" w:rsidRDefault="0040289C">
      <w:pPr>
        <w:ind w:hanging="360"/>
        <w:jc w:val="both"/>
        <w:rPr>
          <w:rFonts w:eastAsia="Times New Roman"/>
        </w:rPr>
      </w:pPr>
      <w:r>
        <w:rPr>
          <w:rFonts w:eastAsia="Times New Roman"/>
          <w:color w:val="000000"/>
          <w:sz w:val="20"/>
          <w:szCs w:val="20"/>
        </w:rPr>
        <w:t>•Our NCR Privacy Policy can be found on the Company website for further viewing at https://ww</w:t>
      </w:r>
      <w:r>
        <w:rPr>
          <w:rFonts w:eastAsia="Times New Roman"/>
          <w:color w:val="000000"/>
          <w:sz w:val="20"/>
          <w:szCs w:val="20"/>
        </w:rPr>
        <w:t xml:space="preserve">w.ncr.com/privacy </w:t>
      </w:r>
    </w:p>
    <w:p w:rsidR="00000000" w:rsidRDefault="0040289C">
      <w:pPr>
        <w:ind w:firstLine="360"/>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Our People. </w:t>
      </w:r>
      <w:r>
        <w:rPr>
          <w:rFonts w:eastAsia="Times New Roman"/>
          <w:color w:val="000000"/>
          <w:sz w:val="20"/>
          <w:szCs w:val="20"/>
        </w:rPr>
        <w:t>At NCR, we believe that investment in our employees has a positive impact on our employees and our customers. We put that into action with several employee development and engagement programs, including those described unde</w:t>
      </w:r>
      <w:r>
        <w:rPr>
          <w:rFonts w:eastAsia="Times New Roman"/>
          <w:color w:val="000000"/>
          <w:sz w:val="20"/>
          <w:szCs w:val="20"/>
        </w:rPr>
        <w:t>r the caption “Human Capital Resources” in Item 1 of this Report.</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Diversity, Equity and Inclusion (DE&amp;I).</w:t>
      </w:r>
      <w:r>
        <w:rPr>
          <w:rFonts w:eastAsia="Times New Roman"/>
          <w:color w:val="000000"/>
          <w:sz w:val="20"/>
          <w:szCs w:val="20"/>
        </w:rPr>
        <w:t xml:space="preserve"> NCR believes in the power and value of diversity and strives to build a globally inclusive workplace where all people are treated fairly. We seek to</w:t>
      </w:r>
      <w:r>
        <w:rPr>
          <w:rFonts w:eastAsia="Times New Roman"/>
          <w:color w:val="000000"/>
          <w:sz w:val="20"/>
          <w:szCs w:val="20"/>
        </w:rPr>
        <w:t xml:space="preserve"> include everyone, lead with empathy, and make our communities better. We encourage IDEAS (Inclusion, Diversity, Equity, Allyship, and Storytelling) and seek to inspire each other to be our authentic selves. The Board of Directors and its Risk Committee ha</w:t>
      </w:r>
      <w:r>
        <w:rPr>
          <w:rFonts w:eastAsia="Times New Roman"/>
          <w:color w:val="000000"/>
          <w:sz w:val="20"/>
          <w:szCs w:val="20"/>
        </w:rPr>
        <w:t>ve direct oversight of our DE&amp;I activities, including those described under the caption “Human Capital Resources” in Item 1 of this Report.</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Environmental Management. </w:t>
      </w:r>
      <w:r>
        <w:rPr>
          <w:rFonts w:eastAsia="Times New Roman"/>
          <w:color w:val="000000"/>
          <w:sz w:val="20"/>
          <w:szCs w:val="20"/>
        </w:rPr>
        <w:t>We are committed to managing our environmental footprint and protecting the global commu</w:t>
      </w:r>
      <w:r>
        <w:rPr>
          <w:rFonts w:eastAsia="Times New Roman"/>
          <w:color w:val="000000"/>
          <w:sz w:val="20"/>
          <w:szCs w:val="20"/>
        </w:rPr>
        <w:t>nities in which we operate. We strive to minimize the environmental impact of our products and operations while also delivering innovative technologies and solutions designed to support businesses and consumers in their efforts to operate responsibly. We a</w:t>
      </w:r>
      <w:r>
        <w:rPr>
          <w:rFonts w:eastAsia="Times New Roman"/>
          <w:color w:val="000000"/>
          <w:sz w:val="20"/>
          <w:szCs w:val="20"/>
        </w:rPr>
        <w:t>lso recognize the importance of minimizing our environmental footprint through energy and greenhouse gas (“GHG”) management. That is why we have committed to Net Zero GHG emissions by 2050 and continue to report our Scope 1 and Scope 2 emissions from our g</w:t>
      </w:r>
      <w:r>
        <w:rPr>
          <w:rFonts w:eastAsia="Times New Roman"/>
          <w:color w:val="000000"/>
          <w:sz w:val="20"/>
          <w:szCs w:val="20"/>
        </w:rPr>
        <w:t xml:space="preserve">lobal facilities and service operations through the CDP (formerly Carbon Disclosure Project). We complete the annual CDP climate change questionnaire and evaluate our environmental management progress annually to better understand our areas of opportunity </w:t>
      </w:r>
      <w:r>
        <w:rPr>
          <w:rFonts w:eastAsia="Times New Roman"/>
          <w:color w:val="000000"/>
          <w:sz w:val="20"/>
          <w:szCs w:val="20"/>
        </w:rPr>
        <w:t>to make a true impact.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Our commitment to environmental management extends into our products and operational footprint. Our manufacturing facility in Chennai, India maintains the ISO 14001 certification. The NCR Global Headquarters in Midtown Atlanta has </w:t>
      </w:r>
      <w:r>
        <w:rPr>
          <w:rFonts w:eastAsia="Times New Roman"/>
          <w:color w:val="000000"/>
          <w:sz w:val="20"/>
          <w:szCs w:val="20"/>
        </w:rPr>
        <w:t>been awarded two Leadership in Energy and Environmental Design (“LEED”) Platinum certifications: 1) Building Design and Construction: Core &amp; Shell and Interior Design; 2) Construction: Commercial Interiors. Our newest office in Belgrade, Serbia is also LEE</w:t>
      </w:r>
      <w:r>
        <w:rPr>
          <w:rFonts w:eastAsia="Times New Roman"/>
          <w:color w:val="000000"/>
          <w:sz w:val="20"/>
          <w:szCs w:val="20"/>
        </w:rPr>
        <w:t xml:space="preserve">D platinum certified. </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Product Innovation and Management.</w:t>
      </w:r>
      <w:r>
        <w:rPr>
          <w:rFonts w:eastAsia="Times New Roman"/>
          <w:color w:val="000000"/>
          <w:sz w:val="20"/>
          <w:szCs w:val="20"/>
        </w:rPr>
        <w:t xml:space="preserve"> Delivering solutions and services that provide value to our customers in an environmentally responsible way is critical to NCR’s ongoing success. As such, we strive to develop, and recycle our pro</w:t>
      </w:r>
      <w:r>
        <w:rPr>
          <w:rFonts w:eastAsia="Times New Roman"/>
          <w:color w:val="000000"/>
          <w:sz w:val="20"/>
          <w:szCs w:val="20"/>
        </w:rPr>
        <w:t>ducts in a responsible way. One example of how we are already doing this is that certain of our applications, such as Intelligent Deposit and Self-Service Diagnostic Gateway (SSDG), enable our SelfServ ATM customers to better handle the increasing volume –</w:t>
      </w:r>
      <w:r>
        <w:rPr>
          <w:rFonts w:eastAsia="Times New Roman"/>
          <w:color w:val="000000"/>
          <w:sz w:val="20"/>
          <w:szCs w:val="20"/>
        </w:rPr>
        <w:t xml:space="preserve"> cutting down on costs, maintenance, fuel and materials associated with them.</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Supplier Responsibility.</w:t>
      </w:r>
      <w:r>
        <w:rPr>
          <w:rFonts w:eastAsia="Times New Roman"/>
          <w:color w:val="000000"/>
          <w:sz w:val="20"/>
          <w:szCs w:val="20"/>
        </w:rPr>
        <w:t xml:space="preserve"> We believe in creating positive change responsibly, and our supplier partners play a critical role in bringing that vision to life. We not only expect </w:t>
      </w:r>
      <w:r>
        <w:rPr>
          <w:rFonts w:eastAsia="Times New Roman"/>
          <w:color w:val="000000"/>
          <w:sz w:val="20"/>
          <w:szCs w:val="20"/>
        </w:rPr>
        <w:t>high quality products and services from our suppliers, we also expect them to conduct their businesses consistent with our Supplier Code of Conduct. Our Supplier Code of Conduct, available at https://www.ncr.com/company/suppliers/manuals-forms-and-template</w:t>
      </w:r>
      <w:r>
        <w:rPr>
          <w:rFonts w:eastAsia="Times New Roman"/>
          <w:color w:val="000000"/>
          <w:sz w:val="20"/>
          <w:szCs w:val="20"/>
        </w:rPr>
        <w:t xml:space="preserve">s, sets forth our expectation that our suppliers will meet ethical standards consistent with NCR’s Code of Conduct and policies.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part of our overall ERM approach, our TPRM program is designed to ensure proper risk identification and oversight of NCR’</w:t>
      </w:r>
      <w:r>
        <w:rPr>
          <w:rFonts w:eastAsia="Times New Roman"/>
          <w:color w:val="000000"/>
          <w:sz w:val="20"/>
          <w:szCs w:val="20"/>
        </w:rPr>
        <w:t>s vendors and includes the following objectives:</w:t>
      </w:r>
      <w:r>
        <w:rPr>
          <w:rFonts w:eastAsia="Times New Roman"/>
          <w:color w:val="FF0000"/>
          <w:sz w:val="20"/>
          <w:szCs w:val="20"/>
        </w:rPr>
        <w:t xml:space="preserve"> </w:t>
      </w:r>
    </w:p>
    <w:p w:rsidR="00000000" w:rsidRDefault="0040289C">
      <w:pPr>
        <w:divId w:val="788283550"/>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•Perform risk-based segmentation and prioritization of all existing and new NCR vendors </w:t>
      </w:r>
    </w:p>
    <w:p w:rsidR="00000000" w:rsidRDefault="0040289C">
      <w:pPr>
        <w:jc w:val="center"/>
        <w:divId w:val="145364923"/>
        <w:rPr>
          <w:rFonts w:eastAsia="Times New Roman"/>
        </w:rPr>
      </w:pPr>
      <w:r>
        <w:rPr>
          <w:rFonts w:eastAsia="Times New Roman"/>
          <w:color w:val="000000"/>
          <w:sz w:val="20"/>
          <w:szCs w:val="20"/>
        </w:rPr>
        <w:t>7</w:t>
      </w:r>
    </w:p>
    <w:p w:rsidR="00000000" w:rsidRDefault="0040289C">
      <w:pPr>
        <w:rPr>
          <w:rFonts w:eastAsia="Times New Roman"/>
        </w:rPr>
      </w:pPr>
      <w:r>
        <w:rPr>
          <w:rFonts w:eastAsia="Times New Roman"/>
        </w:rPr>
        <w:pict>
          <v:rect id="_x0000_i1036" style="width:0;height:1.5pt" o:hralign="center" o:hrstd="t" o:hr="t" fillcolor="#a0a0a0" stroked="f"/>
        </w:pict>
      </w:r>
    </w:p>
    <w:p w:rsidR="00000000" w:rsidRDefault="0040289C">
      <w:pPr>
        <w:divId w:val="86737291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08567665"/>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•Perform sanctions screenings on all vendors and anti-bribery, anti-corruption (“ABAC”) screenings on applicable vendors </w:t>
      </w:r>
    </w:p>
    <w:p w:rsidR="00000000" w:rsidRDefault="0040289C">
      <w:pPr>
        <w:ind w:hanging="360"/>
        <w:jc w:val="both"/>
        <w:rPr>
          <w:rFonts w:eastAsia="Times New Roman"/>
        </w:rPr>
      </w:pPr>
      <w:r>
        <w:rPr>
          <w:rFonts w:eastAsia="Times New Roman"/>
          <w:color w:val="000000"/>
          <w:sz w:val="20"/>
          <w:szCs w:val="20"/>
        </w:rPr>
        <w:t>•Perform extended due diligence on identified high risk</w:t>
      </w:r>
      <w:r>
        <w:rPr>
          <w:rFonts w:eastAsia="Times New Roman"/>
          <w:color w:val="000000"/>
          <w:sz w:val="20"/>
          <w:szCs w:val="20"/>
        </w:rPr>
        <w:t xml:space="preserve"> vendors to include responsible sourcing, business continuity, information security, data privacy, and other reviews as applicable </w:t>
      </w:r>
    </w:p>
    <w:p w:rsidR="00000000" w:rsidRDefault="0040289C">
      <w:pPr>
        <w:ind w:hanging="360"/>
        <w:jc w:val="both"/>
        <w:rPr>
          <w:rFonts w:eastAsia="Times New Roman"/>
        </w:rPr>
      </w:pPr>
      <w:r>
        <w:rPr>
          <w:rFonts w:eastAsia="Times New Roman"/>
          <w:color w:val="000000"/>
          <w:sz w:val="20"/>
          <w:szCs w:val="20"/>
        </w:rPr>
        <w:t>•Perform Financial Risk Assessment on identified high risk vendors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Additionally we take a risk-based approach to supply ch</w:t>
      </w:r>
      <w:r>
        <w:rPr>
          <w:rFonts w:eastAsia="Times New Roman"/>
          <w:color w:val="000000"/>
          <w:sz w:val="20"/>
          <w:szCs w:val="20"/>
        </w:rPr>
        <w:t>ain due diligence. We engage with the majority of our largest suppliers on a quarterly basis to identify potential risk exposure. As part of our supplier partner onboarding process, supplier partners are required to certify compliance with International El</w:t>
      </w:r>
      <w:r>
        <w:rPr>
          <w:rFonts w:eastAsia="Times New Roman"/>
          <w:color w:val="000000"/>
          <w:sz w:val="20"/>
          <w:szCs w:val="20"/>
        </w:rPr>
        <w:t>ectrotechnical Commission 62474 standards. NCR requires its supplier partners to maintain compliance with the Restriction of Hazardous Substances (RoHS) Directive, Registration, Evaluation, Authorization and Restriction of Chemicals (REACH) Regulation, and</w:t>
      </w:r>
      <w:r>
        <w:rPr>
          <w:rFonts w:eastAsia="Times New Roman"/>
          <w:color w:val="000000"/>
          <w:sz w:val="20"/>
          <w:szCs w:val="20"/>
        </w:rPr>
        <w:t xml:space="preserve"> other applicable regulations.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Human Capital Resources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continued its rich legacy of prioritizing investment and focus on human capital resources in 2022. We found ways to adapt to a rapidly changing labor market and continued to build a diverse, talented workforce that aligned to our Customer-FIRST values,</w:t>
      </w:r>
      <w:r>
        <w:rPr>
          <w:rFonts w:eastAsia="Times New Roman"/>
          <w:color w:val="000000"/>
          <w:sz w:val="20"/>
          <w:szCs w:val="20"/>
        </w:rPr>
        <w:t xml:space="preserve"> motivated to Transform, Connect and Run the world of commerce. After announcing the completion of our strategic review and plans for a 2023 split, our human resources team took proactive measures to prepare employees and will carry that focus into the new</w:t>
      </w:r>
      <w:r>
        <w:rPr>
          <w:rFonts w:eastAsia="Times New Roman"/>
          <w:color w:val="000000"/>
          <w:sz w:val="20"/>
          <w:szCs w:val="20"/>
        </w:rPr>
        <w:t xml:space="preserve"> year. </w:t>
      </w:r>
    </w:p>
    <w:p w:rsidR="00000000" w:rsidRDefault="0040289C">
      <w:pPr>
        <w:divId w:val="1205486577"/>
        <w:rPr>
          <w:rFonts w:eastAsia="Times New Roman"/>
        </w:rPr>
      </w:pPr>
    </w:p>
    <w:p w:rsidR="00000000" w:rsidRDefault="0040289C">
      <w:pPr>
        <w:jc w:val="both"/>
        <w:rPr>
          <w:rFonts w:eastAsia="Times New Roman"/>
        </w:rPr>
      </w:pPr>
      <w:r>
        <w:rPr>
          <w:rFonts w:eastAsia="Times New Roman"/>
          <w:color w:val="000000"/>
          <w:sz w:val="20"/>
          <w:szCs w:val="20"/>
        </w:rPr>
        <w:t xml:space="preserve">Our progress to date includes: </w:t>
      </w:r>
    </w:p>
    <w:p w:rsidR="00000000" w:rsidRDefault="0040289C">
      <w:pPr>
        <w:divId w:val="524371090"/>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•Welcomed over 1,150 University Hires to NCR, including both graduates and interns </w:t>
      </w:r>
    </w:p>
    <w:p w:rsidR="00000000" w:rsidRDefault="0040289C">
      <w:pPr>
        <w:ind w:hanging="360"/>
        <w:jc w:val="both"/>
        <w:rPr>
          <w:rFonts w:eastAsia="Times New Roman"/>
        </w:rPr>
      </w:pPr>
      <w:r>
        <w:rPr>
          <w:rFonts w:eastAsia="Times New Roman"/>
          <w:color w:val="000000"/>
          <w:sz w:val="20"/>
          <w:szCs w:val="20"/>
        </w:rPr>
        <w:t xml:space="preserve">•Recognized as Top Employer for key, strategic universities/partnerships </w:t>
      </w:r>
    </w:p>
    <w:p w:rsidR="00000000" w:rsidRDefault="0040289C">
      <w:pPr>
        <w:ind w:hanging="360"/>
        <w:jc w:val="both"/>
        <w:rPr>
          <w:rFonts w:eastAsia="Times New Roman"/>
        </w:rPr>
      </w:pPr>
      <w:r>
        <w:rPr>
          <w:rFonts w:eastAsia="Times New Roman"/>
          <w:color w:val="000000"/>
          <w:sz w:val="20"/>
          <w:szCs w:val="20"/>
        </w:rPr>
        <w:t xml:space="preserve">•Launched new NCR.com Careers Pages </w:t>
      </w:r>
    </w:p>
    <w:p w:rsidR="00000000" w:rsidRDefault="0040289C">
      <w:pPr>
        <w:ind w:hanging="360"/>
        <w:jc w:val="both"/>
        <w:rPr>
          <w:rFonts w:eastAsia="Times New Roman"/>
        </w:rPr>
      </w:pPr>
      <w:r>
        <w:rPr>
          <w:rFonts w:eastAsia="Times New Roman"/>
          <w:color w:val="000000"/>
          <w:sz w:val="20"/>
          <w:szCs w:val="20"/>
        </w:rPr>
        <w:t>•Launched a new C</w:t>
      </w:r>
      <w:r>
        <w:rPr>
          <w:rFonts w:eastAsia="Times New Roman"/>
          <w:color w:val="000000"/>
          <w:sz w:val="20"/>
          <w:szCs w:val="20"/>
        </w:rPr>
        <w:t xml:space="preserve">ulture Crew, including 80+ Site Engagement Leaders, ambassadors and volunteers </w:t>
      </w:r>
    </w:p>
    <w:p w:rsidR="00000000" w:rsidRDefault="0040289C">
      <w:pPr>
        <w:ind w:hanging="360"/>
        <w:jc w:val="both"/>
        <w:rPr>
          <w:rFonts w:eastAsia="Times New Roman"/>
        </w:rPr>
      </w:pPr>
      <w:r>
        <w:rPr>
          <w:rFonts w:eastAsia="Times New Roman"/>
          <w:color w:val="000000"/>
          <w:sz w:val="20"/>
          <w:szCs w:val="20"/>
        </w:rPr>
        <w:t xml:space="preserve">•Launched a new HR Central platform making it easier for employees to find information and resources </w:t>
      </w:r>
    </w:p>
    <w:p w:rsidR="00000000" w:rsidRDefault="0040289C">
      <w:pPr>
        <w:ind w:hanging="360"/>
        <w:jc w:val="both"/>
        <w:rPr>
          <w:rFonts w:eastAsia="Times New Roman"/>
        </w:rPr>
      </w:pPr>
      <w:r>
        <w:rPr>
          <w:rFonts w:eastAsia="Times New Roman"/>
          <w:color w:val="000000"/>
          <w:sz w:val="20"/>
          <w:szCs w:val="20"/>
        </w:rPr>
        <w:t>•Examined and took actions on competitive pay supporting workforce changes</w:t>
      </w:r>
      <w:r>
        <w:rPr>
          <w:rFonts w:eastAsia="Times New Roman"/>
          <w:color w:val="000000"/>
          <w:sz w:val="20"/>
          <w:szCs w:val="20"/>
        </w:rPr>
        <w:t xml:space="preserve"> and our shift to a software platform and payments company, including a targeted global compensation review to drive attraction and retention of talent </w:t>
      </w:r>
    </w:p>
    <w:p w:rsidR="00000000" w:rsidRDefault="0040289C">
      <w:pPr>
        <w:ind w:hanging="360"/>
        <w:jc w:val="both"/>
        <w:rPr>
          <w:rFonts w:eastAsia="Times New Roman"/>
        </w:rPr>
      </w:pPr>
      <w:r>
        <w:rPr>
          <w:rFonts w:eastAsia="Times New Roman"/>
          <w:color w:val="000000"/>
          <w:sz w:val="20"/>
          <w:szCs w:val="20"/>
        </w:rPr>
        <w:t>•Invested in market-based salary increases for early career software engineering to improve competitive</w:t>
      </w:r>
      <w:r>
        <w:rPr>
          <w:rFonts w:eastAsia="Times New Roman"/>
          <w:color w:val="000000"/>
          <w:sz w:val="20"/>
          <w:szCs w:val="20"/>
        </w:rPr>
        <w:t xml:space="preserve">ness </w:t>
      </w:r>
    </w:p>
    <w:p w:rsidR="00000000" w:rsidRDefault="0040289C">
      <w:pPr>
        <w:ind w:hanging="360"/>
        <w:jc w:val="both"/>
        <w:rPr>
          <w:rFonts w:eastAsia="Times New Roman"/>
        </w:rPr>
      </w:pPr>
      <w:r>
        <w:rPr>
          <w:rFonts w:eastAsia="Times New Roman"/>
          <w:color w:val="000000"/>
          <w:sz w:val="20"/>
          <w:szCs w:val="20"/>
        </w:rPr>
        <w:t xml:space="preserve">•Redesigned LTI program to strengthen employee retention and strategic focus </w:t>
      </w:r>
    </w:p>
    <w:p w:rsidR="00000000" w:rsidRDefault="0040289C">
      <w:pPr>
        <w:ind w:hanging="360"/>
        <w:jc w:val="both"/>
        <w:rPr>
          <w:rFonts w:eastAsia="Times New Roman"/>
        </w:rPr>
      </w:pPr>
      <w:r>
        <w:rPr>
          <w:rFonts w:eastAsia="Times New Roman"/>
          <w:color w:val="000000"/>
          <w:sz w:val="20"/>
          <w:szCs w:val="20"/>
        </w:rPr>
        <w:t xml:space="preserve">•Improved certain employee benefit programs in many countries </w:t>
      </w:r>
    </w:p>
    <w:p w:rsidR="00000000" w:rsidRDefault="0040289C">
      <w:pPr>
        <w:ind w:hanging="360"/>
        <w:jc w:val="both"/>
        <w:rPr>
          <w:rFonts w:eastAsia="Times New Roman"/>
        </w:rPr>
      </w:pPr>
      <w:r>
        <w:rPr>
          <w:rFonts w:eastAsia="Times New Roman"/>
          <w:color w:val="000000"/>
          <w:sz w:val="20"/>
          <w:szCs w:val="20"/>
        </w:rPr>
        <w:t>•Conducted annual employee engagement surveys that yield an Employee Net Promoter Score (“eNPS”), the results</w:t>
      </w:r>
      <w:r>
        <w:rPr>
          <w:rFonts w:eastAsia="Times New Roman"/>
          <w:color w:val="000000"/>
          <w:sz w:val="20"/>
          <w:szCs w:val="20"/>
        </w:rPr>
        <w:t xml:space="preserve"> of which are reported directly to the Executive Leadership Team and the Board, leveraged to identify areas of improvement </w:t>
      </w:r>
    </w:p>
    <w:p w:rsidR="00000000" w:rsidRDefault="0040289C">
      <w:pPr>
        <w:ind w:hanging="360"/>
        <w:jc w:val="both"/>
        <w:rPr>
          <w:rFonts w:eastAsia="Times New Roman"/>
        </w:rPr>
      </w:pPr>
      <w:r>
        <w:rPr>
          <w:rFonts w:eastAsia="Times New Roman"/>
          <w:color w:val="000000"/>
          <w:sz w:val="20"/>
          <w:szCs w:val="20"/>
        </w:rPr>
        <w:t xml:space="preserve">•Partnered with Pluralsight to uplevel employee technical capabilities across the globe </w:t>
      </w:r>
    </w:p>
    <w:p w:rsidR="00000000" w:rsidRDefault="0040289C">
      <w:pPr>
        <w:ind w:hanging="360"/>
        <w:jc w:val="both"/>
        <w:rPr>
          <w:rFonts w:eastAsia="Times New Roman"/>
        </w:rPr>
      </w:pPr>
      <w:r>
        <w:rPr>
          <w:rFonts w:eastAsia="Times New Roman"/>
          <w:color w:val="000000"/>
          <w:sz w:val="20"/>
          <w:szCs w:val="20"/>
        </w:rPr>
        <w:t>•Provided opportunities for continuous lear</w:t>
      </w:r>
      <w:r>
        <w:rPr>
          <w:rFonts w:eastAsia="Times New Roman"/>
          <w:color w:val="000000"/>
          <w:sz w:val="20"/>
          <w:szCs w:val="20"/>
        </w:rPr>
        <w:t xml:space="preserve">ning through NCR University, our online education platform for employees </w:t>
      </w:r>
    </w:p>
    <w:p w:rsidR="00000000" w:rsidRDefault="0040289C">
      <w:pPr>
        <w:ind w:hanging="360"/>
        <w:jc w:val="both"/>
        <w:rPr>
          <w:rFonts w:eastAsia="Times New Roman"/>
        </w:rPr>
      </w:pPr>
      <w:r>
        <w:rPr>
          <w:rFonts w:eastAsia="Times New Roman"/>
          <w:color w:val="000000"/>
          <w:sz w:val="20"/>
          <w:szCs w:val="20"/>
        </w:rPr>
        <w:t xml:space="preserve">•Supported external development with our tuition assistance program, which supports college and graduate-level education programs developing business-critical skills </w:t>
      </w:r>
    </w:p>
    <w:p w:rsidR="00000000" w:rsidRDefault="0040289C">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Conducted regular employee performance reviews to manage, engage and reward our employees </w:t>
      </w:r>
    </w:p>
    <w:p w:rsidR="00000000" w:rsidRDefault="0040289C">
      <w:pPr>
        <w:divId w:val="780536221"/>
        <w:rPr>
          <w:rFonts w:eastAsia="Times New Roman"/>
        </w:rPr>
      </w:pPr>
    </w:p>
    <w:p w:rsidR="00000000" w:rsidRDefault="0040289C">
      <w:pPr>
        <w:jc w:val="both"/>
        <w:rPr>
          <w:rFonts w:eastAsia="Times New Roman"/>
        </w:rPr>
      </w:pPr>
      <w:r>
        <w:rPr>
          <w:rFonts w:eastAsia="Times New Roman"/>
          <w:color w:val="000000"/>
          <w:sz w:val="20"/>
          <w:szCs w:val="20"/>
        </w:rPr>
        <w:t xml:space="preserve">Our current roadmap for future programs to invest in our people includes: </w:t>
      </w:r>
    </w:p>
    <w:p w:rsidR="00000000" w:rsidRDefault="0040289C">
      <w:pPr>
        <w:divId w:val="1164854561"/>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•Upskilling talent in software and sales to enable the workforce of the future </w:t>
      </w:r>
    </w:p>
    <w:p w:rsidR="00000000" w:rsidRDefault="0040289C">
      <w:pPr>
        <w:ind w:hanging="360"/>
        <w:jc w:val="both"/>
        <w:rPr>
          <w:rFonts w:eastAsia="Times New Roman"/>
        </w:rPr>
      </w:pPr>
      <w:r>
        <w:rPr>
          <w:rFonts w:eastAsia="Times New Roman"/>
          <w:color w:val="000000"/>
          <w:sz w:val="20"/>
          <w:szCs w:val="20"/>
        </w:rPr>
        <w:t>•Devel</w:t>
      </w:r>
      <w:r>
        <w:rPr>
          <w:rFonts w:eastAsia="Times New Roman"/>
          <w:color w:val="000000"/>
          <w:sz w:val="20"/>
          <w:szCs w:val="20"/>
        </w:rPr>
        <w:t xml:space="preserve">oping an employee value proposition and brand strategy </w:t>
      </w:r>
    </w:p>
    <w:p w:rsidR="00000000" w:rsidRDefault="0040289C">
      <w:pPr>
        <w:ind w:hanging="360"/>
        <w:jc w:val="both"/>
        <w:rPr>
          <w:rFonts w:eastAsia="Times New Roman"/>
        </w:rPr>
      </w:pPr>
      <w:r>
        <w:rPr>
          <w:rFonts w:eastAsia="Times New Roman"/>
          <w:color w:val="000000"/>
          <w:sz w:val="20"/>
          <w:szCs w:val="20"/>
        </w:rPr>
        <w:t xml:space="preserve">•Launching a new Leadership Development Program targeted towards top talent </w:t>
      </w:r>
    </w:p>
    <w:p w:rsidR="00000000" w:rsidRDefault="0040289C">
      <w:pPr>
        <w:ind w:hanging="360"/>
        <w:jc w:val="both"/>
        <w:rPr>
          <w:rFonts w:eastAsia="Times New Roman"/>
        </w:rPr>
      </w:pPr>
      <w:r>
        <w:rPr>
          <w:rFonts w:eastAsia="Times New Roman"/>
          <w:color w:val="000000"/>
          <w:sz w:val="20"/>
          <w:szCs w:val="20"/>
        </w:rPr>
        <w:t xml:space="preserve">•Focusing on internal talent mobility to develop and retain recent hires, including university hires </w:t>
      </w:r>
    </w:p>
    <w:p w:rsidR="00000000" w:rsidRDefault="0040289C">
      <w:pPr>
        <w:ind w:hanging="360"/>
        <w:jc w:val="both"/>
        <w:rPr>
          <w:rFonts w:eastAsia="Times New Roman"/>
        </w:rPr>
      </w:pPr>
      <w:r>
        <w:rPr>
          <w:rFonts w:eastAsia="Times New Roman"/>
          <w:color w:val="000000"/>
          <w:sz w:val="20"/>
          <w:szCs w:val="20"/>
        </w:rPr>
        <w:t>•Reimagining the onbo</w:t>
      </w:r>
      <w:r>
        <w:rPr>
          <w:rFonts w:eastAsia="Times New Roman"/>
          <w:color w:val="000000"/>
          <w:sz w:val="20"/>
          <w:szCs w:val="20"/>
        </w:rPr>
        <w:t xml:space="preserve">arding experience to ensure all new hires are set up for success </w:t>
      </w:r>
    </w:p>
    <w:p w:rsidR="00000000" w:rsidRDefault="0040289C">
      <w:pPr>
        <w:ind w:hanging="360"/>
        <w:jc w:val="both"/>
        <w:rPr>
          <w:rFonts w:eastAsia="Times New Roman"/>
        </w:rPr>
      </w:pPr>
      <w:r>
        <w:rPr>
          <w:rFonts w:eastAsia="Times New Roman"/>
          <w:color w:val="000000"/>
          <w:sz w:val="20"/>
          <w:szCs w:val="20"/>
        </w:rPr>
        <w:t xml:space="preserve">•Driving employee engagement and improving eNPS at regional and site levels </w:t>
      </w:r>
    </w:p>
    <w:p w:rsidR="00000000" w:rsidRDefault="0040289C">
      <w:pPr>
        <w:divId w:val="650987731"/>
        <w:rPr>
          <w:rFonts w:eastAsia="Times New Roman"/>
        </w:rPr>
      </w:pPr>
    </w:p>
    <w:p w:rsidR="00000000" w:rsidRDefault="0040289C">
      <w:pPr>
        <w:jc w:val="both"/>
        <w:rPr>
          <w:rFonts w:eastAsia="Times New Roman"/>
        </w:rPr>
      </w:pPr>
      <w:r>
        <w:rPr>
          <w:rFonts w:eastAsia="Times New Roman"/>
          <w:color w:val="000000"/>
          <w:sz w:val="20"/>
          <w:szCs w:val="20"/>
        </w:rPr>
        <w:t>On December 31, 2022, NCR had approximately 35,000 employees and 10,000 contractors worldwide. Given the multin</w:t>
      </w:r>
      <w:r>
        <w:rPr>
          <w:rFonts w:eastAsia="Times New Roman"/>
          <w:color w:val="000000"/>
          <w:sz w:val="20"/>
          <w:szCs w:val="20"/>
        </w:rPr>
        <w:t xml:space="preserve">ational nature of our business, we monitor our global employment footprint. As of December 31, 2022, our employees by geographic region included approximately: 25% in the Asia Pacific and Japan region; 35% in the Europe, Middle East and Africa region; 12% </w:t>
      </w:r>
      <w:r>
        <w:rPr>
          <w:rFonts w:eastAsia="Times New Roman"/>
          <w:color w:val="000000"/>
          <w:sz w:val="20"/>
          <w:szCs w:val="20"/>
        </w:rPr>
        <w:t xml:space="preserve">in the Americas, excluding the United States; and 28% in the United States. </w:t>
      </w:r>
    </w:p>
    <w:p w:rsidR="00000000" w:rsidRDefault="0040289C">
      <w:pPr>
        <w:divId w:val="1598714520"/>
        <w:rPr>
          <w:rFonts w:eastAsia="Times New Roman"/>
        </w:rPr>
      </w:pPr>
    </w:p>
    <w:p w:rsidR="00000000" w:rsidRDefault="0040289C">
      <w:pPr>
        <w:jc w:val="both"/>
        <w:rPr>
          <w:rFonts w:eastAsia="Times New Roman"/>
        </w:rPr>
      </w:pPr>
      <w:r>
        <w:rPr>
          <w:rFonts w:eastAsia="Times New Roman"/>
          <w:i/>
          <w:iCs/>
          <w:color w:val="000000"/>
          <w:sz w:val="20"/>
          <w:szCs w:val="20"/>
        </w:rPr>
        <w:t xml:space="preserve">Diversity, Equity and Inclusion (DE&amp;I). </w:t>
      </w:r>
      <w:r>
        <w:rPr>
          <w:rFonts w:eastAsia="Times New Roman"/>
          <w:color w:val="000000"/>
          <w:sz w:val="20"/>
          <w:szCs w:val="20"/>
        </w:rPr>
        <w:t>NCR believes in the power and value of diversity and strives to build a globally inclusive workplace where all people are treated fairly.</w:t>
      </w:r>
      <w:r>
        <w:rPr>
          <w:rFonts w:eastAsia="Times New Roman"/>
          <w:color w:val="000000"/>
          <w:sz w:val="20"/>
          <w:szCs w:val="20"/>
        </w:rPr>
        <w:t xml:space="preserve"> We seek to include everyone, lead with empathy, and make our communities better. We encourage IDEAS (Inclusion, Diversity, Equity, Allyship, and Storytelling) and seek to inspire each other to be our authentic selves. </w:t>
      </w:r>
    </w:p>
    <w:p w:rsidR="00000000" w:rsidRDefault="0040289C">
      <w:pPr>
        <w:divId w:val="1764645014"/>
        <w:rPr>
          <w:rFonts w:eastAsia="Times New Roman"/>
        </w:rPr>
      </w:pPr>
    </w:p>
    <w:p w:rsidR="00000000" w:rsidRDefault="0040289C">
      <w:pPr>
        <w:jc w:val="center"/>
        <w:divId w:val="349574999"/>
        <w:rPr>
          <w:rFonts w:eastAsia="Times New Roman"/>
        </w:rPr>
      </w:pPr>
      <w:r>
        <w:rPr>
          <w:rFonts w:eastAsia="Times New Roman"/>
          <w:color w:val="000000"/>
          <w:sz w:val="20"/>
          <w:szCs w:val="20"/>
        </w:rPr>
        <w:t>8</w:t>
      </w:r>
    </w:p>
    <w:p w:rsidR="00000000" w:rsidRDefault="0040289C">
      <w:pPr>
        <w:rPr>
          <w:rFonts w:eastAsia="Times New Roman"/>
        </w:rPr>
      </w:pPr>
      <w:r>
        <w:rPr>
          <w:rFonts w:eastAsia="Times New Roman"/>
        </w:rPr>
        <w:pict>
          <v:rect id="_x0000_i1037" style="width:0;height:1.5pt" o:hralign="center" o:hrstd="t" o:hr="t" fillcolor="#a0a0a0" stroked="f"/>
        </w:pict>
      </w:r>
    </w:p>
    <w:p w:rsidR="00000000" w:rsidRDefault="0040289C">
      <w:pPr>
        <w:divId w:val="210503352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761296440"/>
        <w:rPr>
          <w:rFonts w:eastAsia="Times New Roman"/>
        </w:rPr>
      </w:pPr>
    </w:p>
    <w:p w:rsidR="00000000" w:rsidRDefault="0040289C">
      <w:pPr>
        <w:jc w:val="both"/>
        <w:rPr>
          <w:rFonts w:eastAsia="Times New Roman"/>
        </w:rPr>
      </w:pPr>
      <w:r>
        <w:rPr>
          <w:rFonts w:eastAsia="Times New Roman"/>
          <w:color w:val="000000"/>
          <w:sz w:val="20"/>
          <w:szCs w:val="20"/>
        </w:rPr>
        <w:t>We are proud to have four female directors serving on our Board. Additionally, 75% of the Board's committees are chaired by women.</w:t>
      </w:r>
    </w:p>
    <w:p w:rsidR="00000000" w:rsidRDefault="0040289C">
      <w:pPr>
        <w:divId w:val="975373699"/>
        <w:rPr>
          <w:rFonts w:eastAsia="Times New Roman"/>
        </w:rPr>
      </w:pPr>
    </w:p>
    <w:p w:rsidR="00000000" w:rsidRDefault="0040289C">
      <w:pPr>
        <w:jc w:val="both"/>
        <w:rPr>
          <w:rFonts w:eastAsia="Times New Roman"/>
        </w:rPr>
      </w:pPr>
      <w:r>
        <w:rPr>
          <w:rFonts w:eastAsia="Times New Roman"/>
          <w:color w:val="000000"/>
          <w:sz w:val="20"/>
          <w:szCs w:val="20"/>
        </w:rPr>
        <w:t xml:space="preserve">We have been hard at work reviewing our </w:t>
      </w:r>
      <w:r>
        <w:rPr>
          <w:rFonts w:eastAsia="Times New Roman"/>
          <w:color w:val="000000"/>
          <w:sz w:val="20"/>
          <w:szCs w:val="20"/>
        </w:rPr>
        <w:t>DE&amp;I policies, practices and programs to identify opportunities for new inclusive initiatives.</w:t>
      </w:r>
    </w:p>
    <w:p w:rsidR="00000000" w:rsidRDefault="0040289C">
      <w:pPr>
        <w:divId w:val="1986465475"/>
        <w:rPr>
          <w:rFonts w:eastAsia="Times New Roman"/>
        </w:rPr>
      </w:pPr>
    </w:p>
    <w:p w:rsidR="00000000" w:rsidRDefault="0040289C">
      <w:pPr>
        <w:jc w:val="both"/>
        <w:rPr>
          <w:rFonts w:eastAsia="Times New Roman"/>
        </w:rPr>
      </w:pPr>
      <w:r>
        <w:rPr>
          <w:rFonts w:eastAsia="Times New Roman"/>
          <w:color w:val="000000"/>
          <w:sz w:val="20"/>
          <w:szCs w:val="20"/>
        </w:rPr>
        <w:t>Our progress to date includes:</w:t>
      </w:r>
    </w:p>
    <w:p w:rsidR="00000000" w:rsidRDefault="0040289C">
      <w:pPr>
        <w:jc w:val="both"/>
        <w:rPr>
          <w:rFonts w:eastAsia="Times New Roman"/>
        </w:rPr>
      </w:pP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Improved our supplier diversity program that utilizes small businesses, as well as minority, women and veteran-owned business enterprises, and appointed a dedicated supplier diversity leader.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Continued to provide corporate funding and oversight of our Business Resource Groups to boost engagement and increase opportunities for professional development and networking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242424"/>
          <w:sz w:val="20"/>
          <w:szCs w:val="20"/>
        </w:rPr>
        <w:t>Two new business resource groups added in 2022: Disability Alliance and LatinN</w:t>
      </w:r>
      <w:r>
        <w:rPr>
          <w:rFonts w:eastAsia="Times New Roman"/>
          <w:color w:val="242424"/>
          <w:sz w:val="20"/>
          <w:szCs w:val="20"/>
        </w:rPr>
        <w:t xml:space="preserve">CR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242424"/>
          <w:sz w:val="20"/>
          <w:szCs w:val="20"/>
        </w:rPr>
        <w:t xml:space="preserve">Established sync collaboration between all business resource groups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242424"/>
          <w:sz w:val="20"/>
          <w:szCs w:val="20"/>
        </w:rPr>
        <w:t xml:space="preserve">Established storytelling series to acknowledge employees demonstrating diversity, equity, inclusion and allyship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242424"/>
          <w:sz w:val="20"/>
          <w:szCs w:val="20"/>
        </w:rPr>
        <w:t>Deployed Unconscious Bias training for our customer engineer instr</w:t>
      </w:r>
      <w:r>
        <w:rPr>
          <w:rFonts w:eastAsia="Times New Roman"/>
          <w:color w:val="242424"/>
          <w:sz w:val="20"/>
          <w:szCs w:val="20"/>
        </w:rPr>
        <w:t xml:space="preserve">uctors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242424"/>
          <w:sz w:val="20"/>
          <w:szCs w:val="20"/>
        </w:rPr>
        <w:t xml:space="preserve">Launched a mentoring initiative led by our Women in NCR (WIN) Business Resource Group designed to support the development of women across NCR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current roadmap for future programs includes:</w:t>
      </w:r>
    </w:p>
    <w:p w:rsidR="00000000" w:rsidRDefault="0040289C">
      <w:pPr>
        <w:jc w:val="both"/>
        <w:rPr>
          <w:rFonts w:eastAsia="Times New Roman"/>
        </w:rPr>
      </w:pP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Investing in the development of diverse talent th</w:t>
      </w:r>
      <w:r>
        <w:rPr>
          <w:rFonts w:eastAsia="Times New Roman"/>
          <w:color w:val="000000"/>
          <w:sz w:val="20"/>
          <w:szCs w:val="20"/>
        </w:rPr>
        <w:t xml:space="preserve">rough sponsorship initiatives and targeted development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Launching a series of courageous conversations and listening sessions to promote inclusion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 xml:space="preserve">Launching a university diversity network to attract, hire, and grow diverse talent </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Restructuring and red</w:t>
      </w:r>
      <w:r>
        <w:rPr>
          <w:rFonts w:eastAsia="Times New Roman"/>
          <w:color w:val="000000"/>
          <w:sz w:val="20"/>
          <w:szCs w:val="20"/>
        </w:rPr>
        <w:t xml:space="preserve">eploying a council focused on global inclusion with the mission to inspire action that attracts, develops and retains top diverse talent and fosters an inclusive work environment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Government Regulations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is subject to a variety of evolving governmen</w:t>
      </w:r>
      <w:r>
        <w:rPr>
          <w:rFonts w:eastAsia="Times New Roman"/>
          <w:color w:val="000000"/>
          <w:sz w:val="20"/>
          <w:szCs w:val="20"/>
        </w:rPr>
        <w:t>t laws and regulations, including those related to environmental protection, in the various jurisdictions in which NCR operates or its products are sold, or where our offerings are used, including, for example, privacy and data protection laws, regulations</w:t>
      </w:r>
      <w:r>
        <w:rPr>
          <w:rFonts w:eastAsia="Times New Roman"/>
          <w:color w:val="000000"/>
          <w:sz w:val="20"/>
          <w:szCs w:val="20"/>
        </w:rPr>
        <w:t xml:space="preserve"> and directives, and anti-corruption laws such as the United States Foreign Corrupt Practices Act and United Kingdom Bribery Act. In addition, though not material to our business taken as a whole, certain parts of NCR’s operating segments are subject to in</w:t>
      </w:r>
      <w:r>
        <w:rPr>
          <w:rFonts w:eastAsia="Times New Roman"/>
          <w:color w:val="000000"/>
          <w:sz w:val="20"/>
          <w:szCs w:val="20"/>
        </w:rPr>
        <w:t xml:space="preserve">dustry-specific laws and regulations. For example our digital banking business is subject to examination by the Federal Financial Institutions Examination Council (FFIEC); portions of our payments-related business are subject to or contractually obligated </w:t>
      </w:r>
      <w:r>
        <w:rPr>
          <w:rFonts w:eastAsia="Times New Roman"/>
          <w:color w:val="000000"/>
          <w:sz w:val="20"/>
          <w:szCs w:val="20"/>
        </w:rPr>
        <w:t xml:space="preserve">to comply with certain anti-money laundering laws and regulations such as the Bank Secrecy Act and their international counterparts; portions of certain businesses NCR recently acquired are customer-facing and may be subject to certain consumer protection </w:t>
      </w:r>
      <w:r>
        <w:rPr>
          <w:rFonts w:eastAsia="Times New Roman"/>
          <w:color w:val="000000"/>
          <w:sz w:val="20"/>
          <w:szCs w:val="20"/>
        </w:rPr>
        <w:t>requirements such as oversight by the Consumer Financial Protection Bureau (“CFPB”) and Federal Trade Commission (“FTC”) and similar state or foreign agencies in the jurisdictions where they operate; and portions of certain businesses NCR recently acquired</w:t>
      </w:r>
      <w:r>
        <w:rPr>
          <w:rFonts w:eastAsia="Times New Roman"/>
          <w:color w:val="000000"/>
          <w:sz w:val="20"/>
          <w:szCs w:val="20"/>
        </w:rPr>
        <w:t xml:space="preserve"> are subject to a number of foreign, federal and state licensing requirements including money transmission, money services and virtual currency, which may be subject to regulatory changes in the future in the jurisdictions where they operate.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Although N</w:t>
      </w:r>
      <w:r>
        <w:rPr>
          <w:rFonts w:eastAsia="Times New Roman"/>
          <w:color w:val="000000"/>
          <w:sz w:val="20"/>
          <w:szCs w:val="20"/>
        </w:rPr>
        <w:t xml:space="preserve">CR does not currently expect that compliance with government laws and regulations, including environmental regulations and those designated to address climate risk, will have a material effect upon the capital expenditures, cash flow, financial condition, </w:t>
      </w:r>
      <w:r>
        <w:rPr>
          <w:rFonts w:eastAsia="Times New Roman"/>
          <w:color w:val="000000"/>
          <w:sz w:val="20"/>
          <w:szCs w:val="20"/>
        </w:rPr>
        <w:t>earnings and competitive position of NCR, its segments or its subsidiaries, it is possible that such compliance could have a material adverse impact on our capital expenditures, cash flow, financial condition, earnings or competitive position, including, b</w:t>
      </w:r>
      <w:r>
        <w:rPr>
          <w:rFonts w:eastAsia="Times New Roman"/>
          <w:color w:val="000000"/>
          <w:sz w:val="20"/>
          <w:szCs w:val="20"/>
        </w:rPr>
        <w:t>ut, not limited to, as NCR's Banking or Payments-related businesses grow or change as NCR continues to implement its business strategy. Further, while NCR does not currently expect to incur material capital expenditures related to compliance with such laws</w:t>
      </w:r>
      <w:r>
        <w:rPr>
          <w:rFonts w:eastAsia="Times New Roman"/>
          <w:color w:val="000000"/>
          <w:sz w:val="20"/>
          <w:szCs w:val="20"/>
        </w:rPr>
        <w:t xml:space="preserve"> and regulations, and while we believe the amounts provided in our Consolidated Financial Statements are adequate in light of the probable and estimable liabilities in this area, there can be no assurances that environmental matters will not lead to a mate</w:t>
      </w:r>
      <w:r>
        <w:rPr>
          <w:rFonts w:eastAsia="Times New Roman"/>
          <w:color w:val="000000"/>
          <w:sz w:val="20"/>
          <w:szCs w:val="20"/>
        </w:rPr>
        <w:t>rial adverse impact on our capital expenditures, earnings or competitive position. A detailed discussion of the current estimated impacts of compliance issues relating to environmental regulations, particularly the Fox River, Kalamazoo River and Ebina matt</w:t>
      </w:r>
      <w:r>
        <w:rPr>
          <w:rFonts w:eastAsia="Times New Roman"/>
          <w:color w:val="000000"/>
          <w:sz w:val="20"/>
          <w:szCs w:val="20"/>
        </w:rPr>
        <w:t>ers, is reported in Item 8 of Part II of this Report as part of Note 10, “Commitments and Contingencies”, of the Notes to Consolidated Financial Statements and is incorporated herein by reference. Further information regarding the potential impact of compl</w:t>
      </w:r>
      <w:r>
        <w:rPr>
          <w:rFonts w:eastAsia="Times New Roman"/>
          <w:color w:val="000000"/>
          <w:sz w:val="20"/>
          <w:szCs w:val="20"/>
        </w:rPr>
        <w:t>iance with governmental laws and regulations is also included in Item 1A of this Report and is incorporated herein by reference.</w:t>
      </w:r>
    </w:p>
    <w:p w:rsidR="00000000" w:rsidRDefault="0040289C">
      <w:pPr>
        <w:jc w:val="center"/>
        <w:divId w:val="1349330219"/>
        <w:rPr>
          <w:rFonts w:eastAsia="Times New Roman"/>
        </w:rPr>
      </w:pPr>
      <w:r>
        <w:rPr>
          <w:rFonts w:eastAsia="Times New Roman"/>
          <w:color w:val="000000"/>
          <w:sz w:val="20"/>
          <w:szCs w:val="20"/>
        </w:rPr>
        <w:t>9</w:t>
      </w:r>
    </w:p>
    <w:p w:rsidR="00000000" w:rsidRDefault="0040289C">
      <w:pPr>
        <w:rPr>
          <w:rFonts w:eastAsia="Times New Roman"/>
        </w:rPr>
      </w:pPr>
      <w:r>
        <w:rPr>
          <w:rFonts w:eastAsia="Times New Roman"/>
        </w:rPr>
        <w:pict>
          <v:rect id="_x0000_i1038" style="width:0;height:1.5pt" o:hralign="center" o:hrstd="t" o:hr="t" fillcolor="#a0a0a0" stroked="f"/>
        </w:pict>
      </w:r>
    </w:p>
    <w:p w:rsidR="00000000" w:rsidRDefault="0040289C">
      <w:pPr>
        <w:divId w:val="161455070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484979145"/>
        <w:rPr>
          <w:rFonts w:eastAsia="Times New Roman"/>
        </w:rPr>
      </w:pPr>
    </w:p>
    <w:p w:rsidR="00000000" w:rsidRDefault="0040289C">
      <w:pPr>
        <w:jc w:val="both"/>
        <w:rPr>
          <w:rFonts w:eastAsia="Times New Roman"/>
        </w:rPr>
      </w:pPr>
    </w:p>
    <w:p w:rsidR="00000000" w:rsidRDefault="0040289C">
      <w:pPr>
        <w:jc w:val="both"/>
        <w:divId w:val="131755571"/>
        <w:rPr>
          <w:rFonts w:eastAsia="Times New Roman"/>
        </w:rPr>
      </w:pPr>
      <w:r>
        <w:rPr>
          <w:rFonts w:eastAsia="Times New Roman"/>
          <w:b/>
          <w:bCs/>
          <w:color w:val="000000"/>
          <w:sz w:val="20"/>
          <w:szCs w:val="20"/>
        </w:rPr>
        <w:t>Informa</w:t>
      </w:r>
      <w:r>
        <w:rPr>
          <w:rFonts w:eastAsia="Times New Roman"/>
          <w:b/>
          <w:bCs/>
          <w:color w:val="000000"/>
          <w:sz w:val="20"/>
          <w:szCs w:val="20"/>
        </w:rPr>
        <w:t>tion about our Executive Officers</w:t>
      </w:r>
    </w:p>
    <w:p w:rsidR="00000000" w:rsidRDefault="0040289C">
      <w:pPr>
        <w:jc w:val="both"/>
        <w:rPr>
          <w:rFonts w:eastAsia="Times New Roman"/>
        </w:rPr>
      </w:pPr>
      <w:r>
        <w:rPr>
          <w:rFonts w:eastAsia="Times New Roman"/>
          <w:color w:val="000000"/>
          <w:sz w:val="20"/>
          <w:szCs w:val="20"/>
        </w:rPr>
        <w:t xml:space="preserve">The Executive Officers of NCR (as of February 27, 2023) are as follows: </w:t>
      </w:r>
    </w:p>
    <w:tbl>
      <w:tblPr>
        <w:tblW w:w="4830" w:type="pct"/>
        <w:jc w:val="center"/>
        <w:tblCellMar>
          <w:top w:w="15" w:type="dxa"/>
          <w:left w:w="15" w:type="dxa"/>
          <w:bottom w:w="15" w:type="dxa"/>
          <w:right w:w="15" w:type="dxa"/>
        </w:tblCellMar>
        <w:tblLook w:val="04A0" w:firstRow="1" w:lastRow="0" w:firstColumn="1" w:lastColumn="0" w:noHBand="0" w:noVBand="1"/>
      </w:tblPr>
      <w:tblGrid>
        <w:gridCol w:w="55"/>
        <w:gridCol w:w="1987"/>
        <w:gridCol w:w="37"/>
        <w:gridCol w:w="36"/>
        <w:gridCol w:w="99"/>
        <w:gridCol w:w="36"/>
        <w:gridCol w:w="71"/>
        <w:gridCol w:w="262"/>
        <w:gridCol w:w="36"/>
        <w:gridCol w:w="36"/>
        <w:gridCol w:w="59"/>
        <w:gridCol w:w="36"/>
        <w:gridCol w:w="56"/>
        <w:gridCol w:w="5180"/>
        <w:gridCol w:w="38"/>
      </w:tblGrid>
      <w:tr w:rsidR="00000000">
        <w:trPr>
          <w:divId w:val="1787851096"/>
          <w:jc w:val="center"/>
        </w:trPr>
        <w:tc>
          <w:tcPr>
            <w:tcW w:w="50" w:type="pct"/>
            <w:vAlign w:val="center"/>
            <w:hideMark/>
          </w:tcPr>
          <w:p w:rsidR="00000000" w:rsidRDefault="0040289C">
            <w:pPr>
              <w:jc w:val="both"/>
              <w:rPr>
                <w:rFonts w:eastAsia="Times New Roman"/>
              </w:rPr>
            </w:pPr>
          </w:p>
        </w:tc>
        <w:tc>
          <w:tcPr>
            <w:tcW w:w="125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7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8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2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787851096"/>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8"/>
                <w:szCs w:val="18"/>
              </w:rPr>
              <w:t>Name</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Age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8"/>
                <w:szCs w:val="18"/>
              </w:rPr>
              <w:t>Position and Offices Held</w:t>
            </w:r>
          </w:p>
        </w:tc>
      </w:tr>
      <w:tr w:rsidR="00000000">
        <w:trPr>
          <w:divId w:val="1787851096"/>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Frank R. Martire</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75</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Executive Chairman</w:t>
            </w:r>
          </w:p>
        </w:tc>
      </w:tr>
      <w:tr w:rsidR="00000000">
        <w:trPr>
          <w:divId w:val="1787851096"/>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Michael D. Hayford</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Chief Executive Officer</w:t>
            </w:r>
          </w:p>
        </w:tc>
      </w:tr>
      <w:tr w:rsidR="00000000">
        <w:trPr>
          <w:divId w:val="1787851096"/>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Owen J. Sullivan</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65</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President and Chief Operating Officer</w:t>
            </w:r>
          </w:p>
        </w:tc>
      </w:tr>
      <w:tr w:rsidR="00000000">
        <w:trPr>
          <w:divId w:val="1787851096"/>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xml:space="preserve">Timothy C. Oliver </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54</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Executive Vice President and Chief Financial Officer</w:t>
            </w:r>
          </w:p>
        </w:tc>
      </w:tr>
      <w:tr w:rsidR="00000000">
        <w:trPr>
          <w:divId w:val="1787851096"/>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James M. Bedore</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Executive Vice President, General Counsel and Secretary</w:t>
            </w:r>
          </w:p>
        </w:tc>
      </w:tr>
      <w:tr w:rsidR="00000000">
        <w:trPr>
          <w:divId w:val="1787851096"/>
          <w:jc w:val="center"/>
        </w:trPr>
        <w:tc>
          <w:tcPr>
            <w:tcW w:w="0" w:type="auto"/>
            <w:gridSpan w:val="3"/>
            <w:vAlign w:val="center"/>
            <w:hideMark/>
          </w:tcPr>
          <w:p w:rsidR="00000000" w:rsidRDefault="0040289C">
            <w:pPr>
              <w:spacing w:after="100"/>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787851096"/>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787851096"/>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787851096"/>
          <w:jc w:val="center"/>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Donald W. Layden, Jr.</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40289C">
            <w:pPr>
              <w:spacing w:after="100"/>
              <w:jc w:val="center"/>
              <w:rPr>
                <w:rFonts w:eastAsia="Times New Roman"/>
              </w:rPr>
            </w:pPr>
            <w:r>
              <w:rPr>
                <w:rFonts w:eastAsia="Times New Roman"/>
                <w:color w:val="000000"/>
                <w:sz w:val="20"/>
                <w:szCs w:val="20"/>
              </w:rPr>
              <w:t>65</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divId w:val="970403154"/>
              <w:rPr>
                <w:rFonts w:eastAsia="Times New Roman"/>
              </w:rPr>
            </w:pPr>
            <w:r>
              <w:rPr>
                <w:rFonts w:eastAsia="Times New Roman"/>
                <w:color w:val="000000"/>
                <w:sz w:val="20"/>
                <w:szCs w:val="20"/>
              </w:rPr>
              <w:t>Executive Vice President, President, Payments &amp; Network, Head of Strategy and M&amp;A</w:t>
            </w:r>
          </w:p>
        </w:tc>
      </w:tr>
      <w:tr w:rsidR="00000000">
        <w:trPr>
          <w:divId w:val="1787851096"/>
          <w:jc w:val="center"/>
        </w:trPr>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Beth A. Potter</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Chief Accounting Officer</w:t>
            </w: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Set forth below is a description of the background of each of the Executive Officers.</w:t>
      </w:r>
    </w:p>
    <w:p w:rsidR="00000000" w:rsidRDefault="0040289C">
      <w:pPr>
        <w:jc w:val="both"/>
        <w:rPr>
          <w:rFonts w:eastAsia="Times New Roman"/>
        </w:rPr>
      </w:pPr>
      <w:r>
        <w:rPr>
          <w:rFonts w:eastAsia="Times New Roman"/>
          <w:color w:val="000000"/>
          <w:sz w:val="20"/>
          <w:szCs w:val="20"/>
        </w:rPr>
        <w:t>Frank R. Martire is Executive Chairman of NCR, a position he has held since May 2018. Mr. Martire most recently served as Non-Executive Chairman of Fidelity National Info</w:t>
      </w:r>
      <w:r>
        <w:rPr>
          <w:rFonts w:eastAsia="Times New Roman"/>
          <w:color w:val="000000"/>
          <w:sz w:val="20"/>
          <w:szCs w:val="20"/>
        </w:rPr>
        <w:t xml:space="preserve">rmation Services, Inc. (“FIS”), a financial services technology company. From 2015 to 2017, he served as Executive Chairman of FIS and from 2009 to 2015 was President and Chief Executive Officer of FIS after its acquisition of Metavante Technologies, Inc. </w:t>
      </w:r>
      <w:r>
        <w:rPr>
          <w:rFonts w:eastAsia="Times New Roman"/>
          <w:color w:val="000000"/>
          <w:sz w:val="20"/>
          <w:szCs w:val="20"/>
        </w:rPr>
        <w:t>(“Metavante”), a bank technology processing company. Mr. Martire previously served as Chief Executive Officer of Metavante from 2003 to 2009 and President from 2003 to 2008. Prior to that, he was President and Chief Operating Officer of Call Solutions Inc.</w:t>
      </w:r>
      <w:r>
        <w:rPr>
          <w:rFonts w:eastAsia="Times New Roman"/>
          <w:color w:val="000000"/>
          <w:sz w:val="20"/>
          <w:szCs w:val="20"/>
        </w:rPr>
        <w:t xml:space="preserve"> from 2001 to 2003 and President and Chief Operating Officer, Financial Institution Systems and Services Group, of Fiserv, Inc. from 1991 to 2001. Mr. Martire was a member of the Board of Directors of J. Alexander’s Holdings, Inc. from 2015 to 2021, where </w:t>
      </w:r>
      <w:r>
        <w:rPr>
          <w:rFonts w:eastAsia="Times New Roman"/>
          <w:color w:val="000000"/>
          <w:sz w:val="20"/>
          <w:szCs w:val="20"/>
        </w:rPr>
        <w:t xml:space="preserve">he served as Lead Independent Director from 2019 to 2021. Mr. Martire is a member of the Board of Directors of Cannae Holdings, Inc., where he serves as Lead Independent Director; and System1, Inc., where he is Chairman of the Audit Committee and a member </w:t>
      </w:r>
      <w:r>
        <w:rPr>
          <w:rFonts w:eastAsia="Times New Roman"/>
          <w:color w:val="000000"/>
          <w:sz w:val="20"/>
          <w:szCs w:val="20"/>
        </w:rPr>
        <w:t>of the Compensation Committee. Mr. Martire became a director of NCR on May 31, 2018.</w:t>
      </w:r>
    </w:p>
    <w:p w:rsidR="00000000" w:rsidRDefault="0040289C">
      <w:pPr>
        <w:divId w:val="1811707803"/>
        <w:rPr>
          <w:rFonts w:eastAsia="Times New Roman"/>
        </w:rPr>
      </w:pPr>
    </w:p>
    <w:p w:rsidR="00000000" w:rsidRDefault="0040289C">
      <w:pPr>
        <w:jc w:val="both"/>
        <w:rPr>
          <w:rFonts w:eastAsia="Times New Roman"/>
        </w:rPr>
      </w:pPr>
      <w:r>
        <w:rPr>
          <w:rFonts w:eastAsia="Times New Roman"/>
          <w:color w:val="000000"/>
          <w:sz w:val="20"/>
          <w:szCs w:val="20"/>
        </w:rPr>
        <w:t>Michael D. Hayford is Chief Executive Officer of NCR, a position he has held since April 2018. Mr. Hayford served as President of NCR from April 2018 to August 2021. Mr.</w:t>
      </w:r>
      <w:r>
        <w:rPr>
          <w:rFonts w:eastAsia="Times New Roman"/>
          <w:color w:val="000000"/>
          <w:sz w:val="20"/>
          <w:szCs w:val="20"/>
        </w:rPr>
        <w:t xml:space="preserve"> Hayford was most recently Founding Partner of Motive Partners, an investment firm focused on technology-enabled companies that power the financial services industry. From 2009 until his retirement in 2013, Mr. Hayford served as the Executive Vice Presiden</w:t>
      </w:r>
      <w:r>
        <w:rPr>
          <w:rFonts w:eastAsia="Times New Roman"/>
          <w:color w:val="000000"/>
          <w:sz w:val="20"/>
          <w:szCs w:val="20"/>
        </w:rPr>
        <w:t>t and Chief Financial Officer at Fidelity National Information Services, Inc. (“FIS”), a financial services technology company. Prior to joining FIS, Mr. Hayford was with Metavante Technologies, Inc. (“Metavante”), a bank technology processing company, fro</w:t>
      </w:r>
      <w:r>
        <w:rPr>
          <w:rFonts w:eastAsia="Times New Roman"/>
          <w:color w:val="000000"/>
          <w:sz w:val="20"/>
          <w:szCs w:val="20"/>
        </w:rPr>
        <w:t>m 1992 to 2009. He served as the Chief Operating Officer at Metavante from 2006 to 2009 and as the President from 2008 to 2009. From 2007 to 2009, Mr. Hayford also served on the Board of Directors of Metavante. Mr. Hayford was a member of the Board of Dire</w:t>
      </w:r>
      <w:r>
        <w:rPr>
          <w:rFonts w:eastAsia="Times New Roman"/>
          <w:color w:val="000000"/>
          <w:sz w:val="20"/>
          <w:szCs w:val="20"/>
        </w:rPr>
        <w:t>ctors and the Audit Committee of Endurance International Group Holdings, Inc. from 2013 to 2019, and was a member of the Board of Directors and Chairman of the Audit Committee of West Bend Mutual Insurance Company from 2007 to 2018. Mr. Hayford became a di</w:t>
      </w:r>
      <w:r>
        <w:rPr>
          <w:rFonts w:eastAsia="Times New Roman"/>
          <w:color w:val="000000"/>
          <w:sz w:val="20"/>
          <w:szCs w:val="20"/>
        </w:rPr>
        <w:t>rector of NCR on April 30, 2018.</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Owen J. Sullivan is President and Chief Operating Officer of NCR. Mr. Sullivan has served as President of NCR since August 2021 and as Chief Operating Officer of NCR since July 2018. Mr. Sullivan was most recently an inde</w:t>
      </w:r>
      <w:r>
        <w:rPr>
          <w:rFonts w:eastAsia="Times New Roman"/>
          <w:color w:val="000000"/>
          <w:sz w:val="20"/>
          <w:szCs w:val="20"/>
        </w:rPr>
        <w:t>pendent consultant, providing strategic planning, consulting and executive mentoring, and working with and investing alongside private equity firms and other investor groups. Prior to that, Mr. Sullivan was with ManpowerGroup Inc. (“ManpowerGroup”), a work</w:t>
      </w:r>
      <w:r>
        <w:rPr>
          <w:rFonts w:eastAsia="Times New Roman"/>
          <w:color w:val="000000"/>
          <w:sz w:val="20"/>
          <w:szCs w:val="20"/>
        </w:rPr>
        <w:t xml:space="preserve">force and talent management solutions company, from 2003 to 2013. At ManpowerGroup, he served as President of the Specialty Brands and Experis units from 2010 to 2013 and he served as the Chief Executive Officer of the Right Management and Jefferson Wells </w:t>
      </w:r>
      <w:r>
        <w:rPr>
          <w:rFonts w:eastAsia="Times New Roman"/>
          <w:color w:val="000000"/>
          <w:sz w:val="20"/>
          <w:szCs w:val="20"/>
        </w:rPr>
        <w:t>International, Inc. subsidiaries from 2004 to 2013 and from 2003 to 2010, respectively. Before joining ManpowerGroup, Mr. Sullivan was with Sullivan Advisors, LLC, a provider of strategic planning, consulting and executive mentoring for small to medium-siz</w:t>
      </w:r>
      <w:r>
        <w:rPr>
          <w:rFonts w:eastAsia="Times New Roman"/>
          <w:color w:val="000000"/>
          <w:sz w:val="20"/>
          <w:szCs w:val="20"/>
        </w:rPr>
        <w:t>ed businesses from 2001 to 2003. Prior to that, Mr. Sullivan was with Metavante Technologies, Inc., a bank technology processing company, from 1993 to 2001, where he served in various management roles including as the President of Metavante’s Financial Ser</w:t>
      </w:r>
      <w:r>
        <w:rPr>
          <w:rFonts w:eastAsia="Times New Roman"/>
          <w:color w:val="000000"/>
          <w:sz w:val="20"/>
          <w:szCs w:val="20"/>
        </w:rPr>
        <w:t>vices Group and Enterprise Solutions Group. Mr. Sullivan served as a member of the Board of Directors of Johnson Financial Group, Inc., a bank holding company, where he served as a member of its Wealth Management, Risk and Succession Committees through 201</w:t>
      </w:r>
      <w:r>
        <w:rPr>
          <w:rFonts w:eastAsia="Times New Roman"/>
          <w:color w:val="000000"/>
          <w:sz w:val="20"/>
          <w:szCs w:val="20"/>
        </w:rPr>
        <w:t xml:space="preserve">8. Mr. Sullivan also served as a member of the Board of Directors of Computer Task Group, Incorporated from 2017 to 2021 and served as a member of its Compensation and Audit Committees. </w:t>
      </w:r>
    </w:p>
    <w:p w:rsidR="00000000" w:rsidRDefault="0040289C">
      <w:pPr>
        <w:divId w:val="558437605"/>
        <w:rPr>
          <w:rFonts w:eastAsia="Times New Roman"/>
        </w:rPr>
      </w:pPr>
    </w:p>
    <w:p w:rsidR="00000000" w:rsidRDefault="0040289C">
      <w:pPr>
        <w:jc w:val="both"/>
        <w:rPr>
          <w:rFonts w:eastAsia="Times New Roman"/>
        </w:rPr>
      </w:pPr>
    </w:p>
    <w:p w:rsidR="00000000" w:rsidRDefault="0040289C">
      <w:pPr>
        <w:jc w:val="center"/>
        <w:divId w:val="372389051"/>
        <w:rPr>
          <w:rFonts w:eastAsia="Times New Roman"/>
        </w:rPr>
      </w:pPr>
      <w:r>
        <w:rPr>
          <w:rFonts w:eastAsia="Times New Roman"/>
          <w:color w:val="000000"/>
          <w:sz w:val="20"/>
          <w:szCs w:val="20"/>
        </w:rPr>
        <w:t>10</w:t>
      </w:r>
    </w:p>
    <w:p w:rsidR="00000000" w:rsidRDefault="0040289C">
      <w:pPr>
        <w:rPr>
          <w:rFonts w:eastAsia="Times New Roman"/>
        </w:rPr>
      </w:pPr>
      <w:r>
        <w:rPr>
          <w:rFonts w:eastAsia="Times New Roman"/>
        </w:rPr>
        <w:pict>
          <v:rect id="_x0000_i1039" style="width:0;height:1.5pt" o:hralign="center" o:hrstd="t" o:hr="t" fillcolor="#a0a0a0" stroked="f"/>
        </w:pict>
      </w:r>
    </w:p>
    <w:p w:rsidR="00000000" w:rsidRDefault="0040289C">
      <w:pPr>
        <w:divId w:val="33699974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42942010"/>
        <w:rPr>
          <w:rFonts w:eastAsia="Times New Roman"/>
        </w:rPr>
      </w:pPr>
    </w:p>
    <w:p w:rsidR="00000000" w:rsidRDefault="0040289C">
      <w:pPr>
        <w:jc w:val="both"/>
        <w:rPr>
          <w:rFonts w:eastAsia="Times New Roman"/>
        </w:rPr>
      </w:pPr>
      <w:r>
        <w:rPr>
          <w:rFonts w:eastAsia="Times New Roman"/>
          <w:color w:val="000000"/>
          <w:sz w:val="20"/>
          <w:szCs w:val="20"/>
        </w:rPr>
        <w:t>Timothy C. Oliver is Senior Executive Vice President and Chief Financial Officer of NCR, a position he has held since July 13, 2020. Mr. Oliver most recently served as President</w:t>
      </w:r>
      <w:r>
        <w:rPr>
          <w:rFonts w:eastAsia="Times New Roman"/>
          <w:color w:val="000000"/>
          <w:sz w:val="20"/>
          <w:szCs w:val="20"/>
        </w:rPr>
        <w:t xml:space="preserve"> and Chief Financial Officer of Spring Window Fashions, LLC, a consumer goods company, and a member of the company's leadership team, since September 2019. In this role he focused on, among other things, aligning the company's business portfolio and growth</w:t>
      </w:r>
      <w:r>
        <w:rPr>
          <w:rFonts w:eastAsia="Times New Roman"/>
          <w:color w:val="000000"/>
          <w:sz w:val="20"/>
          <w:szCs w:val="20"/>
        </w:rPr>
        <w:t xml:space="preserve"> initiatives with its finance strategy. From 2011 to 2019, he served as Senior Vice President and Chief Financial Officer of the Goldstein Group Inc. (“GGI”), a privately held conglomerate, and its subsidiary, Alter Trading Corporation (“Alter”), a private</w:t>
      </w:r>
      <w:r>
        <w:rPr>
          <w:rFonts w:eastAsia="Times New Roman"/>
          <w:color w:val="000000"/>
          <w:sz w:val="20"/>
          <w:szCs w:val="20"/>
        </w:rPr>
        <w:t>ly held metal recycler and broker company. Mr. Oliver also served as President during his last three months in his role at Alter. Before joining GGI and Alter, he was the Senior Vice President and Chief Financial Officer of MEMC Electronic Materials, Inc.,</w:t>
      </w:r>
      <w:r>
        <w:rPr>
          <w:rFonts w:eastAsia="Times New Roman"/>
          <w:color w:val="000000"/>
          <w:sz w:val="20"/>
          <w:szCs w:val="20"/>
        </w:rPr>
        <w:t xml:space="preserve"> a publicly held technology company (now SunEdison, Inc.), from 2009 to 2011, and Senior Executive Vice President and Chief Financial Officer of Metavante Technologies, Inc., a publicly held bank technology processing company, from 2007 to 2009. He also pr</w:t>
      </w:r>
      <w:r>
        <w:rPr>
          <w:rFonts w:eastAsia="Times New Roman"/>
          <w:color w:val="000000"/>
          <w:sz w:val="20"/>
          <w:szCs w:val="20"/>
        </w:rPr>
        <w:t>eviously served as Vice President and Treasurer of Rockwell Automation, Inc. (“Rockwell Automation”), an industrial automation and digital transformation company, from 2005 to 2007. Before joining Rockwell Automation, he was Vice President for Investor Rel</w:t>
      </w:r>
      <w:r>
        <w:rPr>
          <w:rFonts w:eastAsia="Times New Roman"/>
          <w:color w:val="000000"/>
          <w:sz w:val="20"/>
          <w:szCs w:val="20"/>
        </w:rPr>
        <w:t>ations and Financial Planning at Raytheon Company. Mr. Oliver's prior roles included a focus on transforming finance organizations to position companies for growth.</w:t>
      </w:r>
    </w:p>
    <w:p w:rsidR="00000000" w:rsidRDefault="0040289C">
      <w:pPr>
        <w:divId w:val="518004995"/>
        <w:rPr>
          <w:rFonts w:eastAsia="Times New Roman"/>
        </w:rPr>
      </w:pPr>
    </w:p>
    <w:p w:rsidR="00000000" w:rsidRDefault="0040289C">
      <w:pPr>
        <w:jc w:val="both"/>
        <w:rPr>
          <w:rFonts w:eastAsia="Times New Roman"/>
        </w:rPr>
      </w:pPr>
      <w:r>
        <w:rPr>
          <w:rFonts w:eastAsia="Times New Roman"/>
          <w:color w:val="191C1F"/>
          <w:sz w:val="20"/>
          <w:szCs w:val="20"/>
        </w:rPr>
        <w:t xml:space="preserve">James M. Bedore is Executive Vice President, General Counsel and Secretary of NCR, a position he has held since November 2018. Mr. Bedore </w:t>
      </w:r>
      <w:r>
        <w:rPr>
          <w:rFonts w:eastAsia="Times New Roman"/>
          <w:color w:val="161616"/>
          <w:sz w:val="20"/>
          <w:szCs w:val="20"/>
        </w:rPr>
        <w:t>oversees the NCR Office of Risk Management, responsible for enterprise risk management, third party risk management an</w:t>
      </w:r>
      <w:r>
        <w:rPr>
          <w:rFonts w:eastAsia="Times New Roman"/>
          <w:color w:val="161616"/>
          <w:sz w:val="20"/>
          <w:szCs w:val="20"/>
        </w:rPr>
        <w:t xml:space="preserve">d business continuity. </w:t>
      </w:r>
      <w:r>
        <w:rPr>
          <w:rFonts w:eastAsia="Times New Roman"/>
          <w:color w:val="191C1F"/>
          <w:sz w:val="20"/>
          <w:szCs w:val="20"/>
        </w:rPr>
        <w:t xml:space="preserve">Prior to NCR, Mr. Bedore </w:t>
      </w:r>
      <w:r>
        <w:rPr>
          <w:rFonts w:eastAsia="Times New Roman"/>
          <w:color w:val="161616"/>
          <w:sz w:val="20"/>
          <w:szCs w:val="20"/>
        </w:rPr>
        <w:t xml:space="preserve">was </w:t>
      </w:r>
      <w:r>
        <w:rPr>
          <w:rFonts w:eastAsia="Times New Roman"/>
          <w:color w:val="191C1F"/>
          <w:sz w:val="20"/>
          <w:szCs w:val="20"/>
        </w:rPr>
        <w:t xml:space="preserve">an attorney in private practice with Reinhart Boerner Van Deuren s.c. from 1985 to 2018, where he was a </w:t>
      </w:r>
      <w:r>
        <w:rPr>
          <w:rFonts w:eastAsia="Times New Roman"/>
          <w:color w:val="161616"/>
          <w:sz w:val="20"/>
          <w:szCs w:val="20"/>
        </w:rPr>
        <w:t>Shareholder, member of the firm’s Board of Directors and Chair of the firm’s Securities Team, advisi</w:t>
      </w:r>
      <w:r>
        <w:rPr>
          <w:rFonts w:eastAsia="Times New Roman"/>
          <w:color w:val="161616"/>
          <w:sz w:val="20"/>
          <w:szCs w:val="20"/>
        </w:rPr>
        <w:t xml:space="preserve">ng </w:t>
      </w:r>
      <w:r>
        <w:rPr>
          <w:rFonts w:eastAsia="Times New Roman"/>
          <w:color w:val="191C1F"/>
          <w:sz w:val="20"/>
          <w:szCs w:val="20"/>
        </w:rPr>
        <w:t>clients on a variety of corporate matters including mergers and acquisitions, public securities offerings on behalf of issuers and underwriters, private placements, venture capital, bank and other financing arrangements, securities compliance, reporting</w:t>
      </w:r>
      <w:r>
        <w:rPr>
          <w:rFonts w:eastAsia="Times New Roman"/>
          <w:color w:val="191C1F"/>
          <w:sz w:val="20"/>
          <w:szCs w:val="20"/>
        </w:rPr>
        <w:t xml:space="preserve"> and disclosure obligations, corporate governance, shareholder rights and executive compensation.</w:t>
      </w:r>
    </w:p>
    <w:p w:rsidR="00000000" w:rsidRDefault="0040289C">
      <w:pPr>
        <w:divId w:val="39015495"/>
        <w:rPr>
          <w:rFonts w:eastAsia="Times New Roman"/>
        </w:rPr>
      </w:pPr>
    </w:p>
    <w:p w:rsidR="00000000" w:rsidRDefault="0040289C">
      <w:pPr>
        <w:jc w:val="both"/>
        <w:rPr>
          <w:rFonts w:eastAsia="Times New Roman"/>
        </w:rPr>
      </w:pPr>
      <w:r>
        <w:rPr>
          <w:rFonts w:eastAsia="Times New Roman"/>
          <w:color w:val="000000"/>
          <w:sz w:val="20"/>
          <w:szCs w:val="20"/>
        </w:rPr>
        <w:t>Donald W. Layden, Jr., is Executive Vice President, President, Payments &amp; Network, Head of Strategy and M&amp;A, a position he has held since November 2021. Fro</w:t>
      </w:r>
      <w:r>
        <w:rPr>
          <w:rFonts w:eastAsia="Times New Roman"/>
          <w:color w:val="000000"/>
          <w:sz w:val="20"/>
          <w:szCs w:val="20"/>
        </w:rPr>
        <w:t>m June 2020 to October 2021, Mr. Layden served as Senior Advisor to NCR focusing on strategy and corporate development. Previously, Mr. Layden served as a member of the Board of Directors of Cantaloupe, Inc. (formerly known as USA Technologies, Inc.), a pa</w:t>
      </w:r>
      <w:r>
        <w:rPr>
          <w:rFonts w:eastAsia="Times New Roman"/>
          <w:color w:val="000000"/>
          <w:sz w:val="20"/>
          <w:szCs w:val="20"/>
        </w:rPr>
        <w:t>yments and software services company, from April 2019 to May 2020, where he served as the Chair of the Compliance Committee from April 2019 to November 2019. He also served as interim Chief Executive Officer of USA Technologies, Inc. from October 2019 to F</w:t>
      </w:r>
      <w:r>
        <w:rPr>
          <w:rFonts w:eastAsia="Times New Roman"/>
          <w:color w:val="000000"/>
          <w:sz w:val="20"/>
          <w:szCs w:val="20"/>
        </w:rPr>
        <w:t>ebruary 2020, as Non-Executive Chairman from November 2019 to February 2020, and as President and Chief Executive Officer from February 2020 to May 2020. Mr. Layden was a Venture Partner at Baird Venture Partners from December 2011 to September 2021. He al</w:t>
      </w:r>
      <w:r>
        <w:rPr>
          <w:rFonts w:eastAsia="Times New Roman"/>
          <w:color w:val="000000"/>
          <w:sz w:val="20"/>
          <w:szCs w:val="20"/>
        </w:rPr>
        <w:t>so was an of-counsel partner of Quarles &amp; Brady LLP, where he practiced corporate law, from October 2009 to September 2021. Mr. Layden served as a member of the Board of Directors of Firstsource Solutions Limited, a business process management company publ</w:t>
      </w:r>
      <w:r>
        <w:rPr>
          <w:rFonts w:eastAsia="Times New Roman"/>
          <w:color w:val="000000"/>
          <w:sz w:val="20"/>
          <w:szCs w:val="20"/>
        </w:rPr>
        <w:t>icly traded on the National Stock Exchange of India, from April 2006 to March 2019. He also served as an independent director of Online Resources Corporation, a publicly traded company, from May 2010 to March 2013, when the company was sold to ACI Worldwid</w:t>
      </w:r>
      <w:r>
        <w:rPr>
          <w:rFonts w:eastAsia="Times New Roman"/>
          <w:color w:val="000000"/>
          <w:sz w:val="20"/>
          <w:szCs w:val="20"/>
        </w:rPr>
        <w:t>e, Inc. From November 2009 to November 2011, Mr. Layden served as an Adviser of Warburg Pincus LLC in the Technology, Media and Telecommunications group. From October 2004 to October 2009, Mr. Layden held various positions at Metavante Technologies, Inc. (</w:t>
      </w:r>
      <w:r>
        <w:rPr>
          <w:rFonts w:eastAsia="Times New Roman"/>
          <w:color w:val="000000"/>
          <w:sz w:val="20"/>
          <w:szCs w:val="20"/>
        </w:rPr>
        <w:t>“Metavante"), a bank technology processing company, including as President of the International Group, and as Senior Executive Vice President of Corporate Development and Strategy, Corporate Secretary and General Counsel.</w:t>
      </w:r>
      <w:r>
        <w:rPr>
          <w:rFonts w:eastAsia="Times New Roman"/>
          <w:color w:val="000000"/>
        </w:rPr>
        <w:t xml:space="preserve"> </w:t>
      </w:r>
      <w:r>
        <w:rPr>
          <w:rFonts w:eastAsia="Times New Roman"/>
          <w:color w:val="000000"/>
          <w:sz w:val="20"/>
          <w:szCs w:val="20"/>
        </w:rPr>
        <w:t>Prior to that, he served at NuEdge</w:t>
      </w:r>
      <w:r>
        <w:rPr>
          <w:rFonts w:eastAsia="Times New Roman"/>
          <w:color w:val="000000"/>
          <w:sz w:val="20"/>
          <w:szCs w:val="20"/>
        </w:rPr>
        <w:t xml:space="preserve"> Systems LLC as Chief Operating Officer from 2000 to 2002 and as President from 2002 to 2004, when the company was purchased by Metavante.</w:t>
      </w:r>
    </w:p>
    <w:p w:rsidR="00000000" w:rsidRDefault="0040289C">
      <w:pPr>
        <w:divId w:val="1366639599"/>
        <w:rPr>
          <w:rFonts w:eastAsia="Times New Roman"/>
        </w:rPr>
      </w:pPr>
    </w:p>
    <w:p w:rsidR="00000000" w:rsidRDefault="0040289C">
      <w:pPr>
        <w:jc w:val="both"/>
        <w:rPr>
          <w:rFonts w:eastAsia="Times New Roman"/>
        </w:rPr>
      </w:pPr>
      <w:r>
        <w:rPr>
          <w:rFonts w:eastAsia="Times New Roman"/>
          <w:color w:val="000000"/>
          <w:sz w:val="20"/>
          <w:szCs w:val="20"/>
        </w:rPr>
        <w:t xml:space="preserve">Beth A. Potter is NCR’s Chief Accounting Officer, a position she has held since November 2019. Ms. Potter has also </w:t>
      </w:r>
      <w:r>
        <w:rPr>
          <w:rFonts w:eastAsia="Times New Roman"/>
          <w:color w:val="000000"/>
          <w:sz w:val="20"/>
          <w:szCs w:val="20"/>
        </w:rPr>
        <w:t xml:space="preserve">served as the NCR Corporate Controller since 2011. From March 2007 to 2011, she served as Assistant Controller, and prior to that she served in various other leadership roles supporting NCR’s finance organization. </w:t>
      </w:r>
    </w:p>
    <w:p w:rsidR="00000000" w:rsidRDefault="0040289C">
      <w:pPr>
        <w:divId w:val="1165510767"/>
        <w:rPr>
          <w:rFonts w:eastAsia="Times New Roman"/>
        </w:rPr>
      </w:pPr>
    </w:p>
    <w:p w:rsidR="00000000" w:rsidRDefault="0040289C">
      <w:pPr>
        <w:jc w:val="both"/>
        <w:divId w:val="1428386537"/>
        <w:rPr>
          <w:rFonts w:eastAsia="Times New Roman"/>
        </w:rPr>
      </w:pPr>
      <w:r>
        <w:rPr>
          <w:rFonts w:eastAsia="Times New Roman"/>
          <w:b/>
          <w:bCs/>
          <w:color w:val="000000"/>
          <w:sz w:val="20"/>
          <w:szCs w:val="20"/>
        </w:rPr>
        <w:t xml:space="preserve">Available Information </w:t>
      </w:r>
    </w:p>
    <w:p w:rsidR="00000000" w:rsidRDefault="0040289C">
      <w:pPr>
        <w:jc w:val="both"/>
        <w:rPr>
          <w:rFonts w:eastAsia="Times New Roman"/>
        </w:rPr>
      </w:pPr>
      <w:r>
        <w:rPr>
          <w:rFonts w:eastAsia="Times New Roman"/>
          <w:color w:val="000000"/>
          <w:sz w:val="20"/>
          <w:szCs w:val="20"/>
        </w:rPr>
        <w:t>NCR makes availa</w:t>
      </w:r>
      <w:r>
        <w:rPr>
          <w:rFonts w:eastAsia="Times New Roman"/>
          <w:color w:val="000000"/>
          <w:sz w:val="20"/>
          <w:szCs w:val="20"/>
        </w:rPr>
        <w:t>ble through its website at http://investor.ncr.com, free of charge, the reports it files with the Securities and Exchange Commission (the “SEC”), including its Annual Report on Form 10-K, Quarterly Reports on Form 10-Q, definitive proxy statements on Sched</w:t>
      </w:r>
      <w:r>
        <w:rPr>
          <w:rFonts w:eastAsia="Times New Roman"/>
          <w:color w:val="000000"/>
          <w:sz w:val="20"/>
          <w:szCs w:val="20"/>
        </w:rPr>
        <w:t xml:space="preserve">ule 14A and Current Reports on Form 8-K, and all amendments to such reports and schedules, as soon as reasonably practicable after these reports are electronically filed or furnished to the SEC pursuant to Section 13(a) or 15(d) of the Securities Exchange </w:t>
      </w:r>
      <w:r>
        <w:rPr>
          <w:rFonts w:eastAsia="Times New Roman"/>
          <w:color w:val="000000"/>
          <w:sz w:val="20"/>
          <w:szCs w:val="20"/>
        </w:rPr>
        <w:t>Act of 1934 (the “Exchange Act”). The SEC also maintains a website (http://www.sec.gov) that contains the reports, proxy statements and information statements, and other information regarding issuers that file or furnish electronically with the SEC. NCR wi</w:t>
      </w:r>
      <w:r>
        <w:rPr>
          <w:rFonts w:eastAsia="Times New Roman"/>
          <w:color w:val="000000"/>
          <w:sz w:val="20"/>
          <w:szCs w:val="20"/>
        </w:rPr>
        <w:t>ll furnish, without charge to a security holder upon written request, the Notice of Meeting and Proxy Statement for the 2023 Annual Meeting of Stockholders (the 2023 Proxy Statement),portions of which are incorporated herein by reference. NCR also will fur</w:t>
      </w:r>
      <w:r>
        <w:rPr>
          <w:rFonts w:eastAsia="Times New Roman"/>
          <w:color w:val="000000"/>
          <w:sz w:val="20"/>
          <w:szCs w:val="20"/>
        </w:rPr>
        <w:t xml:space="preserve">nish its Code of Conduct at no cost and any other exhibit at cost. Document requests are available by calling or writing to: </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2066561021"/>
        <w:rPr>
          <w:rFonts w:eastAsia="Times New Roman"/>
        </w:rPr>
      </w:pPr>
      <w:r>
        <w:rPr>
          <w:rFonts w:eastAsia="Times New Roman"/>
          <w:color w:val="000000"/>
          <w:sz w:val="20"/>
          <w:szCs w:val="20"/>
        </w:rPr>
        <w:t>11</w:t>
      </w:r>
    </w:p>
    <w:p w:rsidR="00000000" w:rsidRDefault="0040289C">
      <w:pPr>
        <w:rPr>
          <w:rFonts w:eastAsia="Times New Roman"/>
        </w:rPr>
      </w:pPr>
      <w:r>
        <w:rPr>
          <w:rFonts w:eastAsia="Times New Roman"/>
        </w:rPr>
        <w:pict>
          <v:rect id="_x0000_i1040" style="width:0;height:1.5pt" o:hralign="center" o:hrstd="t" o:hr="t" fillcolor="#a0a0a0" stroked="f"/>
        </w:pict>
      </w:r>
    </w:p>
    <w:p w:rsidR="00000000" w:rsidRDefault="0040289C">
      <w:pPr>
        <w:divId w:val="41000335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60988625"/>
        <w:rPr>
          <w:rFonts w:eastAsia="Times New Roman"/>
        </w:rPr>
      </w:pPr>
    </w:p>
    <w:p w:rsidR="00000000" w:rsidRDefault="0040289C">
      <w:pPr>
        <w:jc w:val="both"/>
        <w:rPr>
          <w:rFonts w:eastAsia="Times New Roman"/>
        </w:rPr>
      </w:pPr>
      <w:r>
        <w:rPr>
          <w:rFonts w:eastAsia="Times New Roman"/>
          <w:color w:val="000000"/>
          <w:sz w:val="20"/>
          <w:szCs w:val="20"/>
        </w:rPr>
        <w:t>NCR—Inv</w:t>
      </w:r>
      <w:r>
        <w:rPr>
          <w:rFonts w:eastAsia="Times New Roman"/>
          <w:color w:val="000000"/>
          <w:sz w:val="20"/>
          <w:szCs w:val="20"/>
        </w:rPr>
        <w:t xml:space="preserve">estor Relations </w:t>
      </w:r>
    </w:p>
    <w:p w:rsidR="00000000" w:rsidRDefault="0040289C">
      <w:pPr>
        <w:jc w:val="both"/>
        <w:rPr>
          <w:rFonts w:eastAsia="Times New Roman"/>
        </w:rPr>
      </w:pPr>
      <w:r>
        <w:rPr>
          <w:rFonts w:eastAsia="Times New Roman"/>
          <w:color w:val="000000"/>
          <w:sz w:val="20"/>
          <w:szCs w:val="20"/>
        </w:rPr>
        <w:t>864 Spring Street NW</w:t>
      </w:r>
    </w:p>
    <w:p w:rsidR="00000000" w:rsidRDefault="0040289C">
      <w:pPr>
        <w:jc w:val="both"/>
        <w:rPr>
          <w:rFonts w:eastAsia="Times New Roman"/>
        </w:rPr>
      </w:pPr>
      <w:r>
        <w:rPr>
          <w:rFonts w:eastAsia="Times New Roman"/>
          <w:color w:val="000000"/>
          <w:sz w:val="20"/>
          <w:szCs w:val="20"/>
        </w:rPr>
        <w:t>Atlanta, GA 30308</w:t>
      </w:r>
    </w:p>
    <w:p w:rsidR="00000000" w:rsidRDefault="0040289C">
      <w:pPr>
        <w:jc w:val="both"/>
        <w:rPr>
          <w:rFonts w:eastAsia="Times New Roman"/>
        </w:rPr>
      </w:pPr>
      <w:r>
        <w:rPr>
          <w:rFonts w:eastAsia="Times New Roman"/>
          <w:color w:val="000000"/>
          <w:sz w:val="20"/>
          <w:szCs w:val="20"/>
        </w:rPr>
        <w:t xml:space="preserve">Phone: 800-255-5627 </w:t>
      </w:r>
    </w:p>
    <w:p w:rsidR="00000000" w:rsidRDefault="0040289C">
      <w:pPr>
        <w:jc w:val="both"/>
        <w:rPr>
          <w:rFonts w:eastAsia="Times New Roman"/>
        </w:rPr>
      </w:pPr>
      <w:r>
        <w:rPr>
          <w:rFonts w:eastAsia="Times New Roman"/>
          <w:color w:val="000000"/>
          <w:sz w:val="20"/>
          <w:szCs w:val="20"/>
        </w:rPr>
        <w:t xml:space="preserve">E-Mail: investor.relations@ncr.com </w:t>
      </w:r>
    </w:p>
    <w:p w:rsidR="00000000" w:rsidRDefault="0040289C">
      <w:pPr>
        <w:jc w:val="both"/>
        <w:rPr>
          <w:rFonts w:eastAsia="Times New Roman"/>
        </w:rPr>
      </w:pPr>
      <w:r>
        <w:rPr>
          <w:rFonts w:eastAsia="Times New Roman"/>
          <w:color w:val="000000"/>
          <w:sz w:val="20"/>
          <w:szCs w:val="20"/>
        </w:rPr>
        <w:t xml:space="preserve">Website: http://investor.ncr.com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NCR's website, www.ncr.com, contains a significant amount of information about NCR, including financial and</w:t>
      </w:r>
      <w:r>
        <w:rPr>
          <w:rFonts w:eastAsia="Times New Roman"/>
          <w:color w:val="000000"/>
          <w:sz w:val="20"/>
          <w:szCs w:val="20"/>
        </w:rPr>
        <w:t xml:space="preserve"> other information for investors. NCR encourages investors to visit its website regularly, as information may be updated and new information may be posted at any time. The contents of NCR's website are not incorporated by reference into this Form 10-K and </w:t>
      </w:r>
      <w:r>
        <w:rPr>
          <w:rFonts w:eastAsia="Times New Roman"/>
          <w:color w:val="000000"/>
          <w:sz w:val="20"/>
          <w:szCs w:val="20"/>
        </w:rPr>
        <w:t>shall not be deemed “filed” under the Exchange Act.</w:t>
      </w:r>
    </w:p>
    <w:p w:rsidR="00000000" w:rsidRDefault="0040289C">
      <w:pPr>
        <w:jc w:val="center"/>
        <w:divId w:val="152724950"/>
        <w:rPr>
          <w:rFonts w:eastAsia="Times New Roman"/>
        </w:rPr>
      </w:pPr>
      <w:r>
        <w:rPr>
          <w:rFonts w:eastAsia="Times New Roman"/>
          <w:color w:val="000000"/>
          <w:sz w:val="20"/>
          <w:szCs w:val="20"/>
        </w:rPr>
        <w:t>12</w:t>
      </w:r>
    </w:p>
    <w:p w:rsidR="00000000" w:rsidRDefault="0040289C">
      <w:pPr>
        <w:rPr>
          <w:rFonts w:eastAsia="Times New Roman"/>
        </w:rPr>
      </w:pPr>
      <w:r>
        <w:rPr>
          <w:rFonts w:eastAsia="Times New Roman"/>
        </w:rPr>
        <w:pict>
          <v:rect id="_x0000_i1041" style="width:0;height:1.5pt" o:hralign="center" o:hrstd="t" o:hr="t" fillcolor="#a0a0a0" stroked="f"/>
        </w:pict>
      </w:r>
    </w:p>
    <w:p w:rsidR="00000000" w:rsidRDefault="0040289C">
      <w:pPr>
        <w:divId w:val="188586786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133327056"/>
        <w:rPr>
          <w:rFonts w:eastAsia="Times New Roman"/>
        </w:rPr>
      </w:pPr>
    </w:p>
    <w:p w:rsidR="00000000" w:rsidRDefault="0040289C">
      <w:pPr>
        <w:jc w:val="both"/>
        <w:rPr>
          <w:rFonts w:eastAsia="Times New Roman"/>
        </w:rPr>
      </w:pPr>
      <w:r>
        <w:rPr>
          <w:rFonts w:eastAsia="Times New Roman"/>
          <w:b/>
          <w:bCs/>
          <w:color w:val="000000"/>
          <w:sz w:val="20"/>
          <w:szCs w:val="20"/>
        </w:rPr>
        <w:t>Item 1A.    RISK FACTORS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The risks and uncertainties described below could materially and adversely affect our business, financial condition, results of operations, could cause actual results to differ materially from our expectations and projections, and could cause the market va</w:t>
      </w:r>
      <w:r>
        <w:rPr>
          <w:rFonts w:eastAsia="Times New Roman"/>
          <w:i/>
          <w:iCs/>
          <w:color w:val="000000"/>
          <w:sz w:val="20"/>
          <w:szCs w:val="20"/>
        </w:rPr>
        <w:t>lue of our stock to decline. You should consider these risk factors when reading the rest of this Annual Report on Form 10-K, including “Management's Discussion and Analysis of Financial Condition and Results of Operations” and our financial statements and</w:t>
      </w:r>
      <w:r>
        <w:rPr>
          <w:rFonts w:eastAsia="Times New Roman"/>
          <w:i/>
          <w:iCs/>
          <w:color w:val="000000"/>
          <w:sz w:val="20"/>
          <w:szCs w:val="20"/>
        </w:rPr>
        <w:t xml:space="preserve"> related notes included elsewhere in this document. These risk factors may not include all of the important factors that could affect our business or our industry or that could cause our future financial results to differ materially from historic or expect</w:t>
      </w:r>
      <w:r>
        <w:rPr>
          <w:rFonts w:eastAsia="Times New Roman"/>
          <w:i/>
          <w:iCs/>
          <w:color w:val="000000"/>
          <w:sz w:val="20"/>
          <w:szCs w:val="20"/>
        </w:rPr>
        <w:t>ed results or cause the market price of our common stock to fluctuate or decline.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RISK FACTOR SUMMARY</w:t>
      </w:r>
    </w:p>
    <w:p w:rsidR="00000000" w:rsidRDefault="0040289C">
      <w:pPr>
        <w:jc w:val="both"/>
        <w:rPr>
          <w:rFonts w:eastAsia="Times New Roman"/>
        </w:rPr>
      </w:pPr>
    </w:p>
    <w:p w:rsidR="00000000" w:rsidRDefault="0040289C">
      <w:pPr>
        <w:divId w:val="1631280945"/>
        <w:rPr>
          <w:rFonts w:eastAsia="Times New Roman"/>
        </w:rPr>
      </w:pPr>
      <w:r>
        <w:rPr>
          <w:rFonts w:eastAsia="Times New Roman"/>
          <w:color w:val="000000"/>
          <w:sz w:val="20"/>
          <w:szCs w:val="20"/>
        </w:rPr>
        <w:t>The following is a summary of the risks and uncertainties that could materially and adversely affect our business, financial condition, and results of</w:t>
      </w:r>
      <w:r>
        <w:rPr>
          <w:rFonts w:eastAsia="Times New Roman"/>
          <w:color w:val="000000"/>
          <w:sz w:val="20"/>
          <w:szCs w:val="20"/>
        </w:rPr>
        <w:t xml:space="preserve"> operations. You should read this summary together with the more detailed description of each risk factor contained below.</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Risks Associated with our Strategy &amp; Technology</w:t>
      </w:r>
    </w:p>
    <w:p w:rsidR="00000000" w:rsidRDefault="0040289C">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If we are unsuccessful in transforming our business model, our operating results c</w:t>
      </w:r>
      <w:r>
        <w:rPr>
          <w:rFonts w:eastAsia="Times New Roman"/>
          <w:color w:val="000000"/>
          <w:sz w:val="20"/>
          <w:szCs w:val="20"/>
        </w:rPr>
        <w:t>ould be negatively impacted.</w:t>
      </w:r>
    </w:p>
    <w:p w:rsidR="00000000" w:rsidRDefault="0040289C">
      <w:pPr>
        <w:ind w:hanging="360"/>
        <w:jc w:val="both"/>
        <w:rPr>
          <w:rFonts w:eastAsia="Times New Roman"/>
        </w:rPr>
      </w:pPr>
      <w:r>
        <w:rPr>
          <w:rFonts w:eastAsia="Times New Roman"/>
          <w:color w:val="000000"/>
          <w:sz w:val="20"/>
          <w:szCs w:val="20"/>
        </w:rPr>
        <w:t>•If we do not swiftly and successfully develop and introduce new solutions in the competitive, rapidly changing environment in which we do business, our business results may be impacted.</w:t>
      </w:r>
    </w:p>
    <w:p w:rsidR="00000000" w:rsidRDefault="0040289C">
      <w:pPr>
        <w:ind w:hanging="360"/>
        <w:jc w:val="both"/>
        <w:rPr>
          <w:rFonts w:eastAsia="Times New Roman"/>
        </w:rPr>
      </w:pPr>
      <w:r>
        <w:rPr>
          <w:rFonts w:eastAsia="Times New Roman"/>
          <w:color w:val="000000"/>
          <w:sz w:val="20"/>
          <w:szCs w:val="20"/>
        </w:rPr>
        <w:t>•If we do not compete effectively within</w:t>
      </w:r>
      <w:r>
        <w:rPr>
          <w:rFonts w:eastAsia="Times New Roman"/>
          <w:color w:val="000000"/>
          <w:sz w:val="20"/>
          <w:szCs w:val="20"/>
        </w:rPr>
        <w:t xml:space="preserve"> the technology industry, we will not be successful.</w:t>
      </w:r>
    </w:p>
    <w:p w:rsidR="00000000" w:rsidRDefault="0040289C">
      <w:pPr>
        <w:ind w:hanging="360"/>
        <w:divId w:val="2096895043"/>
        <w:rPr>
          <w:rFonts w:eastAsia="Times New Roman"/>
        </w:rPr>
      </w:pPr>
      <w:r>
        <w:rPr>
          <w:rFonts w:ascii="Arial" w:eastAsia="Times New Roman" w:hAnsi="Arial" w:cs="Arial"/>
          <w:color w:val="000000"/>
        </w:rPr>
        <w:t>•</w:t>
      </w:r>
      <w:r>
        <w:rPr>
          <w:rFonts w:eastAsia="Times New Roman"/>
          <w:color w:val="000000"/>
          <w:sz w:val="20"/>
          <w:szCs w:val="20"/>
        </w:rPr>
        <w:t>If we do not successfully integrate acquisitions or effectively manage alliance activities, we may not drive future growth.</w:t>
      </w:r>
    </w:p>
    <w:p w:rsidR="00000000" w:rsidRDefault="0040289C">
      <w:pPr>
        <w:ind w:hanging="360"/>
        <w:divId w:val="1492018270"/>
        <w:rPr>
          <w:rFonts w:eastAsia="Times New Roman"/>
        </w:rPr>
      </w:pPr>
      <w:r>
        <w:rPr>
          <w:rFonts w:eastAsia="Times New Roman"/>
          <w:color w:val="000000"/>
          <w:sz w:val="20"/>
          <w:szCs w:val="20"/>
        </w:rPr>
        <w:t>•Our multinational operations, including in new and emerging markets, expose u</w:t>
      </w:r>
      <w:r>
        <w:rPr>
          <w:rFonts w:eastAsia="Times New Roman"/>
          <w:color w:val="000000"/>
          <w:sz w:val="20"/>
          <w:szCs w:val="20"/>
        </w:rPr>
        <w:t>s to business and legal risks.</w:t>
      </w:r>
    </w:p>
    <w:p w:rsidR="00000000" w:rsidRDefault="0040289C">
      <w:pPr>
        <w:ind w:hanging="360"/>
        <w:divId w:val="221716850"/>
        <w:rPr>
          <w:rFonts w:eastAsia="Times New Roman"/>
        </w:rPr>
      </w:pPr>
      <w:r>
        <w:rPr>
          <w:rFonts w:eastAsia="Times New Roman"/>
          <w:color w:val="000000"/>
          <w:sz w:val="20"/>
          <w:szCs w:val="20"/>
        </w:rPr>
        <w:t>•The planned separation of NCR into two independent, publicly traded companies – one focused on digital commerce, the other on ATMs, is subject to various risks and uncertainties and may not be completed in accordance with th</w:t>
      </w:r>
      <w:r>
        <w:rPr>
          <w:rFonts w:eastAsia="Times New Roman"/>
          <w:color w:val="000000"/>
          <w:sz w:val="20"/>
          <w:szCs w:val="20"/>
        </w:rPr>
        <w:t>e expected plans or anticipated timeline, or at all, and will involve significant time, expense, and resources, which could disrupt or adversely affect our business.</w:t>
      </w:r>
    </w:p>
    <w:p w:rsidR="00000000" w:rsidRDefault="0040289C">
      <w:pPr>
        <w:ind w:hanging="360"/>
        <w:divId w:val="715809718"/>
        <w:rPr>
          <w:rFonts w:eastAsia="Times New Roman"/>
        </w:rPr>
      </w:pPr>
      <w:r>
        <w:rPr>
          <w:rFonts w:eastAsia="Times New Roman"/>
          <w:color w:val="000000"/>
          <w:sz w:val="20"/>
          <w:szCs w:val="20"/>
        </w:rPr>
        <w:t>•The planned separation may not achieve the anticipated benefits and will expose us to new</w:t>
      </w:r>
      <w:r>
        <w:rPr>
          <w:rFonts w:eastAsia="Times New Roman"/>
          <w:color w:val="000000"/>
          <w:sz w:val="20"/>
          <w:szCs w:val="20"/>
        </w:rPr>
        <w:t xml:space="preserve"> risks as the digital commerce company and the ATM company will have different financial profiles and each will be a smaller, less diversified company than NCR as it exists today.</w:t>
      </w:r>
    </w:p>
    <w:p w:rsidR="00000000" w:rsidRDefault="0040289C">
      <w:pPr>
        <w:ind w:hanging="360"/>
        <w:divId w:val="1524830444"/>
        <w:rPr>
          <w:rFonts w:eastAsia="Times New Roman"/>
        </w:rPr>
      </w:pPr>
      <w:r>
        <w:rPr>
          <w:rFonts w:eastAsia="Times New Roman"/>
          <w:color w:val="000000"/>
          <w:sz w:val="20"/>
          <w:szCs w:val="20"/>
        </w:rPr>
        <w:t>•If the planned separation is completed, the trading price of our common sto</w:t>
      </w:r>
      <w:r>
        <w:rPr>
          <w:rFonts w:eastAsia="Times New Roman"/>
          <w:color w:val="000000"/>
          <w:sz w:val="20"/>
          <w:szCs w:val="20"/>
        </w:rPr>
        <w:t xml:space="preserve">ck may decline and may experience greater volatility.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Risks Associated with our Business &amp; Operations </w:t>
      </w:r>
    </w:p>
    <w:p w:rsidR="00000000" w:rsidRDefault="0040289C">
      <w:pPr>
        <w:ind w:hanging="360"/>
        <w:divId w:val="1039278011"/>
        <w:rPr>
          <w:rFonts w:eastAsia="Times New Roman"/>
        </w:rPr>
      </w:pPr>
      <w:r>
        <w:rPr>
          <w:rFonts w:eastAsia="Times New Roman"/>
          <w:color w:val="000000"/>
          <w:sz w:val="20"/>
          <w:szCs w:val="20"/>
        </w:rPr>
        <w:t>•Our business may be negatively affected by domestic and global economic and credit conditions.</w:t>
      </w:r>
    </w:p>
    <w:p w:rsidR="00000000" w:rsidRDefault="0040289C">
      <w:pPr>
        <w:ind w:hanging="360"/>
        <w:divId w:val="1793666287"/>
        <w:rPr>
          <w:rFonts w:eastAsia="Times New Roman"/>
        </w:rPr>
      </w:pPr>
      <w:r>
        <w:rPr>
          <w:rFonts w:eastAsia="Times New Roman"/>
          <w:color w:val="000000"/>
          <w:sz w:val="20"/>
          <w:szCs w:val="20"/>
        </w:rPr>
        <w:t>•We are subject to certain significant risks and uncer</w:t>
      </w:r>
      <w:r>
        <w:rPr>
          <w:rFonts w:eastAsia="Times New Roman"/>
          <w:color w:val="000000"/>
          <w:sz w:val="20"/>
          <w:szCs w:val="20"/>
        </w:rPr>
        <w:t>tainties from the payments-related business and industry.</w:t>
      </w:r>
    </w:p>
    <w:p w:rsidR="00000000" w:rsidRDefault="0040289C">
      <w:pPr>
        <w:ind w:hanging="360"/>
        <w:divId w:val="1419518932"/>
        <w:rPr>
          <w:rFonts w:eastAsia="Times New Roman"/>
        </w:rPr>
      </w:pPr>
      <w:r>
        <w:rPr>
          <w:rFonts w:eastAsia="Times New Roman"/>
          <w:color w:val="000000"/>
          <w:sz w:val="20"/>
          <w:szCs w:val="20"/>
        </w:rPr>
        <w:t>•Disruptions in our data center hosting and public cloud facilities could adversely affect our business.</w:t>
      </w:r>
    </w:p>
    <w:p w:rsidR="00000000" w:rsidRDefault="0040289C">
      <w:pPr>
        <w:ind w:hanging="360"/>
        <w:divId w:val="449596674"/>
        <w:rPr>
          <w:rFonts w:eastAsia="Times New Roman"/>
        </w:rPr>
      </w:pPr>
      <w:r>
        <w:rPr>
          <w:rFonts w:eastAsia="Times New Roman"/>
          <w:color w:val="000000"/>
          <w:sz w:val="20"/>
          <w:szCs w:val="20"/>
        </w:rPr>
        <w:t xml:space="preserve">•If we do not retain key employees, or attract quality new and replacement employees, we may </w:t>
      </w:r>
      <w:r>
        <w:rPr>
          <w:rFonts w:eastAsia="Times New Roman"/>
          <w:color w:val="000000"/>
          <w:sz w:val="20"/>
          <w:szCs w:val="20"/>
        </w:rPr>
        <w:t xml:space="preserve">not be able to meet our business objectives. </w:t>
      </w:r>
    </w:p>
    <w:p w:rsidR="00000000" w:rsidRDefault="0040289C">
      <w:pPr>
        <w:ind w:hanging="360"/>
        <w:divId w:val="1929001887"/>
        <w:rPr>
          <w:rFonts w:eastAsia="Times New Roman"/>
        </w:rPr>
      </w:pPr>
      <w:r>
        <w:rPr>
          <w:rFonts w:eastAsia="Times New Roman"/>
          <w:color w:val="000000"/>
          <w:sz w:val="20"/>
          <w:szCs w:val="20"/>
        </w:rPr>
        <w:t>•Defects, errors, installation difficulties or development delays could expose us to potential liability, harm our reputation and negatively impact our business.</w:t>
      </w:r>
    </w:p>
    <w:p w:rsidR="00000000" w:rsidRDefault="0040289C">
      <w:pPr>
        <w:ind w:hanging="360"/>
        <w:divId w:val="1787848673"/>
        <w:rPr>
          <w:rFonts w:eastAsia="Times New Roman"/>
        </w:rPr>
      </w:pPr>
      <w:r>
        <w:rPr>
          <w:rFonts w:eastAsia="Times New Roman"/>
          <w:color w:val="000000"/>
          <w:sz w:val="20"/>
          <w:szCs w:val="20"/>
        </w:rPr>
        <w:t>•If third party suppliers upon which we rely are</w:t>
      </w:r>
      <w:r>
        <w:rPr>
          <w:rFonts w:eastAsia="Times New Roman"/>
          <w:color w:val="000000"/>
          <w:sz w:val="20"/>
          <w:szCs w:val="20"/>
        </w:rPr>
        <w:t xml:space="preserve"> not able to fulfill our needs, our ability to timely bring our products to market could be affected.</w:t>
      </w:r>
    </w:p>
    <w:p w:rsidR="00000000" w:rsidRDefault="0040289C">
      <w:pPr>
        <w:ind w:hanging="360"/>
        <w:divId w:val="1044016647"/>
        <w:rPr>
          <w:rFonts w:eastAsia="Times New Roman"/>
        </w:rPr>
      </w:pPr>
      <w:r>
        <w:rPr>
          <w:rFonts w:eastAsia="Times New Roman"/>
          <w:color w:val="000000"/>
          <w:sz w:val="20"/>
          <w:szCs w:val="20"/>
        </w:rPr>
        <w:t xml:space="preserve">•A major natural disaster or catastrophic event could have a materially adverse effect on our business, financial condition and results of operations, or </w:t>
      </w:r>
      <w:r>
        <w:rPr>
          <w:rFonts w:eastAsia="Times New Roman"/>
          <w:color w:val="000000"/>
          <w:sz w:val="20"/>
          <w:szCs w:val="20"/>
        </w:rPr>
        <w:t>have other adverse consequences.</w:t>
      </w:r>
    </w:p>
    <w:p w:rsidR="00000000" w:rsidRDefault="0040289C">
      <w:pPr>
        <w:ind w:hanging="360"/>
        <w:divId w:val="686903938"/>
        <w:rPr>
          <w:rFonts w:eastAsia="Times New Roman"/>
        </w:rPr>
      </w:pPr>
      <w:r>
        <w:rPr>
          <w:rFonts w:eastAsia="Times New Roman"/>
          <w:color w:val="000000"/>
          <w:sz w:val="20"/>
          <w:szCs w:val="20"/>
        </w:rPr>
        <w:t>•Our historical and ongoing manufacturing activities subject us to environmental exposures.</w:t>
      </w:r>
    </w:p>
    <w:p w:rsidR="00000000" w:rsidRDefault="0040289C">
      <w:pPr>
        <w:ind w:hanging="360"/>
        <w:divId w:val="1480808281"/>
        <w:rPr>
          <w:rFonts w:eastAsia="Times New Roman"/>
        </w:rPr>
      </w:pPr>
      <w:r>
        <w:rPr>
          <w:rFonts w:eastAsia="Times New Roman"/>
          <w:color w:val="000000"/>
          <w:sz w:val="20"/>
          <w:szCs w:val="20"/>
        </w:rPr>
        <w:t>•Climate change could negatively impact our business long-term.</w:t>
      </w:r>
    </w:p>
    <w:p w:rsidR="00000000" w:rsidRDefault="0040289C">
      <w:pPr>
        <w:ind w:hanging="360"/>
        <w:divId w:val="125855577"/>
        <w:rPr>
          <w:rFonts w:eastAsia="Times New Roman"/>
        </w:rPr>
      </w:pPr>
      <w:r>
        <w:rPr>
          <w:rFonts w:eastAsia="Times New Roman"/>
          <w:color w:val="000000"/>
          <w:sz w:val="20"/>
          <w:szCs w:val="20"/>
        </w:rPr>
        <w:t>•</w:t>
      </w:r>
      <w:r>
        <w:rPr>
          <w:rFonts w:eastAsia="Times New Roman"/>
          <w:color w:val="000000"/>
          <w:sz w:val="20"/>
          <w:szCs w:val="20"/>
        </w:rPr>
        <w:t>Data protection, cybersecurity and data privacy issues could negatively impact our business.</w:t>
      </w:r>
    </w:p>
    <w:p w:rsidR="00000000" w:rsidRDefault="0040289C">
      <w:pPr>
        <w:divId w:val="1637636811"/>
        <w:rPr>
          <w:rFonts w:eastAsia="Times New Roman"/>
        </w:rPr>
      </w:pPr>
    </w:p>
    <w:p w:rsidR="00000000" w:rsidRDefault="0040289C">
      <w:pPr>
        <w:jc w:val="both"/>
        <w:rPr>
          <w:rFonts w:eastAsia="Times New Roman"/>
        </w:rPr>
      </w:pPr>
      <w:r>
        <w:rPr>
          <w:rFonts w:eastAsia="Times New Roman"/>
          <w:b/>
          <w:bCs/>
          <w:color w:val="000000"/>
          <w:sz w:val="20"/>
          <w:szCs w:val="20"/>
        </w:rPr>
        <w:t xml:space="preserve">Risks Associated with our Finance &amp; Accounting </w:t>
      </w:r>
    </w:p>
    <w:p w:rsidR="00000000" w:rsidRDefault="0040289C">
      <w:pPr>
        <w:ind w:hanging="360"/>
        <w:divId w:val="1160922128"/>
        <w:rPr>
          <w:rFonts w:eastAsia="Times New Roman"/>
        </w:rPr>
      </w:pPr>
      <w:r>
        <w:rPr>
          <w:rFonts w:eastAsia="Times New Roman"/>
          <w:color w:val="000000"/>
          <w:sz w:val="20"/>
          <w:szCs w:val="20"/>
        </w:rPr>
        <w:t>•Our level of indebtedness could limit our financial and operating activities and adversely affect our ability to</w:t>
      </w:r>
      <w:r>
        <w:rPr>
          <w:rFonts w:eastAsia="Times New Roman"/>
          <w:color w:val="000000"/>
          <w:sz w:val="20"/>
          <w:szCs w:val="20"/>
        </w:rPr>
        <w:t xml:space="preserve"> incur additional debt to fund future needs.</w:t>
      </w:r>
    </w:p>
    <w:p w:rsidR="00000000" w:rsidRDefault="0040289C">
      <w:pPr>
        <w:ind w:hanging="360"/>
        <w:divId w:val="1218785104"/>
        <w:rPr>
          <w:rFonts w:eastAsia="Times New Roman"/>
        </w:rPr>
      </w:pPr>
      <w:r>
        <w:rPr>
          <w:rFonts w:eastAsia="Times New Roman"/>
          <w:color w:val="000000"/>
          <w:sz w:val="20"/>
          <w:szCs w:val="20"/>
        </w:rPr>
        <w:t xml:space="preserve">•The terms of the documents governing our indebtedness include financial and other covenants that could restrict or limit our financial and business operations. </w:t>
      </w:r>
    </w:p>
    <w:p w:rsidR="00000000" w:rsidRDefault="0040289C">
      <w:pPr>
        <w:ind w:hanging="360"/>
        <w:divId w:val="744954604"/>
        <w:rPr>
          <w:rFonts w:eastAsia="Times New Roman"/>
        </w:rPr>
      </w:pPr>
      <w:r>
        <w:rPr>
          <w:rFonts w:eastAsia="Times New Roman"/>
          <w:color w:val="000000"/>
          <w:sz w:val="20"/>
          <w:szCs w:val="20"/>
        </w:rPr>
        <w:t>•Despite our current levels of debt, we may still</w:t>
      </w:r>
      <w:r>
        <w:rPr>
          <w:rFonts w:eastAsia="Times New Roman"/>
          <w:color w:val="000000"/>
          <w:sz w:val="20"/>
          <w:szCs w:val="20"/>
        </w:rPr>
        <w:t xml:space="preserve"> incur substantially more debt, including secured debt, and similar liabilities, which would increase the risks described in these risk factors relating to indebtedness.</w:t>
      </w:r>
    </w:p>
    <w:p w:rsidR="00000000" w:rsidRDefault="0040289C">
      <w:pPr>
        <w:ind w:hanging="360"/>
        <w:divId w:val="1784571350"/>
        <w:rPr>
          <w:rFonts w:eastAsia="Times New Roman"/>
        </w:rPr>
      </w:pPr>
      <w:r>
        <w:rPr>
          <w:rFonts w:eastAsia="Times New Roman"/>
          <w:color w:val="000000"/>
          <w:sz w:val="20"/>
          <w:szCs w:val="20"/>
        </w:rPr>
        <w:t>•If we are unable to continue to access or renew financing sources and obtain capital,</w:t>
      </w:r>
      <w:r>
        <w:rPr>
          <w:rFonts w:eastAsia="Times New Roman"/>
          <w:color w:val="000000"/>
          <w:sz w:val="20"/>
          <w:szCs w:val="20"/>
        </w:rPr>
        <w:t xml:space="preserve"> our ability to maintain and grow our business may be impaired.</w:t>
      </w:r>
    </w:p>
    <w:p w:rsidR="00000000" w:rsidRDefault="0040289C">
      <w:pPr>
        <w:ind w:hanging="360"/>
        <w:divId w:val="1986156003"/>
        <w:rPr>
          <w:rFonts w:eastAsia="Times New Roman"/>
        </w:rPr>
      </w:pPr>
      <w:r>
        <w:rPr>
          <w:rFonts w:eastAsia="Times New Roman"/>
          <w:color w:val="000000"/>
          <w:sz w:val="20"/>
          <w:szCs w:val="20"/>
        </w:rPr>
        <w:t>•Our cash flows may not be sufficient to service our indebtedness, and if we are unable to satisfy our obligations under our indebtedness, we may be required to seek other financing alternativ</w:t>
      </w:r>
      <w:r>
        <w:rPr>
          <w:rFonts w:eastAsia="Times New Roman"/>
          <w:color w:val="000000"/>
          <w:sz w:val="20"/>
          <w:szCs w:val="20"/>
        </w:rPr>
        <w:t>es, which may not be successful.</w:t>
      </w:r>
    </w:p>
    <w:p w:rsidR="00000000" w:rsidRDefault="0040289C">
      <w:pPr>
        <w:jc w:val="center"/>
        <w:divId w:val="2035227878"/>
        <w:rPr>
          <w:rFonts w:eastAsia="Times New Roman"/>
        </w:rPr>
      </w:pPr>
      <w:r>
        <w:rPr>
          <w:rFonts w:eastAsia="Times New Roman"/>
          <w:color w:val="000000"/>
          <w:sz w:val="20"/>
          <w:szCs w:val="20"/>
        </w:rPr>
        <w:t>13</w:t>
      </w:r>
    </w:p>
    <w:p w:rsidR="00000000" w:rsidRDefault="0040289C">
      <w:pPr>
        <w:rPr>
          <w:rFonts w:eastAsia="Times New Roman"/>
        </w:rPr>
      </w:pPr>
      <w:r>
        <w:rPr>
          <w:rFonts w:eastAsia="Times New Roman"/>
        </w:rPr>
        <w:pict>
          <v:rect id="_x0000_i1042" style="width:0;height:1.5pt" o:hralign="center" o:hrstd="t" o:hr="t" fillcolor="#a0a0a0" stroked="f"/>
        </w:pict>
      </w:r>
    </w:p>
    <w:p w:rsidR="00000000" w:rsidRDefault="0040289C">
      <w:pPr>
        <w:divId w:val="172198036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180966101"/>
        <w:rPr>
          <w:rFonts w:eastAsia="Times New Roman"/>
        </w:rPr>
      </w:pPr>
    </w:p>
    <w:p w:rsidR="00000000" w:rsidRDefault="0040289C">
      <w:pPr>
        <w:ind w:hanging="360"/>
        <w:divId w:val="486089745"/>
        <w:rPr>
          <w:rFonts w:eastAsia="Times New Roman"/>
        </w:rPr>
      </w:pPr>
      <w:r>
        <w:rPr>
          <w:rFonts w:eastAsia="Times New Roman"/>
          <w:color w:val="000000"/>
          <w:sz w:val="20"/>
          <w:szCs w:val="20"/>
        </w:rPr>
        <w:t>•Borrowings under our senior secured credit facilities bear interest at a variable rate which subjects us</w:t>
      </w:r>
      <w:r>
        <w:rPr>
          <w:rFonts w:eastAsia="Times New Roman"/>
          <w:color w:val="000000"/>
          <w:sz w:val="20"/>
          <w:szCs w:val="20"/>
        </w:rPr>
        <w:t xml:space="preserve"> to interest rate risk, which could cause our debt service obligations or other costs of capital under our senior secured credit facilities to increase significantly.</w:t>
      </w:r>
    </w:p>
    <w:p w:rsidR="00000000" w:rsidRDefault="0040289C">
      <w:pPr>
        <w:ind w:hanging="360"/>
        <w:divId w:val="794249428"/>
        <w:rPr>
          <w:rFonts w:eastAsia="Times New Roman"/>
        </w:rPr>
      </w:pPr>
      <w:r>
        <w:rPr>
          <w:rFonts w:eastAsia="Times New Roman"/>
          <w:color w:val="000000"/>
          <w:sz w:val="20"/>
          <w:szCs w:val="20"/>
        </w:rPr>
        <w:t>•The terms governing our trade receivables facility, including the length of term, financ</w:t>
      </w:r>
      <w:r>
        <w:rPr>
          <w:rFonts w:eastAsia="Times New Roman"/>
          <w:color w:val="000000"/>
          <w:sz w:val="20"/>
          <w:szCs w:val="20"/>
        </w:rPr>
        <w:t>ial and other covenants, and obligations to remit collections on the sold receivables could restrict or otherwise limit our financial and business operations.</w:t>
      </w:r>
    </w:p>
    <w:p w:rsidR="00000000" w:rsidRDefault="0040289C">
      <w:pPr>
        <w:ind w:hanging="360"/>
        <w:divId w:val="485434442"/>
        <w:rPr>
          <w:rFonts w:eastAsia="Times New Roman"/>
        </w:rPr>
      </w:pPr>
      <w:r>
        <w:rPr>
          <w:rFonts w:eastAsia="Times New Roman"/>
          <w:color w:val="000000"/>
          <w:sz w:val="20"/>
          <w:szCs w:val="20"/>
        </w:rPr>
        <w:t xml:space="preserve">•Certain changes in control may result in an acceleration of our indebtedness or our obligations </w:t>
      </w:r>
      <w:r>
        <w:rPr>
          <w:rFonts w:eastAsia="Times New Roman"/>
          <w:color w:val="000000"/>
          <w:sz w:val="20"/>
          <w:szCs w:val="20"/>
        </w:rPr>
        <w:t>under other financing arrangements, or may require us to repurchase our senior unsecured notes or our Series A Convertible Preferred Stock.</w:t>
      </w:r>
    </w:p>
    <w:p w:rsidR="00000000" w:rsidRDefault="0040289C">
      <w:pPr>
        <w:ind w:hanging="360"/>
        <w:divId w:val="1197278276"/>
        <w:rPr>
          <w:rFonts w:eastAsia="Times New Roman"/>
        </w:rPr>
      </w:pPr>
      <w:r>
        <w:rPr>
          <w:rFonts w:eastAsia="Times New Roman"/>
          <w:color w:val="000000"/>
          <w:sz w:val="20"/>
          <w:szCs w:val="20"/>
        </w:rPr>
        <w:t xml:space="preserve">•A lowering or withdrawal of the ratings assigned to our debt securities by rating agencies may increase our future </w:t>
      </w:r>
      <w:r>
        <w:rPr>
          <w:rFonts w:eastAsia="Times New Roman"/>
          <w:color w:val="000000"/>
          <w:sz w:val="20"/>
          <w:szCs w:val="20"/>
        </w:rPr>
        <w:t xml:space="preserve">capital costs and reduce our access to capital. </w:t>
      </w:r>
    </w:p>
    <w:p w:rsidR="00000000" w:rsidRDefault="0040289C">
      <w:pPr>
        <w:ind w:hanging="360"/>
        <w:divId w:val="947086335"/>
        <w:rPr>
          <w:rFonts w:eastAsia="Times New Roman"/>
        </w:rPr>
      </w:pPr>
      <w:r>
        <w:rPr>
          <w:rFonts w:eastAsia="Times New Roman"/>
          <w:color w:val="000000"/>
          <w:sz w:val="20"/>
          <w:szCs w:val="20"/>
        </w:rPr>
        <w:t>•Our pension liabilities could adversely affect our liquidity and financial condition.</w:t>
      </w:r>
    </w:p>
    <w:p w:rsidR="00000000" w:rsidRDefault="0040289C">
      <w:pPr>
        <w:ind w:hanging="360"/>
        <w:divId w:val="1593975509"/>
        <w:rPr>
          <w:rFonts w:eastAsia="Times New Roman"/>
        </w:rPr>
      </w:pPr>
      <w:r>
        <w:rPr>
          <w:rFonts w:eastAsia="Times New Roman"/>
          <w:color w:val="000000"/>
          <w:sz w:val="20"/>
          <w:szCs w:val="20"/>
        </w:rPr>
        <w:t>•We may be required to write down the value of certain significant assets, which would adversely affect our operating re</w:t>
      </w:r>
      <w:r>
        <w:rPr>
          <w:rFonts w:eastAsia="Times New Roman"/>
          <w:color w:val="000000"/>
          <w:sz w:val="20"/>
          <w:szCs w:val="20"/>
        </w:rPr>
        <w:t>sults.</w:t>
      </w:r>
    </w:p>
    <w:p w:rsidR="00000000" w:rsidRDefault="0040289C">
      <w:pPr>
        <w:divId w:val="1781025843"/>
        <w:rPr>
          <w:rFonts w:eastAsia="Times New Roman"/>
        </w:rPr>
      </w:pPr>
    </w:p>
    <w:p w:rsidR="00000000" w:rsidRDefault="0040289C">
      <w:pPr>
        <w:jc w:val="both"/>
        <w:rPr>
          <w:rFonts w:eastAsia="Times New Roman"/>
        </w:rPr>
      </w:pPr>
      <w:r>
        <w:rPr>
          <w:rFonts w:eastAsia="Times New Roman"/>
          <w:b/>
          <w:bCs/>
          <w:color w:val="000000"/>
          <w:sz w:val="20"/>
          <w:szCs w:val="20"/>
        </w:rPr>
        <w:t xml:space="preserve">Risks Associated with Law &amp; Compliance </w:t>
      </w:r>
    </w:p>
    <w:p w:rsidR="00000000" w:rsidRDefault="0040289C">
      <w:pPr>
        <w:ind w:hanging="360"/>
        <w:divId w:val="1502425484"/>
        <w:rPr>
          <w:rFonts w:eastAsia="Times New Roman"/>
        </w:rPr>
      </w:pPr>
      <w:r>
        <w:rPr>
          <w:rFonts w:eastAsia="Times New Roman"/>
          <w:color w:val="000000"/>
          <w:sz w:val="20"/>
          <w:szCs w:val="20"/>
        </w:rPr>
        <w:t>•Failure to protect intellectual property, and issues related to third party intellectual property can have an adverse effect.</w:t>
      </w:r>
    </w:p>
    <w:p w:rsidR="00000000" w:rsidRDefault="0040289C">
      <w:pPr>
        <w:ind w:hanging="360"/>
        <w:divId w:val="1628776875"/>
        <w:rPr>
          <w:rFonts w:eastAsia="Times New Roman"/>
        </w:rPr>
      </w:pPr>
      <w:r>
        <w:rPr>
          <w:rFonts w:eastAsia="Times New Roman"/>
          <w:color w:val="000000"/>
          <w:sz w:val="20"/>
          <w:szCs w:val="20"/>
        </w:rPr>
        <w:t>•Changes to our tax rates and additional income tax liabilities could impact pro</w:t>
      </w:r>
      <w:r>
        <w:rPr>
          <w:rFonts w:eastAsia="Times New Roman"/>
          <w:color w:val="000000"/>
          <w:sz w:val="20"/>
          <w:szCs w:val="20"/>
        </w:rPr>
        <w:t>fitability.</w:t>
      </w:r>
    </w:p>
    <w:p w:rsidR="00000000" w:rsidRDefault="0040289C">
      <w:pPr>
        <w:ind w:hanging="360"/>
        <w:divId w:val="636027410"/>
        <w:rPr>
          <w:rFonts w:eastAsia="Times New Roman"/>
        </w:rPr>
      </w:pPr>
      <w:r>
        <w:rPr>
          <w:rFonts w:eastAsia="Times New Roman"/>
          <w:color w:val="000000"/>
          <w:sz w:val="20"/>
          <w:szCs w:val="20"/>
        </w:rPr>
        <w:t>•We face uncertainties with regard to regulations, lawsuits and other related matters.</w:t>
      </w:r>
    </w:p>
    <w:p w:rsidR="00000000" w:rsidRDefault="0040289C">
      <w:pPr>
        <w:ind w:hanging="360"/>
        <w:divId w:val="1704594643"/>
        <w:rPr>
          <w:rFonts w:eastAsia="Times New Roman"/>
        </w:rPr>
      </w:pPr>
      <w:r>
        <w:rPr>
          <w:rFonts w:eastAsia="Times New Roman"/>
          <w:color w:val="000000"/>
          <w:sz w:val="20"/>
          <w:szCs w:val="20"/>
        </w:rPr>
        <w:t>•Changes to cryptocurrency regulations could impact profitability.</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Risks Associated with our Governance</w:t>
      </w:r>
    </w:p>
    <w:p w:rsidR="00000000" w:rsidRDefault="0040289C">
      <w:pPr>
        <w:ind w:hanging="360"/>
        <w:divId w:val="191189161"/>
        <w:rPr>
          <w:rFonts w:eastAsia="Times New Roman"/>
        </w:rPr>
      </w:pPr>
      <w:r>
        <w:rPr>
          <w:rFonts w:eastAsia="Times New Roman"/>
          <w:color w:val="000000"/>
          <w:sz w:val="20"/>
          <w:szCs w:val="20"/>
        </w:rPr>
        <w:t>•</w:t>
      </w:r>
      <w:r>
        <w:rPr>
          <w:rFonts w:eastAsia="Times New Roman"/>
          <w:color w:val="000000"/>
          <w:sz w:val="20"/>
          <w:szCs w:val="20"/>
        </w:rPr>
        <w:t xml:space="preserve">The issuance of shares of our Series A Convertible Preferred Stock reduces the relative voting power of holders of our common stock, and the conversion and sale of those shares would dilute the ownership of such holders and may adversely affect the market </w:t>
      </w:r>
      <w:r>
        <w:rPr>
          <w:rFonts w:eastAsia="Times New Roman"/>
          <w:color w:val="000000"/>
          <w:sz w:val="20"/>
          <w:szCs w:val="20"/>
        </w:rPr>
        <w:t>price of our common stock.</w:t>
      </w:r>
    </w:p>
    <w:p w:rsidR="00000000" w:rsidRDefault="0040289C">
      <w:pPr>
        <w:ind w:hanging="360"/>
        <w:divId w:val="130556484"/>
        <w:rPr>
          <w:rFonts w:eastAsia="Times New Roman"/>
        </w:rPr>
      </w:pPr>
      <w:r>
        <w:rPr>
          <w:rFonts w:eastAsia="Times New Roman"/>
          <w:color w:val="000000"/>
          <w:sz w:val="20"/>
          <w:szCs w:val="20"/>
        </w:rPr>
        <w:t>•Our Series A Convertible Preferred Stock has rights, preferences and privileges that are not held by, and are preferential to, the rights of our common stockholders, which could adversely affect our liquidity and financial condi</w:t>
      </w:r>
      <w:r>
        <w:rPr>
          <w:rFonts w:eastAsia="Times New Roman"/>
          <w:color w:val="000000"/>
          <w:sz w:val="20"/>
          <w:szCs w:val="20"/>
        </w:rPr>
        <w:t>tion, and may result in the interests of the holders of our Series A Convertible Preferred Stock differing from those of our common stockholders.</w:t>
      </w:r>
    </w:p>
    <w:p w:rsidR="00000000" w:rsidRDefault="0040289C">
      <w:pPr>
        <w:ind w:hanging="360"/>
        <w:divId w:val="439683052"/>
        <w:rPr>
          <w:rFonts w:eastAsia="Times New Roman"/>
        </w:rPr>
      </w:pPr>
      <w:r>
        <w:rPr>
          <w:rFonts w:eastAsia="Times New Roman"/>
          <w:color w:val="000000"/>
          <w:sz w:val="20"/>
          <w:szCs w:val="20"/>
        </w:rPr>
        <w:t xml:space="preserve">•We could be subject to actions or proposals from stockholders that do not align with our business strategies </w:t>
      </w:r>
      <w:r>
        <w:rPr>
          <w:rFonts w:eastAsia="Times New Roman"/>
          <w:color w:val="000000"/>
          <w:sz w:val="20"/>
          <w:szCs w:val="20"/>
        </w:rPr>
        <w:t>or the interests of our other stockholders.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STRATEGY AND TECHNOLOGY</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If we are unsuccessful in transforming our business model, our operating results could be negatively impacted.</w:t>
      </w:r>
      <w:r>
        <w:rPr>
          <w:rFonts w:eastAsia="Times New Roman"/>
          <w:color w:val="000000"/>
          <w:sz w:val="20"/>
          <w:szCs w:val="20"/>
        </w:rPr>
        <w:t xml:space="preserve"> In recent years, we have shifted our business model to become a software-</w:t>
      </w:r>
      <w:r>
        <w:rPr>
          <w:rFonts w:eastAsia="Times New Roman"/>
          <w:color w:val="000000"/>
          <w:sz w:val="20"/>
          <w:szCs w:val="20"/>
        </w:rPr>
        <w:t xml:space="preserve"> and services-led enterprise provider, focusing on increased software and services revenue, as well as recurring revenue, to enable NCR to become an as-a-Service company. Activating our strategy to create NCR-as-a-Service could negatively impact our revenu</w:t>
      </w:r>
      <w:r>
        <w:rPr>
          <w:rFonts w:eastAsia="Times New Roman"/>
          <w:color w:val="000000"/>
          <w:sz w:val="20"/>
          <w:szCs w:val="20"/>
        </w:rPr>
        <w:t>e and margin as we shift toward increasing recurring revenue. Additionally, this strategy includes the shift away from perpetual license-based products that yield revenue recognized at an earlier point in time to a term license model, that includes a termi</w:t>
      </w:r>
      <w:r>
        <w:rPr>
          <w:rFonts w:eastAsia="Times New Roman"/>
          <w:color w:val="000000"/>
          <w:sz w:val="20"/>
          <w:szCs w:val="20"/>
        </w:rPr>
        <w:t>nation for convenience which could also have a negative impact on our revenue and margin. We expect to continue to spend and may increase our capital expenditures to support our shift to NCR-as-a-Service with the focus on our strategic growth platforms, wh</w:t>
      </w:r>
      <w:r>
        <w:rPr>
          <w:rFonts w:eastAsia="Times New Roman"/>
          <w:color w:val="000000"/>
          <w:sz w:val="20"/>
          <w:szCs w:val="20"/>
        </w:rPr>
        <w:t xml:space="preserve">ich are the offerings with the highest growth potential to accelerate the shift. Our success depends on the return on investment generated from the capital expenditures and our ability to continue to execute these strategies, while improving the Company's </w:t>
      </w:r>
      <w:r>
        <w:rPr>
          <w:rFonts w:eastAsia="Times New Roman"/>
          <w:color w:val="000000"/>
          <w:sz w:val="20"/>
          <w:szCs w:val="20"/>
        </w:rPr>
        <w:t>cost structure. Successful execution of our strategy and the businesses associated with the strategic growth platforms depends on a number of different factors including, among others, developing, deploying and supporting the next generation of digital fir</w:t>
      </w:r>
      <w:r>
        <w:rPr>
          <w:rFonts w:eastAsia="Times New Roman"/>
          <w:color w:val="000000"/>
          <w:sz w:val="20"/>
          <w:szCs w:val="20"/>
        </w:rPr>
        <w:t>st software and cloud solutions for the industries we serve; market acceptance of our new and existing software and cloud solutions; successfully expanding the payment processing market; enabling our sales force to use a consultative selling model that bet</w:t>
      </w:r>
      <w:r>
        <w:rPr>
          <w:rFonts w:eastAsia="Times New Roman"/>
          <w:color w:val="000000"/>
          <w:sz w:val="20"/>
          <w:szCs w:val="20"/>
        </w:rPr>
        <w:t>ter incorporates our comprehensive and new solutions; transforming our services performance, capabilities and coverage to improve efficiency, incorporate remote diagnostic and other technologies and align with and support our new solutions; managing profes</w:t>
      </w:r>
      <w:r>
        <w:rPr>
          <w:rFonts w:eastAsia="Times New Roman"/>
          <w:color w:val="000000"/>
          <w:sz w:val="20"/>
          <w:szCs w:val="20"/>
        </w:rPr>
        <w:t>sional services and other costs associated with large solution roll-outs; integrating, and developing and supporting software gained through acquisitions. In addition, we continue to pursue initiatives to expand our customer base by increasing our use of i</w:t>
      </w:r>
      <w:r>
        <w:rPr>
          <w:rFonts w:eastAsia="Times New Roman"/>
          <w:color w:val="000000"/>
          <w:sz w:val="20"/>
          <w:szCs w:val="20"/>
        </w:rPr>
        <w:t>ndirect sales channels, and by developing, marketing and selling solutions aimed at the small- to medium-business market. It is not yet certain whether these initiatives will yield the anticipated benefits, or whether our solutions will be compelling and a</w:t>
      </w:r>
      <w:r>
        <w:rPr>
          <w:rFonts w:eastAsia="Times New Roman"/>
          <w:color w:val="000000"/>
          <w:sz w:val="20"/>
          <w:szCs w:val="20"/>
        </w:rPr>
        <w:t>ttractive to small- and medium-sized businesses. If we are not successful in growing software and services and expanding our customer base at the rate that we anticipate, implementing and managing these various initiatives and minimizing any resulting loss</w:t>
      </w:r>
      <w:r>
        <w:rPr>
          <w:rFonts w:eastAsia="Times New Roman"/>
          <w:color w:val="000000"/>
          <w:sz w:val="20"/>
          <w:szCs w:val="20"/>
        </w:rPr>
        <w:t xml:space="preserve"> in productivity, or if the costs to complete these initiatives is higher than anticipated, we may not meet our growth and gross margin projections or expectations, and operating results could be negatively impacted.</w:t>
      </w:r>
    </w:p>
    <w:p w:rsidR="00000000" w:rsidRDefault="0040289C">
      <w:pPr>
        <w:divId w:val="1790933346"/>
        <w:rPr>
          <w:rFonts w:eastAsia="Times New Roman"/>
        </w:rPr>
      </w:pPr>
    </w:p>
    <w:p w:rsidR="00000000" w:rsidRDefault="0040289C">
      <w:pPr>
        <w:jc w:val="both"/>
        <w:rPr>
          <w:rFonts w:eastAsia="Times New Roman"/>
        </w:rPr>
      </w:pPr>
    </w:p>
    <w:p w:rsidR="00000000" w:rsidRDefault="0040289C">
      <w:pPr>
        <w:jc w:val="center"/>
        <w:divId w:val="1309745927"/>
        <w:rPr>
          <w:rFonts w:eastAsia="Times New Roman"/>
        </w:rPr>
      </w:pPr>
      <w:r>
        <w:rPr>
          <w:rFonts w:eastAsia="Times New Roman"/>
          <w:color w:val="000000"/>
          <w:sz w:val="20"/>
          <w:szCs w:val="20"/>
        </w:rPr>
        <w:t>14</w:t>
      </w:r>
    </w:p>
    <w:p w:rsidR="00000000" w:rsidRDefault="0040289C">
      <w:pPr>
        <w:rPr>
          <w:rFonts w:eastAsia="Times New Roman"/>
        </w:rPr>
      </w:pPr>
      <w:r>
        <w:rPr>
          <w:rFonts w:eastAsia="Times New Roman"/>
        </w:rPr>
        <w:pict>
          <v:rect id="_x0000_i1043" style="width:0;height:1.5pt" o:hralign="center" o:hrstd="t" o:hr="t" fillcolor="#a0a0a0" stroked="f"/>
        </w:pict>
      </w:r>
    </w:p>
    <w:p w:rsidR="00000000" w:rsidRDefault="0040289C">
      <w:pPr>
        <w:divId w:val="94990068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805392554"/>
        <w:rPr>
          <w:rFonts w:eastAsia="Times New Roman"/>
        </w:rPr>
      </w:pPr>
    </w:p>
    <w:p w:rsidR="00000000" w:rsidRDefault="0040289C">
      <w:pPr>
        <w:jc w:val="both"/>
        <w:rPr>
          <w:rFonts w:eastAsia="Times New Roman"/>
        </w:rPr>
      </w:pPr>
      <w:r>
        <w:rPr>
          <w:rFonts w:eastAsia="Times New Roman"/>
          <w:b/>
          <w:bCs/>
          <w:i/>
          <w:iCs/>
          <w:color w:val="000000"/>
          <w:sz w:val="20"/>
          <w:szCs w:val="20"/>
        </w:rPr>
        <w:t>If we do not swiftly and successfully develop and introduce new solutions in the competitive, rapidly changing environment in which we do business, our business results may be impacted</w:t>
      </w:r>
      <w:r>
        <w:rPr>
          <w:rFonts w:eastAsia="Times New Roman"/>
          <w:i/>
          <w:iCs/>
          <w:color w:val="000000"/>
          <w:sz w:val="20"/>
          <w:szCs w:val="20"/>
        </w:rPr>
        <w:t>.</w:t>
      </w:r>
      <w:r>
        <w:rPr>
          <w:rFonts w:eastAsia="Times New Roman"/>
          <w:color w:val="000000"/>
          <w:sz w:val="20"/>
          <w:szCs w:val="20"/>
        </w:rPr>
        <w:t xml:space="preserve"> The development process for our solutions requires high levels of inno</w:t>
      </w:r>
      <w:r>
        <w:rPr>
          <w:rFonts w:eastAsia="Times New Roman"/>
          <w:color w:val="000000"/>
          <w:sz w:val="20"/>
          <w:szCs w:val="20"/>
        </w:rPr>
        <w:t xml:space="preserve">vation from our product development teams and suppliers of the components embedded or incorporated in our solutions. We expect to continue to spend and may increase our capital expenditures and allocate these expenditures primarily to our strategic growth </w:t>
      </w:r>
      <w:r>
        <w:rPr>
          <w:rFonts w:eastAsia="Times New Roman"/>
          <w:color w:val="000000"/>
          <w:sz w:val="20"/>
          <w:szCs w:val="20"/>
        </w:rPr>
        <w:t>platforms. In addition, certain of our solutions, including our cloud solutions, may require us to build, lease or expand, and maintain, infrastructure (such as hosting centers) to support them. The development process can be lengthy and costly, and requir</w:t>
      </w:r>
      <w:r>
        <w:rPr>
          <w:rFonts w:eastAsia="Times New Roman"/>
          <w:color w:val="000000"/>
          <w:sz w:val="20"/>
          <w:szCs w:val="20"/>
        </w:rPr>
        <w:t>es us to commit a significant amount of resources to bring our business solutions to market. In addition, our success may be impacted by safety and security technology and industry standards. We may not be able to anticipate our customers’ needs and techno</w:t>
      </w:r>
      <w:r>
        <w:rPr>
          <w:rFonts w:eastAsia="Times New Roman"/>
          <w:color w:val="000000"/>
          <w:sz w:val="20"/>
          <w:szCs w:val="20"/>
        </w:rPr>
        <w:t>logical and industry trends accurately, or to complete development of new solutions efficiently. In addition, contract terms, market conditions or customer preferences may affect our ability to limit, sunset or end-of-life our older products in a timely or</w:t>
      </w:r>
      <w:r>
        <w:rPr>
          <w:rFonts w:eastAsia="Times New Roman"/>
          <w:color w:val="000000"/>
          <w:sz w:val="20"/>
          <w:szCs w:val="20"/>
        </w:rPr>
        <w:t xml:space="preserve"> cost-effective fashion. If any of these risks materialize, we may be unable to introduce new solutions into the market on a timely basis, if at all, and our business and operating results could be impacted. Likewise, we sometimes make assurances to custom</w:t>
      </w:r>
      <w:r>
        <w:rPr>
          <w:rFonts w:eastAsia="Times New Roman"/>
          <w:color w:val="000000"/>
          <w:sz w:val="20"/>
          <w:szCs w:val="20"/>
        </w:rPr>
        <w:t>ers regarding the operability and specifications of new technologies, and our results could be impacted if we are unable to deliver such technologies, or if such technologies do not perform as planned. Once we have developed new solutions, if we cannot suc</w:t>
      </w:r>
      <w:r>
        <w:rPr>
          <w:rFonts w:eastAsia="Times New Roman"/>
          <w:color w:val="000000"/>
          <w:sz w:val="20"/>
          <w:szCs w:val="20"/>
        </w:rPr>
        <w:t>cessfully market and sell those solutions, our business and operating results could be negatively impacted.</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If we do not compete effectively within the technology industry, we will not be successful.</w:t>
      </w:r>
      <w:r>
        <w:rPr>
          <w:rFonts w:eastAsia="Times New Roman"/>
          <w:b/>
          <w:bCs/>
          <w:color w:val="000000"/>
          <w:sz w:val="20"/>
          <w:szCs w:val="20"/>
        </w:rPr>
        <w:t xml:space="preserve"> </w:t>
      </w:r>
      <w:r>
        <w:rPr>
          <w:rFonts w:eastAsia="Times New Roman"/>
          <w:color w:val="000000"/>
          <w:sz w:val="20"/>
          <w:szCs w:val="20"/>
        </w:rPr>
        <w:t>We operate in the intensely competitive technology ind</w:t>
      </w:r>
      <w:r>
        <w:rPr>
          <w:rFonts w:eastAsia="Times New Roman"/>
          <w:color w:val="000000"/>
          <w:sz w:val="20"/>
          <w:szCs w:val="20"/>
        </w:rPr>
        <w:t>ustry. This industry is characterized by rapidly changing technology, disruptive technological innovation, evolving industry standards, frequent new product introductions, price and cost reductions, and increasingly greater commoditization of products maki</w:t>
      </w:r>
      <w:r>
        <w:rPr>
          <w:rFonts w:eastAsia="Times New Roman"/>
          <w:color w:val="000000"/>
          <w:sz w:val="20"/>
          <w:szCs w:val="20"/>
        </w:rPr>
        <w:t>ng differentiation difficult. Our competitors include other large companies in the information technology industry, such as Fidelity National Information Services Inc., Fiserv, Inc., Temenos AG, Infosys Ltd., Alkami Technology, Inc., HP Inc., Diebold Nixdo</w:t>
      </w:r>
      <w:r>
        <w:rPr>
          <w:rFonts w:eastAsia="Times New Roman"/>
          <w:color w:val="000000"/>
          <w:sz w:val="20"/>
          <w:szCs w:val="20"/>
        </w:rPr>
        <w:t>rf, Inc., Hyosung TNS Inc., Toshiba Tec Corporation, Oracle Corporation, Fujitsu Limited, Q2 Holdings, Inc. and ACI Worldwide, Inc., many of which have more financial and technical resources, or more widespread distribution and market penetration for their</w:t>
      </w:r>
      <w:r>
        <w:rPr>
          <w:rFonts w:eastAsia="Times New Roman"/>
          <w:color w:val="000000"/>
          <w:sz w:val="20"/>
          <w:szCs w:val="20"/>
        </w:rPr>
        <w:t xml:space="preserve"> platforms and service offerings, than we do. We also compete with companies in specific industry segments, such as entry-level ATMs, POS solutions and imaging solutions. In addition, as consumers and customers in the banking, retail and hospitality indust</w:t>
      </w:r>
      <w:r>
        <w:rPr>
          <w:rFonts w:eastAsia="Times New Roman"/>
          <w:color w:val="000000"/>
          <w:sz w:val="20"/>
          <w:szCs w:val="20"/>
        </w:rPr>
        <w:t>ry adopt new alternative technologies such as cashless and other streamlined payment services and automated shopping solutions, we may face competition from other technology companies.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future competitive performance and market position depend on a nu</w:t>
      </w:r>
      <w:r>
        <w:rPr>
          <w:rFonts w:eastAsia="Times New Roman"/>
          <w:color w:val="000000"/>
          <w:sz w:val="20"/>
          <w:szCs w:val="20"/>
        </w:rPr>
        <w:t>mber of factors, including our ability to:</w:t>
      </w:r>
    </w:p>
    <w:p w:rsidR="00000000" w:rsidRDefault="0040289C">
      <w:pPr>
        <w:divId w:val="2046439924"/>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•execute our NCR-as-a-Service strategy to grow our software and services revenue, as well as our recurring revenue; </w:t>
      </w:r>
    </w:p>
    <w:p w:rsidR="00000000" w:rsidRDefault="0040289C">
      <w:pPr>
        <w:ind w:hanging="360"/>
        <w:jc w:val="both"/>
        <w:rPr>
          <w:rFonts w:eastAsia="Times New Roman"/>
        </w:rPr>
      </w:pPr>
      <w:r>
        <w:rPr>
          <w:rFonts w:eastAsia="Times New Roman"/>
          <w:color w:val="000000"/>
          <w:sz w:val="20"/>
          <w:szCs w:val="20"/>
        </w:rPr>
        <w:t>•improve margin expansion while successfully reacting to competitive product and pricing press</w:t>
      </w:r>
      <w:r>
        <w:rPr>
          <w:rFonts w:eastAsia="Times New Roman"/>
          <w:color w:val="000000"/>
          <w:sz w:val="20"/>
          <w:szCs w:val="20"/>
        </w:rPr>
        <w:t>ures;</w:t>
      </w:r>
    </w:p>
    <w:p w:rsidR="00000000" w:rsidRDefault="0040289C">
      <w:pPr>
        <w:ind w:hanging="360"/>
        <w:jc w:val="both"/>
        <w:rPr>
          <w:rFonts w:eastAsia="Times New Roman"/>
        </w:rPr>
      </w:pPr>
      <w:r>
        <w:rPr>
          <w:rFonts w:eastAsia="Times New Roman"/>
          <w:color w:val="000000"/>
          <w:sz w:val="20"/>
          <w:szCs w:val="20"/>
        </w:rPr>
        <w:t>•mitigate increases in labor costs, component parts, freight, services and interest rates with price increases;</w:t>
      </w:r>
    </w:p>
    <w:p w:rsidR="00000000" w:rsidRDefault="0040289C">
      <w:pPr>
        <w:ind w:hanging="360"/>
        <w:jc w:val="both"/>
        <w:rPr>
          <w:rFonts w:eastAsia="Times New Roman"/>
        </w:rPr>
      </w:pPr>
      <w:r>
        <w:rPr>
          <w:rFonts w:eastAsia="Times New Roman"/>
          <w:color w:val="000000"/>
          <w:sz w:val="20"/>
          <w:szCs w:val="20"/>
        </w:rPr>
        <w:t>•penetrate and meet the changing competitive requirements and deliverables in developing and emerging markets;</w:t>
      </w:r>
    </w:p>
    <w:p w:rsidR="00000000" w:rsidRDefault="0040289C">
      <w:pPr>
        <w:ind w:hanging="360"/>
        <w:jc w:val="both"/>
        <w:rPr>
          <w:rFonts w:eastAsia="Times New Roman"/>
        </w:rPr>
      </w:pPr>
      <w:r>
        <w:rPr>
          <w:rFonts w:eastAsia="Times New Roman"/>
          <w:color w:val="000000"/>
          <w:sz w:val="20"/>
          <w:szCs w:val="20"/>
        </w:rPr>
        <w:t>•retain our existing key cu</w:t>
      </w:r>
      <w:r>
        <w:rPr>
          <w:rFonts w:eastAsia="Times New Roman"/>
          <w:color w:val="000000"/>
          <w:sz w:val="20"/>
          <w:szCs w:val="20"/>
        </w:rPr>
        <w:t>stomers and add new customer relationships;</w:t>
      </w:r>
    </w:p>
    <w:p w:rsidR="00000000" w:rsidRDefault="0040289C">
      <w:pPr>
        <w:ind w:hanging="360"/>
        <w:jc w:val="both"/>
        <w:rPr>
          <w:rFonts w:eastAsia="Times New Roman"/>
        </w:rPr>
      </w:pPr>
      <w:r>
        <w:rPr>
          <w:rFonts w:eastAsia="Times New Roman"/>
          <w:color w:val="000000"/>
          <w:sz w:val="20"/>
          <w:szCs w:val="20"/>
        </w:rPr>
        <w:t>•cross-sell additional products and services to our existing customer base;</w:t>
      </w:r>
    </w:p>
    <w:p w:rsidR="00000000" w:rsidRDefault="0040289C">
      <w:pPr>
        <w:ind w:hanging="360"/>
        <w:jc w:val="both"/>
        <w:rPr>
          <w:rFonts w:eastAsia="Times New Roman"/>
        </w:rPr>
      </w:pPr>
      <w:r>
        <w:rPr>
          <w:rFonts w:eastAsia="Times New Roman"/>
          <w:color w:val="000000"/>
          <w:sz w:val="20"/>
          <w:szCs w:val="20"/>
        </w:rPr>
        <w:t>•</w:t>
      </w:r>
      <w:r>
        <w:rPr>
          <w:rFonts w:eastAsia="Times New Roman"/>
          <w:color w:val="000000"/>
          <w:sz w:val="20"/>
          <w:szCs w:val="20"/>
        </w:rPr>
        <w:t>rapidly and continually design, develop and market, or otherwise maintain and introduce innovative solutions and related products and services for our customers that are competitive in the marketplace;</w:t>
      </w:r>
    </w:p>
    <w:p w:rsidR="00000000" w:rsidRDefault="0040289C">
      <w:pPr>
        <w:ind w:hanging="360"/>
        <w:jc w:val="both"/>
        <w:rPr>
          <w:rFonts w:eastAsia="Times New Roman"/>
        </w:rPr>
      </w:pPr>
      <w:r>
        <w:rPr>
          <w:rFonts w:eastAsia="Times New Roman"/>
          <w:color w:val="000000"/>
          <w:sz w:val="20"/>
          <w:szCs w:val="20"/>
        </w:rPr>
        <w:t>•react on a timely basis to shifts in market demands a</w:t>
      </w:r>
      <w:r>
        <w:rPr>
          <w:rFonts w:eastAsia="Times New Roman"/>
          <w:color w:val="000000"/>
          <w:sz w:val="20"/>
          <w:szCs w:val="20"/>
        </w:rPr>
        <w:t>nd technological innovations, including shifts toward the desire of banks and retailers to provide digital-first experience to their customers and the use of mobile devices in transactions and payments;</w:t>
      </w:r>
    </w:p>
    <w:p w:rsidR="00000000" w:rsidRDefault="0040289C">
      <w:pPr>
        <w:ind w:hanging="360"/>
        <w:jc w:val="both"/>
        <w:rPr>
          <w:rFonts w:eastAsia="Times New Roman"/>
        </w:rPr>
      </w:pPr>
      <w:r>
        <w:rPr>
          <w:rFonts w:eastAsia="Times New Roman"/>
          <w:color w:val="000000"/>
          <w:sz w:val="20"/>
          <w:szCs w:val="20"/>
        </w:rPr>
        <w:t>•reduce costs without creating operating inefficienci</w:t>
      </w:r>
      <w:r>
        <w:rPr>
          <w:rFonts w:eastAsia="Times New Roman"/>
          <w:color w:val="000000"/>
          <w:sz w:val="20"/>
          <w:szCs w:val="20"/>
        </w:rPr>
        <w:t>es or impairing product or service quality;</w:t>
      </w:r>
    </w:p>
    <w:p w:rsidR="00000000" w:rsidRDefault="0040289C">
      <w:pPr>
        <w:ind w:hanging="360"/>
        <w:jc w:val="both"/>
        <w:rPr>
          <w:rFonts w:eastAsia="Times New Roman"/>
        </w:rPr>
      </w:pPr>
      <w:r>
        <w:rPr>
          <w:rFonts w:eastAsia="Times New Roman"/>
          <w:color w:val="000000"/>
          <w:sz w:val="20"/>
          <w:szCs w:val="20"/>
        </w:rPr>
        <w:t>•maintain competitive operating margins;</w:t>
      </w:r>
    </w:p>
    <w:p w:rsidR="00000000" w:rsidRDefault="0040289C">
      <w:pPr>
        <w:ind w:hanging="360"/>
        <w:jc w:val="both"/>
        <w:rPr>
          <w:rFonts w:eastAsia="Times New Roman"/>
        </w:rPr>
      </w:pPr>
      <w:r>
        <w:rPr>
          <w:rFonts w:eastAsia="Times New Roman"/>
          <w:color w:val="000000"/>
          <w:sz w:val="20"/>
          <w:szCs w:val="20"/>
        </w:rPr>
        <w:t>•improve product and service delivery quality; and</w:t>
      </w:r>
    </w:p>
    <w:p w:rsidR="00000000" w:rsidRDefault="0040289C">
      <w:pPr>
        <w:ind w:hanging="360"/>
        <w:jc w:val="both"/>
        <w:rPr>
          <w:rFonts w:eastAsia="Times New Roman"/>
        </w:rPr>
      </w:pPr>
      <w:r>
        <w:rPr>
          <w:rFonts w:eastAsia="Times New Roman"/>
          <w:color w:val="000000"/>
          <w:sz w:val="20"/>
          <w:szCs w:val="20"/>
        </w:rPr>
        <w:t>•effectively market and sell all of our diverse solutions.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business and operating performance also could be impact</w:t>
      </w:r>
      <w:r>
        <w:rPr>
          <w:rFonts w:eastAsia="Times New Roman"/>
          <w:color w:val="000000"/>
          <w:sz w:val="20"/>
          <w:szCs w:val="20"/>
        </w:rPr>
        <w:t>ed by external competitive pressures, such as consolidation, increasing price erosion and the entry of new competitors and technologies into our existing product and geographic markets. In addition, our customers sometimes finance our product sales through</w:t>
      </w:r>
      <w:r>
        <w:rPr>
          <w:rFonts w:eastAsia="Times New Roman"/>
          <w:color w:val="000000"/>
          <w:sz w:val="20"/>
          <w:szCs w:val="20"/>
        </w:rPr>
        <w:t xml:space="preserve"> third-party financing companies, and in the case of customer default, these financing companies may be forced to resell this equipment at discounted prices, competing with us and impacting our ability to sell incremental units. The impact of these product</w:t>
      </w:r>
      <w:r>
        <w:rPr>
          <w:rFonts w:eastAsia="Times New Roman"/>
          <w:color w:val="000000"/>
          <w:sz w:val="20"/>
          <w:szCs w:val="20"/>
        </w:rPr>
        <w:t xml:space="preserve"> and pricing pressures could include lower customer satisfaction, decreased demand for our solutions, loss of market share and reduction of operating profits.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If we do not successfully integrate acquisitions or effectively manage alliance activities, we </w:t>
      </w:r>
      <w:r>
        <w:rPr>
          <w:rFonts w:eastAsia="Times New Roman"/>
          <w:b/>
          <w:bCs/>
          <w:i/>
          <w:iCs/>
          <w:color w:val="000000"/>
          <w:sz w:val="20"/>
          <w:szCs w:val="20"/>
        </w:rPr>
        <w:t xml:space="preserve">may not drive future growth. </w:t>
      </w:r>
      <w:r>
        <w:rPr>
          <w:rFonts w:eastAsia="Times New Roman"/>
          <w:color w:val="000000"/>
          <w:sz w:val="20"/>
          <w:szCs w:val="20"/>
        </w:rPr>
        <w:t>As part of our overall solutions strategy, we have made, and intend to continue to make, investments in companies, solutions, services and technologies, either through acquisitions, investments, joint ventures or strategic alli</w:t>
      </w:r>
      <w:r>
        <w:rPr>
          <w:rFonts w:eastAsia="Times New Roman"/>
          <w:color w:val="000000"/>
          <w:sz w:val="20"/>
          <w:szCs w:val="20"/>
        </w:rPr>
        <w:t>ances. These activities allow us to further our company strategy and provide us access to new technology or solutions that expand our offerings. Acquisitions and alliance activities inherently involve risks. The risks we may encounter include those associa</w:t>
      </w:r>
      <w:r>
        <w:rPr>
          <w:rFonts w:eastAsia="Times New Roman"/>
          <w:color w:val="000000"/>
          <w:sz w:val="20"/>
          <w:szCs w:val="20"/>
        </w:rPr>
        <w:t>ted with:</w:t>
      </w:r>
    </w:p>
    <w:p w:rsidR="00000000" w:rsidRDefault="0040289C">
      <w:pPr>
        <w:jc w:val="center"/>
        <w:divId w:val="1908421315"/>
        <w:rPr>
          <w:rFonts w:eastAsia="Times New Roman"/>
        </w:rPr>
      </w:pPr>
      <w:r>
        <w:rPr>
          <w:rFonts w:eastAsia="Times New Roman"/>
          <w:color w:val="000000"/>
          <w:sz w:val="20"/>
          <w:szCs w:val="20"/>
        </w:rPr>
        <w:t>15</w:t>
      </w:r>
    </w:p>
    <w:p w:rsidR="00000000" w:rsidRDefault="0040289C">
      <w:pPr>
        <w:rPr>
          <w:rFonts w:eastAsia="Times New Roman"/>
        </w:rPr>
      </w:pPr>
      <w:r>
        <w:rPr>
          <w:rFonts w:eastAsia="Times New Roman"/>
        </w:rPr>
        <w:pict>
          <v:rect id="_x0000_i1044" style="width:0;height:1.5pt" o:hralign="center" o:hrstd="t" o:hr="t" fillcolor="#a0a0a0" stroked="f"/>
        </w:pict>
      </w:r>
    </w:p>
    <w:p w:rsidR="00000000" w:rsidRDefault="0040289C">
      <w:pPr>
        <w:divId w:val="74168528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049524533"/>
        <w:rPr>
          <w:rFonts w:eastAsia="Times New Roman"/>
        </w:rPr>
      </w:pP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color w:val="000000"/>
          <w:sz w:val="20"/>
          <w:szCs w:val="20"/>
        </w:rPr>
        <w:t>disruption to our business and the continued successful execution of our company strategy, goals and responsibilities, including but not limited to the Company’s non-GAAP EPS growth, including mix shift to software and services, increase in recurring reven</w:t>
      </w:r>
      <w:r>
        <w:rPr>
          <w:rFonts w:eastAsia="Times New Roman"/>
          <w:color w:val="000000"/>
          <w:sz w:val="20"/>
          <w:szCs w:val="20"/>
        </w:rPr>
        <w:t>ue and free cash flow, as well as the NCR-as-a-Service model, while managing significant transactions;</w:t>
      </w:r>
    </w:p>
    <w:p w:rsidR="00000000" w:rsidRDefault="0040289C">
      <w:pPr>
        <w:ind w:hanging="360"/>
        <w:jc w:val="both"/>
        <w:rPr>
          <w:rFonts w:eastAsia="Times New Roman"/>
        </w:rPr>
      </w:pPr>
      <w:r>
        <w:rPr>
          <w:rFonts w:eastAsia="Times New Roman"/>
          <w:b/>
          <w:bCs/>
          <w:i/>
          <w:iCs/>
          <w:color w:val="000000"/>
          <w:sz w:val="20"/>
          <w:szCs w:val="20"/>
        </w:rPr>
        <w:t>•</w:t>
      </w:r>
      <w:r>
        <w:rPr>
          <w:rFonts w:eastAsia="Times New Roman"/>
          <w:color w:val="000000"/>
          <w:sz w:val="20"/>
          <w:szCs w:val="20"/>
        </w:rPr>
        <w:t>increased capital and research and development expenses and resource allocation;</w:t>
      </w:r>
    </w:p>
    <w:p w:rsidR="00000000" w:rsidRDefault="0040289C">
      <w:pPr>
        <w:ind w:hanging="360"/>
        <w:jc w:val="both"/>
        <w:rPr>
          <w:rFonts w:eastAsia="Times New Roman"/>
        </w:rPr>
      </w:pPr>
      <w:r>
        <w:rPr>
          <w:rFonts w:eastAsia="Times New Roman"/>
          <w:color w:val="000000"/>
          <w:sz w:val="20"/>
          <w:szCs w:val="20"/>
        </w:rPr>
        <w:t>•assimilation and integration of different business operations, corpora</w:t>
      </w:r>
      <w:r>
        <w:rPr>
          <w:rFonts w:eastAsia="Times New Roman"/>
          <w:color w:val="000000"/>
          <w:sz w:val="20"/>
          <w:szCs w:val="20"/>
        </w:rPr>
        <w:t>te cultures, personnel, infrastructures (such as data centers) and technologies or solutions acquired or licensed, while maintaining quality, and designing and implementing appropriate risk management measures;</w:t>
      </w:r>
    </w:p>
    <w:p w:rsidR="00000000" w:rsidRDefault="0040289C">
      <w:pPr>
        <w:ind w:hanging="360"/>
        <w:jc w:val="both"/>
        <w:rPr>
          <w:rFonts w:eastAsia="Times New Roman"/>
        </w:rPr>
      </w:pPr>
      <w:r>
        <w:rPr>
          <w:rFonts w:eastAsia="Times New Roman"/>
          <w:color w:val="000000"/>
          <w:sz w:val="20"/>
          <w:szCs w:val="20"/>
        </w:rPr>
        <w:t>•retention of key employees and talent associ</w:t>
      </w:r>
      <w:r>
        <w:rPr>
          <w:rFonts w:eastAsia="Times New Roman"/>
          <w:color w:val="000000"/>
          <w:sz w:val="20"/>
          <w:szCs w:val="20"/>
        </w:rPr>
        <w:t>ated with the acquired or combined business;</w:t>
      </w:r>
    </w:p>
    <w:p w:rsidR="00000000" w:rsidRDefault="0040289C">
      <w:pPr>
        <w:ind w:hanging="360"/>
        <w:jc w:val="both"/>
        <w:rPr>
          <w:rFonts w:eastAsia="Times New Roman"/>
        </w:rPr>
      </w:pPr>
      <w:r>
        <w:rPr>
          <w:rFonts w:eastAsia="Times New Roman"/>
          <w:color w:val="000000"/>
          <w:sz w:val="20"/>
          <w:szCs w:val="20"/>
        </w:rPr>
        <w:t>•the incurrence of significant transaction fees and costs;</w:t>
      </w:r>
    </w:p>
    <w:p w:rsidR="00000000" w:rsidRDefault="0040289C">
      <w:pPr>
        <w:ind w:hanging="360"/>
        <w:jc w:val="both"/>
        <w:rPr>
          <w:rFonts w:eastAsia="Times New Roman"/>
        </w:rPr>
      </w:pPr>
      <w:r>
        <w:rPr>
          <w:rFonts w:eastAsia="Times New Roman"/>
          <w:color w:val="000000"/>
          <w:sz w:val="20"/>
          <w:szCs w:val="20"/>
        </w:rPr>
        <w:t>•the potential for unknown liabilities within the acquired or combined business that we may not become aware of until after the completion of the acquis</w:t>
      </w:r>
      <w:r>
        <w:rPr>
          <w:rFonts w:eastAsia="Times New Roman"/>
          <w:color w:val="000000"/>
          <w:sz w:val="20"/>
          <w:szCs w:val="20"/>
        </w:rPr>
        <w:t>ition; and</w:t>
      </w:r>
    </w:p>
    <w:p w:rsidR="00000000" w:rsidRDefault="0040289C">
      <w:pPr>
        <w:ind w:hanging="360"/>
        <w:jc w:val="both"/>
        <w:rPr>
          <w:rFonts w:eastAsia="Times New Roman"/>
        </w:rPr>
      </w:pPr>
      <w:r>
        <w:rPr>
          <w:rFonts w:eastAsia="Times New Roman"/>
          <w:color w:val="000000"/>
          <w:sz w:val="20"/>
          <w:szCs w:val="20"/>
        </w:rPr>
        <w:t>•the possibility of conflict with joint venture or alliance partners regarding strategic direction, prioritization of objectives and goals, governance matters or operations.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There is risk that the integration, new technology or solutions, incl</w:t>
      </w:r>
      <w:r>
        <w:rPr>
          <w:rFonts w:eastAsia="Times New Roman"/>
          <w:color w:val="000000"/>
          <w:sz w:val="20"/>
          <w:szCs w:val="20"/>
        </w:rPr>
        <w:t>uding, but not limited to expanded payment processing and entry into ATM-as-a-Service, may not perform as anticipated, may take longer than anticipated and may not meet estimated growth projections or expectations, or investment recipients may not successf</w:t>
      </w:r>
      <w:r>
        <w:rPr>
          <w:rFonts w:eastAsia="Times New Roman"/>
          <w:color w:val="000000"/>
          <w:sz w:val="20"/>
          <w:szCs w:val="20"/>
        </w:rPr>
        <w:t>ully execute their business plans. Further, we may not achieve the projected efficiencies and synergies once we have integrated the business into our operations, which may lead to the impairment or write down of assets, and other additional costs not antic</w:t>
      </w:r>
      <w:r>
        <w:rPr>
          <w:rFonts w:eastAsia="Times New Roman"/>
          <w:color w:val="000000"/>
          <w:sz w:val="20"/>
          <w:szCs w:val="20"/>
        </w:rPr>
        <w:t xml:space="preserve">ipated at the time of acquisition. In the event that these risks materialize, we may not be able to fully realize the benefit of our investments, and our operating results could be adversely affected. </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Our multinational operations, including in new and e</w:t>
      </w:r>
      <w:r>
        <w:rPr>
          <w:rFonts w:eastAsia="Times New Roman"/>
          <w:b/>
          <w:bCs/>
          <w:i/>
          <w:iCs/>
          <w:color w:val="000000"/>
          <w:sz w:val="20"/>
          <w:szCs w:val="20"/>
        </w:rPr>
        <w:t>merging markets, expose us to business and legal risks</w:t>
      </w:r>
      <w:r>
        <w:rPr>
          <w:rFonts w:eastAsia="Times New Roman"/>
          <w:i/>
          <w:iCs/>
          <w:color w:val="000000"/>
          <w:sz w:val="20"/>
          <w:szCs w:val="20"/>
        </w:rPr>
        <w:t>.</w:t>
      </w:r>
      <w:r>
        <w:rPr>
          <w:rFonts w:eastAsia="Times New Roman"/>
          <w:color w:val="000000"/>
          <w:sz w:val="20"/>
          <w:szCs w:val="20"/>
        </w:rPr>
        <w:t xml:space="preserve"> For the years ended December 31, 2022 and 2021, the percentage of our revenue from outside of the United States was 45% and 49%, respectively, and we expect our percentage of revenue generated outside</w:t>
      </w:r>
      <w:r>
        <w:rPr>
          <w:rFonts w:eastAsia="Times New Roman"/>
          <w:color w:val="000000"/>
          <w:sz w:val="20"/>
          <w:szCs w:val="20"/>
        </w:rPr>
        <w:t xml:space="preserve"> the United States to continue to be significant. In addition, we continue to seek to further penetrate existing international markets, and to identify opportunities to enter into or expand our presence in developing and emerging markets. While we believe </w:t>
      </w:r>
      <w:r>
        <w:rPr>
          <w:rFonts w:eastAsia="Times New Roman"/>
          <w:color w:val="000000"/>
          <w:sz w:val="20"/>
          <w:szCs w:val="20"/>
        </w:rPr>
        <w:t>that our geographic diversity may help to mitigate some risks associated with geographic concentrations of operations, our ability to sell our solutions and manufacture internationally, including in new and emerging markets, is subject to risks, which incl</w:t>
      </w:r>
      <w:r>
        <w:rPr>
          <w:rFonts w:eastAsia="Times New Roman"/>
          <w:color w:val="000000"/>
          <w:sz w:val="20"/>
          <w:szCs w:val="20"/>
        </w:rPr>
        <w:t xml:space="preserve">ude, among others: </w:t>
      </w:r>
    </w:p>
    <w:p w:rsidR="00000000" w:rsidRDefault="0040289C">
      <w:pPr>
        <w:jc w:val="both"/>
        <w:rPr>
          <w:rFonts w:eastAsia="Times New Roman"/>
        </w:rPr>
      </w:pPr>
    </w:p>
    <w:p w:rsidR="00000000" w:rsidRDefault="0040289C">
      <w:pPr>
        <w:ind w:hanging="360"/>
        <w:jc w:val="both"/>
        <w:divId w:val="1817792776"/>
        <w:rPr>
          <w:rFonts w:eastAsia="Times New Roman"/>
        </w:rPr>
      </w:pPr>
      <w:r>
        <w:rPr>
          <w:rFonts w:eastAsia="Times New Roman"/>
          <w:color w:val="000000"/>
          <w:sz w:val="20"/>
          <w:szCs w:val="20"/>
        </w:rPr>
        <w:t>•</w:t>
      </w:r>
      <w:r>
        <w:rPr>
          <w:rFonts w:eastAsia="Times New Roman"/>
          <w:color w:val="000000"/>
          <w:sz w:val="20"/>
          <w:szCs w:val="20"/>
        </w:rPr>
        <w:t>the impact of ongoing and future economic and credit conditions on the stability of national and regional economies and industries within those economies;</w:t>
      </w:r>
    </w:p>
    <w:p w:rsidR="00000000" w:rsidRDefault="0040289C">
      <w:pPr>
        <w:ind w:hanging="360"/>
        <w:jc w:val="both"/>
        <w:divId w:val="1040478427"/>
        <w:rPr>
          <w:rFonts w:eastAsia="Times New Roman"/>
        </w:rPr>
      </w:pPr>
      <w:r>
        <w:rPr>
          <w:rFonts w:eastAsia="Times New Roman"/>
          <w:color w:val="000000"/>
          <w:sz w:val="20"/>
          <w:szCs w:val="20"/>
        </w:rPr>
        <w:t>•political conditions and local regulations that could adversely affect demand for our solutions, our</w:t>
      </w:r>
      <w:r>
        <w:rPr>
          <w:rFonts w:eastAsia="Times New Roman"/>
          <w:color w:val="000000"/>
          <w:sz w:val="20"/>
          <w:szCs w:val="20"/>
        </w:rPr>
        <w:t xml:space="preserve"> ability to access funds and resources, or our ability to sell products in these markets;</w:t>
      </w:r>
    </w:p>
    <w:p w:rsidR="00000000" w:rsidRDefault="0040289C">
      <w:pPr>
        <w:ind w:hanging="360"/>
        <w:jc w:val="both"/>
        <w:divId w:val="617181052"/>
        <w:rPr>
          <w:rFonts w:eastAsia="Times New Roman"/>
        </w:rPr>
      </w:pPr>
      <w:r>
        <w:rPr>
          <w:rFonts w:eastAsia="Times New Roman"/>
          <w:color w:val="000000"/>
          <w:sz w:val="20"/>
          <w:szCs w:val="20"/>
        </w:rPr>
        <w:t>•the impact of a downturn in the global economy, or in regional economies, on demand for our products;</w:t>
      </w:r>
    </w:p>
    <w:p w:rsidR="00000000" w:rsidRDefault="0040289C">
      <w:pPr>
        <w:ind w:hanging="360"/>
        <w:jc w:val="both"/>
        <w:divId w:val="599992030"/>
        <w:rPr>
          <w:rFonts w:eastAsia="Times New Roman"/>
        </w:rPr>
      </w:pPr>
      <w:r>
        <w:rPr>
          <w:rFonts w:eastAsia="Times New Roman"/>
          <w:color w:val="000000"/>
          <w:sz w:val="20"/>
          <w:szCs w:val="20"/>
        </w:rPr>
        <w:t>•competitive labor markets and increasing wages in markets that</w:t>
      </w:r>
      <w:r>
        <w:rPr>
          <w:rFonts w:eastAsia="Times New Roman"/>
          <w:color w:val="000000"/>
          <w:sz w:val="20"/>
          <w:szCs w:val="20"/>
        </w:rPr>
        <w:t xml:space="preserve"> we operate in;</w:t>
      </w:r>
    </w:p>
    <w:p w:rsidR="00000000" w:rsidRDefault="0040289C">
      <w:pPr>
        <w:ind w:hanging="360"/>
        <w:jc w:val="both"/>
        <w:divId w:val="738595999"/>
        <w:rPr>
          <w:rFonts w:eastAsia="Times New Roman"/>
        </w:rPr>
      </w:pPr>
      <w:r>
        <w:rPr>
          <w:rFonts w:eastAsia="Times New Roman"/>
          <w:color w:val="000000"/>
          <w:sz w:val="20"/>
          <w:szCs w:val="20"/>
        </w:rPr>
        <w:t>•currency exchange rate fluctuations that could result in lower demand for our products as well as generate currency translation losses;</w:t>
      </w:r>
    </w:p>
    <w:p w:rsidR="00000000" w:rsidRDefault="0040289C">
      <w:pPr>
        <w:ind w:hanging="360"/>
        <w:jc w:val="both"/>
        <w:divId w:val="940920082"/>
        <w:rPr>
          <w:rFonts w:eastAsia="Times New Roman"/>
        </w:rPr>
      </w:pPr>
      <w:r>
        <w:rPr>
          <w:rFonts w:eastAsia="Times New Roman"/>
          <w:color w:val="000000"/>
          <w:sz w:val="20"/>
          <w:szCs w:val="20"/>
        </w:rPr>
        <w:t>•limited availability of local currencies to pay vendors, employees and third parties and to distribute</w:t>
      </w:r>
      <w:r>
        <w:rPr>
          <w:rFonts w:eastAsia="Times New Roman"/>
          <w:color w:val="000000"/>
          <w:sz w:val="20"/>
          <w:szCs w:val="20"/>
        </w:rPr>
        <w:t xml:space="preserve"> funds outside of the country;</w:t>
      </w:r>
    </w:p>
    <w:p w:rsidR="00000000" w:rsidRDefault="0040289C">
      <w:pPr>
        <w:ind w:hanging="360"/>
        <w:jc w:val="both"/>
        <w:divId w:val="1031804892"/>
        <w:rPr>
          <w:rFonts w:eastAsia="Times New Roman"/>
        </w:rPr>
      </w:pPr>
      <w:r>
        <w:rPr>
          <w:rFonts w:eastAsia="Times New Roman"/>
          <w:color w:val="000000"/>
          <w:sz w:val="20"/>
          <w:szCs w:val="20"/>
        </w:rPr>
        <w:t>•changes to global or regional trade agreements that could limit our ability to sell products in these markets;</w:t>
      </w:r>
    </w:p>
    <w:p w:rsidR="00000000" w:rsidRDefault="0040289C">
      <w:pPr>
        <w:ind w:hanging="360"/>
        <w:jc w:val="both"/>
        <w:divId w:val="1813060483"/>
        <w:rPr>
          <w:rFonts w:eastAsia="Times New Roman"/>
        </w:rPr>
      </w:pPr>
      <w:r>
        <w:rPr>
          <w:rFonts w:eastAsia="Times New Roman"/>
          <w:color w:val="000000"/>
          <w:sz w:val="20"/>
          <w:szCs w:val="20"/>
        </w:rPr>
        <w:t>•the imposition of import or export tariffs, taxes, trade policies or import and export controls that could incre</w:t>
      </w:r>
      <w:r>
        <w:rPr>
          <w:rFonts w:eastAsia="Times New Roman"/>
          <w:color w:val="000000"/>
          <w:sz w:val="20"/>
          <w:szCs w:val="20"/>
        </w:rPr>
        <w:t xml:space="preserve">ase the expense of, or limit demand for our products; </w:t>
      </w:r>
    </w:p>
    <w:p w:rsidR="00000000" w:rsidRDefault="0040289C">
      <w:pPr>
        <w:ind w:hanging="360"/>
        <w:jc w:val="both"/>
        <w:divId w:val="28802847"/>
        <w:rPr>
          <w:rFonts w:eastAsia="Times New Roman"/>
        </w:rPr>
      </w:pPr>
      <w:r>
        <w:rPr>
          <w:rFonts w:eastAsia="Times New Roman"/>
          <w:color w:val="000000"/>
          <w:sz w:val="20"/>
          <w:szCs w:val="20"/>
        </w:rPr>
        <w:t>•changes to and compliance with a variety of laws and regulations that may increase our cost of doing business or otherwise prevent us from effectively competing internationally;</w:t>
      </w:r>
    </w:p>
    <w:p w:rsidR="00000000" w:rsidRDefault="0040289C">
      <w:pPr>
        <w:ind w:hanging="360"/>
        <w:jc w:val="both"/>
        <w:divId w:val="1775975309"/>
        <w:rPr>
          <w:rFonts w:eastAsia="Times New Roman"/>
        </w:rPr>
      </w:pPr>
      <w:r>
        <w:rPr>
          <w:rFonts w:eastAsia="Times New Roman"/>
          <w:color w:val="000000"/>
          <w:sz w:val="20"/>
          <w:szCs w:val="20"/>
        </w:rPr>
        <w:t>•government uncertaint</w:t>
      </w:r>
      <w:r>
        <w:rPr>
          <w:rFonts w:eastAsia="Times New Roman"/>
          <w:color w:val="000000"/>
          <w:sz w:val="20"/>
          <w:szCs w:val="20"/>
        </w:rPr>
        <w:t>y or limitations on the ability to enforce legal rights and remedies, including as a result of new, or changes to, laws and regulations;</w:t>
      </w:r>
    </w:p>
    <w:p w:rsidR="00000000" w:rsidRDefault="0040289C">
      <w:pPr>
        <w:ind w:hanging="360"/>
        <w:jc w:val="both"/>
        <w:divId w:val="419446858"/>
        <w:rPr>
          <w:rFonts w:eastAsia="Times New Roman"/>
        </w:rPr>
      </w:pPr>
      <w:r>
        <w:rPr>
          <w:rFonts w:eastAsia="Times New Roman"/>
          <w:color w:val="000000"/>
          <w:sz w:val="20"/>
          <w:szCs w:val="20"/>
        </w:rPr>
        <w:t>•reduced protection for intellectual property rights in certain countries;</w:t>
      </w:r>
    </w:p>
    <w:p w:rsidR="00000000" w:rsidRDefault="0040289C">
      <w:pPr>
        <w:ind w:hanging="360"/>
        <w:jc w:val="both"/>
        <w:divId w:val="1727021714"/>
        <w:rPr>
          <w:rFonts w:eastAsia="Times New Roman"/>
        </w:rPr>
      </w:pPr>
      <w:r>
        <w:rPr>
          <w:rFonts w:eastAsia="Times New Roman"/>
          <w:color w:val="000000"/>
          <w:sz w:val="20"/>
          <w:szCs w:val="20"/>
        </w:rPr>
        <w:t>•implementing and managing systems, procedur</w:t>
      </w:r>
      <w:r>
        <w:rPr>
          <w:rFonts w:eastAsia="Times New Roman"/>
          <w:color w:val="000000"/>
          <w:sz w:val="20"/>
          <w:szCs w:val="20"/>
        </w:rPr>
        <w:t>es and controls to monitor our operations in foreign markets;</w:t>
      </w:r>
    </w:p>
    <w:p w:rsidR="00000000" w:rsidRDefault="0040289C">
      <w:pPr>
        <w:ind w:hanging="360"/>
        <w:jc w:val="both"/>
        <w:divId w:val="2058428112"/>
        <w:rPr>
          <w:rFonts w:eastAsia="Times New Roman"/>
        </w:rPr>
      </w:pPr>
      <w:r>
        <w:rPr>
          <w:rFonts w:eastAsia="Times New Roman"/>
          <w:color w:val="000000"/>
          <w:sz w:val="20"/>
          <w:szCs w:val="20"/>
        </w:rPr>
        <w:t>•changing competitive requirements and deliverables in developing and emerging markets;</w:t>
      </w:r>
    </w:p>
    <w:p w:rsidR="00000000" w:rsidRDefault="0040289C">
      <w:pPr>
        <w:ind w:hanging="360"/>
        <w:jc w:val="both"/>
        <w:divId w:val="465323091"/>
        <w:rPr>
          <w:rFonts w:eastAsia="Times New Roman"/>
        </w:rPr>
      </w:pPr>
      <w:r>
        <w:rPr>
          <w:rFonts w:eastAsia="Times New Roman"/>
          <w:color w:val="000000"/>
          <w:sz w:val="20"/>
          <w:szCs w:val="20"/>
        </w:rPr>
        <w:t>•longer collection cycles and the financial viability and reliability of contracting partners and customer</w:t>
      </w:r>
      <w:r>
        <w:rPr>
          <w:rFonts w:eastAsia="Times New Roman"/>
          <w:color w:val="000000"/>
          <w:sz w:val="20"/>
          <w:szCs w:val="20"/>
        </w:rPr>
        <w:t>s;</w:t>
      </w:r>
    </w:p>
    <w:p w:rsidR="00000000" w:rsidRDefault="0040289C">
      <w:pPr>
        <w:ind w:hanging="360"/>
        <w:jc w:val="both"/>
        <w:divId w:val="1266309833"/>
        <w:rPr>
          <w:rFonts w:eastAsia="Times New Roman"/>
        </w:rPr>
      </w:pPr>
      <w:r>
        <w:rPr>
          <w:rFonts w:eastAsia="Times New Roman"/>
          <w:color w:val="000000"/>
          <w:sz w:val="20"/>
          <w:szCs w:val="20"/>
        </w:rPr>
        <w:t>•managing a geographically dispersed workforce, work stoppages and other labor conditions or issues;</w:t>
      </w:r>
    </w:p>
    <w:p w:rsidR="00000000" w:rsidRDefault="0040289C">
      <w:pPr>
        <w:ind w:hanging="360"/>
        <w:jc w:val="both"/>
        <w:divId w:val="2133203029"/>
        <w:rPr>
          <w:rFonts w:eastAsia="Times New Roman"/>
        </w:rPr>
      </w:pPr>
      <w:r>
        <w:rPr>
          <w:rFonts w:eastAsia="Times New Roman"/>
          <w:color w:val="000000"/>
          <w:sz w:val="20"/>
          <w:szCs w:val="20"/>
        </w:rPr>
        <w:t>•disruptions in transportation and shipping infrastructure; and</w:t>
      </w:r>
    </w:p>
    <w:p w:rsidR="00000000" w:rsidRDefault="0040289C">
      <w:pPr>
        <w:jc w:val="center"/>
        <w:divId w:val="1951811415"/>
        <w:rPr>
          <w:rFonts w:eastAsia="Times New Roman"/>
        </w:rPr>
      </w:pPr>
      <w:r>
        <w:rPr>
          <w:rFonts w:eastAsia="Times New Roman"/>
          <w:color w:val="000000"/>
          <w:sz w:val="20"/>
          <w:szCs w:val="20"/>
        </w:rPr>
        <w:t>16</w:t>
      </w:r>
    </w:p>
    <w:p w:rsidR="00000000" w:rsidRDefault="0040289C">
      <w:pPr>
        <w:rPr>
          <w:rFonts w:eastAsia="Times New Roman"/>
        </w:rPr>
      </w:pPr>
      <w:r>
        <w:rPr>
          <w:rFonts w:eastAsia="Times New Roman"/>
        </w:rPr>
        <w:pict>
          <v:rect id="_x0000_i1045" style="width:0;height:1.5pt" o:hralign="center" o:hrstd="t" o:hr="t" fillcolor="#a0a0a0" stroked="f"/>
        </w:pict>
      </w:r>
    </w:p>
    <w:p w:rsidR="00000000" w:rsidRDefault="0040289C">
      <w:pPr>
        <w:divId w:val="167622988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105102175"/>
        <w:rPr>
          <w:rFonts w:eastAsia="Times New Roman"/>
        </w:rPr>
      </w:pPr>
    </w:p>
    <w:p w:rsidR="00000000" w:rsidRDefault="0040289C">
      <w:pPr>
        <w:ind w:hanging="360"/>
        <w:jc w:val="both"/>
        <w:divId w:val="39019434"/>
        <w:rPr>
          <w:rFonts w:eastAsia="Times New Roman"/>
        </w:rPr>
      </w:pPr>
      <w:r>
        <w:rPr>
          <w:rFonts w:eastAsia="Times New Roman"/>
          <w:color w:val="000000"/>
          <w:sz w:val="20"/>
          <w:szCs w:val="20"/>
        </w:rPr>
        <w:t>•the impact of natural disasters, catastrophic events, civil unrest, war and terrorist activity on supply chains, the economy or markets in general, or on our ability, or that of our suppliers, to meet commitments.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addition, as a result of our revenue generated outside of the United States, the amount of cash and cash equivalents that is held by our foreign subsidiaries continues to be significant. After the Tax Cuts and Jobs Act of 2017, in general we will not be</w:t>
      </w:r>
      <w:r>
        <w:rPr>
          <w:rFonts w:eastAsia="Times New Roman"/>
          <w:color w:val="000000"/>
          <w:sz w:val="20"/>
          <w:szCs w:val="20"/>
        </w:rPr>
        <w:t xml:space="preserve"> subject to additional United States taxes if cash and cash equivalents and short-term investments held outside the United States are distributed to the United States in the form of dividends or otherwise. However, we may be subject to foreign withholding </w:t>
      </w:r>
      <w:r>
        <w:rPr>
          <w:rFonts w:eastAsia="Times New Roman"/>
          <w:color w:val="000000"/>
          <w:sz w:val="20"/>
          <w:szCs w:val="20"/>
        </w:rPr>
        <w:t>taxes, which could be significant.</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The planned separation of NCR into two independent, publicly traded companies – one focused on digital commerce, the other on ATMs, is subject to various risks and uncertainties and may not be completed in accordance wi</w:t>
      </w:r>
      <w:r>
        <w:rPr>
          <w:rFonts w:eastAsia="Times New Roman"/>
          <w:b/>
          <w:bCs/>
          <w:i/>
          <w:iCs/>
          <w:color w:val="000000"/>
          <w:sz w:val="20"/>
          <w:szCs w:val="20"/>
        </w:rPr>
        <w:t>th the expected plans or anticipated timeline, or at all, and will involve significant time, expense, and resources, which could disrupt or adversely affect our business.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On September 15, 2022, NCR announced a plan to separate into two independent, publicly traded companies – one focused on digital commerce, the other on ATMs. The current target is to complete the separation by the end of 2023. We cannot assure that the tra</w:t>
      </w:r>
      <w:r>
        <w:rPr>
          <w:rFonts w:eastAsia="Times New Roman"/>
          <w:color w:val="000000"/>
          <w:sz w:val="20"/>
          <w:szCs w:val="20"/>
        </w:rPr>
        <w:t>nsactions will be completed on the anticipated timeline or at all or that the terms of the separations will not change. The transactions will follow the satisfaction of customary conditions, including effectiveness of appropriate filings with the U.S. Secu</w:t>
      </w:r>
      <w:r>
        <w:rPr>
          <w:rFonts w:eastAsia="Times New Roman"/>
          <w:color w:val="000000"/>
          <w:sz w:val="20"/>
          <w:szCs w:val="20"/>
        </w:rPr>
        <w:t>rities and Exchange Commission, and the completion of audited financial statements. The failure to satisfy any of the required conditions could delay the completion of the separation for a significant period of time or prevent it from occurring at all.</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w:t>
      </w:r>
      <w:r>
        <w:rPr>
          <w:rFonts w:eastAsia="Times New Roman"/>
          <w:color w:val="000000"/>
          <w:sz w:val="20"/>
          <w:szCs w:val="20"/>
        </w:rPr>
        <w:t>he ability to obtain or consummate financing or refinancing related to the transaction upon acceptable terms, or at all (including not having a credit rating and not having access to the capital markets for any newly formed entity that houses the digital c</w:t>
      </w:r>
      <w:r>
        <w:rPr>
          <w:rFonts w:eastAsia="Times New Roman"/>
          <w:color w:val="000000"/>
          <w:sz w:val="20"/>
          <w:szCs w:val="20"/>
        </w:rPr>
        <w:t>ommerce or ATM business); risks associated with third party contracts containing consent and/or other provisions that may be triggered by the planned separation and; unanticipated developments, including changes in the competitive conditions of our markets</w:t>
      </w:r>
      <w:r>
        <w:rPr>
          <w:rFonts w:eastAsia="Times New Roman"/>
          <w:color w:val="000000"/>
          <w:sz w:val="20"/>
          <w:szCs w:val="20"/>
        </w:rPr>
        <w:t>, delays in obtaining various tax opinions or rulings, negotiating challenges, the uncertainty of the financial markets, changes in the law, requests or requirements of governmental authorities related to existing liabilities and challenges in executing th</w:t>
      </w:r>
      <w:r>
        <w:rPr>
          <w:rFonts w:eastAsia="Times New Roman"/>
          <w:color w:val="000000"/>
          <w:sz w:val="20"/>
          <w:szCs w:val="20"/>
        </w:rPr>
        <w:t>e separation of the two businesses, could delay or prevent the completion of the planned separation, or cause the planned separation to occur on terms or conditions that are different or less favorable than initially expected. Any changes to the planned se</w:t>
      </w:r>
      <w:r>
        <w:rPr>
          <w:rFonts w:eastAsia="Times New Roman"/>
          <w:color w:val="000000"/>
          <w:sz w:val="20"/>
          <w:szCs w:val="20"/>
        </w:rPr>
        <w:t>paration or delay in completing the planned separation could cause us not to realize some or all of the expected benefits, or realize them on a different timeline than initially expected. Further, our Board of Directors could decide, either because of a fa</w:t>
      </w:r>
      <w:r>
        <w:rPr>
          <w:rFonts w:eastAsia="Times New Roman"/>
          <w:color w:val="000000"/>
          <w:sz w:val="20"/>
          <w:szCs w:val="20"/>
        </w:rPr>
        <w:t xml:space="preserve">ilure of conditions or because of market or other factors, to revise or abandon the planned separation.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Whether or not we complete the planned separation, our ongoing business may be adversely affected and we may be subject to certain risks and conseque</w:t>
      </w:r>
      <w:r>
        <w:rPr>
          <w:rFonts w:eastAsia="Times New Roman"/>
          <w:color w:val="000000"/>
          <w:sz w:val="20"/>
          <w:szCs w:val="20"/>
        </w:rPr>
        <w:t>nces as a result of pursuing the planned separation, including the following:</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•We have incurred expenses in connection with the planned separation, and expect that the process of completing the planned separation will be time-consuming and involve signif</w:t>
      </w:r>
      <w:r>
        <w:rPr>
          <w:rFonts w:eastAsia="Times New Roman"/>
          <w:color w:val="000000"/>
          <w:sz w:val="20"/>
          <w:szCs w:val="20"/>
        </w:rPr>
        <w:t>icant additional costs and expenses, which may not yield a discernible benefit if the planned separation is not completed.</w:t>
      </w:r>
    </w:p>
    <w:p w:rsidR="00000000" w:rsidRDefault="0040289C">
      <w:pPr>
        <w:ind w:hanging="360"/>
        <w:jc w:val="both"/>
        <w:rPr>
          <w:rFonts w:eastAsia="Times New Roman"/>
        </w:rPr>
      </w:pPr>
      <w:r>
        <w:rPr>
          <w:rFonts w:eastAsia="Times New Roman"/>
          <w:color w:val="000000"/>
          <w:sz w:val="20"/>
          <w:szCs w:val="20"/>
        </w:rPr>
        <w:t>•Executing the planned separation will require significant time and attention from our senior management and employees, which may div</w:t>
      </w:r>
      <w:r>
        <w:rPr>
          <w:rFonts w:eastAsia="Times New Roman"/>
          <w:color w:val="000000"/>
          <w:sz w:val="20"/>
          <w:szCs w:val="20"/>
        </w:rPr>
        <w:t>ert management’s attention from operating and growing our business and could adversely affect our business, financial results, and results of operations. Our employees may also be distracted due to uncertainty about their future roles with the separate com</w:t>
      </w:r>
      <w:r>
        <w:rPr>
          <w:rFonts w:eastAsia="Times New Roman"/>
          <w:color w:val="000000"/>
          <w:sz w:val="20"/>
          <w:szCs w:val="20"/>
        </w:rPr>
        <w:t>panies.</w:t>
      </w:r>
    </w:p>
    <w:p w:rsidR="00000000" w:rsidRDefault="0040289C">
      <w:pPr>
        <w:ind w:hanging="360"/>
        <w:jc w:val="both"/>
        <w:rPr>
          <w:rFonts w:eastAsia="Times New Roman"/>
        </w:rPr>
      </w:pPr>
      <w:r>
        <w:rPr>
          <w:rFonts w:eastAsia="Times New Roman"/>
          <w:color w:val="000000"/>
          <w:sz w:val="20"/>
          <w:szCs w:val="20"/>
        </w:rPr>
        <w:t xml:space="preserve">•We may also experience increased difficulties in attracting, retaining, and motivating employees during the pendency, and following completion, of the transactions, which could harm our businesses. </w:t>
      </w:r>
    </w:p>
    <w:p w:rsidR="00000000" w:rsidRDefault="0040289C">
      <w:pPr>
        <w:ind w:hanging="360"/>
        <w:jc w:val="both"/>
        <w:rPr>
          <w:rFonts w:eastAsia="Times New Roman"/>
        </w:rPr>
      </w:pPr>
      <w:r>
        <w:rPr>
          <w:rFonts w:eastAsia="Times New Roman"/>
          <w:color w:val="000000"/>
          <w:sz w:val="20"/>
          <w:szCs w:val="20"/>
        </w:rPr>
        <w:t xml:space="preserve">•If the planned separation is not completed, we </w:t>
      </w:r>
      <w:r>
        <w:rPr>
          <w:rFonts w:eastAsia="Times New Roman"/>
          <w:color w:val="000000"/>
          <w:sz w:val="20"/>
          <w:szCs w:val="20"/>
        </w:rPr>
        <w:t>will still be required to pay certain costs and expenses incurred in connection therewith, such as legal, accounting, and other professional fees.</w:t>
      </w:r>
    </w:p>
    <w:p w:rsidR="00000000" w:rsidRDefault="0040289C">
      <w:pPr>
        <w:ind w:hanging="360"/>
        <w:jc w:val="both"/>
        <w:rPr>
          <w:rFonts w:eastAsia="Times New Roman"/>
        </w:rPr>
      </w:pPr>
      <w:r>
        <w:rPr>
          <w:rFonts w:eastAsia="Times New Roman"/>
          <w:color w:val="000000"/>
          <w:sz w:val="20"/>
          <w:szCs w:val="20"/>
        </w:rPr>
        <w:t>•Some of our customers or suppliers may delay or defer decisions or may end their relationships with us.</w:t>
      </w:r>
    </w:p>
    <w:p w:rsidR="00000000" w:rsidRDefault="0040289C">
      <w:pPr>
        <w:ind w:hanging="360"/>
        <w:jc w:val="both"/>
        <w:rPr>
          <w:rFonts w:eastAsia="Times New Roman"/>
        </w:rPr>
      </w:pPr>
      <w:r>
        <w:rPr>
          <w:rFonts w:eastAsia="Times New Roman"/>
          <w:color w:val="000000"/>
          <w:sz w:val="20"/>
          <w:szCs w:val="20"/>
        </w:rPr>
        <w:t xml:space="preserve">•We </w:t>
      </w:r>
      <w:r>
        <w:rPr>
          <w:rFonts w:eastAsia="Times New Roman"/>
          <w:color w:val="000000"/>
          <w:sz w:val="20"/>
          <w:szCs w:val="20"/>
        </w:rPr>
        <w:t>may experience negative reactions from the financial markets if we fail to complete the planned separation or fail to complete it on a timely basis.</w:t>
      </w:r>
    </w:p>
    <w:p w:rsidR="00000000" w:rsidRDefault="0040289C">
      <w:pPr>
        <w:ind w:hanging="360"/>
        <w:jc w:val="both"/>
        <w:rPr>
          <w:rFonts w:eastAsia="Times New Roman"/>
        </w:rPr>
      </w:pPr>
      <w:r>
        <w:rPr>
          <w:rFonts w:eastAsia="Times New Roman"/>
          <w:color w:val="000000"/>
          <w:sz w:val="20"/>
          <w:szCs w:val="20"/>
        </w:rPr>
        <w:t>•The announcement of the planned separation may cause some investors to sell our shares, creating greater v</w:t>
      </w:r>
      <w:r>
        <w:rPr>
          <w:rFonts w:eastAsia="Times New Roman"/>
          <w:color w:val="000000"/>
          <w:sz w:val="20"/>
          <w:szCs w:val="20"/>
        </w:rPr>
        <w:t>olatility in the trading price of our shares and potentially causing market prices to decline.</w:t>
      </w:r>
    </w:p>
    <w:p w:rsidR="00000000" w:rsidRDefault="0040289C">
      <w:pPr>
        <w:ind w:hanging="360"/>
        <w:jc w:val="both"/>
        <w:rPr>
          <w:rFonts w:eastAsia="Times New Roman"/>
        </w:rPr>
      </w:pPr>
      <w:r>
        <w:rPr>
          <w:rFonts w:eastAsia="Times New Roman"/>
          <w:color w:val="000000"/>
          <w:sz w:val="20"/>
          <w:szCs w:val="20"/>
        </w:rPr>
        <w:t>•We may experience the inability to access or reduced access to the capital markets or increased cost of borrowing.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Any of the above factors could cause the se</w:t>
      </w:r>
      <w:r>
        <w:rPr>
          <w:rFonts w:eastAsia="Times New Roman"/>
          <w:color w:val="000000"/>
          <w:sz w:val="20"/>
          <w:szCs w:val="20"/>
        </w:rPr>
        <w:t>paration (or the failure to execute the separation) to have a material adverse effect on our business, financial condition, results of operations, and the trading price of our common stock.</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The planned separation may not achieve the anticipated benefits </w:t>
      </w:r>
      <w:r>
        <w:rPr>
          <w:rFonts w:eastAsia="Times New Roman"/>
          <w:b/>
          <w:bCs/>
          <w:i/>
          <w:iCs/>
          <w:color w:val="000000"/>
          <w:sz w:val="20"/>
          <w:szCs w:val="20"/>
        </w:rPr>
        <w:t xml:space="preserve">and will expose us to new risks as the digital commerce company and the ATM company will have different financial profiles and each will be a smaller, less diversified company than NCR as it exists today. </w:t>
      </w:r>
      <w:r>
        <w:rPr>
          <w:rFonts w:eastAsia="Times New Roman"/>
          <w:color w:val="000000"/>
          <w:sz w:val="20"/>
          <w:szCs w:val="20"/>
        </w:rPr>
        <w:t>We may not realize the anticipated strategic, finan</w:t>
      </w:r>
      <w:r>
        <w:rPr>
          <w:rFonts w:eastAsia="Times New Roman"/>
          <w:color w:val="000000"/>
          <w:sz w:val="20"/>
          <w:szCs w:val="20"/>
        </w:rPr>
        <w:t xml:space="preserve">cial, operational, or other benefits from the planned separation. We cannot predict with certainty when the benefits expected from the planned separation will occur or the extent to </w:t>
      </w:r>
    </w:p>
    <w:p w:rsidR="00000000" w:rsidRDefault="0040289C">
      <w:pPr>
        <w:jc w:val="center"/>
        <w:divId w:val="112214575"/>
        <w:rPr>
          <w:rFonts w:eastAsia="Times New Roman"/>
        </w:rPr>
      </w:pPr>
      <w:r>
        <w:rPr>
          <w:rFonts w:eastAsia="Times New Roman"/>
          <w:color w:val="000000"/>
          <w:sz w:val="20"/>
          <w:szCs w:val="20"/>
        </w:rPr>
        <w:t>17</w:t>
      </w:r>
    </w:p>
    <w:p w:rsidR="00000000" w:rsidRDefault="0040289C">
      <w:pPr>
        <w:rPr>
          <w:rFonts w:eastAsia="Times New Roman"/>
        </w:rPr>
      </w:pPr>
      <w:r>
        <w:rPr>
          <w:rFonts w:eastAsia="Times New Roman"/>
        </w:rPr>
        <w:pict>
          <v:rect id="_x0000_i1046" style="width:0;height:1.5pt" o:hralign="center" o:hrstd="t" o:hr="t" fillcolor="#a0a0a0" stroked="f"/>
        </w:pict>
      </w:r>
    </w:p>
    <w:p w:rsidR="00000000" w:rsidRDefault="0040289C">
      <w:pPr>
        <w:divId w:val="83545759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19816045"/>
        <w:rPr>
          <w:rFonts w:eastAsia="Times New Roman"/>
        </w:rPr>
      </w:pPr>
    </w:p>
    <w:p w:rsidR="00000000" w:rsidRDefault="0040289C">
      <w:pPr>
        <w:jc w:val="both"/>
        <w:rPr>
          <w:rFonts w:eastAsia="Times New Roman"/>
        </w:rPr>
      </w:pPr>
      <w:r>
        <w:rPr>
          <w:rFonts w:eastAsia="Times New Roman"/>
          <w:color w:val="000000"/>
          <w:sz w:val="20"/>
          <w:szCs w:val="20"/>
        </w:rPr>
        <w:t xml:space="preserve">which they will be achieved, or that the costs or dis-synergies of the transaction will not exceed the anticipated amounts. The planned separation will result in the digital commerce company and the ATM company </w:t>
      </w:r>
      <w:r>
        <w:rPr>
          <w:rFonts w:eastAsia="Times New Roman"/>
          <w:color w:val="000000"/>
          <w:sz w:val="20"/>
          <w:szCs w:val="20"/>
        </w:rPr>
        <w:t>being smaller, less diversified companies with more limited businesses concentrated in their respective industries than NCR as a whole. As a result, each company may be more vulnerable to changing market conditions, which could have a material adverse effe</w:t>
      </w:r>
      <w:r>
        <w:rPr>
          <w:rFonts w:eastAsia="Times New Roman"/>
          <w:color w:val="000000"/>
          <w:sz w:val="20"/>
          <w:szCs w:val="20"/>
        </w:rPr>
        <w:t>ct on its business, financial condition and results of operations. In addition, the diversification of revenues, costs, and cash flows will diminish, such that each company’s results of operations, cash flows, working capital, effective tax rate, and finan</w:t>
      </w:r>
      <w:r>
        <w:rPr>
          <w:rFonts w:eastAsia="Times New Roman"/>
          <w:color w:val="000000"/>
          <w:sz w:val="20"/>
          <w:szCs w:val="20"/>
        </w:rPr>
        <w:t xml:space="preserve">cing requirements may be subject to increased volatility and its ability to fund capital expenditures and investments, pay dividends and service debt may be diminished. The announcement and/or completion of the planned separation may cause uncertainty for </w:t>
      </w:r>
      <w:r>
        <w:rPr>
          <w:rFonts w:eastAsia="Times New Roman"/>
          <w:color w:val="000000"/>
          <w:sz w:val="20"/>
          <w:szCs w:val="20"/>
        </w:rPr>
        <w:t>or disruptions with our customers, partners, suppliers, and employees, which may negatively impact these relationships or our operations. In addition, we will incur one-time costs and ongoing costs in connection with, or as a result of, the planned separat</w:t>
      </w:r>
      <w:r>
        <w:rPr>
          <w:rFonts w:eastAsia="Times New Roman"/>
          <w:color w:val="000000"/>
          <w:sz w:val="20"/>
          <w:szCs w:val="20"/>
        </w:rPr>
        <w:t>ion, including costs of operating as independent, publicly-traded companies that the two companies will no longer be able to share. Those costs may exceed our estimates or could negate some of the benefits we expect to realize. If we do not realize the int</w:t>
      </w:r>
      <w:r>
        <w:rPr>
          <w:rFonts w:eastAsia="Times New Roman"/>
          <w:color w:val="000000"/>
          <w:sz w:val="20"/>
          <w:szCs w:val="20"/>
        </w:rPr>
        <w:t>ended benefits or if our costs exceed our estimates, we or the business that is spun off could suffer a material adverse effect on the business, financial condition, results of operations, and trading price of us or the separated business.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If the planned</w:t>
      </w:r>
      <w:r>
        <w:rPr>
          <w:rFonts w:eastAsia="Times New Roman"/>
          <w:b/>
          <w:bCs/>
          <w:i/>
          <w:iCs/>
          <w:color w:val="000000"/>
          <w:sz w:val="20"/>
          <w:szCs w:val="20"/>
        </w:rPr>
        <w:t xml:space="preserve"> separation is completed, the trading price of our common stock may decline and may experience greater volatility. </w:t>
      </w:r>
      <w:r>
        <w:rPr>
          <w:rFonts w:eastAsia="Times New Roman"/>
          <w:color w:val="000000"/>
          <w:sz w:val="20"/>
          <w:szCs w:val="20"/>
        </w:rPr>
        <w:t>Upon completion of the planned separation, the value of the separated business will trade separately and because the trading price of NCR</w:t>
      </w:r>
      <w:r>
        <w:rPr>
          <w:rFonts w:eastAsia="Times New Roman"/>
          <w:b/>
          <w:bCs/>
          <w:color w:val="000000"/>
          <w:sz w:val="20"/>
          <w:szCs w:val="20"/>
        </w:rPr>
        <w:t xml:space="preserve"> </w:t>
      </w:r>
      <w:r>
        <w:rPr>
          <w:rFonts w:eastAsia="Times New Roman"/>
          <w:color w:val="000000"/>
          <w:sz w:val="20"/>
          <w:szCs w:val="20"/>
        </w:rPr>
        <w:t>sha</w:t>
      </w:r>
      <w:r>
        <w:rPr>
          <w:rFonts w:eastAsia="Times New Roman"/>
          <w:color w:val="000000"/>
          <w:sz w:val="20"/>
          <w:szCs w:val="20"/>
        </w:rPr>
        <w:t>res will no longer reflect the separated business, such trading price may be lower than immediately prior to the separation</w:t>
      </w:r>
      <w:r>
        <w:rPr>
          <w:rFonts w:eastAsia="Times New Roman"/>
          <w:color w:val="000000"/>
          <w:sz w:val="22"/>
          <w:szCs w:val="22"/>
        </w:rPr>
        <w:t xml:space="preserve">. </w:t>
      </w:r>
      <w:r>
        <w:rPr>
          <w:rFonts w:eastAsia="Times New Roman"/>
          <w:color w:val="000000"/>
          <w:sz w:val="20"/>
          <w:szCs w:val="20"/>
        </w:rPr>
        <w:t>In addition, until the market has fully analyzed our value without the separated business, the price of our shares may experience g</w:t>
      </w:r>
      <w:r>
        <w:rPr>
          <w:rFonts w:eastAsia="Times New Roman"/>
          <w:color w:val="000000"/>
          <w:sz w:val="20"/>
          <w:szCs w:val="20"/>
        </w:rPr>
        <w:t xml:space="preserve">reater volatility. If the planned separation is completed, our shares may not match some holders’ investment strategies or meet minimum criteria for inclusion in stock market indices or portfolios, which could cause certain investors to sell their shares, </w:t>
      </w:r>
      <w:r>
        <w:rPr>
          <w:rFonts w:eastAsia="Times New Roman"/>
          <w:color w:val="000000"/>
          <w:sz w:val="20"/>
          <w:szCs w:val="20"/>
        </w:rPr>
        <w:t>which could lead to declines in the trading price of our common stock. Further, there can be no assurance that the combined value of the shares of the digital commerce company and the ATM company following the separation will be equal to or greater than wh</w:t>
      </w:r>
      <w:r>
        <w:rPr>
          <w:rFonts w:eastAsia="Times New Roman"/>
          <w:color w:val="000000"/>
          <w:sz w:val="20"/>
          <w:szCs w:val="20"/>
        </w:rPr>
        <w:t>at the value of our common stock would have been had the planned separation not occurred.</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BUSINESS OPERATIONS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Our business may be negatively affected by domestic and global economic and credit conditions. </w:t>
      </w:r>
      <w:r>
        <w:rPr>
          <w:rFonts w:eastAsia="Times New Roman"/>
          <w:color w:val="000000"/>
          <w:sz w:val="20"/>
          <w:szCs w:val="20"/>
        </w:rPr>
        <w:t xml:space="preserve">Our business is sensitive to the strength of domestic and global economic and credit conditions, particularly as they affect, either directly or indirectly, the </w:t>
      </w:r>
      <w:r>
        <w:rPr>
          <w:rFonts w:eastAsia="Times New Roman"/>
          <w:color w:val="000000"/>
          <w:sz w:val="20"/>
          <w:szCs w:val="20"/>
        </w:rPr>
        <w:t>financial, retail and hospitality sectors of the economy. Economic and credit conditions are influenced by a number of factors, including political conditions, consumer confidence, unemployment levels, interest rates, tax rates, commodity prices and govern</w:t>
      </w:r>
      <w:r>
        <w:rPr>
          <w:rFonts w:eastAsia="Times New Roman"/>
          <w:color w:val="000000"/>
          <w:sz w:val="20"/>
          <w:szCs w:val="20"/>
        </w:rPr>
        <w:t>ment actions to stimulate economic growth. The imposition or threat of protectionist trade policies or import or export tariffs, global and regional market conditions and spending trends in the financial, retail and hospitality industries, new tax legislat</w:t>
      </w:r>
      <w:r>
        <w:rPr>
          <w:rFonts w:eastAsia="Times New Roman"/>
          <w:color w:val="000000"/>
          <w:sz w:val="20"/>
          <w:szCs w:val="20"/>
        </w:rPr>
        <w:t>ion across multiple jurisdictions, modified or new global or regional trade agreements, uncertainty over further potential changes in Eurozone participation and fluctuations in oil and commodity prices, among other things, have created a challenging and un</w:t>
      </w:r>
      <w:r>
        <w:rPr>
          <w:rFonts w:eastAsia="Times New Roman"/>
          <w:color w:val="000000"/>
          <w:sz w:val="20"/>
          <w:szCs w:val="20"/>
        </w:rPr>
        <w:t>predictable environment in which to market the products and services of our various businesses across our different geographies and industries. A negative or unpredictable economic climate could create uncertainty or financial pressures that impact the abi</w:t>
      </w:r>
      <w:r>
        <w:rPr>
          <w:rFonts w:eastAsia="Times New Roman"/>
          <w:color w:val="000000"/>
          <w:sz w:val="20"/>
          <w:szCs w:val="20"/>
        </w:rPr>
        <w:t xml:space="preserve">lity or willingness of our customers to make capital expenditures, thereby affecting their decision to purchase or roll out our products or services or, especially with respect to smaller customers, to pay accounts receivable owed to NCR. Additionally, if </w:t>
      </w:r>
      <w:r>
        <w:rPr>
          <w:rFonts w:eastAsia="Times New Roman"/>
          <w:color w:val="000000"/>
          <w:sz w:val="20"/>
          <w:szCs w:val="20"/>
        </w:rPr>
        <w:t>customers respond to a negative or unpredictable economic climate by consolidation, it could reduce our base of potential customers. Negative or unpredictable global economic conditions also may have an adverse effect on our customers’ ability to obtain fi</w:t>
      </w:r>
      <w:r>
        <w:rPr>
          <w:rFonts w:eastAsia="Times New Roman"/>
          <w:color w:val="000000"/>
          <w:sz w:val="20"/>
          <w:szCs w:val="20"/>
        </w:rPr>
        <w:t>nancing for the purchase of our products and services from third party financing companies or on the number of payment processing transactions which could negatively impact our operating results.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We are subject to certain significant risks and uncertaint</w:t>
      </w:r>
      <w:r>
        <w:rPr>
          <w:rFonts w:eastAsia="Times New Roman"/>
          <w:b/>
          <w:bCs/>
          <w:i/>
          <w:iCs/>
          <w:color w:val="000000"/>
          <w:sz w:val="20"/>
          <w:szCs w:val="20"/>
        </w:rPr>
        <w:t>ies from the payments-related business and industry.</w:t>
      </w:r>
      <w:r>
        <w:rPr>
          <w:rFonts w:eastAsia="Times New Roman"/>
          <w:color w:val="000000"/>
          <w:sz w:val="20"/>
          <w:szCs w:val="20"/>
        </w:rPr>
        <w:t xml:space="preserve"> As a part of our overall strategy related to our payments-related business we may be subject to the following risks:</w:t>
      </w:r>
    </w:p>
    <w:p w:rsidR="00000000" w:rsidRDefault="0040289C">
      <w:pPr>
        <w:divId w:val="1700931041"/>
        <w:rPr>
          <w:rFonts w:eastAsia="Times New Roman"/>
        </w:rPr>
      </w:pPr>
    </w:p>
    <w:p w:rsidR="00000000" w:rsidRDefault="0040289C">
      <w:pPr>
        <w:jc w:val="both"/>
        <w:rPr>
          <w:rFonts w:eastAsia="Times New Roman"/>
        </w:rPr>
      </w:pPr>
      <w:r>
        <w:rPr>
          <w:rFonts w:eastAsia="Times New Roman"/>
          <w:color w:val="000000"/>
          <w:sz w:val="20"/>
          <w:szCs w:val="20"/>
        </w:rPr>
        <w:t>The proliferation of payment options and increasingly frictionless methods of paymen</w:t>
      </w:r>
      <w:r>
        <w:rPr>
          <w:rFonts w:eastAsia="Times New Roman"/>
          <w:color w:val="000000"/>
          <w:sz w:val="20"/>
          <w:szCs w:val="20"/>
        </w:rPr>
        <w:t>t other than cash, including credit cards, debit cards, stored-value debit cards, contactless, and mobile payments options, could result in a reduced need for cash in the marketplace and a resulting decline in the usage of our ATMs. The continued growth in</w:t>
      </w:r>
      <w:r>
        <w:rPr>
          <w:rFonts w:eastAsia="Times New Roman"/>
          <w:color w:val="000000"/>
          <w:sz w:val="20"/>
          <w:szCs w:val="20"/>
        </w:rPr>
        <w:t xml:space="preserve"> electronic payment methods, such as mobile phone payments, contactless payments and card only self-service order and payment terminals could result in a reduced need for cash in the marketplace and ultimately, a decline in the usage of ATMs. Payment techn</w:t>
      </w:r>
      <w:r>
        <w:rPr>
          <w:rFonts w:eastAsia="Times New Roman"/>
          <w:color w:val="000000"/>
          <w:sz w:val="20"/>
          <w:szCs w:val="20"/>
        </w:rPr>
        <w:t>ologies, such as Venmo, Zelle, Square Cash, Facebook Messenger Payments and virtual currencies such as Bitcoin, or other new payment method preferences by consumers could reduce the general population’s need or demand for cash and negatively impact our ATM</w:t>
      </w:r>
      <w:r>
        <w:rPr>
          <w:rFonts w:eastAsia="Times New Roman"/>
          <w:color w:val="000000"/>
          <w:sz w:val="20"/>
          <w:szCs w:val="20"/>
        </w:rPr>
        <w:t xml:space="preserve"> transaction volumes in the future.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NCR derives a significant portion of its revenues from ATM and financial services transaction fees, which could be reduced by a decline in the usage of ATMs, the ability to charge cardholders fees to use ATMs and the level of transaction fees received, or </w:t>
      </w:r>
      <w:r>
        <w:rPr>
          <w:rFonts w:eastAsia="Times New Roman"/>
          <w:color w:val="000000"/>
          <w:sz w:val="20"/>
          <w:szCs w:val="20"/>
        </w:rPr>
        <w:t>a decline in the number of ATMs that are operated by us, whether as a result of changes in consumer spending preferences, global economic conditions, or otherwise. Additionally, should banks or other ATM operators decrease or eliminate the fees they charge</w:t>
      </w:r>
      <w:r>
        <w:rPr>
          <w:rFonts w:eastAsia="Times New Roman"/>
          <w:color w:val="000000"/>
          <w:sz w:val="20"/>
          <w:szCs w:val="20"/>
        </w:rPr>
        <w:t xml:space="preserve"> </w:t>
      </w:r>
    </w:p>
    <w:p w:rsidR="00000000" w:rsidRDefault="0040289C">
      <w:pPr>
        <w:jc w:val="center"/>
        <w:divId w:val="942298711"/>
        <w:rPr>
          <w:rFonts w:eastAsia="Times New Roman"/>
        </w:rPr>
      </w:pPr>
      <w:r>
        <w:rPr>
          <w:rFonts w:eastAsia="Times New Roman"/>
          <w:color w:val="000000"/>
          <w:sz w:val="20"/>
          <w:szCs w:val="20"/>
        </w:rPr>
        <w:t>18</w:t>
      </w:r>
    </w:p>
    <w:p w:rsidR="00000000" w:rsidRDefault="0040289C">
      <w:pPr>
        <w:rPr>
          <w:rFonts w:eastAsia="Times New Roman"/>
        </w:rPr>
      </w:pPr>
      <w:r>
        <w:rPr>
          <w:rFonts w:eastAsia="Times New Roman"/>
        </w:rPr>
        <w:pict>
          <v:rect id="_x0000_i1047" style="width:0;height:1.5pt" o:hralign="center" o:hrstd="t" o:hr="t" fillcolor="#a0a0a0" stroked="f"/>
        </w:pict>
      </w:r>
    </w:p>
    <w:p w:rsidR="00000000" w:rsidRDefault="0040289C">
      <w:pPr>
        <w:divId w:val="196419135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45577822"/>
        <w:rPr>
          <w:rFonts w:eastAsia="Times New Roman"/>
        </w:rPr>
      </w:pPr>
    </w:p>
    <w:p w:rsidR="00000000" w:rsidRDefault="0040289C">
      <w:pPr>
        <w:jc w:val="both"/>
        <w:rPr>
          <w:rFonts w:eastAsia="Times New Roman"/>
        </w:rPr>
      </w:pPr>
      <w:r>
        <w:rPr>
          <w:rFonts w:eastAsia="Times New Roman"/>
          <w:color w:val="000000"/>
          <w:sz w:val="20"/>
          <w:szCs w:val="20"/>
        </w:rPr>
        <w:t xml:space="preserve">to users of their ATMs or otherwise offer free access to their networks, such action would make transactions at our ATMs comparatively </w:t>
      </w:r>
      <w:r>
        <w:rPr>
          <w:rFonts w:eastAsia="Times New Roman"/>
          <w:color w:val="000000"/>
          <w:sz w:val="20"/>
          <w:szCs w:val="20"/>
        </w:rPr>
        <w:t>more expensive to consumers and could adversely impact transaction volumes and revenue.</w:t>
      </w:r>
    </w:p>
    <w:p w:rsidR="00000000" w:rsidRDefault="0040289C">
      <w:pPr>
        <w:ind w:hanging="360"/>
        <w:jc w:val="both"/>
        <w:rPr>
          <w:rFonts w:eastAsia="Times New Roman"/>
        </w:rPr>
      </w:pPr>
    </w:p>
    <w:p w:rsidR="00000000" w:rsidRDefault="0040289C">
      <w:pPr>
        <w:jc w:val="both"/>
        <w:rPr>
          <w:rFonts w:eastAsia="Times New Roman"/>
        </w:rPr>
      </w:pPr>
      <w:r>
        <w:rPr>
          <w:rFonts w:eastAsia="Times New Roman"/>
          <w:color w:val="000000"/>
          <w:sz w:val="20"/>
          <w:szCs w:val="20"/>
        </w:rPr>
        <w:t>The majority of the electronic debit networks over which transactions are conducted require sponsorship by a bank, and the loss of any sponsors and/or the inability t</w:t>
      </w:r>
      <w:r>
        <w:rPr>
          <w:rFonts w:eastAsia="Times New Roman"/>
          <w:color w:val="000000"/>
          <w:sz w:val="20"/>
          <w:szCs w:val="20"/>
        </w:rPr>
        <w:t>o find a replacement may cause disruptions to our operations. In each of the geographic markets, bank sponsorship is required in order to process transactions over certain networks. In all of the markets we serve, ATMs are connected to financial transactio</w:t>
      </w:r>
      <w:r>
        <w:rPr>
          <w:rFonts w:eastAsia="Times New Roman"/>
          <w:color w:val="000000"/>
          <w:sz w:val="20"/>
          <w:szCs w:val="20"/>
        </w:rPr>
        <w:t>n switching networks operated by organizations such as Visa and MasterCard. The rules governing these switching networks require any company sending transactions through these networks to be a bank or a technical service processor that is approved and moni</w:t>
      </w:r>
      <w:r>
        <w:rPr>
          <w:rFonts w:eastAsia="Times New Roman"/>
          <w:color w:val="000000"/>
          <w:sz w:val="20"/>
          <w:szCs w:val="20"/>
        </w:rPr>
        <w:t>tored by a bank. As a result, the operation of the ATM network in all of the markets we serve depends on the ability to secure these “sponsor” arrangements with financial institutions.</w:t>
      </w:r>
    </w:p>
    <w:p w:rsidR="00000000" w:rsidRDefault="0040289C">
      <w:pPr>
        <w:ind w:hanging="360"/>
        <w:jc w:val="both"/>
        <w:rPr>
          <w:rFonts w:eastAsia="Times New Roman"/>
        </w:rPr>
      </w:pPr>
    </w:p>
    <w:p w:rsidR="00000000" w:rsidRDefault="0040289C">
      <w:pPr>
        <w:jc w:val="both"/>
        <w:rPr>
          <w:rFonts w:eastAsia="Times New Roman"/>
        </w:rPr>
      </w:pPr>
      <w:r>
        <w:rPr>
          <w:rFonts w:eastAsia="Times New Roman"/>
          <w:color w:val="000000"/>
          <w:sz w:val="20"/>
          <w:szCs w:val="20"/>
        </w:rPr>
        <w:t>Interchange fees may be lowered in some cases at the discretion of th</w:t>
      </w:r>
      <w:r>
        <w:rPr>
          <w:rFonts w:eastAsia="Times New Roman"/>
          <w:color w:val="000000"/>
          <w:sz w:val="20"/>
          <w:szCs w:val="20"/>
        </w:rPr>
        <w:t>e various EFT networks through which transactions are routed, or through potential regulatory changes, thus reducing future revenues and operating profits. Future changes in interchange rates, some of which we have minimal or no control over, could have an</w:t>
      </w:r>
      <w:r>
        <w:rPr>
          <w:rFonts w:eastAsia="Times New Roman"/>
          <w:color w:val="000000"/>
          <w:sz w:val="20"/>
          <w:szCs w:val="20"/>
        </w:rPr>
        <w:t xml:space="preserve"> adverse impact on our operations and cash flows.</w:t>
      </w:r>
    </w:p>
    <w:p w:rsidR="00000000" w:rsidRDefault="0040289C">
      <w:pPr>
        <w:ind w:hanging="360"/>
        <w:jc w:val="both"/>
        <w:rPr>
          <w:rFonts w:eastAsia="Times New Roman"/>
        </w:rPr>
      </w:pPr>
    </w:p>
    <w:p w:rsidR="00000000" w:rsidRDefault="0040289C">
      <w:pPr>
        <w:jc w:val="both"/>
        <w:rPr>
          <w:rFonts w:eastAsia="Times New Roman"/>
        </w:rPr>
      </w:pPr>
      <w:r>
        <w:rPr>
          <w:rFonts w:eastAsia="Times New Roman"/>
          <w:color w:val="000000"/>
          <w:sz w:val="20"/>
          <w:szCs w:val="20"/>
        </w:rPr>
        <w:t>Non-compliance with established EFT network rules and regulations could expose NCR to fines, penalties or other liabilities and could negatively impact results of operations. Additionally, new EFT network</w:t>
      </w:r>
      <w:r>
        <w:rPr>
          <w:rFonts w:eastAsia="Times New Roman"/>
          <w:color w:val="000000"/>
          <w:sz w:val="20"/>
          <w:szCs w:val="20"/>
        </w:rPr>
        <w:t xml:space="preserve"> rules and regulations could require significant amounts of capital to remain in compliance with such rules and regulations. Transactions are routed over various EFT networks to obtain authorization for cash disbursements and to provide account balances. T</w:t>
      </w:r>
      <w:r>
        <w:rPr>
          <w:rFonts w:eastAsia="Times New Roman"/>
          <w:color w:val="000000"/>
          <w:sz w:val="20"/>
          <w:szCs w:val="20"/>
        </w:rPr>
        <w:t>hese networks primarily include Star, Pulse, NYCE, Cirrus (MasterCard), and Plus (Visa) in the United States, and LINK in the United Kingdom, among other networks. EFT networks set the interchange fees that they charge to the financial institutions, as wel</w:t>
      </w:r>
      <w:r>
        <w:rPr>
          <w:rFonts w:eastAsia="Times New Roman"/>
          <w:color w:val="000000"/>
          <w:sz w:val="20"/>
          <w:szCs w:val="20"/>
        </w:rPr>
        <w:t>l as the amounts paid to NCR. Additionally, EFT networks, including MasterCard and Visa, establish rules and regulations that ATM providers must comply with in order for member cardholders to use those ATMs. Failure to comply with such rules and regulation</w:t>
      </w:r>
      <w:r>
        <w:rPr>
          <w:rFonts w:eastAsia="Times New Roman"/>
          <w:color w:val="000000"/>
          <w:sz w:val="20"/>
          <w:szCs w:val="20"/>
        </w:rPr>
        <w:t>s could result in penalties and/or fines, which could negatively impact our financial results.</w:t>
      </w:r>
    </w:p>
    <w:p w:rsidR="00000000" w:rsidRDefault="0040289C">
      <w:pPr>
        <w:ind w:hanging="360"/>
        <w:jc w:val="both"/>
        <w:rPr>
          <w:rFonts w:eastAsia="Times New Roman"/>
        </w:rPr>
      </w:pPr>
    </w:p>
    <w:p w:rsidR="00000000" w:rsidRDefault="0040289C">
      <w:pPr>
        <w:jc w:val="both"/>
        <w:rPr>
          <w:rFonts w:eastAsia="Times New Roman"/>
        </w:rPr>
      </w:pPr>
      <w:r>
        <w:rPr>
          <w:rFonts w:eastAsia="Times New Roman"/>
          <w:color w:val="000000"/>
          <w:sz w:val="20"/>
          <w:szCs w:val="20"/>
        </w:rPr>
        <w:t>There is a significant amount of vault cash within our ATMs, which is subject to potential loss due to theft, civil unrest or other events, including natural d</w:t>
      </w:r>
      <w:r>
        <w:rPr>
          <w:rFonts w:eastAsia="Times New Roman"/>
          <w:color w:val="000000"/>
          <w:sz w:val="20"/>
          <w:szCs w:val="20"/>
        </w:rPr>
        <w:t xml:space="preserve">isasters. Third parties are also relied upon in the various regions to provide NCR with the cash required to operate many of the ATMs. If these third parties were unable or unwilling to provide the necessary cash to operate the ATMs, there would be a need </w:t>
      </w:r>
      <w:r>
        <w:rPr>
          <w:rFonts w:eastAsia="Times New Roman"/>
          <w:color w:val="000000"/>
          <w:sz w:val="20"/>
          <w:szCs w:val="20"/>
        </w:rPr>
        <w:t>to identify alternative sources of cash to operate the ATMs or we would not be able to operate this business.</w:t>
      </w:r>
    </w:p>
    <w:p w:rsidR="00000000" w:rsidRDefault="0040289C">
      <w:pPr>
        <w:ind w:hanging="360"/>
        <w:jc w:val="both"/>
        <w:rPr>
          <w:rFonts w:eastAsia="Times New Roman"/>
        </w:rPr>
      </w:pPr>
    </w:p>
    <w:p w:rsidR="00000000" w:rsidRDefault="0040289C">
      <w:pPr>
        <w:jc w:val="both"/>
        <w:rPr>
          <w:rFonts w:eastAsia="Times New Roman"/>
        </w:rPr>
      </w:pPr>
      <w:r>
        <w:rPr>
          <w:rFonts w:eastAsia="Times New Roman"/>
          <w:color w:val="000000"/>
          <w:sz w:val="20"/>
          <w:szCs w:val="20"/>
        </w:rPr>
        <w:t>The election by our merchant customers not to participate in the surcharge-free network offerings could impact the effectiveness of those offeri</w:t>
      </w:r>
      <w:r>
        <w:rPr>
          <w:rFonts w:eastAsia="Times New Roman"/>
          <w:color w:val="000000"/>
          <w:sz w:val="20"/>
          <w:szCs w:val="20"/>
        </w:rPr>
        <w:t xml:space="preserve">ngs, which would negatively impact our financial results. Financial institutions that are members of the Allpoint network pay a fee in exchange for allowing their cardholders to use selected NCR-owned, managed and/or participating ATMs on a surcharge-free </w:t>
      </w:r>
      <w:r>
        <w:rPr>
          <w:rFonts w:eastAsia="Times New Roman"/>
          <w:color w:val="000000"/>
          <w:sz w:val="20"/>
          <w:szCs w:val="20"/>
        </w:rPr>
        <w:t>basis. The success of the Allpoint network is dependent upon the participation by our merchant customers in that network. In the event a significant number of our merchants elect not to participate in the Allpoint network, the benefits and effectiveness of</w:t>
      </w:r>
      <w:r>
        <w:rPr>
          <w:rFonts w:eastAsia="Times New Roman"/>
          <w:color w:val="000000"/>
          <w:sz w:val="20"/>
          <w:szCs w:val="20"/>
        </w:rPr>
        <w:t xml:space="preserve"> the network would be diminished, thus potentially causing some of the participating financial institutions to not renew their agreements, terminate early, and/or trigger financial penalties, thereby having a negative impact on our financial results.</w:t>
      </w:r>
    </w:p>
    <w:p w:rsidR="00000000" w:rsidRDefault="0040289C">
      <w:pPr>
        <w:ind w:hanging="360"/>
        <w:jc w:val="both"/>
        <w:rPr>
          <w:rFonts w:eastAsia="Times New Roman"/>
        </w:rPr>
      </w:pPr>
    </w:p>
    <w:p w:rsidR="00000000" w:rsidRDefault="0040289C">
      <w:pPr>
        <w:jc w:val="both"/>
        <w:rPr>
          <w:rFonts w:eastAsia="Times New Roman"/>
        </w:rPr>
      </w:pPr>
      <w:r>
        <w:rPr>
          <w:rFonts w:eastAsia="Times New Roman"/>
          <w:color w:val="000000"/>
          <w:sz w:val="20"/>
          <w:szCs w:val="20"/>
        </w:rPr>
        <w:t>The cash-in-transit business exposes NCR to additional risks beyond those experienced from the ownership and operation of ATMs. The cash-in-transit operation in the United Kingdom delivers cash to and collects residual cash from ATMs in that market. The ca</w:t>
      </w:r>
      <w:r>
        <w:rPr>
          <w:rFonts w:eastAsia="Times New Roman"/>
          <w:color w:val="000000"/>
          <w:sz w:val="20"/>
          <w:szCs w:val="20"/>
        </w:rPr>
        <w:t>sh-in-transit business exposes NCR to significant risks, including the potential for cash-in-transit losses, employee theft, as well as claims for personal injury, wrongful death, worker’s compensation, punitive damages, and general liability,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Errors or </w:t>
      </w:r>
      <w:r>
        <w:rPr>
          <w:rFonts w:eastAsia="Times New Roman"/>
          <w:color w:val="000000"/>
          <w:sz w:val="20"/>
          <w:szCs w:val="20"/>
        </w:rPr>
        <w:t>omissions in the settlement of merchant funds or in the vault cash reconciliations could damage relationships with customers and vault cash providers, respectively, and expose NCR to liability. NCR is responsible for maintaining accurate bank account infor</w:t>
      </w:r>
      <w:r>
        <w:rPr>
          <w:rFonts w:eastAsia="Times New Roman"/>
          <w:color w:val="000000"/>
          <w:sz w:val="20"/>
          <w:szCs w:val="20"/>
        </w:rPr>
        <w:t>mation for certain merchant customers, financial institution customers and vault cash providers and accurate settlements of funds into these accounts based on the underlying transaction activity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NCR businesses that are customer-facing expose the Company </w:t>
      </w:r>
      <w:r>
        <w:rPr>
          <w:rFonts w:eastAsia="Times New Roman"/>
          <w:color w:val="000000"/>
          <w:sz w:val="20"/>
          <w:szCs w:val="20"/>
        </w:rPr>
        <w:t>to additional compliance risks because we may be subject to certain consumer protection requirements such as oversight by the Consumer Financial Protection Bureau (CFPB) and Federal Trade Commission (FTC) and similar state or foreign agencies in the jurisd</w:t>
      </w:r>
      <w:r>
        <w:rPr>
          <w:rFonts w:eastAsia="Times New Roman"/>
          <w:color w:val="000000"/>
          <w:sz w:val="20"/>
          <w:szCs w:val="20"/>
        </w:rPr>
        <w:t>ictions where they operate. The Company will also be exposed to additional compliance risks in scope and geography as our payments-related offers expand into new markets, each with their own consumer protection requirements. In addition, the customer-facin</w:t>
      </w:r>
      <w:r>
        <w:rPr>
          <w:rFonts w:eastAsia="Times New Roman"/>
          <w:color w:val="000000"/>
          <w:sz w:val="20"/>
          <w:szCs w:val="20"/>
        </w:rPr>
        <w:t xml:space="preserve">g nature of our payments-related business subjects the Company to increased risks of disputes with consumers, including litigation and class action litigation, and significant costs to address such matters. The volatility of cryptocurrency markets and the </w:t>
      </w:r>
      <w:r>
        <w:rPr>
          <w:rFonts w:eastAsia="Times New Roman"/>
          <w:color w:val="000000"/>
          <w:sz w:val="20"/>
          <w:szCs w:val="20"/>
        </w:rPr>
        <w:t xml:space="preserve">level of consumer understanding of cryptocurrencies may cause this risk to be greater than in more traditional customer-facing businesses. The Company also faces additional risks related to uncertainty in potential future regulation and legal oversight of </w:t>
      </w:r>
      <w:r>
        <w:rPr>
          <w:rFonts w:eastAsia="Times New Roman"/>
          <w:color w:val="000000"/>
          <w:sz w:val="20"/>
          <w:szCs w:val="20"/>
        </w:rPr>
        <w:t>markets and businesses engaged in products and services relating to blockchain technology, virtual currencies or cryptocurrencies.</w:t>
      </w:r>
    </w:p>
    <w:p w:rsidR="00000000" w:rsidRDefault="0040289C">
      <w:pPr>
        <w:jc w:val="center"/>
        <w:divId w:val="1180893957"/>
        <w:rPr>
          <w:rFonts w:eastAsia="Times New Roman"/>
        </w:rPr>
      </w:pPr>
      <w:r>
        <w:rPr>
          <w:rFonts w:eastAsia="Times New Roman"/>
          <w:color w:val="000000"/>
          <w:sz w:val="20"/>
          <w:szCs w:val="20"/>
        </w:rPr>
        <w:t>19</w:t>
      </w:r>
    </w:p>
    <w:p w:rsidR="00000000" w:rsidRDefault="0040289C">
      <w:pPr>
        <w:rPr>
          <w:rFonts w:eastAsia="Times New Roman"/>
        </w:rPr>
      </w:pPr>
      <w:r>
        <w:rPr>
          <w:rFonts w:eastAsia="Times New Roman"/>
        </w:rPr>
        <w:pict>
          <v:rect id="_x0000_i1048" style="width:0;height:1.5pt" o:hralign="center" o:hrstd="t" o:hr="t" fillcolor="#a0a0a0" stroked="f"/>
        </w:pict>
      </w:r>
    </w:p>
    <w:p w:rsidR="00000000" w:rsidRDefault="0040289C">
      <w:pPr>
        <w:divId w:val="185056363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810202588"/>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Disru</w:t>
      </w:r>
      <w:r>
        <w:rPr>
          <w:rFonts w:eastAsia="Times New Roman"/>
          <w:b/>
          <w:bCs/>
          <w:i/>
          <w:iCs/>
          <w:color w:val="000000"/>
          <w:sz w:val="20"/>
          <w:szCs w:val="20"/>
        </w:rPr>
        <w:t>ptions in our data center hosting and public cloud facilities could adversely affect our business</w:t>
      </w:r>
      <w:r>
        <w:rPr>
          <w:rFonts w:eastAsia="Times New Roman"/>
          <w:i/>
          <w:iCs/>
          <w:color w:val="000000"/>
          <w:sz w:val="20"/>
          <w:szCs w:val="20"/>
        </w:rPr>
        <w:t>.</w:t>
      </w:r>
      <w:r>
        <w:rPr>
          <w:rFonts w:eastAsia="Times New Roman"/>
          <w:color w:val="000000"/>
          <w:sz w:val="20"/>
          <w:szCs w:val="20"/>
        </w:rPr>
        <w:t xml:space="preserve"> Our software products are increasingly being offered and provided on a cloud or other hosted basis through data centers operated by the Company or third part</w:t>
      </w:r>
      <w:r>
        <w:rPr>
          <w:rFonts w:eastAsia="Times New Roman"/>
          <w:color w:val="000000"/>
          <w:sz w:val="20"/>
          <w:szCs w:val="20"/>
        </w:rPr>
        <w:t>ies in the United States and other countries. In addition, certain applications and data that we use in our services offerings and our operations may be hosted or stored at such facilities. These facilities may be vulnerable to natural disasters, including</w:t>
      </w:r>
      <w:r>
        <w:rPr>
          <w:rFonts w:eastAsia="Times New Roman"/>
          <w:color w:val="000000"/>
          <w:sz w:val="20"/>
          <w:szCs w:val="20"/>
        </w:rPr>
        <w:t xml:space="preserve"> those exacerbated by the effects of climate change, telecommunications failures and similar events, or to intentional acts of misconduct, such as security breaches or interference (including by disgruntled employees, former employees or contractors). The </w:t>
      </w:r>
      <w:r>
        <w:rPr>
          <w:rFonts w:eastAsia="Times New Roman"/>
          <w:color w:val="000000"/>
          <w:sz w:val="20"/>
          <w:szCs w:val="20"/>
        </w:rPr>
        <w:t>occurrence of these events or acts, or any other unanticipated problems, at these facilities could result in damage to or the unavailability of these cloud hosting facilities. Such damage or unavailability could, despite existing disaster recovery and busi</w:t>
      </w:r>
      <w:r>
        <w:rPr>
          <w:rFonts w:eastAsia="Times New Roman"/>
          <w:color w:val="000000"/>
          <w:sz w:val="20"/>
          <w:szCs w:val="20"/>
        </w:rPr>
        <w:t>ness continuity arrangements, interrupt the availability of our cloud offerings for our customers. We have experienced such interruptions and damage or unavailability could interrupt the availability of applications or data necessary to provide services or</w:t>
      </w:r>
      <w:r>
        <w:rPr>
          <w:rFonts w:eastAsia="Times New Roman"/>
          <w:color w:val="000000"/>
          <w:sz w:val="20"/>
          <w:szCs w:val="20"/>
        </w:rPr>
        <w:t xml:space="preserve"> conduct critical operations. Interruptions in the availability of our cloud offerings or our ability to service our customers could result in the failure to meet contracted up-time or service levels, which could cause us to issue credits or pay penalties </w:t>
      </w:r>
      <w:r>
        <w:rPr>
          <w:rFonts w:eastAsia="Times New Roman"/>
          <w:color w:val="000000"/>
          <w:sz w:val="20"/>
          <w:szCs w:val="20"/>
        </w:rPr>
        <w:t>or cause customers to terminate or not renew subscriptions. Interruptions could also expose us to liability claims, negative publicity and the need to engage in costly remediation efforts, any of which could impact our business and reduce our revenue.</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If</w:t>
      </w:r>
      <w:r>
        <w:rPr>
          <w:rFonts w:eastAsia="Times New Roman"/>
          <w:b/>
          <w:bCs/>
          <w:i/>
          <w:iCs/>
          <w:color w:val="000000"/>
          <w:sz w:val="20"/>
          <w:szCs w:val="20"/>
        </w:rPr>
        <w:t xml:space="preserve"> we do not retain key employees, or attract quality new and replacement employees, we may not be able to meet our business objectives.</w:t>
      </w:r>
      <w:r>
        <w:rPr>
          <w:rFonts w:eastAsia="Times New Roman"/>
          <w:b/>
          <w:bCs/>
          <w:color w:val="000000"/>
          <w:sz w:val="20"/>
          <w:szCs w:val="20"/>
        </w:rPr>
        <w:t xml:space="preserve"> </w:t>
      </w:r>
      <w:r>
        <w:rPr>
          <w:rFonts w:eastAsia="Times New Roman"/>
          <w:color w:val="000000"/>
          <w:sz w:val="20"/>
          <w:szCs w:val="20"/>
        </w:rPr>
        <w:t>Our employees are vital to our success, including the successful transformation of the Company into a software- and servi</w:t>
      </w:r>
      <w:r>
        <w:rPr>
          <w:rFonts w:eastAsia="Times New Roman"/>
          <w:color w:val="000000"/>
          <w:sz w:val="20"/>
          <w:szCs w:val="20"/>
        </w:rPr>
        <w:t>ces-led business. Therefore, our ability to retain our key business leaders and our highly skilled software development, technical, sales, consulting and other key personnel, including key personnel of acquired businesses, is critical. Maintaining an inclu</w:t>
      </w:r>
      <w:r>
        <w:rPr>
          <w:rFonts w:eastAsia="Times New Roman"/>
          <w:color w:val="000000"/>
          <w:sz w:val="20"/>
          <w:szCs w:val="20"/>
        </w:rPr>
        <w:t xml:space="preserve">sive culture and work environment is an important factor in attracting employees and retention. The market for highly skilled workers and leaders in our industry is extremely competitive, and we may need to invest significant amounts of cash and equity to </w:t>
      </w:r>
      <w:r>
        <w:rPr>
          <w:rFonts w:eastAsia="Times New Roman"/>
          <w:color w:val="000000"/>
          <w:sz w:val="20"/>
          <w:szCs w:val="20"/>
        </w:rPr>
        <w:t>attract and retain new employees. We may never realize returns on these investments. Key employees may decide to leave NCR for other opportunities or may be unavailable for health or other reasons. Changes of key business leaders could be disruptive to our</w:t>
      </w:r>
      <w:r>
        <w:rPr>
          <w:rFonts w:eastAsia="Times New Roman"/>
          <w:color w:val="000000"/>
          <w:sz w:val="20"/>
          <w:szCs w:val="20"/>
        </w:rPr>
        <w:t xml:space="preserve"> business or delay the execution of our strategy, and as a result could cause fluctuation in our stock price. In addition, as our business model evolves, we may need to attract employees with different skill sets, experience and attributes to support that </w:t>
      </w:r>
      <w:r>
        <w:rPr>
          <w:rFonts w:eastAsia="Times New Roman"/>
          <w:color w:val="000000"/>
          <w:sz w:val="20"/>
          <w:szCs w:val="20"/>
        </w:rPr>
        <w:t>evolution. If we are unable to retain our key personnel, or we are unable to attract highly qualified new and replacement employees by offering competitive compensation, secure work environments, and leadership opportunities now and in the future, our busi</w:t>
      </w:r>
      <w:r>
        <w:rPr>
          <w:rFonts w:eastAsia="Times New Roman"/>
          <w:color w:val="000000"/>
          <w:sz w:val="20"/>
          <w:szCs w:val="20"/>
        </w:rPr>
        <w:t>ness and operating results could be negatively impacted.</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Defects, errors, installation difficulties or development delays could expose us to potential liability, harm our reputation and negatively impact our business.</w:t>
      </w:r>
      <w:r>
        <w:rPr>
          <w:rFonts w:eastAsia="Times New Roman"/>
          <w:color w:val="000000"/>
          <w:sz w:val="20"/>
          <w:szCs w:val="20"/>
        </w:rPr>
        <w:t xml:space="preserve"> Many of our products are sophisticat</w:t>
      </w:r>
      <w:r>
        <w:rPr>
          <w:rFonts w:eastAsia="Times New Roman"/>
          <w:color w:val="000000"/>
          <w:sz w:val="20"/>
          <w:szCs w:val="20"/>
        </w:rPr>
        <w:t>ed and complex, and may incorporate third-party hardware and software. Despite testing and quality control, we cannot be certain that defects or errors will not be found in our products. If our products contain undetected defects or errors, or otherwise fa</w:t>
      </w:r>
      <w:r>
        <w:rPr>
          <w:rFonts w:eastAsia="Times New Roman"/>
          <w:color w:val="000000"/>
          <w:sz w:val="20"/>
          <w:szCs w:val="20"/>
        </w:rPr>
        <w:t xml:space="preserve">il to meet our customers’ expectations, we could face the loss of customers, liability exposure and additional development costs. If defects or errors delay product installation or make it more difficult, we could experience delays in customer acceptance, </w:t>
      </w:r>
      <w:r>
        <w:rPr>
          <w:rFonts w:eastAsia="Times New Roman"/>
          <w:color w:val="000000"/>
          <w:sz w:val="20"/>
          <w:szCs w:val="20"/>
        </w:rPr>
        <w:t>or if our products require significant amounts of customer support, it could result in incremental costs to us. In addition, our customers who license and deploy our software may do so in both standard and non-standard configurations in different environme</w:t>
      </w:r>
      <w:r>
        <w:rPr>
          <w:rFonts w:eastAsia="Times New Roman"/>
          <w:color w:val="000000"/>
          <w:sz w:val="20"/>
          <w:szCs w:val="20"/>
        </w:rPr>
        <w:t xml:space="preserve">nts with different computer platforms, system management software and equipment and networking configurations, which may increase the likelihood of technical difficulties. Our products may be integrated with other components or software, and, in the event </w:t>
      </w:r>
      <w:r>
        <w:rPr>
          <w:rFonts w:eastAsia="Times New Roman"/>
          <w:color w:val="000000"/>
          <w:sz w:val="20"/>
          <w:szCs w:val="20"/>
        </w:rPr>
        <w:t>that there are defects or errors, it may be difficult to determine the origin of such defects or errors. Additionally, damage to, or failure or unavailability of, any significant aspect of our cloud hosting facilities could interrupt the availability of ou</w:t>
      </w:r>
      <w:r>
        <w:rPr>
          <w:rFonts w:eastAsia="Times New Roman"/>
          <w:color w:val="000000"/>
          <w:sz w:val="20"/>
          <w:szCs w:val="20"/>
        </w:rPr>
        <w:t xml:space="preserve">r cloud offerings, which could cause disruption for our customers, and, in turn, their customers, and expose us to liability. If any of these risks materialize, they could result in additional costs and expenses, exposure to liability claims, diversion of </w:t>
      </w:r>
      <w:r>
        <w:rPr>
          <w:rFonts w:eastAsia="Times New Roman"/>
          <w:color w:val="000000"/>
          <w:sz w:val="20"/>
          <w:szCs w:val="20"/>
        </w:rPr>
        <w:t>technical and other resources to engage in remediation efforts, loss of customers or negative publicity, each of which could negatively impact our business and operating results.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If third party suppliers upon which we rely are not able to fulfill our nee</w:t>
      </w:r>
      <w:r>
        <w:rPr>
          <w:rFonts w:eastAsia="Times New Roman"/>
          <w:b/>
          <w:bCs/>
          <w:i/>
          <w:iCs/>
          <w:color w:val="000000"/>
          <w:sz w:val="20"/>
          <w:szCs w:val="20"/>
        </w:rPr>
        <w:t xml:space="preserve">ds, our ability to timely bring our products to market could be affected. </w:t>
      </w:r>
      <w:r>
        <w:rPr>
          <w:rFonts w:eastAsia="Times New Roman"/>
          <w:color w:val="000000"/>
          <w:sz w:val="20"/>
          <w:szCs w:val="20"/>
        </w:rPr>
        <w:t>There are a number of vendors providing the services and producing the parts and components that we utilize in or in connection with our products. However, there are some services an</w:t>
      </w:r>
      <w:r>
        <w:rPr>
          <w:rFonts w:eastAsia="Times New Roman"/>
          <w:color w:val="000000"/>
          <w:sz w:val="20"/>
          <w:szCs w:val="20"/>
        </w:rPr>
        <w:t>d components that are licensed or purchased from single sources due to price, quality, technology, functionality or other reasons. For example, we depend on transaction processing services from Accenture, computer chips and microprocessors from Intel and o</w:t>
      </w:r>
      <w:r>
        <w:rPr>
          <w:rFonts w:eastAsia="Times New Roman"/>
          <w:color w:val="000000"/>
          <w:sz w:val="20"/>
          <w:szCs w:val="20"/>
        </w:rPr>
        <w:t>perating systems from Microsoft. Certain parts and components used in the manufacturing of our ATMs and the delivery of many of our retail solutions are also supplied by single sources. In addition, there are a number of key suppliers for our businesses th</w:t>
      </w:r>
      <w:r>
        <w:rPr>
          <w:rFonts w:eastAsia="Times New Roman"/>
          <w:color w:val="000000"/>
          <w:sz w:val="20"/>
          <w:szCs w:val="20"/>
        </w:rPr>
        <w:t>at provide us with critical products for our solutions. If we were unable to secure the necessary services or maintain current demand, including contract manufacturing, parts, software, components or products from a particular vendor, and we had to find an</w:t>
      </w:r>
      <w:r>
        <w:rPr>
          <w:rFonts w:eastAsia="Times New Roman"/>
          <w:color w:val="000000"/>
          <w:sz w:val="20"/>
          <w:szCs w:val="20"/>
        </w:rPr>
        <w:t xml:space="preserve"> alternative supplier, our new and existing product shipments and solution deliveries, or the provision of contracted services, could be delayed, impacting our business and operating results. </w:t>
      </w:r>
    </w:p>
    <w:p w:rsidR="00000000" w:rsidRDefault="0040289C">
      <w:pPr>
        <w:jc w:val="both"/>
        <w:rPr>
          <w:rFonts w:eastAsia="Times New Roman"/>
        </w:rPr>
      </w:pPr>
    </w:p>
    <w:p w:rsidR="00000000" w:rsidRDefault="0040289C">
      <w:pPr>
        <w:jc w:val="center"/>
        <w:divId w:val="1000232753"/>
        <w:rPr>
          <w:rFonts w:eastAsia="Times New Roman"/>
        </w:rPr>
      </w:pPr>
      <w:r>
        <w:rPr>
          <w:rFonts w:eastAsia="Times New Roman"/>
          <w:color w:val="000000"/>
          <w:sz w:val="20"/>
          <w:szCs w:val="20"/>
        </w:rPr>
        <w:t>20</w:t>
      </w:r>
    </w:p>
    <w:p w:rsidR="00000000" w:rsidRDefault="0040289C">
      <w:pPr>
        <w:rPr>
          <w:rFonts w:eastAsia="Times New Roman"/>
        </w:rPr>
      </w:pPr>
      <w:r>
        <w:rPr>
          <w:rFonts w:eastAsia="Times New Roman"/>
        </w:rPr>
        <w:pict>
          <v:rect id="_x0000_i1049" style="width:0;height:1.5pt" o:hralign="center" o:hrstd="t" o:hr="t" fillcolor="#a0a0a0" stroked="f"/>
        </w:pict>
      </w:r>
    </w:p>
    <w:p w:rsidR="00000000" w:rsidRDefault="0040289C">
      <w:pPr>
        <w:divId w:val="99904318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001149899"/>
        <w:rPr>
          <w:rFonts w:eastAsia="Times New Roman"/>
        </w:rPr>
      </w:pPr>
    </w:p>
    <w:p w:rsidR="00000000" w:rsidRDefault="0040289C">
      <w:pPr>
        <w:jc w:val="both"/>
        <w:rPr>
          <w:rFonts w:eastAsia="Times New Roman"/>
        </w:rPr>
      </w:pPr>
      <w:r>
        <w:rPr>
          <w:rFonts w:eastAsia="Times New Roman"/>
          <w:color w:val="000000"/>
          <w:sz w:val="20"/>
          <w:szCs w:val="20"/>
        </w:rPr>
        <w:t>We have, from time to time, formed alliances with third parties that have complementary products, software, services and skills. These alliances represent many different types o</w:t>
      </w:r>
      <w:r>
        <w:rPr>
          <w:rFonts w:eastAsia="Times New Roman"/>
          <w:color w:val="000000"/>
          <w:sz w:val="20"/>
          <w:szCs w:val="20"/>
        </w:rPr>
        <w:t>f relationships, such as outsourcing arrangements to manufacture hardware and subcontract agreements with third parties to perform services and provide products and software to our customers in connection with our solutions. For example, we rely on third p</w:t>
      </w:r>
      <w:r>
        <w:rPr>
          <w:rFonts w:eastAsia="Times New Roman"/>
          <w:color w:val="000000"/>
          <w:sz w:val="20"/>
          <w:szCs w:val="20"/>
        </w:rPr>
        <w:t>arties for cash replenishment services for our ATM products. These alliances introduce risks that we cannot control, such as nonperformance by third parties and difficulties with or delays in integrating elements provided by third parties into our solution</w:t>
      </w:r>
      <w:r>
        <w:rPr>
          <w:rFonts w:eastAsia="Times New Roman"/>
          <w:color w:val="000000"/>
          <w:sz w:val="20"/>
          <w:szCs w:val="20"/>
        </w:rPr>
        <w:t>s. Lack of information technology infrastructure, shortages in business capitalization, and manual processes and data integrity issues, particularly with smaller suppliers can also create product time delays, inventory and invoicing problems, and staging d</w:t>
      </w:r>
      <w:r>
        <w:rPr>
          <w:rFonts w:eastAsia="Times New Roman"/>
          <w:color w:val="000000"/>
          <w:sz w:val="20"/>
          <w:szCs w:val="20"/>
        </w:rPr>
        <w:t>elays, as well as other operating issues. The failure of third parties to provide high-quality products or services that conform to required specifications or contractual arrangements could impair the delivery of our solutions on a timely basis, create exp</w:t>
      </w:r>
      <w:r>
        <w:rPr>
          <w:rFonts w:eastAsia="Times New Roman"/>
          <w:color w:val="000000"/>
          <w:sz w:val="20"/>
          <w:szCs w:val="20"/>
        </w:rPr>
        <w:t xml:space="preserve">osure for non-compliance with our contractual commitments to our customers and impact our business and operating results. Also, some of these third parties have access to confidential NCR and customer data, personal data, and sensitive data, the integrity </w:t>
      </w:r>
      <w:r>
        <w:rPr>
          <w:rFonts w:eastAsia="Times New Roman"/>
          <w:color w:val="000000"/>
          <w:sz w:val="20"/>
          <w:szCs w:val="20"/>
        </w:rPr>
        <w:t>and security of which are of significant importance to the Company.</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A major natural disaster or catastrophic event could have a materially adverse effect on our business, financial condition and results of operations, or have other adverse consequences. </w:t>
      </w:r>
      <w:r>
        <w:rPr>
          <w:rFonts w:eastAsia="Times New Roman"/>
          <w:color w:val="000000"/>
          <w:sz w:val="20"/>
          <w:szCs w:val="20"/>
        </w:rPr>
        <w:t>Our business, financial condition, results of operations, access to capital markets and borrowing costs may be adversely affected by a major natural disaster or catastrophic event, including civil unrest, geopolitical instability, war, terrorist attack, pa</w:t>
      </w:r>
      <w:r>
        <w:rPr>
          <w:rFonts w:eastAsia="Times New Roman"/>
          <w:color w:val="000000"/>
          <w:sz w:val="20"/>
          <w:szCs w:val="20"/>
        </w:rPr>
        <w:t>ndemics or other (actual or threatened) public health emergencies such as the COVID-19 outbreak, or other events beyond our control, and measures taken in response thereto.</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COVID-19 outbreak, including emerging variants of COVID-19, created, and such other events may create, significant volatility and uncertainty and economic and financial market disruption. Governmental authorities have implemented numerous measures atte</w:t>
      </w:r>
      <w:r>
        <w:rPr>
          <w:rFonts w:eastAsia="Times New Roman"/>
          <w:color w:val="000000"/>
          <w:sz w:val="20"/>
          <w:szCs w:val="20"/>
        </w:rPr>
        <w:t>mpting to contain and mitigate the effects of the virus, including travel bans and restrictions, quarantines, shelter in place orders and shutdowns. While we have implemented programs to mitigate the impact of these measures on our results of operations, t</w:t>
      </w:r>
      <w:r>
        <w:rPr>
          <w:rFonts w:eastAsia="Times New Roman"/>
          <w:color w:val="000000"/>
          <w:sz w:val="20"/>
          <w:szCs w:val="20"/>
        </w:rPr>
        <w:t>here can be no assurance that these programs will be successful. There is significant uncertainty regarding such measures and potential future measures.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Company and many of our suppliers have faced challenges with workforce safety and availability, l</w:t>
      </w:r>
      <w:r>
        <w:rPr>
          <w:rFonts w:eastAsia="Times New Roman"/>
          <w:color w:val="000000"/>
          <w:sz w:val="20"/>
          <w:szCs w:val="20"/>
        </w:rPr>
        <w:t>abor and wage inflation, a changing workforce, and component availability and supply cost escalations, including materials, labor and freight. Our ability to maintain a safe and cost-effective workforce and supply chain as COVID-19 and its impacts evolve m</w:t>
      </w:r>
      <w:r>
        <w:rPr>
          <w:rFonts w:eastAsia="Times New Roman"/>
          <w:color w:val="000000"/>
          <w:sz w:val="20"/>
          <w:szCs w:val="20"/>
        </w:rPr>
        <w:t>ay continue to adversely affect our Company and our suppliers and distributors.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manufacturing and distribution facilities are located in areas that have been affected by the pandemic and we have taken measures to try to contain it. Restrictions on ou</w:t>
      </w:r>
      <w:r>
        <w:rPr>
          <w:rFonts w:eastAsia="Times New Roman"/>
          <w:color w:val="000000"/>
          <w:sz w:val="20"/>
          <w:szCs w:val="20"/>
        </w:rPr>
        <w:t>r access to our manufacturing facilities or on our support operations or workforce, or similar limitations for our distributors and suppliers, could limit customer demand and/or our capacity to meet customer demand.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continued spread of COVID-19 could</w:t>
      </w:r>
      <w:r>
        <w:rPr>
          <w:rFonts w:eastAsia="Times New Roman"/>
          <w:color w:val="000000"/>
          <w:sz w:val="20"/>
          <w:szCs w:val="20"/>
        </w:rPr>
        <w:t xml:space="preserve"> cause delay, or limit the ability of, customers to continue to operate and perform, including in making timely payments to us, or cause a decrease in customer demand or a slowdown in customer expansion. Local governmental restrictions and public perceptio</w:t>
      </w:r>
      <w:r>
        <w:rPr>
          <w:rFonts w:eastAsia="Times New Roman"/>
          <w:color w:val="000000"/>
          <w:sz w:val="20"/>
          <w:szCs w:val="20"/>
        </w:rPr>
        <w:t xml:space="preserve">ns of the risks associated with the COVID-19 pandemic have caused, and may continue to cause, consumers to avoid or limit gatherings in public places or social interactions, which have and could continue to adversely impact the businesses of our customers </w:t>
      </w:r>
      <w:r>
        <w:rPr>
          <w:rFonts w:eastAsia="Times New Roman"/>
          <w:color w:val="000000"/>
          <w:sz w:val="20"/>
          <w:szCs w:val="20"/>
        </w:rPr>
        <w:t>in the banking, retail and hospitality industries we serve due to physical store closures, the willingness of our customers to make capital expenditures or pay accounts receivable, the ability of our customers to obtain financing for the purchase of our so</w:t>
      </w:r>
      <w:r>
        <w:rPr>
          <w:rFonts w:eastAsia="Times New Roman"/>
          <w:color w:val="000000"/>
          <w:sz w:val="20"/>
          <w:szCs w:val="20"/>
        </w:rPr>
        <w:t>lutions, or the amount of disposable income available to consumers, which may adversely impact the businesses of our customers.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COVID-19 outbreak may have long-term effects on the nature of the office environment and remote working, which may present</w:t>
      </w:r>
      <w:r>
        <w:rPr>
          <w:rFonts w:eastAsia="Times New Roman"/>
          <w:color w:val="000000"/>
          <w:sz w:val="20"/>
          <w:szCs w:val="20"/>
        </w:rPr>
        <w:t xml:space="preserve"> operational and workplace culture challenges that may adversely affect our business. Additional future impacts on the Company may include material adverse effects on demand for the Company’s products and services, the Company’s supply chain and sales and </w:t>
      </w:r>
      <w:r>
        <w:rPr>
          <w:rFonts w:eastAsia="Times New Roman"/>
          <w:color w:val="000000"/>
          <w:sz w:val="20"/>
          <w:szCs w:val="20"/>
        </w:rPr>
        <w:t>distribution channels, the Company’s ability to execute its strategic plans, and the Company’s profitability and cost structure.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To the extent the COVID-19 pandemic adversely affects the Company’s business, results of operations, financial condition and </w:t>
      </w:r>
      <w:r>
        <w:rPr>
          <w:rFonts w:eastAsia="Times New Roman"/>
          <w:color w:val="000000"/>
          <w:sz w:val="20"/>
          <w:szCs w:val="20"/>
        </w:rPr>
        <w:t>stock price, it may also have the effect of heightening many of the other risks described in this Part I, Item 1A of this Form 10-K.</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Our historical and ongoing manufacturing activities subject us to environmental exposures. </w:t>
      </w:r>
      <w:r>
        <w:rPr>
          <w:rFonts w:eastAsia="Times New Roman"/>
          <w:color w:val="000000"/>
          <w:sz w:val="20"/>
          <w:szCs w:val="20"/>
        </w:rPr>
        <w:t xml:space="preserve">Our facilities and operations </w:t>
      </w:r>
      <w:r>
        <w:rPr>
          <w:rFonts w:eastAsia="Times New Roman"/>
          <w:color w:val="000000"/>
          <w:sz w:val="20"/>
          <w:szCs w:val="20"/>
        </w:rPr>
        <w:t xml:space="preserve">are subject to a wide range of environmental protection laws, and we have investigatory and remedial activities underway at a number of facilities that we currently own or operate, or formerly owned or operated, to comply, or to determine compliance, with </w:t>
      </w:r>
      <w:r>
        <w:rPr>
          <w:rFonts w:eastAsia="Times New Roman"/>
          <w:color w:val="000000"/>
          <w:sz w:val="20"/>
          <w:szCs w:val="20"/>
        </w:rPr>
        <w:t>such laws. In addition, our products are subject to environmental laws in a number of jurisdictions. Given the uncertainties inherent in such activities, there can be no assurances that the costs required to comply with applicable environmental laws will n</w:t>
      </w:r>
      <w:r>
        <w:rPr>
          <w:rFonts w:eastAsia="Times New Roman"/>
          <w:color w:val="000000"/>
          <w:sz w:val="20"/>
          <w:szCs w:val="20"/>
        </w:rPr>
        <w:t>ot impact future operating results. We have also been identified as a potentially responsible party in connection with certain environmental matters, including the Kalamazoo River matter, as further described in Note 10, “Commitments and Contingencies”, of</w:t>
      </w:r>
      <w:r>
        <w:rPr>
          <w:rFonts w:eastAsia="Times New Roman"/>
          <w:color w:val="000000"/>
          <w:sz w:val="20"/>
          <w:szCs w:val="20"/>
        </w:rPr>
        <w:t xml:space="preserve"> the Notes to </w:t>
      </w:r>
    </w:p>
    <w:p w:rsidR="00000000" w:rsidRDefault="0040289C">
      <w:pPr>
        <w:jc w:val="center"/>
        <w:divId w:val="923145645"/>
        <w:rPr>
          <w:rFonts w:eastAsia="Times New Roman"/>
        </w:rPr>
      </w:pPr>
      <w:r>
        <w:rPr>
          <w:rFonts w:eastAsia="Times New Roman"/>
          <w:color w:val="000000"/>
          <w:sz w:val="20"/>
          <w:szCs w:val="20"/>
        </w:rPr>
        <w:t>21</w:t>
      </w:r>
    </w:p>
    <w:p w:rsidR="00000000" w:rsidRDefault="0040289C">
      <w:pPr>
        <w:rPr>
          <w:rFonts w:eastAsia="Times New Roman"/>
        </w:rPr>
      </w:pPr>
      <w:r>
        <w:rPr>
          <w:rFonts w:eastAsia="Times New Roman"/>
        </w:rPr>
        <w:pict>
          <v:rect id="_x0000_i1050" style="width:0;height:1.5pt" o:hralign="center" o:hrstd="t" o:hr="t" fillcolor="#a0a0a0" stroked="f"/>
        </w:pict>
      </w:r>
    </w:p>
    <w:p w:rsidR="00000000" w:rsidRDefault="0040289C">
      <w:pPr>
        <w:divId w:val="187892615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40667230"/>
        <w:rPr>
          <w:rFonts w:eastAsia="Times New Roman"/>
        </w:rPr>
      </w:pPr>
    </w:p>
    <w:p w:rsidR="00000000" w:rsidRDefault="0040289C">
      <w:pPr>
        <w:jc w:val="both"/>
        <w:rPr>
          <w:rFonts w:eastAsia="Times New Roman"/>
        </w:rPr>
      </w:pPr>
      <w:r>
        <w:rPr>
          <w:rFonts w:eastAsia="Times New Roman"/>
          <w:color w:val="000000"/>
          <w:sz w:val="20"/>
          <w:szCs w:val="20"/>
        </w:rPr>
        <w:t>Consolidated Financial Statements included in Item 8 of Part II of this Report; in “Government Regulations” within Item 1 o</w:t>
      </w:r>
      <w:r>
        <w:rPr>
          <w:rFonts w:eastAsia="Times New Roman"/>
          <w:color w:val="000000"/>
          <w:sz w:val="20"/>
          <w:szCs w:val="20"/>
        </w:rPr>
        <w:t>f Part I of this Report; and in “Environmental and Legal Contingencies” within the “Critical Accounting Estimates” section of “Management’s Discussion and Analysis of Financial Condition and Results of Operations” included in Item 7 of Part II of this Repo</w:t>
      </w:r>
      <w:r>
        <w:rPr>
          <w:rFonts w:eastAsia="Times New Roman"/>
          <w:color w:val="000000"/>
          <w:sz w:val="20"/>
          <w:szCs w:val="20"/>
        </w:rPr>
        <w:t>rt, and we incorporate such disclosures by reference and make them a part of this discussion of risk factors.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Climate change could negatively impact our business long-term.</w:t>
      </w:r>
      <w:r>
        <w:rPr>
          <w:rFonts w:eastAsia="Times New Roman"/>
          <w:color w:val="000000"/>
          <w:sz w:val="20"/>
          <w:szCs w:val="20"/>
        </w:rPr>
        <w:t xml:space="preserve"> Global climate change may have an increasingly adverse impact on NCR’s business c</w:t>
      </w:r>
      <w:r>
        <w:rPr>
          <w:rFonts w:eastAsia="Times New Roman"/>
          <w:color w:val="000000"/>
          <w:sz w:val="20"/>
          <w:szCs w:val="20"/>
        </w:rPr>
        <w:t xml:space="preserve">ontinuity and our ability to keep our employees safe and provide for our customers. NCR considers potential risks related to weather as part of its operations strategy and has business continuity and disaster recovery plans in place. However, they may not </w:t>
      </w:r>
      <w:r>
        <w:rPr>
          <w:rFonts w:eastAsia="Times New Roman"/>
          <w:color w:val="000000"/>
          <w:sz w:val="20"/>
          <w:szCs w:val="20"/>
        </w:rPr>
        <w:t xml:space="preserve">adequately protect us from serious disasters and adverse impacts. In addition, climate change events could have an impact on critical infrastructure in the United States and internationally, which has the potential to disrupt our business, our third-party </w:t>
      </w:r>
      <w:r>
        <w:rPr>
          <w:rFonts w:eastAsia="Times New Roman"/>
          <w:color w:val="000000"/>
          <w:sz w:val="20"/>
          <w:szCs w:val="20"/>
        </w:rPr>
        <w:t>suppliers, or the business of our customers and partners. They may also cause us to experience higher losses, attrition and additional costs to maintain or resume operations.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have operations all over the world and our sites in California, Texas, Flori</w:t>
      </w:r>
      <w:r>
        <w:rPr>
          <w:rFonts w:eastAsia="Times New Roman"/>
          <w:color w:val="000000"/>
          <w:sz w:val="20"/>
          <w:szCs w:val="20"/>
        </w:rPr>
        <w:t>da, and India are particularly vulnerable to climate change effects. The west coast of the United States has recently experienced historic wildfires; a winter storm in Texas led to massive power outages; and multiple hurricanes formed over the gulf coast a</w:t>
      </w:r>
      <w:r>
        <w:rPr>
          <w:rFonts w:eastAsia="Times New Roman"/>
          <w:color w:val="000000"/>
          <w:sz w:val="20"/>
          <w:szCs w:val="20"/>
        </w:rPr>
        <w:t>s well as a typhoon in the Philippines - all of which caused significant destruction to the affected regions. We anticipate that similar weather events will continue to bring significant annual destruction in vulnerable areas. In India, extreme temperature</w:t>
      </w:r>
      <w:r>
        <w:rPr>
          <w:rFonts w:eastAsia="Times New Roman"/>
          <w:color w:val="000000"/>
          <w:sz w:val="20"/>
          <w:szCs w:val="20"/>
        </w:rPr>
        <w:t>s and increased cyclones’ frequency could interrupt our business continuity arrangements. The long-term effects of climate change could have significant repercussions for the global economy and cause significant financial and physical damages.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Data prote</w:t>
      </w:r>
      <w:r>
        <w:rPr>
          <w:rFonts w:eastAsia="Times New Roman"/>
          <w:b/>
          <w:bCs/>
          <w:i/>
          <w:iCs/>
          <w:color w:val="000000"/>
          <w:sz w:val="20"/>
          <w:szCs w:val="20"/>
        </w:rPr>
        <w:t>ction, cybersecurity and data privacy issues could negatively impact our business</w:t>
      </w:r>
      <w:r>
        <w:rPr>
          <w:rFonts w:eastAsia="Times New Roman"/>
          <w:i/>
          <w:iCs/>
          <w:color w:val="000000"/>
          <w:sz w:val="20"/>
          <w:szCs w:val="20"/>
        </w:rPr>
        <w:t>.</w:t>
      </w:r>
      <w:r>
        <w:rPr>
          <w:rFonts w:eastAsia="Times New Roman"/>
          <w:color w:val="000000"/>
          <w:sz w:val="20"/>
          <w:szCs w:val="20"/>
        </w:rPr>
        <w:t xml:space="preserve"> Our products and services, including our cloud and hosted solutions as well as our payments and networking solutions, facilitate financial and other transactions for the cus</w:t>
      </w:r>
      <w:r>
        <w:rPr>
          <w:rFonts w:eastAsia="Times New Roman"/>
          <w:color w:val="000000"/>
          <w:sz w:val="20"/>
          <w:szCs w:val="20"/>
        </w:rPr>
        <w:t>tomers in the industries we serve. As a result, we collect, use, transmit and store certain of the transaction, cryptocurrency, private keys, and personal data of our customers and end-users. We also have access to transaction and personal data of our cust</w:t>
      </w:r>
      <w:r>
        <w:rPr>
          <w:rFonts w:eastAsia="Times New Roman"/>
          <w:color w:val="000000"/>
          <w:sz w:val="20"/>
          <w:szCs w:val="20"/>
        </w:rPr>
        <w:t>omers and their customers through or in the course of servicing our products or third-party products. Additionally, we collect, use and store personal data of our employees and the personnel of our business partners, such as resellers, suppliers and contra</w:t>
      </w:r>
      <w:r>
        <w:rPr>
          <w:rFonts w:eastAsia="Times New Roman"/>
          <w:color w:val="000000"/>
          <w:sz w:val="20"/>
          <w:szCs w:val="20"/>
        </w:rPr>
        <w:t>ctors, in the ordinary course of business. While we have programs and measures in place designed to protect and safeguard this data, and while we have implemented access controls designed to limit the risk of unauthorized use or disclosure by employees and</w:t>
      </w:r>
      <w:r>
        <w:rPr>
          <w:rFonts w:eastAsia="Times New Roman"/>
          <w:color w:val="000000"/>
          <w:sz w:val="20"/>
          <w:szCs w:val="20"/>
        </w:rPr>
        <w:t xml:space="preserve"> contractors, the techniques used to obtain unauthorized access to this data are complex and changing, as are the underlying objectives of the attacker, like targeted business disruption, financial impact, intellectual property theft, political motives, or</w:t>
      </w:r>
      <w:r>
        <w:rPr>
          <w:rFonts w:eastAsia="Times New Roman"/>
          <w:color w:val="000000"/>
          <w:sz w:val="20"/>
          <w:szCs w:val="20"/>
        </w:rPr>
        <w:t xml:space="preserve"> sophisticated nation-state sponsored and organized cyber-criminal activity, and may be difficult to detect for long periods of time. An attack, disruption, intrusion, denial of service, theft or other breach, or an inadvertent act by an employee or contra</w:t>
      </w:r>
      <w:r>
        <w:rPr>
          <w:rFonts w:eastAsia="Times New Roman"/>
          <w:color w:val="000000"/>
          <w:sz w:val="20"/>
          <w:szCs w:val="20"/>
        </w:rPr>
        <w:t>ctor, could result in unauthorized access to, or disclosure of, this data, resulting in claims, costs and reputational harm that could negatively affect our operating results. We may also detect, or may receive notice from third parties (including governme</w:t>
      </w:r>
      <w:r>
        <w:rPr>
          <w:rFonts w:eastAsia="Times New Roman"/>
          <w:color w:val="000000"/>
          <w:sz w:val="20"/>
          <w:szCs w:val="20"/>
        </w:rPr>
        <w:t>ntal agencies) regarding potential vulnerabilities in our information technology systems, our products, or third-party products used in conjunction with our products or our business. In the course of our business activities, NCR contracts with numerous sup</w:t>
      </w:r>
      <w:r>
        <w:rPr>
          <w:rFonts w:eastAsia="Times New Roman"/>
          <w:color w:val="000000"/>
          <w:sz w:val="20"/>
          <w:szCs w:val="20"/>
        </w:rPr>
        <w:t>pliers, vendors and resellers who may experience a cybersecurity, data protection or privacy issue that could negatively affect our operating results. Even if these potential vulnerabilities do not result in a data breach, their existence can adversely aff</w:t>
      </w:r>
      <w:r>
        <w:rPr>
          <w:rFonts w:eastAsia="Times New Roman"/>
          <w:color w:val="000000"/>
          <w:sz w:val="20"/>
          <w:szCs w:val="20"/>
        </w:rPr>
        <w:t>ect marketplace confidence and reputation. To the extent such vulnerabilities require remediation, such remedial measures could require significant resources and may not be implemented before such vulnerabilities are exploited. As the landscape evolves, we</w:t>
      </w:r>
      <w:r>
        <w:rPr>
          <w:rFonts w:eastAsia="Times New Roman"/>
          <w:color w:val="000000"/>
          <w:sz w:val="20"/>
          <w:szCs w:val="20"/>
        </w:rPr>
        <w:t xml:space="preserve"> may also find it necessary to make significant further investments to protect information and infrastructure.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Like most companies, NCR is regularly the subject of attempted cyberattacks, which may involve personal data. To date, the Company is not aware</w:t>
      </w:r>
      <w:r>
        <w:rPr>
          <w:rFonts w:eastAsia="Times New Roman"/>
          <w:color w:val="000000"/>
          <w:sz w:val="20"/>
          <w:szCs w:val="20"/>
        </w:rPr>
        <w:t xml:space="preserve"> of any that have caused adverse consequences material to the Company. Most such attacks are detected and prevented by the Company’s various information technology and data protections, including but not limited to firewalls, intrusion prevention systems, </w:t>
      </w:r>
      <w:r>
        <w:rPr>
          <w:rFonts w:eastAsia="Times New Roman"/>
          <w:color w:val="000000"/>
          <w:sz w:val="20"/>
          <w:szCs w:val="20"/>
        </w:rPr>
        <w:t>denial of service detection, anomaly based detection, anti-virus/anti-malware, endpoint encryption and detection and response software, Security Information and Event Management (“SIEM”) system, identity management technology, security analytics, multi-fac</w:t>
      </w:r>
      <w:r>
        <w:rPr>
          <w:rFonts w:eastAsia="Times New Roman"/>
          <w:color w:val="000000"/>
          <w:sz w:val="20"/>
          <w:szCs w:val="20"/>
        </w:rPr>
        <w:t xml:space="preserve">tor authentication and encryption. There can be no assurance that our protections will always be successful.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has established relationships with cybersecurity firms and internal cybersecurity experts, which it engages in connection with certain suspected incidents. The costs arising from those engagements, which depending on the incident may include bo</w:t>
      </w:r>
      <w:r>
        <w:rPr>
          <w:rFonts w:eastAsia="Times New Roman"/>
          <w:color w:val="000000"/>
          <w:sz w:val="20"/>
          <w:szCs w:val="20"/>
        </w:rPr>
        <w:t>th investigatory and remedial efforts, have not to date been material to the Company. The Company also regularly undergoes evaluation of its protections against incidents, including both self-assessments and expert third-party assessments, and it regularly</w:t>
      </w:r>
      <w:r>
        <w:rPr>
          <w:rFonts w:eastAsia="Times New Roman"/>
          <w:color w:val="000000"/>
          <w:sz w:val="20"/>
          <w:szCs w:val="20"/>
        </w:rPr>
        <w:t xml:space="preserve"> enhances those protections, both in response to specific threats and as part of the Company’s efforts to stay current with advances in cybersecurity defense. When the Company experiences a confirmed cybersecurity incident it generally performs root cause </w:t>
      </w:r>
      <w:r>
        <w:rPr>
          <w:rFonts w:eastAsia="Times New Roman"/>
          <w:color w:val="000000"/>
          <w:sz w:val="20"/>
          <w:szCs w:val="20"/>
        </w:rPr>
        <w:t xml:space="preserve">analyses and in appropriate instances will implement additional controls based on those analyses. In 2022, Company spending on cybersecurity efforts represented approximately 10% of its overall IT spend. There can be no assurance that the Company or its </w:t>
      </w:r>
    </w:p>
    <w:p w:rsidR="00000000" w:rsidRDefault="0040289C">
      <w:pPr>
        <w:jc w:val="center"/>
        <w:divId w:val="2038264714"/>
        <w:rPr>
          <w:rFonts w:eastAsia="Times New Roman"/>
        </w:rPr>
      </w:pPr>
      <w:r>
        <w:rPr>
          <w:rFonts w:eastAsia="Times New Roman"/>
          <w:color w:val="000000"/>
          <w:sz w:val="20"/>
          <w:szCs w:val="20"/>
        </w:rPr>
        <w:t>2</w:t>
      </w:r>
      <w:r>
        <w:rPr>
          <w:rFonts w:eastAsia="Times New Roman"/>
          <w:color w:val="000000"/>
          <w:sz w:val="20"/>
          <w:szCs w:val="20"/>
        </w:rPr>
        <w:t>2</w:t>
      </w:r>
    </w:p>
    <w:p w:rsidR="00000000" w:rsidRDefault="0040289C">
      <w:pPr>
        <w:rPr>
          <w:rFonts w:eastAsia="Times New Roman"/>
        </w:rPr>
      </w:pPr>
      <w:r>
        <w:rPr>
          <w:rFonts w:eastAsia="Times New Roman"/>
        </w:rPr>
        <w:pict>
          <v:rect id="_x0000_i1051" style="width:0;height:1.5pt" o:hralign="center" o:hrstd="t" o:hr="t" fillcolor="#a0a0a0" stroked="f"/>
        </w:pict>
      </w:r>
    </w:p>
    <w:p w:rsidR="00000000" w:rsidRDefault="0040289C">
      <w:pPr>
        <w:divId w:val="87277027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428580760"/>
        <w:rPr>
          <w:rFonts w:eastAsia="Times New Roman"/>
        </w:rPr>
      </w:pPr>
    </w:p>
    <w:p w:rsidR="00000000" w:rsidRDefault="0040289C">
      <w:pPr>
        <w:jc w:val="both"/>
        <w:rPr>
          <w:rFonts w:eastAsia="Times New Roman"/>
        </w:rPr>
      </w:pPr>
      <w:r>
        <w:rPr>
          <w:rFonts w:eastAsia="Times New Roman"/>
          <w:color w:val="000000"/>
          <w:sz w:val="20"/>
          <w:szCs w:val="20"/>
        </w:rPr>
        <w:t>cybersecurity consultants will be able to prevent or remediate all future incidents or that the cost associated with responding to any such incident will not be significant.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The personal information and other data that we process and store also are subje</w:t>
      </w:r>
      <w:r>
        <w:rPr>
          <w:rFonts w:eastAsia="Times New Roman"/>
          <w:color w:val="000000"/>
          <w:sz w:val="20"/>
          <w:szCs w:val="20"/>
          <w:shd w:val="clear" w:color="auto" w:fill="FFFFFF"/>
        </w:rPr>
        <w:t>ct to data security and data privacy obligations and laws of many jurisdictions, which are growing in complexity and sophistication as data becomes more enriched and technology and the global data protection landscape evolves. These laws may provide a priv</w:t>
      </w:r>
      <w:r>
        <w:rPr>
          <w:rFonts w:eastAsia="Times New Roman"/>
          <w:color w:val="000000"/>
          <w:sz w:val="20"/>
          <w:szCs w:val="20"/>
          <w:shd w:val="clear" w:color="auto" w:fill="FFFFFF"/>
        </w:rPr>
        <w:t>ate right of action for individuals alleging a breach of privacy rights, including for example the Illinois Biometric Information Privacy Act (“BIPA”). These laws may also conflict with one another, and many of them are subject to frequent modification and</w:t>
      </w:r>
      <w:r>
        <w:rPr>
          <w:rFonts w:eastAsia="Times New Roman"/>
          <w:color w:val="000000"/>
          <w:sz w:val="20"/>
          <w:szCs w:val="20"/>
          <w:shd w:val="clear" w:color="auto" w:fill="FFFFFF"/>
        </w:rPr>
        <w:t xml:space="preserve"> differing interpretations. The laws impose a significant compliance burden and include, for example, the European Union's (“EU”) General Data Protection Regulation (“GDPR”), the California Consumer Privacy Act and the Brazilian General Data Protection Law</w:t>
      </w:r>
      <w:r>
        <w:rPr>
          <w:rFonts w:eastAsia="Times New Roman"/>
          <w:color w:val="000000"/>
          <w:sz w:val="20"/>
          <w:szCs w:val="20"/>
          <w:shd w:val="clear" w:color="auto" w:fill="FFFFFF"/>
        </w:rPr>
        <w:t>. Complying with these evolving and varying standards could require significant expense and effort, and could require us to change our business practices or the functionality of our products and services in a manner adverse to our customers and our busines</w:t>
      </w:r>
      <w:r>
        <w:rPr>
          <w:rFonts w:eastAsia="Times New Roman"/>
          <w:color w:val="000000"/>
          <w:sz w:val="20"/>
          <w:szCs w:val="20"/>
          <w:shd w:val="clear" w:color="auto" w:fill="FFFFFF"/>
        </w:rPr>
        <w:t>s. In addition, violations of these laws can result in significant fines, penalties, claims by regulators or other third-party lawsuits alleging significant damages, and damage to our brand and business. The GDPR, for example, includes fines of up to €20 m</w:t>
      </w:r>
      <w:r>
        <w:rPr>
          <w:rFonts w:eastAsia="Times New Roman"/>
          <w:color w:val="000000"/>
          <w:sz w:val="20"/>
          <w:szCs w:val="20"/>
          <w:shd w:val="clear" w:color="auto" w:fill="FFFFFF"/>
        </w:rPr>
        <w:t>illion or up to 4% of the annual global revenues of the infringer for failure to comply, and grants corrective powers to supervisory authorities including the ability to impose a limit on processing of personal data. The laws also cover the transfer of per</w:t>
      </w:r>
      <w:r>
        <w:rPr>
          <w:rFonts w:eastAsia="Times New Roman"/>
          <w:color w:val="000000"/>
          <w:sz w:val="20"/>
          <w:szCs w:val="20"/>
          <w:shd w:val="clear" w:color="auto" w:fill="FFFFFF"/>
        </w:rPr>
        <w:t>sonal, financial and business information, including transfers of employee information between us and our subsidiaries, across international borders. As another example, the Illinois BIPA provides aggrieved plaintiffs the ability to recover $1,000 for each</w:t>
      </w:r>
      <w:r>
        <w:rPr>
          <w:rFonts w:eastAsia="Times New Roman"/>
          <w:color w:val="000000"/>
          <w:sz w:val="20"/>
          <w:szCs w:val="20"/>
          <w:shd w:val="clear" w:color="auto" w:fill="FFFFFF"/>
        </w:rPr>
        <w:t xml:space="preserve"> unauthorized scan of biometric data, and $5,000 for each scan found to be in willful disregard of the statute.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FINANCE &amp; ACCOUNTING</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Our level of indebtedness could limit our financial and operating activities and adversely affect our ability to incur </w:t>
      </w:r>
      <w:r>
        <w:rPr>
          <w:rFonts w:eastAsia="Times New Roman"/>
          <w:b/>
          <w:bCs/>
          <w:i/>
          <w:iCs/>
          <w:color w:val="000000"/>
          <w:sz w:val="20"/>
          <w:szCs w:val="20"/>
        </w:rPr>
        <w:t xml:space="preserve">additional debt to fund future needs. </w:t>
      </w:r>
      <w:r>
        <w:rPr>
          <w:rFonts w:eastAsia="Times New Roman"/>
          <w:color w:val="000000"/>
          <w:sz w:val="20"/>
          <w:szCs w:val="20"/>
        </w:rPr>
        <w:t>At December 31, 2022, we had approximately $5.71 billion of total indebtedness outstanding. At December 31, 2022, we had approximately $748 million of secured revolving credit commitments undrawn and available for borr</w:t>
      </w:r>
      <w:r>
        <w:rPr>
          <w:rFonts w:eastAsia="Times New Roman"/>
          <w:color w:val="000000"/>
          <w:sz w:val="20"/>
          <w:szCs w:val="20"/>
        </w:rPr>
        <w:t>owing under our senior secured revolving credit facility. Our current level of indebtedness could:</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•require us to dedicate a substantial portion of our cash flow to the payment of principal and interest, thereby reducing the funds available for operation</w:t>
      </w:r>
      <w:r>
        <w:rPr>
          <w:rFonts w:eastAsia="Times New Roman"/>
          <w:color w:val="000000"/>
          <w:sz w:val="20"/>
          <w:szCs w:val="20"/>
        </w:rPr>
        <w:t xml:space="preserve">s and future business opportunities;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•make it more difficult for us to satisfy our obligations with respect to our outstanding debt, including obligations to repurchase our senior unsecured notes under our indentures following the occurrence of certain </w:t>
      </w:r>
      <w:r>
        <w:rPr>
          <w:rFonts w:eastAsia="Times New Roman"/>
          <w:color w:val="000000"/>
          <w:sz w:val="20"/>
          <w:szCs w:val="20"/>
        </w:rPr>
        <w:t xml:space="preserve">changes in control;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•limit our ability to borrow money or otherwise enter into financing arrangements that would provide us with additional capital if needed for other purposes, including working capital, capital expenditures, debt service requirements,</w:t>
      </w:r>
      <w:r>
        <w:rPr>
          <w:rFonts w:eastAsia="Times New Roman"/>
          <w:color w:val="000000"/>
          <w:sz w:val="20"/>
          <w:szCs w:val="20"/>
        </w:rPr>
        <w:t xml:space="preserve"> acquisitions and general corporate purposes, on satisfactory terms or at all;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•limit our ability to adjust to changing economic, business and competitive conditions;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•place us at a competitive disadvantage with competitors who may have less indebted</w:t>
      </w:r>
      <w:r>
        <w:rPr>
          <w:rFonts w:eastAsia="Times New Roman"/>
          <w:color w:val="000000"/>
          <w:sz w:val="20"/>
          <w:szCs w:val="20"/>
        </w:rPr>
        <w:t xml:space="preserve">ness or greater access to financing or access to financing on preferential terms;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•make us more vulnerable to an increase in interest rates, a downturn in our operating performance or a decline in general economic, business and other conditions; and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•make us more susceptible to adverse changes in our credit ratings, which could impact our ability to obtain financing in the future and increase the cost of such financing. </w:t>
      </w:r>
    </w:p>
    <w:p w:rsidR="00000000" w:rsidRDefault="0040289C">
      <w:pPr>
        <w:ind w:firstLine="360"/>
        <w:jc w:val="both"/>
        <w:rPr>
          <w:rFonts w:eastAsia="Times New Roman"/>
        </w:rPr>
      </w:pPr>
    </w:p>
    <w:p w:rsidR="00000000" w:rsidRDefault="0040289C">
      <w:pPr>
        <w:jc w:val="both"/>
        <w:rPr>
          <w:rFonts w:eastAsia="Times New Roman"/>
        </w:rPr>
      </w:pPr>
      <w:r>
        <w:rPr>
          <w:rFonts w:eastAsia="Times New Roman"/>
          <w:color w:val="000000"/>
          <w:sz w:val="20"/>
          <w:szCs w:val="20"/>
        </w:rPr>
        <w:t>If compliance with our obligations under our debt and other financing agreements materially limits our financial or operating activities, or hinders our ability to adapt to changing industry conditions, we may lose market share, our revenue may decline and</w:t>
      </w:r>
      <w:r>
        <w:rPr>
          <w:rFonts w:eastAsia="Times New Roman"/>
          <w:color w:val="000000"/>
          <w:sz w:val="20"/>
          <w:szCs w:val="20"/>
        </w:rPr>
        <w:t xml:space="preserve"> our operating results may be negatively affected.</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449279470"/>
        <w:rPr>
          <w:rFonts w:eastAsia="Times New Roman"/>
        </w:rPr>
      </w:pPr>
      <w:r>
        <w:rPr>
          <w:rFonts w:eastAsia="Times New Roman"/>
          <w:color w:val="000000"/>
          <w:sz w:val="20"/>
          <w:szCs w:val="20"/>
        </w:rPr>
        <w:t>23</w:t>
      </w:r>
    </w:p>
    <w:p w:rsidR="00000000" w:rsidRDefault="0040289C">
      <w:pPr>
        <w:rPr>
          <w:rFonts w:eastAsia="Times New Roman"/>
        </w:rPr>
      </w:pPr>
      <w:r>
        <w:rPr>
          <w:rFonts w:eastAsia="Times New Roman"/>
        </w:rPr>
        <w:pict>
          <v:rect id="_x0000_i1052" style="width:0;height:1.5pt" o:hralign="center" o:hrstd="t" o:hr="t" fillcolor="#a0a0a0" stroked="f"/>
        </w:pict>
      </w:r>
    </w:p>
    <w:p w:rsidR="00000000" w:rsidRDefault="0040289C">
      <w:pPr>
        <w:divId w:val="112754846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620451654"/>
        <w:rPr>
          <w:rFonts w:eastAsia="Times New Roman"/>
        </w:rPr>
      </w:pPr>
    </w:p>
    <w:p w:rsidR="00000000" w:rsidRDefault="0040289C">
      <w:pPr>
        <w:jc w:val="both"/>
        <w:rPr>
          <w:rFonts w:eastAsia="Times New Roman"/>
        </w:rPr>
      </w:pPr>
      <w:r>
        <w:rPr>
          <w:rFonts w:eastAsia="Times New Roman"/>
          <w:b/>
          <w:bCs/>
          <w:i/>
          <w:iCs/>
          <w:color w:val="000000"/>
          <w:sz w:val="20"/>
          <w:szCs w:val="20"/>
        </w:rPr>
        <w:t>The terms of the documents governing our indebtedness include financial and</w:t>
      </w:r>
      <w:r>
        <w:rPr>
          <w:rFonts w:eastAsia="Times New Roman"/>
          <w:b/>
          <w:bCs/>
          <w:i/>
          <w:iCs/>
          <w:color w:val="000000"/>
          <w:sz w:val="20"/>
          <w:szCs w:val="20"/>
        </w:rPr>
        <w:t xml:space="preserve"> other covenants that could restrict or limit our financial and business operations.</w:t>
      </w:r>
      <w:r>
        <w:rPr>
          <w:rFonts w:eastAsia="Times New Roman"/>
          <w:b/>
          <w:bCs/>
          <w:color w:val="000000"/>
          <w:sz w:val="20"/>
          <w:szCs w:val="20"/>
        </w:rPr>
        <w:t xml:space="preserve"> </w:t>
      </w:r>
      <w:r>
        <w:rPr>
          <w:rFonts w:eastAsia="Times New Roman"/>
          <w:color w:val="000000"/>
          <w:sz w:val="20"/>
          <w:szCs w:val="20"/>
        </w:rPr>
        <w:t>Our credit agreement governing the senior secured facilities and the indentures for our senior unsecured notes include restrictive covenants that, subject to certain excep</w:t>
      </w:r>
      <w:r>
        <w:rPr>
          <w:rFonts w:eastAsia="Times New Roman"/>
          <w:color w:val="000000"/>
          <w:sz w:val="20"/>
          <w:szCs w:val="20"/>
        </w:rPr>
        <w:t>tions and qualifications, restrict or otherwise limit our ability and the ability of our subsidiaries to, among other things:</w:t>
      </w:r>
    </w:p>
    <w:p w:rsidR="00000000" w:rsidRDefault="0040289C">
      <w:pPr>
        <w:jc w:val="both"/>
        <w:rPr>
          <w:rFonts w:eastAsia="Times New Roman"/>
        </w:rPr>
      </w:pPr>
    </w:p>
    <w:p w:rsidR="00000000" w:rsidRDefault="0040289C">
      <w:pPr>
        <w:ind w:hanging="360"/>
        <w:jc w:val="both"/>
        <w:divId w:val="260841573"/>
        <w:rPr>
          <w:rFonts w:eastAsia="Times New Roman"/>
        </w:rPr>
      </w:pPr>
      <w:r>
        <w:rPr>
          <w:rFonts w:eastAsia="Times New Roman"/>
          <w:color w:val="000000"/>
          <w:sz w:val="20"/>
          <w:szCs w:val="20"/>
        </w:rPr>
        <w:t>•incur additional indebtedness;</w:t>
      </w:r>
    </w:p>
    <w:p w:rsidR="00000000" w:rsidRDefault="0040289C">
      <w:pPr>
        <w:ind w:hanging="360"/>
        <w:jc w:val="both"/>
        <w:divId w:val="1713074283"/>
        <w:rPr>
          <w:rFonts w:eastAsia="Times New Roman"/>
        </w:rPr>
      </w:pPr>
      <w:r>
        <w:rPr>
          <w:rFonts w:eastAsia="Times New Roman"/>
          <w:color w:val="000000"/>
          <w:sz w:val="20"/>
          <w:szCs w:val="20"/>
        </w:rPr>
        <w:t>•create liens on, sell or otherwise dispose of, our assets;</w:t>
      </w:r>
    </w:p>
    <w:p w:rsidR="00000000" w:rsidRDefault="0040289C">
      <w:pPr>
        <w:ind w:hanging="360"/>
        <w:jc w:val="both"/>
        <w:divId w:val="1538153098"/>
        <w:rPr>
          <w:rFonts w:eastAsia="Times New Roman"/>
        </w:rPr>
      </w:pPr>
      <w:r>
        <w:rPr>
          <w:rFonts w:eastAsia="Times New Roman"/>
          <w:color w:val="000000"/>
          <w:sz w:val="20"/>
          <w:szCs w:val="20"/>
        </w:rPr>
        <w:t>•engage in certain fundamental corpo</w:t>
      </w:r>
      <w:r>
        <w:rPr>
          <w:rFonts w:eastAsia="Times New Roman"/>
          <w:color w:val="000000"/>
          <w:sz w:val="20"/>
          <w:szCs w:val="20"/>
        </w:rPr>
        <w:t>rate changes or changes to our business activities;</w:t>
      </w:r>
    </w:p>
    <w:p w:rsidR="00000000" w:rsidRDefault="0040289C">
      <w:pPr>
        <w:ind w:hanging="360"/>
        <w:jc w:val="both"/>
        <w:divId w:val="1966228068"/>
        <w:rPr>
          <w:rFonts w:eastAsia="Times New Roman"/>
        </w:rPr>
      </w:pPr>
      <w:r>
        <w:rPr>
          <w:rFonts w:eastAsia="Times New Roman"/>
          <w:color w:val="000000"/>
          <w:sz w:val="20"/>
          <w:szCs w:val="20"/>
        </w:rPr>
        <w:t>•make certain investments or material acquisitions;</w:t>
      </w:r>
    </w:p>
    <w:p w:rsidR="00000000" w:rsidRDefault="0040289C">
      <w:pPr>
        <w:ind w:hanging="360"/>
        <w:jc w:val="both"/>
        <w:divId w:val="215119682"/>
        <w:rPr>
          <w:rFonts w:eastAsia="Times New Roman"/>
        </w:rPr>
      </w:pPr>
      <w:r>
        <w:rPr>
          <w:rFonts w:eastAsia="Times New Roman"/>
          <w:color w:val="000000"/>
          <w:sz w:val="20"/>
          <w:szCs w:val="20"/>
        </w:rPr>
        <w:t>•engage in sale-leaseback or hedging transactions;</w:t>
      </w:r>
    </w:p>
    <w:p w:rsidR="00000000" w:rsidRDefault="0040289C">
      <w:pPr>
        <w:ind w:hanging="360"/>
        <w:jc w:val="both"/>
        <w:divId w:val="1129976878"/>
        <w:rPr>
          <w:rFonts w:eastAsia="Times New Roman"/>
        </w:rPr>
      </w:pPr>
      <w:r>
        <w:rPr>
          <w:rFonts w:eastAsia="Times New Roman"/>
          <w:color w:val="000000"/>
          <w:sz w:val="20"/>
          <w:szCs w:val="20"/>
        </w:rPr>
        <w:t>•repurchase our common stock, pay dividends or make similar distributions on our capital stock;</w:t>
      </w:r>
    </w:p>
    <w:p w:rsidR="00000000" w:rsidRDefault="0040289C">
      <w:pPr>
        <w:ind w:hanging="360"/>
        <w:jc w:val="both"/>
        <w:divId w:val="801003765"/>
        <w:rPr>
          <w:rFonts w:eastAsia="Times New Roman"/>
        </w:rPr>
      </w:pPr>
      <w:r>
        <w:rPr>
          <w:rFonts w:eastAsia="Times New Roman"/>
          <w:color w:val="000000"/>
          <w:sz w:val="20"/>
          <w:szCs w:val="20"/>
        </w:rPr>
        <w:t>•repa</w:t>
      </w:r>
      <w:r>
        <w:rPr>
          <w:rFonts w:eastAsia="Times New Roman"/>
          <w:color w:val="000000"/>
          <w:sz w:val="20"/>
          <w:szCs w:val="20"/>
        </w:rPr>
        <w:t>y certain indebtedness;</w:t>
      </w:r>
    </w:p>
    <w:p w:rsidR="00000000" w:rsidRDefault="0040289C">
      <w:pPr>
        <w:ind w:hanging="360"/>
        <w:jc w:val="both"/>
        <w:divId w:val="1061946284"/>
        <w:rPr>
          <w:rFonts w:eastAsia="Times New Roman"/>
        </w:rPr>
      </w:pPr>
      <w:r>
        <w:rPr>
          <w:rFonts w:eastAsia="Times New Roman"/>
          <w:color w:val="000000"/>
          <w:sz w:val="20"/>
          <w:szCs w:val="20"/>
        </w:rPr>
        <w:t>•engage in certain affiliate transactions; and</w:t>
      </w:r>
    </w:p>
    <w:p w:rsidR="00000000" w:rsidRDefault="0040289C">
      <w:pPr>
        <w:ind w:hanging="360"/>
        <w:jc w:val="both"/>
        <w:divId w:val="1924871792"/>
        <w:rPr>
          <w:rFonts w:eastAsia="Times New Roman"/>
        </w:rPr>
      </w:pPr>
      <w:r>
        <w:rPr>
          <w:rFonts w:eastAsia="Times New Roman"/>
          <w:color w:val="000000"/>
          <w:sz w:val="20"/>
          <w:szCs w:val="20"/>
        </w:rPr>
        <w:t>•</w:t>
      </w:r>
      <w:r>
        <w:rPr>
          <w:rFonts w:eastAsia="Times New Roman"/>
          <w:color w:val="000000"/>
          <w:sz w:val="20"/>
          <w:szCs w:val="20"/>
        </w:rPr>
        <w:t>enter into agreements that restrict our ability to create liens, pay dividends or make loan repayments.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senior secured credit agreement and the indentures for our senior unsecured notes also contain certain affirmative covenants, and the senior secur</w:t>
      </w:r>
      <w:r>
        <w:rPr>
          <w:rFonts w:eastAsia="Times New Roman"/>
          <w:color w:val="000000"/>
          <w:sz w:val="20"/>
          <w:szCs w:val="20"/>
        </w:rPr>
        <w:t>ed credit agreement requires us to comply with a leverage ratio that measures our debt relative to our Consolidated EBITDA (as defined in the senior secured credit agreement).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These covenants and restrictions could affect our ability to operate our business and may limit our ability to react to market conditions or take advantage of potential business opportunities as they arise. Additionally, our ability to comply with these co</w:t>
      </w:r>
      <w:r>
        <w:rPr>
          <w:rFonts w:eastAsia="Times New Roman"/>
          <w:color w:val="000000"/>
          <w:sz w:val="20"/>
          <w:szCs w:val="20"/>
        </w:rPr>
        <w:t xml:space="preserve">venants may be affected by events beyond our control, including general economic and credit conditions and industry downturns.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If we fail to comply with these covenants and are unable to obtain a waiver or amendment from the applicable debtholders, an e</w:t>
      </w:r>
      <w:r>
        <w:rPr>
          <w:rFonts w:eastAsia="Times New Roman"/>
          <w:color w:val="000000"/>
          <w:sz w:val="20"/>
          <w:szCs w:val="20"/>
        </w:rPr>
        <w:t xml:space="preserve">vent of default would result under the applicable agreements and under other agreements containing related cross-default provisions.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•Upon an event of default under the senior secured credit agreement, the administrative agent or the required lenders co</w:t>
      </w:r>
      <w:r>
        <w:rPr>
          <w:rFonts w:eastAsia="Times New Roman"/>
          <w:color w:val="000000"/>
          <w:sz w:val="20"/>
          <w:szCs w:val="20"/>
        </w:rPr>
        <w:t>uld, among other things, declare outstanding amounts due and payable, refuse to lend additional amounts to us, or require us to deposit cash collateral in respect of outstanding letters of credit. If we were unable to repay or pay the amounts due, the admi</w:t>
      </w:r>
      <w:r>
        <w:rPr>
          <w:rFonts w:eastAsia="Times New Roman"/>
          <w:color w:val="000000"/>
          <w:sz w:val="20"/>
          <w:szCs w:val="20"/>
        </w:rPr>
        <w:t>nistrative agent or the lenders could, among other things, proceed against the collateral granted to them to secure such indebtedness, which includes certain of our domestic assets and the equity interests of certain of our domestic and foreign subsidiarie</w:t>
      </w:r>
      <w:r>
        <w:rPr>
          <w:rFonts w:eastAsia="Times New Roman"/>
          <w:color w:val="000000"/>
          <w:sz w:val="20"/>
          <w:szCs w:val="20"/>
        </w:rPr>
        <w:t xml:space="preserve">s. </w:t>
      </w:r>
    </w:p>
    <w:p w:rsidR="00000000" w:rsidRDefault="0040289C">
      <w:pPr>
        <w:ind w:hanging="360"/>
        <w:jc w:val="both"/>
        <w:divId w:val="1926841796"/>
        <w:rPr>
          <w:rFonts w:eastAsia="Times New Roman"/>
        </w:rPr>
      </w:pPr>
      <w:r>
        <w:rPr>
          <w:rFonts w:eastAsia="Times New Roman"/>
          <w:color w:val="000000"/>
          <w:sz w:val="20"/>
          <w:szCs w:val="20"/>
        </w:rPr>
        <w:t xml:space="preserve">•Upon an event of default under the indentures for our senior unsecured notes, the related trustee or the holders of our senior unsecured notes could declare all outstanding amounts immediately due and payable. </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Despite our current levels of debt, we</w:t>
      </w:r>
      <w:r>
        <w:rPr>
          <w:rFonts w:eastAsia="Times New Roman"/>
          <w:b/>
          <w:bCs/>
          <w:i/>
          <w:iCs/>
          <w:color w:val="000000"/>
          <w:sz w:val="20"/>
          <w:szCs w:val="20"/>
        </w:rPr>
        <w:t xml:space="preserve"> may still incur substantially more debt, including secured debt, and similar liabilities, which would increase the risks described in these risk factors relating to indebtedness.</w:t>
      </w:r>
      <w:r>
        <w:rPr>
          <w:rFonts w:eastAsia="Times New Roman"/>
          <w:color w:val="000000"/>
          <w:sz w:val="20"/>
          <w:szCs w:val="20"/>
        </w:rPr>
        <w:t xml:space="preserve"> Although the agreements governing our senior secured credit facilities and o</w:t>
      </w:r>
      <w:r>
        <w:rPr>
          <w:rFonts w:eastAsia="Times New Roman"/>
          <w:color w:val="000000"/>
          <w:sz w:val="20"/>
          <w:szCs w:val="20"/>
        </w:rPr>
        <w:t>ur senior unsecured notes include restrictions on our ability to incur additional debt, those agreements do not prohibit us from incurring additional debt or pursuing other financing arrangements. As a result, the amount of additional debt and other obliga</w:t>
      </w:r>
      <w:r>
        <w:rPr>
          <w:rFonts w:eastAsia="Times New Roman"/>
          <w:color w:val="000000"/>
          <w:sz w:val="20"/>
          <w:szCs w:val="20"/>
        </w:rPr>
        <w:t>tions that we could incur could be substantial. In addition, certain types of liabilities are not considered “Indebtedness” under our senior secured credit agreement or the indentures governing our senior unsecured notes, and our senior secured credit agre</w:t>
      </w:r>
      <w:r>
        <w:rPr>
          <w:rFonts w:eastAsia="Times New Roman"/>
          <w:color w:val="000000"/>
          <w:sz w:val="20"/>
          <w:szCs w:val="20"/>
        </w:rPr>
        <w:t xml:space="preserve">ement and indentures do not impose any limitation on the amount of liabilities incurred by our subsidiaries, if any, that are designated as “unrestricted subsidiaries” under our senior secured credit agreement or indentures, as applicable. Accordingly, to </w:t>
      </w:r>
      <w:r>
        <w:rPr>
          <w:rFonts w:eastAsia="Times New Roman"/>
          <w:color w:val="000000"/>
          <w:sz w:val="20"/>
          <w:szCs w:val="20"/>
        </w:rPr>
        <w:t>the extent permitted under our senior secured credit agreement or indentures, we could incur significant additional debt, liabilities or similar obligations in the future, some of which could constitute secured debt (such as additional debt under our senio</w:t>
      </w:r>
      <w:r>
        <w:rPr>
          <w:rFonts w:eastAsia="Times New Roman"/>
          <w:color w:val="000000"/>
          <w:sz w:val="20"/>
          <w:szCs w:val="20"/>
        </w:rPr>
        <w:t>r secured credit agreement). In addition, if we form or acquire any subsidiaries in the future, those subsidiaries also could incur debt or similar liabilities. If new debt or similar liabilities are added to our current debt levels, the related risks that</w:t>
      </w:r>
      <w:r>
        <w:rPr>
          <w:rFonts w:eastAsia="Times New Roman"/>
          <w:color w:val="000000"/>
          <w:sz w:val="20"/>
          <w:szCs w:val="20"/>
        </w:rPr>
        <w:t xml:space="preserve"> we now face could increase.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We may, from time to time, seek to opportunistically refinance, amend, reprice and/or otherwise replace any of our debt, obtain additional debt financing or enter into other financing arrangements, reduce or extend our debt, </w:t>
      </w:r>
      <w:r>
        <w:rPr>
          <w:rFonts w:eastAsia="Times New Roman"/>
          <w:color w:val="000000"/>
          <w:sz w:val="20"/>
          <w:szCs w:val="20"/>
        </w:rPr>
        <w:t xml:space="preserve">lower our interest payments or the cost of capital available to us under certain types of financing arrangements, or otherwise seek to improve our financial position or </w:t>
      </w:r>
    </w:p>
    <w:p w:rsidR="00000000" w:rsidRDefault="0040289C">
      <w:pPr>
        <w:jc w:val="center"/>
        <w:divId w:val="293633579"/>
        <w:rPr>
          <w:rFonts w:eastAsia="Times New Roman"/>
        </w:rPr>
      </w:pPr>
      <w:r>
        <w:rPr>
          <w:rFonts w:eastAsia="Times New Roman"/>
          <w:color w:val="000000"/>
          <w:sz w:val="20"/>
          <w:szCs w:val="20"/>
        </w:rPr>
        <w:t>24</w:t>
      </w:r>
    </w:p>
    <w:p w:rsidR="00000000" w:rsidRDefault="0040289C">
      <w:pPr>
        <w:rPr>
          <w:rFonts w:eastAsia="Times New Roman"/>
        </w:rPr>
      </w:pPr>
      <w:r>
        <w:rPr>
          <w:rFonts w:eastAsia="Times New Roman"/>
        </w:rPr>
        <w:pict>
          <v:rect id="_x0000_i1053" style="width:0;height:1.5pt" o:hralign="center" o:hrstd="t" o:hr="t" fillcolor="#a0a0a0" stroked="f"/>
        </w:pict>
      </w:r>
    </w:p>
    <w:p w:rsidR="00000000" w:rsidRDefault="0040289C">
      <w:pPr>
        <w:divId w:val="125955767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460150799"/>
        <w:rPr>
          <w:rFonts w:eastAsia="Times New Roman"/>
        </w:rPr>
      </w:pPr>
    </w:p>
    <w:p w:rsidR="00000000" w:rsidRDefault="0040289C">
      <w:pPr>
        <w:jc w:val="both"/>
        <w:rPr>
          <w:rFonts w:eastAsia="Times New Roman"/>
        </w:rPr>
      </w:pPr>
      <w:r>
        <w:rPr>
          <w:rFonts w:eastAsia="Times New Roman"/>
          <w:color w:val="000000"/>
          <w:sz w:val="20"/>
          <w:szCs w:val="20"/>
        </w:rPr>
        <w:t>the terms of our debt or other financing agreements. These actions may include open market debt repurchases, negotiated repurchases, or other repayments, redemptions or retirements of our debt or other financing arrangement</w:t>
      </w:r>
      <w:r>
        <w:rPr>
          <w:rFonts w:eastAsia="Times New Roman"/>
          <w:color w:val="000000"/>
          <w:sz w:val="20"/>
          <w:szCs w:val="20"/>
        </w:rPr>
        <w:t>s. The amount of debt that may be borrowed or issued, refinanced, and/or repurchased, repaid, redeemed or otherwise retired, if any, will depend on market conditions, trading levels of our debt, our cash position, compliance with our debt covenants and oth</w:t>
      </w:r>
      <w:r>
        <w:rPr>
          <w:rFonts w:eastAsia="Times New Roman"/>
          <w:color w:val="000000"/>
          <w:sz w:val="20"/>
          <w:szCs w:val="20"/>
        </w:rPr>
        <w:t>er considerations. Any such actions could impact our financial condition or results of operations.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If we are unable to continue to access or renew financing sources and obtain capital, our ability to maintain and grow our business may be impaired.</w:t>
      </w:r>
      <w:r>
        <w:rPr>
          <w:rFonts w:eastAsia="Times New Roman"/>
          <w:color w:val="000000"/>
          <w:sz w:val="20"/>
          <w:szCs w:val="20"/>
        </w:rPr>
        <w:t xml:space="preserve"> We use</w:t>
      </w:r>
      <w:r>
        <w:rPr>
          <w:rFonts w:eastAsia="Times New Roman"/>
          <w:color w:val="000000"/>
          <w:sz w:val="20"/>
          <w:szCs w:val="20"/>
        </w:rPr>
        <w:t xml:space="preserve"> debt and other sources of financing to maintain and grow our business. There can be no assurance that we will be able to renew our senior secured credit facilities after their current maturity dates on acceptable terms, or at all, or that we will be able </w:t>
      </w:r>
      <w:r>
        <w:rPr>
          <w:rFonts w:eastAsia="Times New Roman"/>
          <w:color w:val="000000"/>
          <w:sz w:val="20"/>
          <w:szCs w:val="20"/>
        </w:rPr>
        <w:t xml:space="preserve">to obtain additional or replacement financing on acceptable terms or at all. The availability of additional financing will depend on a variety of factors such as market conditions, the general availability of credit, our financial position, our results of </w:t>
      </w:r>
      <w:r>
        <w:rPr>
          <w:rFonts w:eastAsia="Times New Roman"/>
          <w:color w:val="000000"/>
          <w:sz w:val="20"/>
          <w:szCs w:val="20"/>
        </w:rPr>
        <w:t xml:space="preserve">operations, and the capacity for additional borrowing or other forms of financing under our existing financing arrangements. If our various financing alternatives were to become limited or unavailable, we may be unable to maintain or grow our business and </w:t>
      </w:r>
      <w:r>
        <w:rPr>
          <w:rFonts w:eastAsia="Times New Roman"/>
          <w:color w:val="000000"/>
          <w:sz w:val="20"/>
          <w:szCs w:val="20"/>
        </w:rPr>
        <w:t>our operations could be materially adversely affected.</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Our cash flows may not be sufficient to service our indebtedness, and if we are unable to satisfy our obligations under our indebtedness, we may be required to seek other financing alternatives, whic</w:t>
      </w:r>
      <w:r>
        <w:rPr>
          <w:rFonts w:eastAsia="Times New Roman"/>
          <w:b/>
          <w:bCs/>
          <w:i/>
          <w:iCs/>
          <w:color w:val="000000"/>
          <w:sz w:val="20"/>
          <w:szCs w:val="20"/>
        </w:rPr>
        <w:t>h may not be successful.</w:t>
      </w:r>
      <w:r>
        <w:rPr>
          <w:rFonts w:eastAsia="Times New Roman"/>
          <w:i/>
          <w:iCs/>
          <w:color w:val="000000"/>
          <w:sz w:val="20"/>
          <w:szCs w:val="20"/>
        </w:rPr>
        <w:t xml:space="preserve"> </w:t>
      </w:r>
      <w:r>
        <w:rPr>
          <w:rFonts w:eastAsia="Times New Roman"/>
          <w:color w:val="000000"/>
          <w:sz w:val="20"/>
          <w:szCs w:val="20"/>
        </w:rPr>
        <w:t>Our ability to make timely payments of principal and interest on our debt obligations depends on our ability to generate positive cash flows from operations, which is subject to general economic conditions, competitive pressures an</w:t>
      </w:r>
      <w:r>
        <w:rPr>
          <w:rFonts w:eastAsia="Times New Roman"/>
          <w:color w:val="000000"/>
          <w:sz w:val="20"/>
          <w:szCs w:val="20"/>
        </w:rPr>
        <w:t>d certain financial, business and other factors, which may include factors beyond our control. If our cash flows and capital resources are insufficient to make these payments, we may be required to seek additional financing sources, reduce or delay capital</w:t>
      </w:r>
      <w:r>
        <w:rPr>
          <w:rFonts w:eastAsia="Times New Roman"/>
          <w:color w:val="000000"/>
          <w:sz w:val="20"/>
          <w:szCs w:val="20"/>
        </w:rPr>
        <w:t xml:space="preserve"> expenditures, sell assets or operations or refinance our indebtedness. These actions could have an adverse effect on our business, financial condition and results of operations. In addition, we may not be able to take any of these actions, and, even if su</w:t>
      </w:r>
      <w:r>
        <w:rPr>
          <w:rFonts w:eastAsia="Times New Roman"/>
          <w:color w:val="000000"/>
          <w:sz w:val="20"/>
          <w:szCs w:val="20"/>
        </w:rPr>
        <w:t>ccessful, these actions may not permit us to meet our scheduled debt service obligations. Our ability to restructure or refinance our outstanding indebtedness will depend on, among other things, the condition of the capital markets and our financial condit</w:t>
      </w:r>
      <w:r>
        <w:rPr>
          <w:rFonts w:eastAsia="Times New Roman"/>
          <w:color w:val="000000"/>
          <w:sz w:val="20"/>
          <w:szCs w:val="20"/>
        </w:rPr>
        <w:t>ion at such time. There can be no assurance that we will be able to restructure or refinance any of our indebtedness on commercially reasonable terms or at all. If we cannot make scheduled payments on our debt, we will be in default and the outstanding pri</w:t>
      </w:r>
      <w:r>
        <w:rPr>
          <w:rFonts w:eastAsia="Times New Roman"/>
          <w:color w:val="000000"/>
          <w:sz w:val="20"/>
          <w:szCs w:val="20"/>
        </w:rPr>
        <w:t>ncipal and interest on our debt could be declared to be due and payable, in which case we could be forced into bankruptcy or liquidation or required to substantially restructure or alter our business operations or debt obligations.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Borrowings under our s</w:t>
      </w:r>
      <w:r>
        <w:rPr>
          <w:rFonts w:eastAsia="Times New Roman"/>
          <w:b/>
          <w:bCs/>
          <w:i/>
          <w:iCs/>
          <w:color w:val="000000"/>
          <w:sz w:val="20"/>
          <w:szCs w:val="20"/>
        </w:rPr>
        <w:t>enior secured credit facilities bear interest at a variable rate which subjects us to interest rate risk, which could cause our debt service obligations or other costs of capital under our senior secured credit facilities to increase significantly.</w:t>
      </w:r>
      <w:r>
        <w:rPr>
          <w:rFonts w:eastAsia="Times New Roman"/>
          <w:i/>
          <w:iCs/>
          <w:color w:val="000000"/>
          <w:sz w:val="20"/>
          <w:szCs w:val="20"/>
        </w:rPr>
        <w:t xml:space="preserve"> </w:t>
      </w:r>
      <w:r>
        <w:rPr>
          <w:rFonts w:eastAsia="Times New Roman"/>
          <w:color w:val="000000"/>
          <w:sz w:val="20"/>
          <w:szCs w:val="20"/>
        </w:rPr>
        <w:t xml:space="preserve">All of </w:t>
      </w:r>
      <w:r>
        <w:rPr>
          <w:rFonts w:eastAsia="Times New Roman"/>
          <w:color w:val="000000"/>
          <w:sz w:val="20"/>
          <w:szCs w:val="20"/>
        </w:rPr>
        <w:t>our borrowings under our senior secured credit facilities are priced using variable rates of interest and expose us to interest rate risk. If interest rates increase, our debt service obligations on this variable rate indebtedness would increase even if th</w:t>
      </w:r>
      <w:r>
        <w:rPr>
          <w:rFonts w:eastAsia="Times New Roman"/>
          <w:color w:val="000000"/>
          <w:sz w:val="20"/>
          <w:szCs w:val="20"/>
        </w:rPr>
        <w:t>e amount borrowed were to remain the same. Although we may enter into interest rate swaps or similar instruments to reduce interest rate volatility in connection with our variable rate financing arrangements, we cannot provide assurances that we will be ab</w:t>
      </w:r>
      <w:r>
        <w:rPr>
          <w:rFonts w:eastAsia="Times New Roman"/>
          <w:color w:val="000000"/>
          <w:sz w:val="20"/>
          <w:szCs w:val="20"/>
        </w:rPr>
        <w:t>le to do so or that such swaps or instruments will be effective.</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The terms governing our trade receivables facility, including the length of term, financial and other covenants, and obligations to remit collections on the sold receivables could restrict </w:t>
      </w:r>
      <w:r>
        <w:rPr>
          <w:rFonts w:eastAsia="Times New Roman"/>
          <w:b/>
          <w:bCs/>
          <w:i/>
          <w:iCs/>
          <w:color w:val="000000"/>
          <w:sz w:val="20"/>
          <w:szCs w:val="20"/>
        </w:rPr>
        <w:t xml:space="preserve">or otherwise limit our financial and business operations. </w:t>
      </w:r>
      <w:r>
        <w:rPr>
          <w:rFonts w:eastAsia="Times New Roman"/>
          <w:color w:val="000000"/>
          <w:sz w:val="20"/>
          <w:szCs w:val="20"/>
        </w:rPr>
        <w:t>During 2021, we amended our trade receivables facility to allow, among other things, one of our wholly-owned, bankruptcy remote special purposes entities (an “SPE”) to sell to PNC and other particip</w:t>
      </w:r>
      <w:r>
        <w:rPr>
          <w:rFonts w:eastAsia="Times New Roman"/>
          <w:color w:val="000000"/>
          <w:sz w:val="20"/>
          <w:szCs w:val="20"/>
        </w:rPr>
        <w:t>ating financial institutions an undivided ownership interest in a portion of the trade receivables owned by such SPE, in an amount not to exceed $300 million at any point in time. Our trade receivables facility has a term of two years and contains customar</w:t>
      </w:r>
      <w:r>
        <w:rPr>
          <w:rFonts w:eastAsia="Times New Roman"/>
          <w:color w:val="000000"/>
          <w:sz w:val="20"/>
          <w:szCs w:val="20"/>
        </w:rPr>
        <w:t>y termination events, including termination events that are based on the performance of the pool of receivables, including the pool's satisfaction of certain financial tests relating to the three-month rolling average ratios of defaults, delinquencies, dil</w:t>
      </w:r>
      <w:r>
        <w:rPr>
          <w:rFonts w:eastAsia="Times New Roman"/>
          <w:color w:val="000000"/>
          <w:sz w:val="20"/>
          <w:szCs w:val="20"/>
        </w:rPr>
        <w:t>ution and days' sales outstanding. If we fail to renew our trade receivable facility or a termination event occurs and we are unable to obtain a waiver or amendment from the applicable purchasers, we would be required to continue remitting collections to t</w:t>
      </w:r>
      <w:r>
        <w:rPr>
          <w:rFonts w:eastAsia="Times New Roman"/>
          <w:color w:val="000000"/>
          <w:sz w:val="20"/>
          <w:szCs w:val="20"/>
        </w:rPr>
        <w:t>he purchasers until the facility was terminated, and we would no longer benefit from the liquidity provided to us by the ability to sell our receivables. Such a result could negatively impact the cash that we have available to use in our financial and busi</w:t>
      </w:r>
      <w:r>
        <w:rPr>
          <w:rFonts w:eastAsia="Times New Roman"/>
          <w:color w:val="000000"/>
          <w:sz w:val="20"/>
          <w:szCs w:val="20"/>
        </w:rPr>
        <w:t>ness operations. A termination event under the trade receivables facility would also result in an event of default or a termination event under other agreements containing related cross-default provisions.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Certain changes in control may result in an acce</w:t>
      </w:r>
      <w:r>
        <w:rPr>
          <w:rFonts w:eastAsia="Times New Roman"/>
          <w:b/>
          <w:bCs/>
          <w:i/>
          <w:iCs/>
          <w:color w:val="000000"/>
          <w:sz w:val="20"/>
          <w:szCs w:val="20"/>
        </w:rPr>
        <w:t>leration of our indebtedness or our obligations under other financing arrangements, or may require us to repurchase our senior unsecured notes or our Series A Convertible Preferred Stock.</w:t>
      </w:r>
      <w:r>
        <w:rPr>
          <w:rFonts w:eastAsia="Times New Roman"/>
          <w:color w:val="000000"/>
          <w:sz w:val="20"/>
          <w:szCs w:val="20"/>
        </w:rPr>
        <w:t xml:space="preserve"> Upon the occurrence of a change in control under the applicable inde</w:t>
      </w:r>
      <w:r>
        <w:rPr>
          <w:rFonts w:eastAsia="Times New Roman"/>
          <w:color w:val="000000"/>
          <w:sz w:val="20"/>
          <w:szCs w:val="20"/>
        </w:rPr>
        <w:t>nture governing the applicable senior unsecured notes, holders of those notes may require us to repurchase their notes. On any date during the three months commencing on and immediately following March 16, 2024 and the three months commencing on and immedi</w:t>
      </w:r>
      <w:r>
        <w:rPr>
          <w:rFonts w:eastAsia="Times New Roman"/>
          <w:color w:val="000000"/>
          <w:sz w:val="20"/>
          <w:szCs w:val="20"/>
        </w:rPr>
        <w:t xml:space="preserve">ately following every third anniversary of such date, holders of our Series A Convertible Preferred Stock will have the right to require us to repurchase any or all of our outstanding </w:t>
      </w:r>
    </w:p>
    <w:p w:rsidR="00000000" w:rsidRDefault="0040289C">
      <w:pPr>
        <w:jc w:val="center"/>
        <w:divId w:val="693655286"/>
        <w:rPr>
          <w:rFonts w:eastAsia="Times New Roman"/>
        </w:rPr>
      </w:pPr>
      <w:r>
        <w:rPr>
          <w:rFonts w:eastAsia="Times New Roman"/>
          <w:color w:val="000000"/>
          <w:sz w:val="20"/>
          <w:szCs w:val="20"/>
        </w:rPr>
        <w:t>25</w:t>
      </w:r>
    </w:p>
    <w:p w:rsidR="00000000" w:rsidRDefault="0040289C">
      <w:pPr>
        <w:rPr>
          <w:rFonts w:eastAsia="Times New Roman"/>
        </w:rPr>
      </w:pPr>
      <w:r>
        <w:rPr>
          <w:rFonts w:eastAsia="Times New Roman"/>
        </w:rPr>
        <w:pict>
          <v:rect id="_x0000_i1054" style="width:0;height:1.5pt" o:hralign="center" o:hrstd="t" o:hr="t" fillcolor="#a0a0a0" stroked="f"/>
        </w:pict>
      </w:r>
    </w:p>
    <w:p w:rsidR="00000000" w:rsidRDefault="0040289C">
      <w:pPr>
        <w:divId w:val="212010603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646277139"/>
        <w:rPr>
          <w:rFonts w:eastAsia="Times New Roman"/>
        </w:rPr>
      </w:pPr>
    </w:p>
    <w:p w:rsidR="00000000" w:rsidRDefault="0040289C">
      <w:pPr>
        <w:jc w:val="both"/>
        <w:rPr>
          <w:rFonts w:eastAsia="Times New Roman"/>
        </w:rPr>
      </w:pPr>
      <w:r>
        <w:rPr>
          <w:rFonts w:eastAsia="Times New Roman"/>
          <w:color w:val="000000"/>
          <w:sz w:val="20"/>
          <w:szCs w:val="20"/>
        </w:rPr>
        <w:t>Series A Convertible Preferred Stock. In addition, upon certain change of control events involving the Company, holders of Series A Convertib</w:t>
      </w:r>
      <w:r>
        <w:rPr>
          <w:rFonts w:eastAsia="Times New Roman"/>
          <w:color w:val="000000"/>
          <w:sz w:val="20"/>
          <w:szCs w:val="20"/>
        </w:rPr>
        <w:t>le Preferred Stock can require us, subject to certain exceptions, to repurchase any or all of their Series A Convertible Preferred Stock.</w:t>
      </w:r>
    </w:p>
    <w:p w:rsidR="00000000" w:rsidRDefault="0040289C">
      <w:pPr>
        <w:divId w:val="274168558"/>
        <w:rPr>
          <w:rFonts w:eastAsia="Times New Roman"/>
        </w:rPr>
      </w:pPr>
    </w:p>
    <w:p w:rsidR="00000000" w:rsidRDefault="0040289C">
      <w:pPr>
        <w:jc w:val="both"/>
        <w:rPr>
          <w:rFonts w:eastAsia="Times New Roman"/>
        </w:rPr>
      </w:pPr>
      <w:r>
        <w:rPr>
          <w:rFonts w:eastAsia="Times New Roman"/>
          <w:color w:val="000000"/>
          <w:sz w:val="20"/>
          <w:szCs w:val="20"/>
        </w:rPr>
        <w:t>It is possible that we would not have sufficient funds at the time that we are required to make any such purchase of</w:t>
      </w:r>
      <w:r>
        <w:rPr>
          <w:rFonts w:eastAsia="Times New Roman"/>
          <w:color w:val="000000"/>
          <w:sz w:val="20"/>
          <w:szCs w:val="20"/>
        </w:rPr>
        <w:t xml:space="preserve"> notes or Series A Convertible Preferred Stock (or both). We cannot assure the holders of the senior unsecured notes and Series A Convertible Preferred Stock that we will have sufficient financial resources, or will be able to arrange financing, to pay the</w:t>
      </w:r>
      <w:r>
        <w:rPr>
          <w:rFonts w:eastAsia="Times New Roman"/>
          <w:color w:val="000000"/>
          <w:sz w:val="20"/>
          <w:szCs w:val="20"/>
        </w:rPr>
        <w:t xml:space="preserve"> repurchase price in cash with respect to any such notes or Series A Convertible Preferred Stock that holders have requested to be repurchased upon a change in control or scheduled redemption. Our failure to repurchase the senior unsecured notes of a serie</w:t>
      </w:r>
      <w:r>
        <w:rPr>
          <w:rFonts w:eastAsia="Times New Roman"/>
          <w:color w:val="000000"/>
          <w:sz w:val="20"/>
          <w:szCs w:val="20"/>
        </w:rPr>
        <w:t>s when required would result in an event of default with respect to such notes which could, in turn, constitute a default under the terms of our other indebtedness, if any. If we are unable to repurchase all shares of Series A Convertible Preferred Stock t</w:t>
      </w:r>
      <w:r>
        <w:rPr>
          <w:rFonts w:eastAsia="Times New Roman"/>
          <w:color w:val="000000"/>
          <w:sz w:val="20"/>
          <w:szCs w:val="20"/>
        </w:rPr>
        <w:t xml:space="preserve">hat holders have requested to be purchased, then we are required to pay dividends on the shares not repurchased at a rate equal to 8.0% per annum, accruing daily from such date until the full purchase price, plus all accrued dividends, are paid in full in </w:t>
      </w:r>
      <w:r>
        <w:rPr>
          <w:rFonts w:eastAsia="Times New Roman"/>
          <w:color w:val="000000"/>
          <w:sz w:val="20"/>
          <w:szCs w:val="20"/>
        </w:rPr>
        <w:t>respect of such shares of Series A Convertible Preferred Stock.</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addition, a change in control (i) may constitute an event of default under our senior secured credit agreement that would permit the lenders to accelerate the maturity of the borrowings thereunder and/or terminate the commitments under the senior secure</w:t>
      </w:r>
      <w:r>
        <w:rPr>
          <w:rFonts w:eastAsia="Times New Roman"/>
          <w:color w:val="000000"/>
          <w:sz w:val="20"/>
          <w:szCs w:val="20"/>
        </w:rPr>
        <w:t>d revolving credit facility, (ii) may constitute a termination event under our trade receivables facility that would permit the purchasers to declare the capital they have invested in our receivables to be due and owing and (iii) may require us to make a s</w:t>
      </w:r>
      <w:r>
        <w:rPr>
          <w:rFonts w:eastAsia="Times New Roman"/>
          <w:color w:val="000000"/>
          <w:sz w:val="20"/>
          <w:szCs w:val="20"/>
        </w:rPr>
        <w:t>imilar change in control offer to holders of our existing senior unsecured notes.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Certain important corporate events, such as leveraged recapitalization that would increase the level of our indebtedness, may not constitute a change in control under the i</w:t>
      </w:r>
      <w:r>
        <w:rPr>
          <w:rFonts w:eastAsia="Times New Roman"/>
          <w:color w:val="000000"/>
          <w:sz w:val="20"/>
          <w:szCs w:val="20"/>
        </w:rPr>
        <w:t>ndentures governing our unsecured notes or the terms of our Series A Convertible Preferred Stock.</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A lowering or withdrawal of the ratings assigned to our debt securities by rating agencies may increase our future capital costs and reduce our access to ca</w:t>
      </w:r>
      <w:r>
        <w:rPr>
          <w:rFonts w:eastAsia="Times New Roman"/>
          <w:b/>
          <w:bCs/>
          <w:i/>
          <w:iCs/>
          <w:color w:val="000000"/>
          <w:sz w:val="20"/>
          <w:szCs w:val="20"/>
        </w:rPr>
        <w:t>pital.</w:t>
      </w:r>
      <w:r>
        <w:rPr>
          <w:rFonts w:eastAsia="Times New Roman"/>
          <w:b/>
          <w:bCs/>
          <w:color w:val="000000"/>
          <w:sz w:val="20"/>
          <w:szCs w:val="20"/>
        </w:rPr>
        <w:t xml:space="preserve"> </w:t>
      </w:r>
      <w:r>
        <w:rPr>
          <w:rFonts w:eastAsia="Times New Roman"/>
          <w:color w:val="000000"/>
          <w:sz w:val="20"/>
          <w:szCs w:val="20"/>
        </w:rPr>
        <w:t>Any rating assigned to our debt could be lowered or withdrawn entirely by a rating agency if, in that rating agency’s judgment, future circumstances relating to the basis of the rating, such as adverse changes, so warrant. Any future lowering of our</w:t>
      </w:r>
      <w:r>
        <w:rPr>
          <w:rFonts w:eastAsia="Times New Roman"/>
          <w:color w:val="000000"/>
          <w:sz w:val="20"/>
          <w:szCs w:val="20"/>
        </w:rPr>
        <w:t xml:space="preserve"> ratings likely would make it more difficult or more expensive for us to obtain additional debt financing or capital from other financing arrangements.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Our pension liabilities could adversely affect our liquidity and financial condition.</w:t>
      </w:r>
      <w:r>
        <w:rPr>
          <w:rFonts w:eastAsia="Times New Roman"/>
          <w:i/>
          <w:iCs/>
          <w:color w:val="000000"/>
          <w:sz w:val="20"/>
          <w:szCs w:val="20"/>
        </w:rPr>
        <w:t xml:space="preserve"> </w:t>
      </w:r>
      <w:r>
        <w:rPr>
          <w:rFonts w:eastAsia="Times New Roman"/>
          <w:color w:val="000000"/>
          <w:sz w:val="20"/>
          <w:szCs w:val="20"/>
        </w:rPr>
        <w:t xml:space="preserve">At December 31, </w:t>
      </w:r>
      <w:r>
        <w:rPr>
          <w:rFonts w:eastAsia="Times New Roman"/>
          <w:color w:val="000000"/>
          <w:sz w:val="20"/>
          <w:szCs w:val="20"/>
        </w:rPr>
        <w:t>2022, our obligation for benefits under our pension plans was $2,165 million and our pension plan assets totaled $1,750 million, which resulted in an underfunded pension obligation of $415 million. While we rebalanced our United States and international pl</w:t>
      </w:r>
      <w:r>
        <w:rPr>
          <w:rFonts w:eastAsia="Times New Roman"/>
          <w:color w:val="000000"/>
          <w:sz w:val="20"/>
          <w:szCs w:val="20"/>
        </w:rPr>
        <w:t xml:space="preserve">an assets in order to reduce volatility, made several discretionary contributions to our pension plans and have, from time to time, completed de-risking actions, including plan settlements, our remaining underfunded pension obligation continues to require </w:t>
      </w:r>
      <w:r>
        <w:rPr>
          <w:rFonts w:eastAsia="Times New Roman"/>
          <w:color w:val="000000"/>
          <w:sz w:val="20"/>
          <w:szCs w:val="20"/>
        </w:rPr>
        <w:t xml:space="preserve">ongoing cash contributions. Our underfunded pension obligation also may be affected by future transfers and settlements relating to our pension plans.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addition, certain of the plan assets remain subject to financial market risk, and our actuarial and</w:t>
      </w:r>
      <w:r>
        <w:rPr>
          <w:rFonts w:eastAsia="Times New Roman"/>
          <w:color w:val="000000"/>
          <w:sz w:val="20"/>
          <w:szCs w:val="20"/>
        </w:rPr>
        <w:t xml:space="preserve"> other assumptions underlying our expected future benefit payments, long-term expected rate of return and future funding expectations for our plans depend on, among other things, interest rate levels and trends and capital market expectations. Further vola</w:t>
      </w:r>
      <w:r>
        <w:rPr>
          <w:rFonts w:eastAsia="Times New Roman"/>
          <w:color w:val="000000"/>
          <w:sz w:val="20"/>
          <w:szCs w:val="20"/>
        </w:rPr>
        <w:t>tility in the performance of financial markets, changes in any of these actuarial assumptions (including those described in our “Critical Accounting Estimates” section of the “Management's Discussion and Analysis of Financial Condition and Results of Opera</w:t>
      </w:r>
      <w:r>
        <w:rPr>
          <w:rFonts w:eastAsia="Times New Roman"/>
          <w:color w:val="000000"/>
          <w:sz w:val="20"/>
          <w:szCs w:val="20"/>
        </w:rPr>
        <w:t>tions” included in Item 7 of Part II of this Report) or changes in regulations regarding funding requirements could require material increases to our expected cash contributions to our pension plans in future years.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We may be required to write down the v</w:t>
      </w:r>
      <w:r>
        <w:rPr>
          <w:rFonts w:eastAsia="Times New Roman"/>
          <w:b/>
          <w:bCs/>
          <w:i/>
          <w:iCs/>
          <w:color w:val="000000"/>
          <w:sz w:val="20"/>
          <w:szCs w:val="20"/>
        </w:rPr>
        <w:t xml:space="preserve">alue of certain significant assets, which would adversely affect our operating results. </w:t>
      </w:r>
      <w:r>
        <w:rPr>
          <w:rFonts w:eastAsia="Times New Roman"/>
          <w:color w:val="000000"/>
          <w:sz w:val="20"/>
          <w:szCs w:val="20"/>
        </w:rPr>
        <w:t>We have a number of significant assets on our balance sheet as of December 31, 2022 and the value of these assets can be adversely impacted by factors related to our bu</w:t>
      </w:r>
      <w:r>
        <w:rPr>
          <w:rFonts w:eastAsia="Times New Roman"/>
          <w:color w:val="000000"/>
          <w:sz w:val="20"/>
          <w:szCs w:val="20"/>
        </w:rPr>
        <w:t>siness and operating performance, as well as factors outside of our control. We recognize deferred tax assets and liabilities based on the differences between the financial statement carrying amounts and the tax basis of assets and liabilities. Our deferre</w:t>
      </w:r>
      <w:r>
        <w:rPr>
          <w:rFonts w:eastAsia="Times New Roman"/>
          <w:color w:val="000000"/>
          <w:sz w:val="20"/>
          <w:szCs w:val="20"/>
        </w:rPr>
        <w:t>d tax assets, net of valuation allowances, totaled approximately $751 million and $908 million at December 31, 2022 and 2021, respectively. We regularly review our deferred tax assets for recoverability and establish a valuation allowance if it is more lik</w:t>
      </w:r>
      <w:r>
        <w:rPr>
          <w:rFonts w:eastAsia="Times New Roman"/>
          <w:color w:val="000000"/>
          <w:sz w:val="20"/>
          <w:szCs w:val="20"/>
        </w:rPr>
        <w:t>ely than not that some portion or all of a deferred tax asset will not be realized. If we are unable to generate sufficient future taxable income, if there is a material change in the actual effective tax rates or if there is a change to the time period wi</w:t>
      </w:r>
      <w:r>
        <w:rPr>
          <w:rFonts w:eastAsia="Times New Roman"/>
          <w:color w:val="000000"/>
          <w:sz w:val="20"/>
          <w:szCs w:val="20"/>
        </w:rPr>
        <w:t xml:space="preserve">thin which the underlying temporary differences become taxable or deductible, then we could be required to increase our valuation allowance against our deferred tax assets, which could result in a material increase in our effective tax rate. </w:t>
      </w:r>
    </w:p>
    <w:p w:rsidR="00000000" w:rsidRDefault="0040289C">
      <w:pPr>
        <w:jc w:val="both"/>
        <w:rPr>
          <w:rFonts w:eastAsia="Times New Roman"/>
        </w:rPr>
      </w:pPr>
    </w:p>
    <w:p w:rsidR="00000000" w:rsidRDefault="0040289C">
      <w:pPr>
        <w:jc w:val="center"/>
        <w:divId w:val="667515505"/>
        <w:rPr>
          <w:rFonts w:eastAsia="Times New Roman"/>
        </w:rPr>
      </w:pPr>
      <w:r>
        <w:rPr>
          <w:rFonts w:eastAsia="Times New Roman"/>
          <w:color w:val="000000"/>
          <w:sz w:val="20"/>
          <w:szCs w:val="20"/>
        </w:rPr>
        <w:t>26</w:t>
      </w:r>
    </w:p>
    <w:p w:rsidR="00000000" w:rsidRDefault="0040289C">
      <w:pPr>
        <w:rPr>
          <w:rFonts w:eastAsia="Times New Roman"/>
        </w:rPr>
      </w:pPr>
      <w:r>
        <w:rPr>
          <w:rFonts w:eastAsia="Times New Roman"/>
        </w:rPr>
        <w:pict>
          <v:rect id="_x0000_i1055" style="width:0;height:1.5pt" o:hralign="center" o:hrstd="t" o:hr="t" fillcolor="#a0a0a0" stroked="f"/>
        </w:pict>
      </w:r>
    </w:p>
    <w:p w:rsidR="00000000" w:rsidRDefault="0040289C">
      <w:pPr>
        <w:divId w:val="157647186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00238498"/>
        <w:rPr>
          <w:rFonts w:eastAsia="Times New Roman"/>
        </w:rPr>
      </w:pPr>
    </w:p>
    <w:p w:rsidR="00000000" w:rsidRDefault="0040289C">
      <w:pPr>
        <w:jc w:val="both"/>
        <w:rPr>
          <w:rFonts w:eastAsia="Times New Roman"/>
        </w:rPr>
      </w:pPr>
      <w:r>
        <w:rPr>
          <w:rFonts w:eastAsia="Times New Roman"/>
          <w:color w:val="000000"/>
          <w:sz w:val="20"/>
          <w:szCs w:val="20"/>
        </w:rPr>
        <w:t>NCR has previously recorded valuation allowances related to certain deferred tax assets due to the uncertainty of the ultimate realization of the fut</w:t>
      </w:r>
      <w:r>
        <w:rPr>
          <w:rFonts w:eastAsia="Times New Roman"/>
          <w:color w:val="000000"/>
          <w:sz w:val="20"/>
          <w:szCs w:val="20"/>
        </w:rPr>
        <w:t>ure benefits from those assets. The recorded valuation allowances cover deferred tax assets, primarily tax loss carryforwards and foreign tax credits, in tax jurisdictions where there is uncertainty as to the ultimate realization of those tax losses and cr</w:t>
      </w:r>
      <w:r>
        <w:rPr>
          <w:rFonts w:eastAsia="Times New Roman"/>
          <w:color w:val="000000"/>
          <w:sz w:val="20"/>
          <w:szCs w:val="20"/>
        </w:rPr>
        <w:t>edits. If we are unable to generate sufficient future taxable income of the proper source in the time period within which the temporary differences underlying our deferred tax assets become deductible, or before the expiration of our loss and credit carryf</w:t>
      </w:r>
      <w:r>
        <w:rPr>
          <w:rFonts w:eastAsia="Times New Roman"/>
          <w:color w:val="000000"/>
          <w:sz w:val="20"/>
          <w:szCs w:val="20"/>
        </w:rPr>
        <w:t>orwards, additional valuation allowances could be required in the future.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LAW &amp; COMPLIANCE</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Our inability to protec</w:t>
      </w:r>
      <w:r>
        <w:rPr>
          <w:rFonts w:eastAsia="Times New Roman"/>
          <w:b/>
          <w:bCs/>
          <w:i/>
          <w:iCs/>
          <w:color w:val="000000"/>
          <w:sz w:val="20"/>
          <w:szCs w:val="20"/>
        </w:rPr>
        <w:t>t our intellectual property, and other issues related to our and third party intellectual property, especially third party intellectual property infringement claims, could have a material and adverse effect on our business, results of operations and financ</w:t>
      </w:r>
      <w:r>
        <w:rPr>
          <w:rFonts w:eastAsia="Times New Roman"/>
          <w:b/>
          <w:bCs/>
          <w:i/>
          <w:iCs/>
          <w:color w:val="000000"/>
          <w:sz w:val="20"/>
          <w:szCs w:val="20"/>
        </w:rPr>
        <w:t xml:space="preserve">ial condition. </w:t>
      </w:r>
      <w:r>
        <w:rPr>
          <w:rFonts w:eastAsia="Times New Roman"/>
          <w:color w:val="000000"/>
          <w:sz w:val="20"/>
          <w:szCs w:val="20"/>
        </w:rPr>
        <w:t>Our continuing ability to be a leading software- and services-led enterprise provider could be negatively affected if we do not protect our intellectual property, especially our software. It is critical to our strategy, and the benefits prov</w:t>
      </w:r>
      <w:r>
        <w:rPr>
          <w:rFonts w:eastAsia="Times New Roman"/>
          <w:color w:val="000000"/>
          <w:sz w:val="20"/>
          <w:szCs w:val="20"/>
        </w:rPr>
        <w:t>ided by our innovations and technologies, that we protect and can leverage and rely on our intellectual property, including our intellectual property rights. We protect our innovations and technologies through intellectual property rights, including patent</w:t>
      </w:r>
      <w:r>
        <w:rPr>
          <w:rFonts w:eastAsia="Times New Roman"/>
          <w:color w:val="000000"/>
          <w:sz w:val="20"/>
          <w:szCs w:val="20"/>
        </w:rPr>
        <w:t>s, copyrights, trademarks (including service marks) and trade secret rights. While we have many patents which cover various areas, we are not able to patent all of our innovations and technologies. In addition, it can take multiple years to receive a paten</w:t>
      </w:r>
      <w:r>
        <w:rPr>
          <w:rFonts w:eastAsia="Times New Roman"/>
          <w:color w:val="000000"/>
          <w:sz w:val="20"/>
          <w:szCs w:val="20"/>
        </w:rPr>
        <w:t>t. We primarily rely on our copyrights and trade secret rights, provided under the laws of the United States and internationally, to protect our innovations and technologies. Despite our efforts to protect our innovations and technologies through intellect</w:t>
      </w:r>
      <w:r>
        <w:rPr>
          <w:rFonts w:eastAsia="Times New Roman"/>
          <w:color w:val="000000"/>
          <w:sz w:val="20"/>
          <w:szCs w:val="20"/>
        </w:rPr>
        <w:t>ual property rights and our processes and procedures, such laws, processes and procedures may be insufficient, breached or otherwise fail to prevent unauthorized use, misappropriation or disclosure of our intellectual property, and such laws, processes and</w:t>
      </w:r>
      <w:r>
        <w:rPr>
          <w:rFonts w:eastAsia="Times New Roman"/>
          <w:color w:val="000000"/>
          <w:sz w:val="20"/>
          <w:szCs w:val="20"/>
        </w:rPr>
        <w:t xml:space="preserve"> procedures may not provide adequate protection or remedies. It is also possible that others can independently develop, obtain or use similar innovations and technologies. To the extent we are not successful in protecting our intellectual property or such </w:t>
      </w:r>
      <w:r>
        <w:rPr>
          <w:rFonts w:eastAsia="Times New Roman"/>
          <w:color w:val="000000"/>
          <w:sz w:val="20"/>
          <w:szCs w:val="20"/>
        </w:rPr>
        <w:t>protection is insufficient, especially that related to our software, our business could be adversely impacted.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Various factors outside our control pose a threat to our intellectual property. We may fail to obtain or maintain effective or sufficient intel</w:t>
      </w:r>
      <w:r>
        <w:rPr>
          <w:rFonts w:eastAsia="Times New Roman"/>
          <w:color w:val="000000"/>
          <w:sz w:val="20"/>
          <w:szCs w:val="20"/>
        </w:rPr>
        <w:t xml:space="preserve">lectual property protection, and at least some of our intellectual property rights may be challenged, resulting in reduced protection or being declared invalid or unenforceable. There can be no assurance our intellectual property rights will be sufficient </w:t>
      </w:r>
      <w:r>
        <w:rPr>
          <w:rFonts w:eastAsia="Times New Roman"/>
          <w:color w:val="000000"/>
          <w:sz w:val="20"/>
          <w:szCs w:val="20"/>
        </w:rPr>
        <w:t>to prevent others from offering competitive products or services or that unauthorized parties will not attempt to copy our innovations or technologies or use, misappropriate or disclose information that we consider confidential or proprietary. It is possib</w:t>
      </w:r>
      <w:r>
        <w:rPr>
          <w:rFonts w:eastAsia="Times New Roman"/>
          <w:color w:val="000000"/>
          <w:sz w:val="20"/>
          <w:szCs w:val="20"/>
        </w:rPr>
        <w:t>le for third parties, including our competitors, to obtain patents relating to innovations and technologies that overlap or compete with our innovations or technologies and for such third parties to assert, and third parties have in the past asserted, that</w:t>
      </w:r>
      <w:r>
        <w:rPr>
          <w:rFonts w:eastAsia="Times New Roman"/>
          <w:color w:val="000000"/>
          <w:sz w:val="20"/>
          <w:szCs w:val="20"/>
        </w:rPr>
        <w:t xml:space="preserve"> our products and services infringe their patents. Even though we may hold patents covering our innovations and technologies, it is possible for such third-party patents to effectively block the use of our own innovations or technologies. In such cases, th</w:t>
      </w:r>
      <w:r>
        <w:rPr>
          <w:rFonts w:eastAsia="Times New Roman"/>
          <w:color w:val="000000"/>
          <w:sz w:val="20"/>
          <w:szCs w:val="20"/>
        </w:rPr>
        <w:t>ose third parties can seek to charge us a licensing fee or preclude the use of our innovations or technologies and file suit against us. Additionally, unauthorized third parties may try to copy or reverse engineer our products or intellectual property or o</w:t>
      </w:r>
      <w:r>
        <w:rPr>
          <w:rFonts w:eastAsia="Times New Roman"/>
          <w:color w:val="000000"/>
          <w:sz w:val="20"/>
          <w:szCs w:val="20"/>
        </w:rPr>
        <w:t>therwise obtain, misappropriate or use our intellectual property and other information that we regard as confidential or proprietary to create products and services that compete with ours.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Protecting our intellectual property through patents or other int</w:t>
      </w:r>
      <w:r>
        <w:rPr>
          <w:rFonts w:eastAsia="Times New Roman"/>
          <w:color w:val="000000"/>
          <w:sz w:val="20"/>
          <w:szCs w:val="20"/>
        </w:rPr>
        <w:t>ellectual property rights is expensive and time-consuming. We may not be able to obtain protection for at least some of our intellectual property, and where we are successful, it is expensive to obtain and maintain these rights and they can be more limited</w:t>
      </w:r>
      <w:r>
        <w:rPr>
          <w:rFonts w:eastAsia="Times New Roman"/>
          <w:color w:val="000000"/>
          <w:sz w:val="20"/>
          <w:szCs w:val="20"/>
        </w:rPr>
        <w:t xml:space="preserve"> than desired. The time and cost required to defend our intellectual property rights can be substantial. Possible future changes to U.S. or foreign intellectual property laws and regulations may jeopardize the enforceability, validity or scope of our intel</w:t>
      </w:r>
      <w:r>
        <w:rPr>
          <w:rFonts w:eastAsia="Times New Roman"/>
          <w:color w:val="000000"/>
          <w:sz w:val="20"/>
          <w:szCs w:val="20"/>
        </w:rPr>
        <w:t>lectual property portfolio and harm our ability to obtain protection. We may be unable to obtain trademark protection for our products or services and associated brands, and our existing trademark registrations and applications, and any trademarks that may</w:t>
      </w:r>
      <w:r>
        <w:rPr>
          <w:rFonts w:eastAsia="Times New Roman"/>
          <w:color w:val="000000"/>
          <w:sz w:val="20"/>
          <w:szCs w:val="20"/>
        </w:rPr>
        <w:t xml:space="preserve"> be used in the future, may not provide us with competitive advantages or distinguish our products or services from those of our competitors. In addition, our trademarks may be contested or found to be unenforceable, weak or invalid, and we may not be able</w:t>
      </w:r>
      <w:r>
        <w:rPr>
          <w:rFonts w:eastAsia="Times New Roman"/>
          <w:color w:val="000000"/>
          <w:sz w:val="20"/>
          <w:szCs w:val="20"/>
        </w:rPr>
        <w:t xml:space="preserve"> to prevent third parties from infringing or otherwise violating them.</w:t>
      </w:r>
    </w:p>
    <w:p w:rsidR="00000000" w:rsidRDefault="0040289C">
      <w:pPr>
        <w:divId w:val="1993366006"/>
        <w:rPr>
          <w:rFonts w:eastAsia="Times New Roman"/>
        </w:rPr>
      </w:pPr>
    </w:p>
    <w:p w:rsidR="00000000" w:rsidRDefault="0040289C">
      <w:pPr>
        <w:divId w:val="1511220303"/>
        <w:rPr>
          <w:rFonts w:eastAsia="Times New Roman"/>
        </w:rPr>
      </w:pPr>
      <w:r>
        <w:rPr>
          <w:rFonts w:eastAsia="Times New Roman"/>
          <w:color w:val="000000"/>
          <w:sz w:val="20"/>
          <w:szCs w:val="20"/>
        </w:rPr>
        <w:t>Many of our offerings rely on innovations and technologies developed by others. If we are unable to continue to obtain licenses and rights for such innovations and technologies or sub</w:t>
      </w:r>
      <w:r>
        <w:rPr>
          <w:rFonts w:eastAsia="Times New Roman"/>
          <w:color w:val="000000"/>
          <w:sz w:val="20"/>
          <w:szCs w:val="20"/>
        </w:rPr>
        <w:t>stitutes for them, our business could be adversely impacted.</w:t>
      </w:r>
    </w:p>
    <w:p w:rsidR="00000000" w:rsidRDefault="0040289C">
      <w:pPr>
        <w:divId w:val="1545096352"/>
        <w:rPr>
          <w:rFonts w:eastAsia="Times New Roman"/>
        </w:rPr>
      </w:pPr>
    </w:p>
    <w:p w:rsidR="00000000" w:rsidRDefault="0040289C">
      <w:pPr>
        <w:jc w:val="both"/>
        <w:rPr>
          <w:rFonts w:eastAsia="Times New Roman"/>
        </w:rPr>
      </w:pPr>
      <w:r>
        <w:rPr>
          <w:rFonts w:eastAsia="Times New Roman"/>
          <w:color w:val="000000"/>
          <w:sz w:val="20"/>
          <w:szCs w:val="20"/>
        </w:rPr>
        <w:t>We will not always be able to ensure we have sufficient protection for our intellectual property rights where, for example, we fail to detect or expect unauthorized use of our intellectual prop</w:t>
      </w:r>
      <w:r>
        <w:rPr>
          <w:rFonts w:eastAsia="Times New Roman"/>
          <w:color w:val="000000"/>
          <w:sz w:val="20"/>
          <w:szCs w:val="20"/>
        </w:rPr>
        <w:t>erty. Intellectual property protection may not be available in every country in which we do business, and the laws in countries outside of the U.S. where we do business or may do business in the future may not recognize intellectual property rights or prot</w:t>
      </w:r>
      <w:r>
        <w:rPr>
          <w:rFonts w:eastAsia="Times New Roman"/>
          <w:color w:val="000000"/>
          <w:sz w:val="20"/>
          <w:szCs w:val="20"/>
        </w:rPr>
        <w:t xml:space="preserve">ect them as would be done under the laws of the United States. Changes in, or unexpected interpretations of, intellectual property laws may compromise our ability to protect our intellectual property rights. Failure to obtain or maintain protection of our </w:t>
      </w:r>
      <w:r>
        <w:rPr>
          <w:rFonts w:eastAsia="Times New Roman"/>
          <w:color w:val="000000"/>
          <w:sz w:val="20"/>
          <w:szCs w:val="20"/>
        </w:rPr>
        <w:t>confidential information (including trade secrets) or other proprietary information, for example through public disclosure, could harm our competitive position and materially and adversely affect our business, financial condition and results of operations.</w:t>
      </w:r>
      <w:r>
        <w:rPr>
          <w:rFonts w:eastAsia="Times New Roman"/>
          <w:color w:val="000000"/>
          <w:sz w:val="20"/>
          <w:szCs w:val="20"/>
        </w:rPr>
        <w:t xml:space="preserve"> The above, along with other reasons (such as the patent portfolio of a third party) could result in our inability to enforce or impact the enforcement of our intellectual property rights.</w:t>
      </w:r>
    </w:p>
    <w:p w:rsidR="00000000" w:rsidRDefault="0040289C">
      <w:pPr>
        <w:divId w:val="600800520"/>
        <w:rPr>
          <w:rFonts w:eastAsia="Times New Roman"/>
        </w:rPr>
      </w:pPr>
    </w:p>
    <w:p w:rsidR="00000000" w:rsidRDefault="0040289C">
      <w:pPr>
        <w:jc w:val="center"/>
        <w:divId w:val="1416828825"/>
        <w:rPr>
          <w:rFonts w:eastAsia="Times New Roman"/>
        </w:rPr>
      </w:pPr>
      <w:r>
        <w:rPr>
          <w:rFonts w:eastAsia="Times New Roman"/>
          <w:color w:val="000000"/>
          <w:sz w:val="20"/>
          <w:szCs w:val="20"/>
        </w:rPr>
        <w:t>27</w:t>
      </w:r>
    </w:p>
    <w:p w:rsidR="00000000" w:rsidRDefault="0040289C">
      <w:pPr>
        <w:rPr>
          <w:rFonts w:eastAsia="Times New Roman"/>
        </w:rPr>
      </w:pPr>
      <w:r>
        <w:rPr>
          <w:rFonts w:eastAsia="Times New Roman"/>
        </w:rPr>
        <w:pict>
          <v:rect id="_x0000_i1056" style="width:0;height:1.5pt" o:hralign="center" o:hrstd="t" o:hr="t" fillcolor="#a0a0a0" stroked="f"/>
        </w:pict>
      </w:r>
    </w:p>
    <w:p w:rsidR="00000000" w:rsidRDefault="0040289C">
      <w:pPr>
        <w:divId w:val="116066194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933319865"/>
        <w:rPr>
          <w:rFonts w:eastAsia="Times New Roman"/>
        </w:rPr>
      </w:pPr>
    </w:p>
    <w:p w:rsidR="00000000" w:rsidRDefault="0040289C">
      <w:pPr>
        <w:jc w:val="both"/>
        <w:rPr>
          <w:rFonts w:eastAsia="Times New Roman"/>
        </w:rPr>
      </w:pPr>
      <w:r>
        <w:rPr>
          <w:rFonts w:eastAsia="Times New Roman"/>
          <w:color w:val="000000"/>
          <w:sz w:val="20"/>
          <w:szCs w:val="20"/>
        </w:rPr>
        <w:t>Given our reliance on intellectual property beyond just patents, we also rely in part on non-disclosure or confidentiality agreements with parties who have access to our know-how and confidential informa</w:t>
      </w:r>
      <w:r>
        <w:rPr>
          <w:rFonts w:eastAsia="Times New Roman"/>
          <w:color w:val="000000"/>
          <w:sz w:val="20"/>
          <w:szCs w:val="20"/>
        </w:rPr>
        <w:t>tion (including trade secrets), including employees, contractors and other third parties, which place restrictions on the use and disclosure of this intellectual property. We also enter into intellectual property assignment agreements with our employees, c</w:t>
      </w:r>
      <w:r>
        <w:rPr>
          <w:rFonts w:eastAsia="Times New Roman"/>
          <w:color w:val="000000"/>
          <w:sz w:val="20"/>
          <w:szCs w:val="20"/>
        </w:rPr>
        <w:t>ontractors and consultants. We cannot guarantee that we have entered into such agreements with all parties necessary to protect our intellectual property or that they will adhere to our confidentiality agreements. Individuals not subject to intellectual pr</w:t>
      </w:r>
      <w:r>
        <w:rPr>
          <w:rFonts w:eastAsia="Times New Roman"/>
          <w:color w:val="000000"/>
          <w:sz w:val="20"/>
          <w:szCs w:val="20"/>
        </w:rPr>
        <w:t>operty assignments or other agreements assigning intellectual property to us may make adverse ownership claims to our intellectual property. Additionally, these agreements may be insufficient or breached, or this intellectual property, including trade secr</w:t>
      </w:r>
      <w:r>
        <w:rPr>
          <w:rFonts w:eastAsia="Times New Roman"/>
          <w:color w:val="000000"/>
          <w:sz w:val="20"/>
          <w:szCs w:val="20"/>
        </w:rPr>
        <w:t>ets, may be disclosed or become known to third parties, including our competitors, which could cause the loss of this intellectual property. We may not be able to obtain adequate remedies for such infringement, misappropriation or breaches. To the extent o</w:t>
      </w:r>
      <w:r>
        <w:rPr>
          <w:rFonts w:eastAsia="Times New Roman"/>
          <w:color w:val="000000"/>
          <w:sz w:val="20"/>
          <w:szCs w:val="20"/>
        </w:rPr>
        <w:t>ur employees, contractors or other third parties with whom we do business use intellectual property owned by others in their work for us, disputes may arise as to our rights in such intellectual property or our rights in related or resulting intellectual p</w:t>
      </w:r>
      <w:r>
        <w:rPr>
          <w:rFonts w:eastAsia="Times New Roman"/>
          <w:color w:val="000000"/>
          <w:sz w:val="20"/>
          <w:szCs w:val="20"/>
        </w:rPr>
        <w:t xml:space="preserve">roperty, including innovations, technologies and know-how. The loss of trade secret and other confidential information protection could make it easier for third parties to compete with our products and services by copying our innovations and technologies, </w:t>
      </w:r>
      <w:r>
        <w:rPr>
          <w:rFonts w:eastAsia="Times New Roman"/>
          <w:color w:val="000000"/>
          <w:sz w:val="20"/>
          <w:szCs w:val="20"/>
        </w:rPr>
        <w:t>including features and functionality.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To address infringement or misappropriation of our intellectual property, we may need to file lawsuits, which can be expensive, time consuming and distracting to management and the business. Our efforts to enforce ou</w:t>
      </w:r>
      <w:r>
        <w:rPr>
          <w:rFonts w:eastAsia="Times New Roman"/>
          <w:color w:val="000000"/>
          <w:sz w:val="20"/>
          <w:szCs w:val="20"/>
        </w:rPr>
        <w:t>r intellectual property rights in this manner may be met with defenses, counterclaims and countersuits attacking the validity and enforceability of our intellectual property rights. Furthermore, because of the substantial amount of discovery required in co</w:t>
      </w:r>
      <w:r>
        <w:rPr>
          <w:rFonts w:eastAsia="Times New Roman"/>
          <w:color w:val="000000"/>
          <w:sz w:val="20"/>
          <w:szCs w:val="20"/>
        </w:rPr>
        <w:t xml:space="preserve">nnection with intellectual property litigation, there is a risk that some of our confidential information could be compromised by disclosure during this type of litigation. From time to time, we receive notices and other communications from third parties, </w:t>
      </w:r>
      <w:r>
        <w:rPr>
          <w:rFonts w:eastAsia="Times New Roman"/>
          <w:color w:val="000000"/>
          <w:sz w:val="20"/>
          <w:szCs w:val="20"/>
        </w:rPr>
        <w:t xml:space="preserve">including our customers, regarding third-party claims of infringement of patents and other intellectual property rights. In response to those notices, in appropriate situations, we may have to use our patents in our defense of such claims, subjecting them </w:t>
      </w:r>
      <w:r>
        <w:rPr>
          <w:rFonts w:eastAsia="Times New Roman"/>
          <w:color w:val="000000"/>
          <w:sz w:val="20"/>
          <w:szCs w:val="20"/>
        </w:rPr>
        <w:t>to the foregoing risks.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 large number of patents and other intellectual property rights exist in our industry, particularly in the digital banking and hospitality spaces. As a result, a significant number of allegations and disputes related to these rights are asserted by both p</w:t>
      </w:r>
      <w:r>
        <w:rPr>
          <w:rFonts w:eastAsia="Times New Roman"/>
          <w:color w:val="000000"/>
          <w:sz w:val="20"/>
          <w:szCs w:val="20"/>
        </w:rPr>
        <w:t>racticing and non-practicing entities (often referred to as “patent trolls”) and individuals who claim to own intellectual property rights alleged to cover our products and services. Accordingly, we may also be faced with, have faced in the past, and curre</w:t>
      </w:r>
      <w:r>
        <w:rPr>
          <w:rFonts w:eastAsia="Times New Roman"/>
          <w:color w:val="000000"/>
          <w:sz w:val="20"/>
          <w:szCs w:val="20"/>
        </w:rPr>
        <w:t>ntly face intellectual property infringement lawsuits against us. Because we provide indemnification to our customers with respect to claims of intellectual property infringement against the products and services we provide to them, we may be faced with, h</w:t>
      </w:r>
      <w:r>
        <w:rPr>
          <w:rFonts w:eastAsia="Times New Roman"/>
          <w:color w:val="000000"/>
          <w:sz w:val="20"/>
          <w:szCs w:val="20"/>
        </w:rPr>
        <w:t>ave faced in the past, and currently face, (i) demands by our customers to defend and indemnify them with respect to intellectual property infringement lawsuits brought by a third party involving our products or services and (ii) defending ourselves in con</w:t>
      </w:r>
      <w:r>
        <w:rPr>
          <w:rFonts w:eastAsia="Times New Roman"/>
          <w:color w:val="000000"/>
          <w:sz w:val="20"/>
          <w:szCs w:val="20"/>
        </w:rPr>
        <w:t>nection with such demands from our customers. The frequency of these lawsuits could increase. While we have a significant patent portfolio that might prove effective in deterring lawsuits brought against us by competitors, that portfolio may provide little</w:t>
      </w:r>
      <w:r>
        <w:rPr>
          <w:rFonts w:eastAsia="Times New Roman"/>
          <w:color w:val="000000"/>
          <w:sz w:val="20"/>
          <w:szCs w:val="20"/>
        </w:rPr>
        <w:t xml:space="preserve"> deterrence against claims and lawsuits brought by non-practicing entities. This risk may be amplified if the frequency of lawsuits brought by non-practicing entities increases.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Whether intellectual property infringement claims, including for indemnifica</w:t>
      </w:r>
      <w:r>
        <w:rPr>
          <w:rFonts w:eastAsia="Times New Roman"/>
          <w:color w:val="000000"/>
          <w:sz w:val="20"/>
          <w:szCs w:val="20"/>
        </w:rPr>
        <w:t>tion, have merit or not, they may require significant resources and expenses to analyze, address and defend, and can be disruptive to our business. We may not prevail in a dispute or litigation related to an intellectual property infringement claim, and da</w:t>
      </w:r>
      <w:r>
        <w:rPr>
          <w:rFonts w:eastAsia="Times New Roman"/>
          <w:color w:val="000000"/>
          <w:sz w:val="20"/>
          <w:szCs w:val="20"/>
        </w:rPr>
        <w:t>mages in a successful intellectual property infringement case (including resulting from an indemnity claim from one of our customers) can be significant, and can be trebled if the infringement is found to be willful. In certain circumstances, we could be s</w:t>
      </w:r>
      <w:r>
        <w:rPr>
          <w:rFonts w:eastAsia="Times New Roman"/>
          <w:color w:val="000000"/>
          <w:sz w:val="20"/>
          <w:szCs w:val="20"/>
        </w:rPr>
        <w:t>ubject to an injunction that might adversely impact our business. In particular, an injunction could limit our ability to provide one or more of our products and services to the extent we are unable to develop non-infringing alternatives or obtain a licens</w:t>
      </w:r>
      <w:r>
        <w:rPr>
          <w:rFonts w:eastAsia="Times New Roman"/>
          <w:color w:val="000000"/>
          <w:sz w:val="20"/>
          <w:szCs w:val="20"/>
        </w:rPr>
        <w:t>e for them on commercially reasonable terms. It could lead us to having to enter into a fee bearing, including royalty bearing, licensing agreement that we would not normally find acceptable; cause a delay to the development of our products or services; re</w:t>
      </w:r>
      <w:r>
        <w:rPr>
          <w:rFonts w:eastAsia="Times New Roman"/>
          <w:color w:val="000000"/>
          <w:sz w:val="20"/>
          <w:szCs w:val="20"/>
        </w:rPr>
        <w:t>quire us to stop selling all or a portion of our products and services; require us to redesign at least certain products or services or components of them using alternative non-infringing technologies, processes or practices, which could require significan</w:t>
      </w:r>
      <w:r>
        <w:rPr>
          <w:rFonts w:eastAsia="Times New Roman"/>
          <w:color w:val="000000"/>
          <w:sz w:val="20"/>
          <w:szCs w:val="20"/>
        </w:rPr>
        <w:t>t effort and expense. Accordingly, an adverse outcome in an intellectual property infringement case (including one resulting from our indemnification of one of our customers) may expose us to a loss of our competitive position, expose us to significant lia</w:t>
      </w:r>
      <w:r>
        <w:rPr>
          <w:rFonts w:eastAsia="Times New Roman"/>
          <w:color w:val="000000"/>
          <w:sz w:val="20"/>
          <w:szCs w:val="20"/>
        </w:rPr>
        <w:t>bilities or require us to seek licenses that may not be available on commercially acceptable terms, if at all. Any of the foregoing could materially and adversely affect our business, results of operations and financial condition.</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Changes to our tax rate</w:t>
      </w:r>
      <w:r>
        <w:rPr>
          <w:rFonts w:eastAsia="Times New Roman"/>
          <w:b/>
          <w:bCs/>
          <w:i/>
          <w:iCs/>
          <w:color w:val="000000"/>
          <w:sz w:val="20"/>
          <w:szCs w:val="20"/>
        </w:rPr>
        <w:t xml:space="preserve">s and additional income tax liabilities could impact profitability. </w:t>
      </w:r>
      <w:r>
        <w:rPr>
          <w:rFonts w:eastAsia="Times New Roman"/>
          <w:color w:val="000000"/>
          <w:sz w:val="20"/>
          <w:szCs w:val="20"/>
        </w:rPr>
        <w:t>We are a United States based multinational company subject to income taxes in the United States and a significant number of foreign jurisdictions. Our domestic and international tax liabil</w:t>
      </w:r>
      <w:r>
        <w:rPr>
          <w:rFonts w:eastAsia="Times New Roman"/>
          <w:color w:val="000000"/>
          <w:sz w:val="20"/>
          <w:szCs w:val="20"/>
        </w:rPr>
        <w:t>ities are dependent on the distribution of our earnings across different jurisdictions, and our provision for income taxes and cash tax liability could be adversely affected if the distribution of earnings is higher than expected in jurisdictions with high</w:t>
      </w:r>
      <w:r>
        <w:rPr>
          <w:rFonts w:eastAsia="Times New Roman"/>
          <w:color w:val="000000"/>
          <w:sz w:val="20"/>
          <w:szCs w:val="20"/>
        </w:rPr>
        <w:t>er statutory tax rates.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addition, changes in United States or foreign tax laws and regulations, which have become more frequent     in recent years, or tax rulings could affect our financial position and results of operations. For example, in light of</w:t>
      </w:r>
      <w:r>
        <w:rPr>
          <w:rFonts w:eastAsia="Times New Roman"/>
          <w:color w:val="000000"/>
          <w:sz w:val="20"/>
          <w:szCs w:val="20"/>
        </w:rPr>
        <w:t xml:space="preserve"> continuing global fiscal challenges, various levels of government and international organizations such as the Organization for Economic Co-operation and Development (“OECD”) and EU are increasingly focused on tax reform and other legislative or regulatory</w:t>
      </w:r>
      <w:r>
        <w:rPr>
          <w:rFonts w:eastAsia="Times New Roman"/>
          <w:color w:val="000000"/>
          <w:sz w:val="20"/>
          <w:szCs w:val="20"/>
        </w:rPr>
        <w:t xml:space="preserve"> action to increase tax revenue and </w:t>
      </w:r>
    </w:p>
    <w:p w:rsidR="00000000" w:rsidRDefault="0040289C">
      <w:pPr>
        <w:jc w:val="center"/>
        <w:divId w:val="677000390"/>
        <w:rPr>
          <w:rFonts w:eastAsia="Times New Roman"/>
        </w:rPr>
      </w:pPr>
      <w:r>
        <w:rPr>
          <w:rFonts w:eastAsia="Times New Roman"/>
          <w:color w:val="000000"/>
          <w:sz w:val="20"/>
          <w:szCs w:val="20"/>
        </w:rPr>
        <w:t>28</w:t>
      </w:r>
    </w:p>
    <w:p w:rsidR="00000000" w:rsidRDefault="0040289C">
      <w:pPr>
        <w:rPr>
          <w:rFonts w:eastAsia="Times New Roman"/>
        </w:rPr>
      </w:pPr>
      <w:r>
        <w:rPr>
          <w:rFonts w:eastAsia="Times New Roman"/>
        </w:rPr>
        <w:pict>
          <v:rect id="_x0000_i1057" style="width:0;height:1.5pt" o:hralign="center" o:hrstd="t" o:hr="t" fillcolor="#a0a0a0" stroked="f"/>
        </w:pict>
      </w:r>
    </w:p>
    <w:p w:rsidR="00000000" w:rsidRDefault="0040289C">
      <w:pPr>
        <w:divId w:val="22021394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641732042"/>
        <w:rPr>
          <w:rFonts w:eastAsia="Times New Roman"/>
        </w:rPr>
      </w:pPr>
    </w:p>
    <w:p w:rsidR="00000000" w:rsidRDefault="0040289C">
      <w:pPr>
        <w:jc w:val="both"/>
        <w:rPr>
          <w:rFonts w:eastAsia="Times New Roman"/>
        </w:rPr>
      </w:pPr>
      <w:r>
        <w:rPr>
          <w:rFonts w:eastAsia="Times New Roman"/>
          <w:color w:val="000000"/>
          <w:sz w:val="20"/>
          <w:szCs w:val="20"/>
        </w:rPr>
        <w:t>establish minimum levels of corporate income tax. These tax reform efforts, such as the OECD-led Base Erosion and Profit Shifting project (“B</w:t>
      </w:r>
      <w:r>
        <w:rPr>
          <w:rFonts w:eastAsia="Times New Roman"/>
          <w:color w:val="000000"/>
          <w:sz w:val="20"/>
          <w:szCs w:val="20"/>
        </w:rPr>
        <w:t>EPS”), are designed to ensure that corporate entities are taxed on a larger percentage of their earnings. Although some countries have passed tax laws based on findings from the BEPS project, the final nature, timing and extent of any such tax reforms or o</w:t>
      </w:r>
      <w:r>
        <w:rPr>
          <w:rFonts w:eastAsia="Times New Roman"/>
          <w:color w:val="000000"/>
          <w:sz w:val="20"/>
          <w:szCs w:val="20"/>
        </w:rPr>
        <w:t xml:space="preserve">ther legislative or regulatory actions is unpredictable, and it is difficult to assess their overall effect. Additionally, tax law changes that could significantly reduce or limit our ability to utilize our deferred tax assets could have a material impact </w:t>
      </w:r>
      <w:r>
        <w:rPr>
          <w:rFonts w:eastAsia="Times New Roman"/>
          <w:color w:val="000000"/>
          <w:sz w:val="20"/>
          <w:szCs w:val="20"/>
        </w:rPr>
        <w:t>on our tax rate and cash tax payments. Any of these potential changes could increase our effective tax rate, increase cash tax payments and adversely impact our financial results.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are also subject to ongoing audits of our income tax returns in various</w:t>
      </w:r>
      <w:r>
        <w:rPr>
          <w:rFonts w:eastAsia="Times New Roman"/>
          <w:color w:val="000000"/>
          <w:sz w:val="20"/>
          <w:szCs w:val="20"/>
        </w:rPr>
        <w:t xml:space="preserve"> jurisdictions both in the United States and internationally and could be subject to additional audits focusing on transfer pricing. While we believe that our tax positions will be sustained, the outcomes of such audits could result in the assessment of ad</w:t>
      </w:r>
      <w:r>
        <w:rPr>
          <w:rFonts w:eastAsia="Times New Roman"/>
          <w:color w:val="000000"/>
          <w:sz w:val="20"/>
          <w:szCs w:val="20"/>
        </w:rPr>
        <w:t>ditional taxes, which could adversely impact our cash flows and financial results.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We face uncertainties with regard to regulations, lawsuits and other related matters. </w:t>
      </w:r>
      <w:r>
        <w:rPr>
          <w:rFonts w:eastAsia="Times New Roman"/>
          <w:color w:val="000000"/>
          <w:sz w:val="20"/>
          <w:szCs w:val="20"/>
        </w:rPr>
        <w:t>In the normal course of business, we are subject to proceedings, lawsuits, claims and</w:t>
      </w:r>
      <w:r>
        <w:rPr>
          <w:rFonts w:eastAsia="Times New Roman"/>
          <w:color w:val="000000"/>
          <w:sz w:val="20"/>
          <w:szCs w:val="20"/>
        </w:rPr>
        <w:t xml:space="preserve"> other matters, including, for example, those that relate to the environment, health and safety, labor and employment, employee benefits, import/export compliance, intellectual property, data privacy and security, payments services (such as payment process</w:t>
      </w:r>
      <w:r>
        <w:rPr>
          <w:rFonts w:eastAsia="Times New Roman"/>
          <w:color w:val="000000"/>
          <w:sz w:val="20"/>
          <w:szCs w:val="20"/>
        </w:rPr>
        <w:t xml:space="preserve">ing and settlement services), cryptocurrency, product liability, commercial disputes and regulatory compliance, among others. Because such matters are subject to many uncertainties, their outcomes are not predictable and we must make certain estimates and </w:t>
      </w:r>
      <w:r>
        <w:rPr>
          <w:rFonts w:eastAsia="Times New Roman"/>
          <w:color w:val="000000"/>
          <w:sz w:val="20"/>
          <w:szCs w:val="20"/>
        </w:rPr>
        <w:t>assumptions in our financial statements. While we believe that amounts provided in our Consolidated Financial Statements with respect to such matters are currently adequate in light of the probable and estimable liabilities, there can be no assurances that</w:t>
      </w:r>
      <w:r>
        <w:rPr>
          <w:rFonts w:eastAsia="Times New Roman"/>
          <w:color w:val="000000"/>
          <w:sz w:val="20"/>
          <w:szCs w:val="20"/>
        </w:rPr>
        <w:t xml:space="preserve"> the amounts required to satisfy alleged liabilities from such matters will not impact future operating results. Additionally, we are subject to diverse and complex laws and regulations, including those relating to corporate governance, public disclosure a</w:t>
      </w:r>
      <w:r>
        <w:rPr>
          <w:rFonts w:eastAsia="Times New Roman"/>
          <w:color w:val="000000"/>
          <w:sz w:val="20"/>
          <w:szCs w:val="20"/>
        </w:rPr>
        <w:t>nd reporting, environmental safety and the discharge of materials into the environment, product safety, import and export compliance, data privacy and security, antitrust and competition, government contracting, anti-corruption, and labor and human resourc</w:t>
      </w:r>
      <w:r>
        <w:rPr>
          <w:rFonts w:eastAsia="Times New Roman"/>
          <w:color w:val="000000"/>
          <w:sz w:val="20"/>
          <w:szCs w:val="20"/>
        </w:rPr>
        <w:t>es, which are rapidly changing and subject to many possible changes in the future. Compliance with these laws and regulations, including changes in accounting standards, taxation requirements, and federal securities laws among others, may create a substant</w:t>
      </w:r>
      <w:r>
        <w:rPr>
          <w:rFonts w:eastAsia="Times New Roman"/>
          <w:color w:val="000000"/>
          <w:sz w:val="20"/>
          <w:szCs w:val="20"/>
        </w:rPr>
        <w:t xml:space="preserve">ial burden on us, and substantially increase costs to our organization or could have an impact on our future operating results.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expect new environmental, health, and safety laws and regulations that may affect us, our suppliers, and our customers. Cl</w:t>
      </w:r>
      <w:r>
        <w:rPr>
          <w:rFonts w:eastAsia="Times New Roman"/>
          <w:color w:val="000000"/>
          <w:sz w:val="20"/>
          <w:szCs w:val="20"/>
        </w:rPr>
        <w:t>imate change regulation in particular has been the subject of federal regulation in the United States as well as in other jurisdictions around the world. With the change of Presidential administration and President Biden’s goals of “80 percent clean electr</w:t>
      </w:r>
      <w:r>
        <w:rPr>
          <w:rFonts w:eastAsia="Times New Roman"/>
          <w:color w:val="000000"/>
          <w:sz w:val="20"/>
          <w:szCs w:val="20"/>
        </w:rPr>
        <w:t>icity and 50 percent economy-wide carbon emissions reductions by 2030”, a number of proposals related to climate change have been introduced by U.S. Congress members. These proposals all seek to address climate change and range on topic, from proposed legi</w:t>
      </w:r>
      <w:r>
        <w:rPr>
          <w:rFonts w:eastAsia="Times New Roman"/>
          <w:color w:val="000000"/>
          <w:sz w:val="20"/>
          <w:szCs w:val="20"/>
        </w:rPr>
        <w:t>slation on land-use, energy, transportation, adaptation and finance. Such laws or regulations could cause us to incur additional direct costs for compliance, as well as increased indirect costs resulting from our customers, suppliers, or both incurring add</w:t>
      </w:r>
      <w:r>
        <w:rPr>
          <w:rFonts w:eastAsia="Times New Roman"/>
          <w:color w:val="000000"/>
          <w:sz w:val="20"/>
          <w:szCs w:val="20"/>
        </w:rPr>
        <w:t>itional compliance costs that are passed on to us. In addition, the SEC is expected to mandate climate-related risk disclosure in the near future, which may impact or prompt us to accelerate our climate change mitigating efforts already underway and may im</w:t>
      </w:r>
      <w:r>
        <w:rPr>
          <w:rFonts w:eastAsia="Times New Roman"/>
          <w:color w:val="000000"/>
          <w:sz w:val="20"/>
          <w:szCs w:val="20"/>
        </w:rPr>
        <w:t>pose additional compliance and disclosure costs.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Additionally, doing business on a worldwide basis requires us and our subsidiaries to comply with the laws and regulations of the U.S. government and various international jurisdictions. For example, our i</w:t>
      </w:r>
      <w:r>
        <w:rPr>
          <w:rFonts w:eastAsia="Times New Roman"/>
          <w:color w:val="000000"/>
          <w:sz w:val="20"/>
          <w:szCs w:val="20"/>
        </w:rPr>
        <w:t>nternational operations are subject to United States and foreign anti-corruption laws and regulations, such as the Foreign Corrupt Practices Act (“FCPA”), which generally prohibits U.S. companies or agents acting on behalf of such companies from making imp</w:t>
      </w:r>
      <w:r>
        <w:rPr>
          <w:rFonts w:eastAsia="Times New Roman"/>
          <w:color w:val="000000"/>
          <w:sz w:val="20"/>
          <w:szCs w:val="20"/>
        </w:rPr>
        <w:t>roper payments to foreign officials for the purpose of obtaining or keeping business. Our international operations are also subject to economic sanction programs administered by the U.S. Treasury Department’s Office of Foreign Assets Control (“OFAC”). If w</w:t>
      </w:r>
      <w:r>
        <w:rPr>
          <w:rFonts w:eastAsia="Times New Roman"/>
          <w:color w:val="000000"/>
          <w:sz w:val="20"/>
          <w:szCs w:val="20"/>
        </w:rPr>
        <w:t>e are not in compliance with such laws and regulations, we may be subject to criminal and civil penalties, which may cause harm to our reputation and to our brand and could have an adverse effect on our business, financial condition and results of operatio</w:t>
      </w:r>
      <w:r>
        <w:rPr>
          <w:rFonts w:eastAsia="Times New Roman"/>
          <w:color w:val="000000"/>
          <w:sz w:val="20"/>
          <w:szCs w:val="20"/>
        </w:rPr>
        <w:t>ns.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 xml:space="preserve">Changes to cryptocurrency regulations could impact profitability. </w:t>
      </w:r>
      <w:r>
        <w:rPr>
          <w:rFonts w:eastAsia="Times New Roman"/>
          <w:color w:val="000000"/>
          <w:sz w:val="20"/>
          <w:szCs w:val="20"/>
        </w:rPr>
        <w:t>The regulation of cryptocurrency is still an evolving area both domestically and internationally, and we expect that we could become subject to additional regulations and licensing req</w:t>
      </w:r>
      <w:r>
        <w:rPr>
          <w:rFonts w:eastAsia="Times New Roman"/>
          <w:color w:val="000000"/>
          <w:sz w:val="20"/>
          <w:szCs w:val="20"/>
        </w:rPr>
        <w:t>uirements, including as a result of the expansion of our cryptocurrency offerings and the increasing number of jurisdictions in which we provide these offerings. The evolving regulatory landscape may require us to make product changes, restrict product off</w:t>
      </w:r>
      <w:r>
        <w:rPr>
          <w:rFonts w:eastAsia="Times New Roman"/>
          <w:color w:val="000000"/>
          <w:sz w:val="20"/>
          <w:szCs w:val="20"/>
        </w:rPr>
        <w:t>erings in certain jurisdictions, or implement additional and potentially costly controls. If we fail to comply with regulations, requirements, or prohibitions applicable to us, we could face regulatory or other enforcement actions and potential fines and o</w:t>
      </w:r>
      <w:r>
        <w:rPr>
          <w:rFonts w:eastAsia="Times New Roman"/>
          <w:color w:val="000000"/>
          <w:sz w:val="20"/>
          <w:szCs w:val="20"/>
        </w:rPr>
        <w:t>ther consequences.</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250697513"/>
        <w:rPr>
          <w:rFonts w:eastAsia="Times New Roman"/>
        </w:rPr>
      </w:pPr>
      <w:r>
        <w:rPr>
          <w:rFonts w:eastAsia="Times New Roman"/>
          <w:color w:val="000000"/>
          <w:sz w:val="20"/>
          <w:szCs w:val="20"/>
        </w:rPr>
        <w:t>29</w:t>
      </w:r>
    </w:p>
    <w:p w:rsidR="00000000" w:rsidRDefault="0040289C">
      <w:pPr>
        <w:rPr>
          <w:rFonts w:eastAsia="Times New Roman"/>
        </w:rPr>
      </w:pPr>
      <w:r>
        <w:rPr>
          <w:rFonts w:eastAsia="Times New Roman"/>
        </w:rPr>
        <w:pict>
          <v:rect id="_x0000_i1058" style="width:0;height:1.5pt" o:hralign="center" o:hrstd="t" o:hr="t" fillcolor="#a0a0a0" stroked="f"/>
        </w:pict>
      </w:r>
    </w:p>
    <w:p w:rsidR="00000000" w:rsidRDefault="0040289C">
      <w:pPr>
        <w:divId w:val="209442681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635259553"/>
        <w:rPr>
          <w:rFonts w:eastAsia="Times New Roman"/>
        </w:rPr>
      </w:pPr>
    </w:p>
    <w:p w:rsidR="00000000" w:rsidRDefault="0040289C">
      <w:pPr>
        <w:jc w:val="both"/>
        <w:rPr>
          <w:rFonts w:eastAsia="Times New Roman"/>
        </w:rPr>
      </w:pPr>
      <w:r>
        <w:rPr>
          <w:rFonts w:eastAsia="Times New Roman"/>
          <w:b/>
          <w:bCs/>
          <w:color w:val="000000"/>
          <w:sz w:val="20"/>
          <w:szCs w:val="20"/>
        </w:rPr>
        <w:t>GOVERNANCE</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The issuance of shares of our Series A Convertible Preferred Stock reduces the relative voting power</w:t>
      </w:r>
      <w:r>
        <w:rPr>
          <w:rFonts w:eastAsia="Times New Roman"/>
          <w:b/>
          <w:bCs/>
          <w:i/>
          <w:iCs/>
          <w:color w:val="000000"/>
          <w:sz w:val="20"/>
          <w:szCs w:val="20"/>
        </w:rPr>
        <w:t xml:space="preserve"> of holders of our common stock, and the conversion and sale of those shares would dilute the ownership of such holders and may adversely affect the market price of our common stock</w:t>
      </w:r>
      <w:r>
        <w:rPr>
          <w:rFonts w:eastAsia="Times New Roman"/>
          <w:i/>
          <w:iCs/>
          <w:color w:val="000000"/>
          <w:sz w:val="20"/>
          <w:szCs w:val="20"/>
        </w:rPr>
        <w:t>.</w:t>
      </w:r>
      <w:r>
        <w:rPr>
          <w:rFonts w:eastAsia="Times New Roman"/>
          <w:color w:val="000000"/>
          <w:sz w:val="20"/>
          <w:szCs w:val="20"/>
        </w:rPr>
        <w:t xml:space="preserve"> As of December 31, 2022, approximately 0.3 million shares of our Series A</w:t>
      </w:r>
      <w:r>
        <w:rPr>
          <w:rFonts w:eastAsia="Times New Roman"/>
          <w:color w:val="000000"/>
          <w:sz w:val="20"/>
          <w:szCs w:val="20"/>
        </w:rPr>
        <w:t xml:space="preserve"> Convertible Preferred Stock were outstanding, representing approximately 6.3% of our outstanding common stock, including the Series A Convertible Preferred Stock on an as-converted basis. Holders of Series A Convertible Preferred Stock are entitled to a c</w:t>
      </w:r>
      <w:r>
        <w:rPr>
          <w:rFonts w:eastAsia="Times New Roman"/>
          <w:color w:val="000000"/>
          <w:sz w:val="20"/>
          <w:szCs w:val="20"/>
        </w:rPr>
        <w:t>umulative dividend at the rate of 5.5% per annum, which was payable quarterly in arrears and payable in-kind for the first sixteen dividend payments, after which, beginning in the first quarter of 2020, are payable in cash or in-kind at the option of the C</w:t>
      </w:r>
      <w:r>
        <w:rPr>
          <w:rFonts w:eastAsia="Times New Roman"/>
          <w:color w:val="000000"/>
          <w:sz w:val="20"/>
          <w:szCs w:val="20"/>
        </w:rPr>
        <w:t xml:space="preserve">ompany. If we fail to timely declare and pay a dividend, the dividend rate will increase to 8.0% per annum until such time as all accrued but unpaid dividends have been paid in full.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holders of our Series A Convertible Preferred Stock are entitled to</w:t>
      </w:r>
      <w:r>
        <w:rPr>
          <w:rFonts w:eastAsia="Times New Roman"/>
          <w:color w:val="000000"/>
          <w:sz w:val="20"/>
          <w:szCs w:val="20"/>
        </w:rPr>
        <w:t xml:space="preserve"> vote, on an as-converted basis, together with holders of our common stock on all matters submitted to a vote of the holders of our common stock, the Series A Convertible Preferred Stock, and the subsequent issuance of additional shares of Series A Convert</w:t>
      </w:r>
      <w:r>
        <w:rPr>
          <w:rFonts w:eastAsia="Times New Roman"/>
          <w:color w:val="000000"/>
          <w:sz w:val="20"/>
          <w:szCs w:val="20"/>
        </w:rPr>
        <w:t>ible Preferred Stock through the payment of in-kind dividends, effectively reduces the relative voting power of the holders of our common stock.</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addition, the conversion of the Series A Convertible Preferred Stock to common stock would dilute the ownership interest of existing holders of our common stock, and any sales in the public market of the common stock issuable upon conversion of the Seri</w:t>
      </w:r>
      <w:r>
        <w:rPr>
          <w:rFonts w:eastAsia="Times New Roman"/>
          <w:color w:val="000000"/>
          <w:sz w:val="20"/>
          <w:szCs w:val="20"/>
        </w:rPr>
        <w:t xml:space="preserve">es A Convertible Preferred Stock would increase the number of shares of our common stock available for public trading, and could adversely affect prevailing market prices of our common stock. </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Our Series A Convertible Preferred Stock has rights, preferen</w:t>
      </w:r>
      <w:r>
        <w:rPr>
          <w:rFonts w:eastAsia="Times New Roman"/>
          <w:b/>
          <w:bCs/>
          <w:i/>
          <w:iCs/>
          <w:color w:val="000000"/>
          <w:sz w:val="20"/>
          <w:szCs w:val="20"/>
        </w:rPr>
        <w:t>ces and privileges that are not held by, and are preferential to, the rights of our common stockholders, which could adversely affect our liquidity and financial condition, and may result in the interests of the holders of our Series A Convertible Preferre</w:t>
      </w:r>
      <w:r>
        <w:rPr>
          <w:rFonts w:eastAsia="Times New Roman"/>
          <w:b/>
          <w:bCs/>
          <w:i/>
          <w:iCs/>
          <w:color w:val="000000"/>
          <w:sz w:val="20"/>
          <w:szCs w:val="20"/>
        </w:rPr>
        <w:t>d Stock differing from those of our common stockholders.</w:t>
      </w:r>
      <w:r>
        <w:rPr>
          <w:rFonts w:eastAsia="Times New Roman"/>
          <w:color w:val="000000"/>
          <w:sz w:val="20"/>
          <w:szCs w:val="20"/>
        </w:rPr>
        <w:t xml:space="preserve"> The holders of our Series A Convertible Preferred Stock have the right to receive a liquidation preference entitling them to be paid out of our assets available for distribution to stockholders befor</w:t>
      </w:r>
      <w:r>
        <w:rPr>
          <w:rFonts w:eastAsia="Times New Roman"/>
          <w:color w:val="000000"/>
          <w:sz w:val="20"/>
          <w:szCs w:val="20"/>
        </w:rPr>
        <w:t>e any payment may be made to holders of any other class or series of capital stock, an amount equal to the greater of (a) 100% of the liquidation preference thereof plus all accrued dividends or (b) the amount that such holder would have been entitled to r</w:t>
      </w:r>
      <w:r>
        <w:rPr>
          <w:rFonts w:eastAsia="Times New Roman"/>
          <w:color w:val="000000"/>
          <w:sz w:val="20"/>
          <w:szCs w:val="20"/>
        </w:rPr>
        <w:t>eceive upon our liquidation, dissolution and winding up if all outstanding shares of Series A Convertible Preferred Stock had been converted into common stock immediately prior to such liquidation, dissolution or winding up.</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addition, dividends on the Series A Convertible Preferred Stock accrue and are cumulative at the rate of 5.5% per annum, payable quarterly in arrears. If we fail to timely declare and pay a dividend, the dividend rate will increase to 8.0% per annum unt</w:t>
      </w:r>
      <w:r>
        <w:rPr>
          <w:rFonts w:eastAsia="Times New Roman"/>
          <w:color w:val="000000"/>
          <w:sz w:val="20"/>
          <w:szCs w:val="20"/>
        </w:rPr>
        <w:t>il such time as all accrued but unpaid dividends have been paid in full. The dividends were payable in-kind for the first sixteen dividend payments, after which, beginning in the first quarter of 2020, dividends are payable in cash or in-kind at the option</w:t>
      </w:r>
      <w:r>
        <w:rPr>
          <w:rFonts w:eastAsia="Times New Roman"/>
          <w:color w:val="000000"/>
          <w:sz w:val="20"/>
          <w:szCs w:val="20"/>
        </w:rPr>
        <w:t xml:space="preserve"> of the Company.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holders of our Series A Convertible Preferred Stock also have certain redemption rights or put rights, including the right to require us to repurchase all or any portion of the Series A Convertible Preferred Stock on any date during </w:t>
      </w:r>
      <w:r>
        <w:rPr>
          <w:rFonts w:eastAsia="Times New Roman"/>
          <w:color w:val="000000"/>
          <w:sz w:val="20"/>
          <w:szCs w:val="20"/>
        </w:rPr>
        <w:t xml:space="preserve">the three months commencing on and immediately following March 16, 2024 and the three months commencing on and immediately following every third anniversary of such date, at 100% of the liquidation preference thereof plus all accrued but unpaid dividends, </w:t>
      </w:r>
      <w:r>
        <w:rPr>
          <w:rFonts w:eastAsia="Times New Roman"/>
          <w:color w:val="000000"/>
          <w:sz w:val="20"/>
          <w:szCs w:val="20"/>
        </w:rPr>
        <w:t>and the right, subject to certain exceptions, to require us to repurchase all or any portion of the Series A Convertible Preferred Stock upon certain change of control events at the greater of (a) 100% of the liquidation preference thereof plus all accrued</w:t>
      </w:r>
      <w:r>
        <w:rPr>
          <w:rFonts w:eastAsia="Times New Roman"/>
          <w:color w:val="000000"/>
          <w:sz w:val="20"/>
          <w:szCs w:val="20"/>
        </w:rPr>
        <w:t xml:space="preserve"> but unpaid dividends and (b) the consideration the holders would have received if they had converted their shares of Series A Convertible Preferred Stock into common stock immediately prior to the change of control event.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These dividend and share repurc</w:t>
      </w:r>
      <w:r>
        <w:rPr>
          <w:rFonts w:eastAsia="Times New Roman"/>
          <w:color w:val="000000"/>
          <w:sz w:val="20"/>
          <w:szCs w:val="20"/>
        </w:rPr>
        <w:t>hase obligations could impact our liquidity and reduce the amount of cash flows available for working capital, capital expenditures, growth opportunities, acquisitions, and other general corporate purposes. Our obligations to the holders of Series A Conver</w:t>
      </w:r>
      <w:r>
        <w:rPr>
          <w:rFonts w:eastAsia="Times New Roman"/>
          <w:color w:val="000000"/>
          <w:sz w:val="20"/>
          <w:szCs w:val="20"/>
        </w:rPr>
        <w:t>tible Preferred Stock could also limit our ability to obtain additional financing or increase our borrowing costs, which could have an adverse effect on our financial condition. The preferential rights could also result in divergent interests between the h</w:t>
      </w:r>
      <w:r>
        <w:rPr>
          <w:rFonts w:eastAsia="Times New Roman"/>
          <w:color w:val="000000"/>
          <w:sz w:val="20"/>
          <w:szCs w:val="20"/>
        </w:rPr>
        <w:t>olders of our Series A Convertible Preferred Stock and holders of our common stock.</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We could be subject to actions or proposals from stockholders that do not align with our business strategies or the interests of our other stockholders.</w:t>
      </w:r>
      <w:r>
        <w:rPr>
          <w:rFonts w:eastAsia="Times New Roman"/>
          <w:color w:val="000000"/>
          <w:sz w:val="20"/>
          <w:szCs w:val="20"/>
        </w:rPr>
        <w:t xml:space="preserve"> While we seek to </w:t>
      </w:r>
      <w:r>
        <w:rPr>
          <w:rFonts w:eastAsia="Times New Roman"/>
          <w:color w:val="000000"/>
          <w:sz w:val="20"/>
          <w:szCs w:val="20"/>
        </w:rPr>
        <w:t>actively engage with stockholders and consider their views on business, strategy, and environmental, social and governance issues, responding to these stockholders could be costly and time-consuming, disrupt our business and operations, and divert the atte</w:t>
      </w:r>
      <w:r>
        <w:rPr>
          <w:rFonts w:eastAsia="Times New Roman"/>
          <w:color w:val="000000"/>
          <w:sz w:val="20"/>
          <w:szCs w:val="20"/>
        </w:rPr>
        <w:t>ntion of our Board of Directors and senior management. Uncertainties associated with such activities could interfere with our ability to effectively execute our strategic plan, impact customer retention and long-term growth, and limit our ability to hire a</w:t>
      </w:r>
      <w:r>
        <w:rPr>
          <w:rFonts w:eastAsia="Times New Roman"/>
          <w:color w:val="000000"/>
          <w:sz w:val="20"/>
          <w:szCs w:val="20"/>
        </w:rPr>
        <w:t xml:space="preserve">nd retain personnel. In addition, actions of these stockholders may cause periods of fluctuation </w:t>
      </w:r>
    </w:p>
    <w:p w:rsidR="00000000" w:rsidRDefault="0040289C">
      <w:pPr>
        <w:jc w:val="center"/>
        <w:divId w:val="349139151"/>
        <w:rPr>
          <w:rFonts w:eastAsia="Times New Roman"/>
        </w:rPr>
      </w:pPr>
      <w:r>
        <w:rPr>
          <w:rFonts w:eastAsia="Times New Roman"/>
          <w:color w:val="000000"/>
          <w:sz w:val="20"/>
          <w:szCs w:val="20"/>
        </w:rPr>
        <w:t>30</w:t>
      </w:r>
    </w:p>
    <w:p w:rsidR="00000000" w:rsidRDefault="0040289C">
      <w:pPr>
        <w:rPr>
          <w:rFonts w:eastAsia="Times New Roman"/>
        </w:rPr>
      </w:pPr>
      <w:r>
        <w:rPr>
          <w:rFonts w:eastAsia="Times New Roman"/>
        </w:rPr>
        <w:pict>
          <v:rect id="_x0000_i1059" style="width:0;height:1.5pt" o:hralign="center" o:hrstd="t" o:hr="t" fillcolor="#a0a0a0" stroked="f"/>
        </w:pict>
      </w:r>
    </w:p>
    <w:p w:rsidR="00000000" w:rsidRDefault="0040289C">
      <w:pPr>
        <w:divId w:val="73328243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425807574"/>
        <w:rPr>
          <w:rFonts w:eastAsia="Times New Roman"/>
        </w:rPr>
      </w:pPr>
    </w:p>
    <w:p w:rsidR="00000000" w:rsidRDefault="0040289C">
      <w:pPr>
        <w:jc w:val="both"/>
        <w:rPr>
          <w:rFonts w:eastAsia="Times New Roman"/>
        </w:rPr>
      </w:pPr>
      <w:r>
        <w:rPr>
          <w:rFonts w:eastAsia="Times New Roman"/>
          <w:color w:val="000000"/>
          <w:sz w:val="20"/>
          <w:szCs w:val="20"/>
        </w:rPr>
        <w:t>in our stock price based on temporary o</w:t>
      </w:r>
      <w:r>
        <w:rPr>
          <w:rFonts w:eastAsia="Times New Roman"/>
          <w:color w:val="000000"/>
          <w:sz w:val="20"/>
          <w:szCs w:val="20"/>
        </w:rPr>
        <w:t>r speculative market perceptions or other factors that do not necessarily reflect the underlying fundamentals and prospects of our business.</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Item 1B.    UNRESOLVED STAFF COMMENTS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None.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Item 2.         PROPERTIES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of December 31, 2022, NCR oper</w:t>
      </w:r>
      <w:r>
        <w:rPr>
          <w:rFonts w:eastAsia="Times New Roman"/>
          <w:color w:val="000000"/>
          <w:sz w:val="20"/>
          <w:szCs w:val="20"/>
        </w:rPr>
        <w:t>ated 296 facilities consisting of approximately 6.2 million square feet in 59 countries throughout the world, which are generally used by all of NCR's operating segments. On a square footage basis, 10% of these facilities are owned and 90% are leased. With</w:t>
      </w:r>
      <w:r>
        <w:rPr>
          <w:rFonts w:eastAsia="Times New Roman"/>
          <w:color w:val="000000"/>
          <w:sz w:val="20"/>
          <w:szCs w:val="20"/>
        </w:rPr>
        <w:t xml:space="preserve">in the total facility portfolio, NCR operates 13 research and development and manufacturing facilities totaling 0.9 million square feet, 100% of which is leased. The remaining 5.3 million square feet of space includes office, repair, and warehousing space </w:t>
      </w:r>
      <w:r>
        <w:rPr>
          <w:rFonts w:eastAsia="Times New Roman"/>
          <w:color w:val="000000"/>
          <w:sz w:val="20"/>
          <w:szCs w:val="20"/>
        </w:rPr>
        <w:t xml:space="preserve">and other miscellaneous sites, and is 84% leased.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NCR is headquartered in Atlanta, Georgia, USA. Our address at our corporate headquarters is 864 Spring Street Northwest, Atlanta Georgia, 30308, USA. </w:t>
      </w:r>
    </w:p>
    <w:p w:rsidR="00000000" w:rsidRDefault="0040289C">
      <w:pPr>
        <w:divId w:val="97146167"/>
        <w:rPr>
          <w:rFonts w:eastAsia="Times New Roman"/>
        </w:rPr>
      </w:pPr>
    </w:p>
    <w:p w:rsidR="00000000" w:rsidRDefault="0040289C">
      <w:pPr>
        <w:jc w:val="both"/>
        <w:rPr>
          <w:rFonts w:eastAsia="Times New Roman"/>
        </w:rPr>
      </w:pPr>
      <w:r>
        <w:rPr>
          <w:rFonts w:eastAsia="Times New Roman"/>
          <w:b/>
          <w:bCs/>
          <w:color w:val="000000"/>
          <w:sz w:val="20"/>
          <w:szCs w:val="20"/>
        </w:rPr>
        <w:t>Item 3.        LEGAL PROCEEDINGS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Information regarding legal proceedings is included in Item 8 of Part II of this Report as part of Note 10, “Commitments and Contingencies”, of the Notes to Consolidated Financial Statements and is incorporated herein by reference.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Item 4.        MINE S</w:t>
      </w:r>
      <w:r>
        <w:rPr>
          <w:rFonts w:eastAsia="Times New Roman"/>
          <w:b/>
          <w:bCs/>
          <w:color w:val="000000"/>
          <w:sz w:val="20"/>
          <w:szCs w:val="20"/>
        </w:rPr>
        <w:t>AFETY DISCLOSURES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Not applicable.</w:t>
      </w:r>
    </w:p>
    <w:p w:rsidR="00000000" w:rsidRDefault="0040289C">
      <w:pPr>
        <w:jc w:val="center"/>
        <w:divId w:val="1039236161"/>
        <w:rPr>
          <w:rFonts w:eastAsia="Times New Roman"/>
        </w:rPr>
      </w:pPr>
      <w:r>
        <w:rPr>
          <w:rFonts w:eastAsia="Times New Roman"/>
          <w:color w:val="000000"/>
          <w:sz w:val="20"/>
          <w:szCs w:val="20"/>
        </w:rPr>
        <w:t>31</w:t>
      </w:r>
    </w:p>
    <w:p w:rsidR="00000000" w:rsidRDefault="0040289C">
      <w:pPr>
        <w:rPr>
          <w:rFonts w:eastAsia="Times New Roman"/>
        </w:rPr>
      </w:pPr>
      <w:r>
        <w:rPr>
          <w:rFonts w:eastAsia="Times New Roman"/>
        </w:rPr>
        <w:pict>
          <v:rect id="_x0000_i1060" style="width:0;height:1.5pt" o:hralign="center" o:hrstd="t" o:hr="t" fillcolor="#a0a0a0" stroked="f"/>
        </w:pict>
      </w:r>
    </w:p>
    <w:p w:rsidR="00000000" w:rsidRDefault="0040289C">
      <w:pPr>
        <w:divId w:val="135627423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879269743"/>
        <w:rPr>
          <w:rFonts w:eastAsia="Times New Roman"/>
        </w:rPr>
      </w:pPr>
    </w:p>
    <w:p w:rsidR="00000000" w:rsidRDefault="0040289C">
      <w:pPr>
        <w:jc w:val="center"/>
        <w:rPr>
          <w:rFonts w:eastAsia="Times New Roman"/>
        </w:rPr>
      </w:pPr>
      <w:r>
        <w:rPr>
          <w:rFonts w:eastAsia="Times New Roman"/>
          <w:b/>
          <w:bCs/>
          <w:color w:val="000000"/>
          <w:sz w:val="20"/>
          <w:szCs w:val="20"/>
        </w:rPr>
        <w:t>PART II</w:t>
      </w:r>
    </w:p>
    <w:p w:rsidR="00000000" w:rsidRDefault="0040289C">
      <w:pPr>
        <w:divId w:val="2070616289"/>
        <w:rPr>
          <w:rFonts w:eastAsia="Times New Roman"/>
        </w:rPr>
      </w:pPr>
    </w:p>
    <w:p w:rsidR="00000000" w:rsidRDefault="0040289C">
      <w:pPr>
        <w:ind w:hanging="1440"/>
        <w:divId w:val="261228778"/>
        <w:rPr>
          <w:rFonts w:eastAsia="Times New Roman"/>
        </w:rPr>
      </w:pPr>
      <w:r>
        <w:rPr>
          <w:rFonts w:eastAsia="Times New Roman"/>
          <w:b/>
          <w:bCs/>
          <w:color w:val="000000"/>
          <w:sz w:val="20"/>
          <w:szCs w:val="20"/>
        </w:rPr>
        <w:t>Item 5.        MARKET FOR THE REGISTRANT'S COMMON EQUITY, RELATED STOCKHOLDER MATTERS AND I</w:t>
      </w:r>
      <w:r>
        <w:rPr>
          <w:rFonts w:eastAsia="Times New Roman"/>
          <w:b/>
          <w:bCs/>
          <w:color w:val="000000"/>
          <w:sz w:val="20"/>
          <w:szCs w:val="20"/>
        </w:rPr>
        <w:t>SSUER PURCHASES OF EQUITY SECURITIES</w:t>
      </w:r>
    </w:p>
    <w:p w:rsidR="00000000" w:rsidRDefault="0040289C">
      <w:pPr>
        <w:divId w:val="228855014"/>
        <w:rPr>
          <w:rFonts w:eastAsia="Times New Roman"/>
        </w:rPr>
      </w:pPr>
    </w:p>
    <w:p w:rsidR="00000000" w:rsidRDefault="0040289C">
      <w:pPr>
        <w:jc w:val="both"/>
        <w:rPr>
          <w:rFonts w:eastAsia="Times New Roman"/>
        </w:rPr>
      </w:pPr>
      <w:r>
        <w:rPr>
          <w:rFonts w:eastAsia="Times New Roman"/>
          <w:b/>
          <w:bCs/>
          <w:color w:val="000000"/>
          <w:sz w:val="20"/>
          <w:szCs w:val="20"/>
        </w:rPr>
        <w:t xml:space="preserve">Market Information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NCR common stock is listed on the New York Stock Exchange (NYSE) and trades under the symbol “NCR”. There were approximately 70,944 holders of NCR common stock as of February 10, 2023. </w:t>
      </w:r>
    </w:p>
    <w:p w:rsidR="00000000" w:rsidRDefault="0040289C">
      <w:pPr>
        <w:divId w:val="1531528739"/>
        <w:rPr>
          <w:rFonts w:eastAsia="Times New Roman"/>
        </w:rPr>
      </w:pPr>
    </w:p>
    <w:p w:rsidR="00000000" w:rsidRDefault="0040289C">
      <w:pPr>
        <w:jc w:val="both"/>
        <w:rPr>
          <w:rFonts w:eastAsia="Times New Roman"/>
        </w:rPr>
      </w:pPr>
      <w:r>
        <w:rPr>
          <w:rFonts w:eastAsia="Times New Roman"/>
          <w:b/>
          <w:bCs/>
          <w:color w:val="000000"/>
          <w:sz w:val="20"/>
          <w:szCs w:val="20"/>
        </w:rPr>
        <w:t>Dividen</w:t>
      </w:r>
      <w:r>
        <w:rPr>
          <w:rFonts w:eastAsia="Times New Roman"/>
          <w:b/>
          <w:bCs/>
          <w:color w:val="000000"/>
          <w:sz w:val="20"/>
          <w:szCs w:val="20"/>
        </w:rPr>
        <w:t xml:space="preserve">ds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Historically NCR has not paid cash dividends and does not anticipate the payment of cash dividends on NCR common stock in the immediate future. The declaration of dividends is restricted under our senior secured credit facility and the terms of the i</w:t>
      </w:r>
      <w:r>
        <w:rPr>
          <w:rFonts w:eastAsia="Times New Roman"/>
          <w:color w:val="000000"/>
          <w:sz w:val="20"/>
          <w:szCs w:val="20"/>
        </w:rPr>
        <w:t xml:space="preserve">ndentures for our senior unsecured notes, and would be further subject to the discretion of NCR’s Board of Directors.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Stock Performance Graph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following graph compares the relative investment performance of NCR stock, the Standard &amp; Poor’s MidCap 400 Stock Index, Standard &amp; Poor’s 500 Information Technology Sector and the Standard &amp; Poor’s 500 Stock Index. This graph covers the five-year peri</w:t>
      </w:r>
      <w:r>
        <w:rPr>
          <w:rFonts w:eastAsia="Times New Roman"/>
          <w:color w:val="000000"/>
          <w:sz w:val="20"/>
          <w:szCs w:val="20"/>
        </w:rPr>
        <w:t>od from December 31, 2017 through December 31, 2022.</w:t>
      </w:r>
    </w:p>
    <w:p w:rsidR="00000000" w:rsidRDefault="0040289C">
      <w:pPr>
        <w:jc w:val="center"/>
        <w:rPr>
          <w:rFonts w:eastAsia="Times New Roman"/>
        </w:rPr>
      </w:pPr>
      <w:r>
        <w:rPr>
          <w:rFonts w:eastAsia="Times New Roman"/>
          <w:noProof/>
        </w:rPr>
        <w:drawing>
          <wp:inline distT="0" distB="0" distL="0" distR="0">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0289C">
      <w:pPr>
        <w:jc w:val="center"/>
        <w:rPr>
          <w:rFonts w:eastAsia="Times New Roman"/>
        </w:rPr>
      </w:pPr>
    </w:p>
    <w:tbl>
      <w:tblPr>
        <w:tblW w:w="4463" w:type="pct"/>
        <w:jc w:val="center"/>
        <w:tblCellMar>
          <w:top w:w="15" w:type="dxa"/>
          <w:left w:w="15" w:type="dxa"/>
          <w:bottom w:w="15" w:type="dxa"/>
          <w:right w:w="15" w:type="dxa"/>
        </w:tblCellMar>
        <w:tblLook w:val="04A0" w:firstRow="1" w:lastRow="0" w:firstColumn="1" w:lastColumn="0" w:noHBand="0" w:noVBand="1"/>
      </w:tblPr>
      <w:tblGrid>
        <w:gridCol w:w="38"/>
        <w:gridCol w:w="4269"/>
        <w:gridCol w:w="37"/>
        <w:gridCol w:w="36"/>
        <w:gridCol w:w="36"/>
        <w:gridCol w:w="36"/>
        <w:gridCol w:w="120"/>
        <w:gridCol w:w="350"/>
        <w:gridCol w:w="36"/>
        <w:gridCol w:w="36"/>
        <w:gridCol w:w="36"/>
        <w:gridCol w:w="36"/>
        <w:gridCol w:w="120"/>
        <w:gridCol w:w="350"/>
        <w:gridCol w:w="36"/>
        <w:gridCol w:w="36"/>
        <w:gridCol w:w="36"/>
        <w:gridCol w:w="36"/>
        <w:gridCol w:w="120"/>
        <w:gridCol w:w="350"/>
        <w:gridCol w:w="36"/>
        <w:gridCol w:w="36"/>
        <w:gridCol w:w="36"/>
        <w:gridCol w:w="36"/>
        <w:gridCol w:w="120"/>
        <w:gridCol w:w="350"/>
        <w:gridCol w:w="36"/>
        <w:gridCol w:w="36"/>
        <w:gridCol w:w="36"/>
        <w:gridCol w:w="36"/>
        <w:gridCol w:w="120"/>
        <w:gridCol w:w="350"/>
        <w:gridCol w:w="36"/>
      </w:tblGrid>
      <w:tr w:rsidR="00000000">
        <w:trPr>
          <w:jc w:val="center"/>
        </w:trPr>
        <w:tc>
          <w:tcPr>
            <w:tcW w:w="50" w:type="pct"/>
            <w:vAlign w:val="center"/>
            <w:hideMark/>
          </w:tcPr>
          <w:p w:rsidR="00000000" w:rsidRDefault="0040289C">
            <w:pPr>
              <w:jc w:val="center"/>
              <w:rPr>
                <w:rFonts w:eastAsia="Times New Roman"/>
              </w:rPr>
            </w:pPr>
          </w:p>
        </w:tc>
        <w:tc>
          <w:tcPr>
            <w:tcW w:w="31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5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u w:val="single"/>
              </w:rPr>
              <w:t>Company / Index</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NCR Corporation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S&amp;P 500 Stock Index</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S&amp;P 500 Information Technology Sector</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S&amp;P MidCap 400 Stock Index</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ind w:firstLine="630"/>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In each case, assumes a $100 inve</w:t>
      </w:r>
      <w:r>
        <w:rPr>
          <w:rFonts w:eastAsia="Times New Roman"/>
          <w:color w:val="000000"/>
          <w:sz w:val="20"/>
          <w:szCs w:val="20"/>
        </w:rPr>
        <w:t>stment on December 31, 2017, and reinvestment of all dividends, if any.</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797067607"/>
        <w:rPr>
          <w:rFonts w:eastAsia="Times New Roman"/>
        </w:rPr>
      </w:pPr>
      <w:r>
        <w:rPr>
          <w:rFonts w:eastAsia="Times New Roman"/>
          <w:color w:val="000000"/>
          <w:sz w:val="20"/>
          <w:szCs w:val="20"/>
        </w:rPr>
        <w:t>32</w:t>
      </w:r>
    </w:p>
    <w:p w:rsidR="00000000" w:rsidRDefault="0040289C">
      <w:pPr>
        <w:rPr>
          <w:rFonts w:eastAsia="Times New Roman"/>
        </w:rPr>
      </w:pPr>
      <w:r>
        <w:rPr>
          <w:rFonts w:eastAsia="Times New Roman"/>
        </w:rPr>
        <w:pict>
          <v:rect id="_x0000_i1062" style="width:0;height:1.5pt" o:hralign="center" o:hrstd="t" o:hr="t" fillcolor="#a0a0a0" stroked="f"/>
        </w:pict>
      </w:r>
    </w:p>
    <w:p w:rsidR="00000000" w:rsidRDefault="0040289C">
      <w:pPr>
        <w:divId w:val="165375549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599564146"/>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Purchase of Company Common Stock</w:t>
      </w:r>
      <w:r>
        <w:rPr>
          <w:rFonts w:eastAsia="Times New Roman"/>
          <w:color w:val="000000"/>
          <w:sz w:val="20"/>
          <w:szCs w:val="20"/>
        </w:rPr>
        <w:t xml:space="preserv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On October 19, 2016, </w:t>
      </w:r>
      <w:r>
        <w:rPr>
          <w:rFonts w:eastAsia="Times New Roman"/>
          <w:color w:val="000000"/>
          <w:sz w:val="20"/>
          <w:szCs w:val="20"/>
        </w:rPr>
        <w:t>the Board approved a share repurchase program, with no expiration from the date of authorization, for the systematic repurchase of the Company’s common stock to offset the dilutive effects of the Company’s employee stock purchase plan, equity awards and in</w:t>
      </w:r>
      <w:r>
        <w:rPr>
          <w:rFonts w:eastAsia="Times New Roman"/>
          <w:color w:val="000000"/>
          <w:sz w:val="20"/>
          <w:szCs w:val="20"/>
        </w:rPr>
        <w:t>-kind dividends on the Company’s Series A Convertible Preferred Stock. Availability under this program accrues quarterly based on the average value of dilutive issuances during the quarter.</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On March 12, 2017, the Board approved a second share repurchase </w:t>
      </w:r>
      <w:r>
        <w:rPr>
          <w:rFonts w:eastAsia="Times New Roman"/>
          <w:color w:val="000000"/>
          <w:sz w:val="20"/>
          <w:szCs w:val="20"/>
        </w:rPr>
        <w:t>program that provides for the repurchase of up to $300 million of the Company’s common stock. On July 25, 2018, the Board authorized an incremental $200 million of share repurchases under this program.</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No shares were repurchased under these programs duri</w:t>
      </w:r>
      <w:r>
        <w:rPr>
          <w:rFonts w:eastAsia="Times New Roman"/>
          <w:color w:val="000000"/>
          <w:sz w:val="20"/>
          <w:szCs w:val="20"/>
        </w:rPr>
        <w:t xml:space="preserve">ng the three months ended December 31, 2022.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of December 31, 2022, approximately $153 million was available for repurchases under the March 2017 program, and approximately $810 million was available for repurchases under the October 2016 dilution off</w:t>
      </w:r>
      <w:r>
        <w:rPr>
          <w:rFonts w:eastAsia="Times New Roman"/>
          <w:color w:val="000000"/>
          <w:sz w:val="20"/>
          <w:szCs w:val="20"/>
        </w:rPr>
        <w:t>set program. The timing and amount of repurchases under these programs depend upon market conditions and may be made from time to time in open market purchases, privately negotiated transactions, accelerated stock repurchase programs, issuer self-tender of</w:t>
      </w:r>
      <w:r>
        <w:rPr>
          <w:rFonts w:eastAsia="Times New Roman"/>
          <w:color w:val="000000"/>
          <w:sz w:val="20"/>
          <w:szCs w:val="20"/>
        </w:rPr>
        <w:t>fers or otherwise. The repurchases will be made in compliance with applicable securities laws and may be discontinued at any time.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Company occasionally purchases vested restricted stock or exercised stock options at the current market price to cover </w:t>
      </w:r>
      <w:r>
        <w:rPr>
          <w:rFonts w:eastAsia="Times New Roman"/>
          <w:color w:val="000000"/>
          <w:sz w:val="20"/>
          <w:szCs w:val="20"/>
        </w:rPr>
        <w:t>withholding taxes. For the three months ended December 31, 2022, 929,741 shares of vested restricted stock were purchased at an average price of $23.27 per share.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Company’s ability to repurchase its common stock is restricted under the Company’s seni</w:t>
      </w:r>
      <w:r>
        <w:rPr>
          <w:rFonts w:eastAsia="Times New Roman"/>
          <w:color w:val="000000"/>
          <w:sz w:val="20"/>
          <w:szCs w:val="20"/>
        </w:rPr>
        <w:t>or secured credit facility and terms of the indentures for the Company’s senior unsecured notes, which prohibit certain share repurchases, including during the occurrence of an event of default, and establish limits on the amount that the Company is permit</w:t>
      </w:r>
      <w:r>
        <w:rPr>
          <w:rFonts w:eastAsia="Times New Roman"/>
          <w:color w:val="000000"/>
          <w:sz w:val="20"/>
          <w:szCs w:val="20"/>
        </w:rPr>
        <w:t>ted to use to repurchase shares and make other restricted payments. This amount is calculated using formulas based generally on 50% of the Company’s consolidated net income for the period beginning in the third quarter of 2012 through the end of the most r</w:t>
      </w:r>
      <w:r>
        <w:rPr>
          <w:rFonts w:eastAsia="Times New Roman"/>
          <w:color w:val="000000"/>
          <w:sz w:val="20"/>
          <w:szCs w:val="20"/>
        </w:rPr>
        <w:t>ecently ended fiscal quarter, subject to certain other adjustments and deductions, with certain prescribed minimums and its use is subject to customary conditions, including the absence of an event of default. These formulas are described in greater detail</w:t>
      </w:r>
      <w:r>
        <w:rPr>
          <w:rFonts w:eastAsia="Times New Roman"/>
          <w:color w:val="000000"/>
          <w:sz w:val="20"/>
          <w:szCs w:val="20"/>
        </w:rPr>
        <w:t xml:space="preserve"> in the Company’s senior secured credit facility and the indentures for the Company’s senior unsecured notes, each of which is filed with the SEC.</w:t>
      </w:r>
    </w:p>
    <w:p w:rsidR="00000000" w:rsidRDefault="0040289C">
      <w:pPr>
        <w:jc w:val="both"/>
        <w:rPr>
          <w:rFonts w:eastAsia="Times New Roman"/>
        </w:rPr>
      </w:pPr>
    </w:p>
    <w:p w:rsidR="00000000" w:rsidRDefault="0040289C">
      <w:pPr>
        <w:jc w:val="both"/>
        <w:rPr>
          <w:rFonts w:eastAsia="Times New Roman"/>
        </w:rPr>
      </w:pPr>
    </w:p>
    <w:p w:rsidR="00000000" w:rsidRDefault="0040289C">
      <w:pPr>
        <w:divId w:val="1492136025"/>
        <w:rPr>
          <w:rFonts w:eastAsia="Times New Roman"/>
        </w:rPr>
      </w:pPr>
      <w:r>
        <w:rPr>
          <w:rFonts w:eastAsia="Times New Roman"/>
          <w:b/>
          <w:bCs/>
          <w:color w:val="000000"/>
          <w:sz w:val="20"/>
          <w:szCs w:val="20"/>
        </w:rPr>
        <w:t>Item 6.        [Reserved]</w:t>
      </w:r>
    </w:p>
    <w:p w:rsidR="00000000" w:rsidRDefault="0040289C">
      <w:pPr>
        <w:divId w:val="1545873188"/>
        <w:rPr>
          <w:rFonts w:eastAsia="Times New Roman"/>
        </w:rPr>
      </w:pPr>
    </w:p>
    <w:p w:rsidR="00000000" w:rsidRDefault="0040289C">
      <w:pPr>
        <w:divId w:val="317267145"/>
        <w:rPr>
          <w:rFonts w:eastAsia="Times New Roman"/>
        </w:rPr>
      </w:pPr>
      <w:r>
        <w:rPr>
          <w:rFonts w:eastAsia="Times New Roman"/>
          <w:color w:val="000000"/>
          <w:sz w:val="20"/>
          <w:szCs w:val="20"/>
        </w:rPr>
        <w:t>None.</w:t>
      </w:r>
    </w:p>
    <w:p w:rsidR="00000000" w:rsidRDefault="0040289C">
      <w:pPr>
        <w:jc w:val="center"/>
        <w:rPr>
          <w:rFonts w:eastAsia="Times New Roman"/>
        </w:rPr>
      </w:pPr>
    </w:p>
    <w:p w:rsidR="00000000" w:rsidRDefault="0040289C">
      <w:pPr>
        <w:divId w:val="1757364982"/>
        <w:rPr>
          <w:rFonts w:eastAsia="Times New Roman"/>
        </w:rPr>
      </w:pPr>
    </w:p>
    <w:p w:rsidR="00000000" w:rsidRDefault="0040289C">
      <w:pPr>
        <w:jc w:val="center"/>
        <w:divId w:val="1937667739"/>
        <w:rPr>
          <w:rFonts w:eastAsia="Times New Roman"/>
        </w:rPr>
      </w:pPr>
      <w:r>
        <w:rPr>
          <w:rFonts w:eastAsia="Times New Roman"/>
          <w:color w:val="000000"/>
          <w:sz w:val="20"/>
          <w:szCs w:val="20"/>
        </w:rPr>
        <w:t>33</w:t>
      </w:r>
    </w:p>
    <w:p w:rsidR="00000000" w:rsidRDefault="0040289C">
      <w:pPr>
        <w:rPr>
          <w:rFonts w:eastAsia="Times New Roman"/>
        </w:rPr>
      </w:pPr>
      <w:r>
        <w:rPr>
          <w:rFonts w:eastAsia="Times New Roman"/>
        </w:rPr>
        <w:pict>
          <v:rect id="_x0000_i1063" style="width:0;height:1.5pt" o:hralign="center" o:hrstd="t" o:hr="t" fillcolor="#a0a0a0" stroked="f"/>
        </w:pict>
      </w:r>
    </w:p>
    <w:p w:rsidR="00000000" w:rsidRDefault="0040289C">
      <w:pPr>
        <w:divId w:val="12073015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555628121"/>
        <w:rPr>
          <w:rFonts w:eastAsia="Times New Roman"/>
        </w:rPr>
      </w:pPr>
    </w:p>
    <w:p w:rsidR="00000000" w:rsidRDefault="0040289C">
      <w:pPr>
        <w:divId w:val="66849707"/>
        <w:rPr>
          <w:rFonts w:eastAsia="Times New Roman"/>
        </w:rPr>
      </w:pPr>
    </w:p>
    <w:p w:rsidR="00000000" w:rsidRDefault="0040289C">
      <w:pPr>
        <w:jc w:val="center"/>
        <w:rPr>
          <w:rFonts w:eastAsia="Times New Roman"/>
        </w:rPr>
      </w:pPr>
      <w:r>
        <w:rPr>
          <w:rFonts w:eastAsia="Times New Roman"/>
          <w:b/>
          <w:bCs/>
          <w:color w:val="000000"/>
          <w:sz w:val="20"/>
          <w:szCs w:val="20"/>
        </w:rPr>
        <w:t>Index to Management's Discussion and Analysis of Financial Condition and Results of Operations (MD&amp;A)</w:t>
      </w:r>
    </w:p>
    <w:tbl>
      <w:tblPr>
        <w:tblW w:w="4427" w:type="pct"/>
        <w:jc w:val="center"/>
        <w:tblCellMar>
          <w:top w:w="15" w:type="dxa"/>
          <w:left w:w="15" w:type="dxa"/>
          <w:bottom w:w="15" w:type="dxa"/>
          <w:right w:w="15" w:type="dxa"/>
        </w:tblCellMar>
        <w:tblLook w:val="04A0" w:firstRow="1" w:lastRow="0" w:firstColumn="1" w:lastColumn="0" w:noHBand="0" w:noVBand="1"/>
      </w:tblPr>
      <w:tblGrid>
        <w:gridCol w:w="59"/>
        <w:gridCol w:w="6789"/>
        <w:gridCol w:w="38"/>
        <w:gridCol w:w="59"/>
        <w:gridCol w:w="373"/>
        <w:gridCol w:w="36"/>
      </w:tblGrid>
      <w:tr w:rsidR="00000000">
        <w:trPr>
          <w:jc w:val="center"/>
        </w:trPr>
        <w:tc>
          <w:tcPr>
            <w:tcW w:w="50" w:type="pct"/>
            <w:vAlign w:val="center"/>
            <w:hideMark/>
          </w:tcPr>
          <w:p w:rsidR="00000000" w:rsidRDefault="0040289C">
            <w:pPr>
              <w:jc w:val="center"/>
              <w:rPr>
                <w:rFonts w:eastAsia="Times New Roman"/>
              </w:rPr>
            </w:pPr>
          </w:p>
        </w:tc>
        <w:tc>
          <w:tcPr>
            <w:tcW w:w="46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16"/>
                <w:szCs w:val="16"/>
                <w:u w:val="single"/>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782384790"/>
              <w:rPr>
                <w:rFonts w:eastAsia="Times New Roman"/>
              </w:rPr>
            </w:pPr>
            <w:hyperlink w:anchor="if07fd8a5a4294970a048ac5c5178b1ea_52" w:history="1">
              <w:r>
                <w:rPr>
                  <w:rStyle w:val="a3"/>
                  <w:rFonts w:eastAsia="Times New Roman"/>
                  <w:sz w:val="20"/>
                  <w:szCs w:val="20"/>
                </w:rPr>
                <w:t>Overview</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52" w:history="1">
              <w:r>
                <w:rPr>
                  <w:rStyle w:val="a3"/>
                  <w:rFonts w:eastAsia="Times New Roman"/>
                  <w:sz w:val="20"/>
                  <w:szCs w:val="20"/>
                </w:rPr>
                <w:t>35</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357587497"/>
              <w:rPr>
                <w:rFonts w:eastAsia="Times New Roman"/>
              </w:rPr>
            </w:pPr>
            <w:hyperlink w:anchor="if07fd8a5a4294970a048ac5c5178b1ea_55" w:history="1">
              <w:r>
                <w:rPr>
                  <w:rStyle w:val="a3"/>
                  <w:rFonts w:eastAsia="Times New Roman"/>
                  <w:sz w:val="20"/>
                  <w:szCs w:val="20"/>
                </w:rPr>
                <w:t>Business Overview</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55" w:history="1">
              <w:r>
                <w:rPr>
                  <w:rStyle w:val="a3"/>
                  <w:rFonts w:eastAsia="Times New Roman"/>
                  <w:sz w:val="20"/>
                  <w:szCs w:val="20"/>
                </w:rPr>
                <w:t>35</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2049065416"/>
              <w:rPr>
                <w:rFonts w:eastAsia="Times New Roman"/>
              </w:rPr>
            </w:pPr>
            <w:hyperlink w:anchor="if07fd8a5a4294970a048ac5c5178b1ea_58" w:history="1">
              <w:r>
                <w:rPr>
                  <w:rStyle w:val="a3"/>
                  <w:rFonts w:eastAsia="Times New Roman"/>
                  <w:sz w:val="20"/>
                  <w:szCs w:val="20"/>
                </w:rPr>
                <w:t>Significant Themes and Events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58" w:history="1">
              <w:r>
                <w:rPr>
                  <w:rStyle w:val="a3"/>
                  <w:rFonts w:eastAsia="Times New Roman"/>
                  <w:sz w:val="20"/>
                  <w:szCs w:val="20"/>
                </w:rPr>
                <w:t>36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871960456"/>
              <w:rPr>
                <w:rFonts w:eastAsia="Times New Roman"/>
              </w:rPr>
            </w:pPr>
            <w:hyperlink w:anchor="if07fd8a5a4294970a048ac5c5178b1ea_61" w:history="1">
              <w:r>
                <w:rPr>
                  <w:rStyle w:val="a3"/>
                  <w:rFonts w:eastAsia="Times New Roman"/>
                  <w:sz w:val="20"/>
                  <w:szCs w:val="20"/>
                </w:rPr>
                <w:t>Strategic Initiatives and Trends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61" w:history="1">
              <w:r>
                <w:rPr>
                  <w:rStyle w:val="a3"/>
                  <w:rFonts w:eastAsia="Times New Roman"/>
                  <w:sz w:val="20"/>
                  <w:szCs w:val="20"/>
                </w:rPr>
                <w:t>36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1789398901"/>
              <w:rPr>
                <w:rFonts w:eastAsia="Times New Roman"/>
              </w:rPr>
            </w:pPr>
            <w:hyperlink w:anchor="if07fd8a5a4294970a048ac5c5178b1ea_64" w:history="1">
              <w:r>
                <w:rPr>
                  <w:rStyle w:val="a3"/>
                  <w:rFonts w:eastAsia="Times New Roman"/>
                  <w:sz w:val="20"/>
                  <w:szCs w:val="20"/>
                </w:rPr>
                <w:t>Impacts from Geopolitical, Macroeconom</w:t>
              </w:r>
              <w:r>
                <w:rPr>
                  <w:rStyle w:val="a3"/>
                  <w:rFonts w:eastAsia="Times New Roman"/>
                  <w:sz w:val="20"/>
                  <w:szCs w:val="20"/>
                </w:rPr>
                <w:t>ic, and COVID-19 Challenges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64" w:history="1">
              <w:r>
                <w:rPr>
                  <w:rStyle w:val="a3"/>
                  <w:rFonts w:eastAsia="Times New Roman"/>
                  <w:sz w:val="20"/>
                  <w:szCs w:val="20"/>
                </w:rPr>
                <w:t>37</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371852312"/>
              <w:rPr>
                <w:rFonts w:eastAsia="Times New Roman"/>
              </w:rPr>
            </w:pPr>
            <w:hyperlink w:anchor="if07fd8a5a4294970a048ac5c5178b1ea_67" w:history="1">
              <w:r>
                <w:rPr>
                  <w:rStyle w:val="a3"/>
                  <w:rFonts w:eastAsia="Times New Roman"/>
                  <w:sz w:val="20"/>
                  <w:szCs w:val="20"/>
                </w:rPr>
                <w:t>Results of Operations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67" w:history="1">
              <w:r>
                <w:rPr>
                  <w:rStyle w:val="a3"/>
                  <w:rFonts w:eastAsia="Times New Roman"/>
                  <w:sz w:val="20"/>
                  <w:szCs w:val="20"/>
                </w:rPr>
                <w:t>37</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527111311"/>
              <w:rPr>
                <w:rFonts w:eastAsia="Times New Roman"/>
              </w:rPr>
            </w:pPr>
            <w:hyperlink w:anchor="if07fd8a5a4294970a048ac5c5178b1ea_118" w:history="1">
              <w:r>
                <w:rPr>
                  <w:rStyle w:val="a3"/>
                  <w:rFonts w:eastAsia="Times New Roman"/>
                  <w:sz w:val="20"/>
                  <w:szCs w:val="20"/>
                </w:rPr>
                <w:t>Financial Condition, Liquidity and Capital Resources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18" w:history="1">
              <w:r>
                <w:rPr>
                  <w:rStyle w:val="a3"/>
                  <w:rFonts w:eastAsia="Times New Roman"/>
                  <w:sz w:val="20"/>
                  <w:szCs w:val="20"/>
                </w:rPr>
                <w:t>46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962078982"/>
              <w:rPr>
                <w:rFonts w:eastAsia="Times New Roman"/>
              </w:rPr>
            </w:pPr>
            <w:hyperlink w:anchor="if07fd8a5a4294970a048ac5c5178b1ea_121" w:history="1">
              <w:r>
                <w:rPr>
                  <w:rStyle w:val="a3"/>
                  <w:rFonts w:eastAsia="Times New Roman"/>
                  <w:sz w:val="20"/>
                  <w:szCs w:val="20"/>
                </w:rPr>
                <w:t>Critical Accounting</w:t>
              </w:r>
            </w:hyperlink>
            <w:hyperlink w:anchor="if07fd8a5a4294970a048ac5c5178b1ea_121" w:history="1">
              <w:r>
                <w:rPr>
                  <w:rStyle w:val="a3"/>
                  <w:rFonts w:eastAsia="Times New Roman"/>
                  <w:sz w:val="20"/>
                  <w:szCs w:val="20"/>
                </w:rPr>
                <w:t xml:space="preserve"> Estimates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21" w:history="1">
              <w:r>
                <w:rPr>
                  <w:rStyle w:val="a3"/>
                  <w:rFonts w:eastAsia="Times New Roman"/>
                  <w:sz w:val="20"/>
                  <w:szCs w:val="20"/>
                </w:rPr>
                <w:t>49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1378236460"/>
              <w:rPr>
                <w:rFonts w:eastAsia="Times New Roman"/>
              </w:rPr>
            </w:pPr>
            <w:hyperlink w:anchor="if07fd8a5a4294970a048ac5c5178b1ea_124" w:history="1">
              <w:r>
                <w:rPr>
                  <w:rStyle w:val="a3"/>
                  <w:rFonts w:eastAsia="Times New Roman"/>
                  <w:sz w:val="20"/>
                  <w:szCs w:val="20"/>
                </w:rPr>
                <w:t>Recently Issued Accounting Pronouncements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24" w:history="1">
              <w:r>
                <w:rPr>
                  <w:rStyle w:val="a3"/>
                  <w:rFonts w:eastAsia="Times New Roman"/>
                  <w:sz w:val="20"/>
                  <w:szCs w:val="20"/>
                </w:rPr>
                <w:t>53</w:t>
              </w:r>
            </w:hyperlink>
          </w:p>
        </w:tc>
      </w:tr>
    </w:tbl>
    <w:p w:rsidR="00000000" w:rsidRDefault="0040289C">
      <w:pPr>
        <w:divId w:val="725681965"/>
        <w:rPr>
          <w:rFonts w:eastAsia="Times New Roman"/>
        </w:rPr>
      </w:pPr>
    </w:p>
    <w:p w:rsidR="00000000" w:rsidRDefault="0040289C">
      <w:pPr>
        <w:jc w:val="center"/>
        <w:divId w:val="1173571686"/>
        <w:rPr>
          <w:rFonts w:eastAsia="Times New Roman"/>
        </w:rPr>
      </w:pPr>
      <w:r>
        <w:rPr>
          <w:rFonts w:eastAsia="Times New Roman"/>
          <w:color w:val="000000"/>
          <w:sz w:val="20"/>
          <w:szCs w:val="20"/>
        </w:rPr>
        <w:t>34</w:t>
      </w:r>
    </w:p>
    <w:p w:rsidR="00000000" w:rsidRDefault="0040289C">
      <w:pPr>
        <w:rPr>
          <w:rFonts w:eastAsia="Times New Roman"/>
        </w:rPr>
      </w:pPr>
      <w:r>
        <w:rPr>
          <w:rFonts w:eastAsia="Times New Roman"/>
        </w:rPr>
        <w:pict>
          <v:rect id="_x0000_i1064" style="width:0;height:1.5pt" o:hralign="center" o:hrstd="t" o:hr="t" fillcolor="#a0a0a0" stroked="f"/>
        </w:pict>
      </w:r>
    </w:p>
    <w:p w:rsidR="00000000" w:rsidRDefault="0040289C">
      <w:pPr>
        <w:divId w:val="116092197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966473195"/>
        <w:rPr>
          <w:rFonts w:eastAsia="Times New Roman"/>
        </w:rPr>
      </w:pPr>
    </w:p>
    <w:p w:rsidR="00000000" w:rsidRDefault="0040289C">
      <w:pPr>
        <w:ind w:hanging="720"/>
        <w:divId w:val="372930234"/>
        <w:rPr>
          <w:rFonts w:eastAsia="Times New Roman"/>
        </w:rPr>
      </w:pPr>
      <w:r>
        <w:rPr>
          <w:rFonts w:eastAsia="Times New Roman"/>
          <w:b/>
          <w:bCs/>
          <w:color w:val="000000"/>
          <w:sz w:val="20"/>
          <w:szCs w:val="20"/>
        </w:rPr>
        <w:t>Item 7.    </w:t>
      </w:r>
      <w:r>
        <w:rPr>
          <w:rFonts w:eastAsia="Times New Roman"/>
          <w:b/>
          <w:bCs/>
          <w:color w:val="000000"/>
          <w:sz w:val="20"/>
          <w:szCs w:val="20"/>
        </w:rPr>
        <w:t>MANAGEMENT'S DISCUSSION AND ANALYSIS OF FINANCIAL CONDITION AND RESULTS OF OPERATIONS (MD&amp;A)</w:t>
      </w:r>
    </w:p>
    <w:p w:rsidR="00000000" w:rsidRDefault="0040289C">
      <w:pPr>
        <w:ind w:hanging="720"/>
        <w:divId w:val="1626037396"/>
        <w:rPr>
          <w:rFonts w:eastAsia="Times New Roman"/>
        </w:rPr>
      </w:pPr>
    </w:p>
    <w:p w:rsidR="00000000" w:rsidRDefault="0040289C">
      <w:pPr>
        <w:jc w:val="both"/>
        <w:rPr>
          <w:rFonts w:eastAsia="Times New Roman"/>
        </w:rPr>
      </w:pPr>
      <w:r>
        <w:rPr>
          <w:rFonts w:eastAsia="Times New Roman"/>
          <w:i/>
          <w:iCs/>
          <w:color w:val="000000"/>
          <w:sz w:val="20"/>
          <w:szCs w:val="20"/>
        </w:rPr>
        <w:t>This section should be read in conjunction with the audited Consolidated Financial Statements and related Notes included in Item 8 of Part II of this Report. Man</w:t>
      </w:r>
      <w:r>
        <w:rPr>
          <w:rFonts w:eastAsia="Times New Roman"/>
          <w:i/>
          <w:iCs/>
          <w:color w:val="000000"/>
          <w:sz w:val="20"/>
          <w:szCs w:val="20"/>
        </w:rPr>
        <w:t>agement's Discussion and Analysis of Financial Condition and Results of Operations contains forward-looking statements. See “Forward-Looking Statements” and “Risk Factors” in Item 1A of this Annual Report for a discussion of the uncertainties, risks and as</w:t>
      </w:r>
      <w:r>
        <w:rPr>
          <w:rFonts w:eastAsia="Times New Roman"/>
          <w:i/>
          <w:iCs/>
          <w:color w:val="000000"/>
          <w:sz w:val="20"/>
          <w:szCs w:val="20"/>
        </w:rPr>
        <w:t>sumptions associated with these forward-looking statements that could cause future results to differ materially from those reflected in this section.</w:t>
      </w:r>
    </w:p>
    <w:p w:rsidR="00000000" w:rsidRDefault="0040289C">
      <w:pPr>
        <w:ind w:hanging="720"/>
        <w:divId w:val="1097016642"/>
        <w:rPr>
          <w:rFonts w:eastAsia="Times New Roman"/>
        </w:rPr>
      </w:pPr>
    </w:p>
    <w:p w:rsidR="00000000" w:rsidRDefault="0040289C">
      <w:pPr>
        <w:jc w:val="both"/>
        <w:rPr>
          <w:rFonts w:eastAsia="Times New Roman"/>
        </w:rPr>
      </w:pPr>
      <w:r>
        <w:rPr>
          <w:rFonts w:eastAsia="Times New Roman"/>
          <w:color w:val="000000"/>
          <w:sz w:val="20"/>
          <w:szCs w:val="20"/>
        </w:rPr>
        <w:t xml:space="preserve">Our discussion within MD&amp;A is organized as follows: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Overview. </w:t>
      </w:r>
      <w:r>
        <w:rPr>
          <w:rFonts w:eastAsia="Times New Roman"/>
          <w:color w:val="000000"/>
          <w:sz w:val="20"/>
          <w:szCs w:val="20"/>
        </w:rPr>
        <w:t>This section contains background infor</w:t>
      </w:r>
      <w:r>
        <w:rPr>
          <w:rFonts w:eastAsia="Times New Roman"/>
          <w:color w:val="000000"/>
          <w:sz w:val="20"/>
          <w:szCs w:val="20"/>
        </w:rPr>
        <w:t>mation on our company, summary of significant themes and events during the year as well as strategic initiatives and trends in order to provide context for management’s discussion and analysis of our financial condition and results of operations.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Result</w:t>
      </w:r>
      <w:r>
        <w:rPr>
          <w:rFonts w:eastAsia="Times New Roman"/>
          <w:i/>
          <w:iCs/>
          <w:color w:val="000000"/>
          <w:sz w:val="20"/>
          <w:szCs w:val="20"/>
        </w:rPr>
        <w:t>s of operations.</w:t>
      </w:r>
      <w:r>
        <w:rPr>
          <w:rFonts w:eastAsia="Times New Roman"/>
          <w:color w:val="000000"/>
          <w:sz w:val="20"/>
          <w:szCs w:val="20"/>
        </w:rPr>
        <w:t xml:space="preserve"> This section contains an analysis of our results of operations presented in the accompanying Consolidated Statements of Operations by comparing the results for the year ended December 31, 2022 to the results for the year ended December 31,</w:t>
      </w:r>
      <w:r>
        <w:rPr>
          <w:rFonts w:eastAsia="Times New Roman"/>
          <w:color w:val="000000"/>
          <w:sz w:val="20"/>
          <w:szCs w:val="20"/>
        </w:rPr>
        <w:t xml:space="preserve"> 2021. On June 21, 2021, we completed the acquisition of Cardtronics plc (“Cardtronics”), which is included in the Payments &amp; Network and Self-Service Banking segment results.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Liquidity and capital resources.</w:t>
      </w:r>
      <w:r>
        <w:rPr>
          <w:rFonts w:eastAsia="Times New Roman"/>
          <w:color w:val="000000"/>
          <w:sz w:val="20"/>
          <w:szCs w:val="20"/>
        </w:rPr>
        <w:t xml:space="preserve"> This section provides an analysis of our cas</w:t>
      </w:r>
      <w:r>
        <w:rPr>
          <w:rFonts w:eastAsia="Times New Roman"/>
          <w:color w:val="000000"/>
          <w:sz w:val="20"/>
          <w:szCs w:val="20"/>
        </w:rPr>
        <w:t>h flows and a discussion of our contractual obligations at December 31, 2022.</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i/>
          <w:iCs/>
          <w:color w:val="000000"/>
          <w:sz w:val="20"/>
          <w:szCs w:val="20"/>
        </w:rPr>
        <w:t xml:space="preserve">•Critical accounting estimates. </w:t>
      </w:r>
      <w:r>
        <w:rPr>
          <w:rFonts w:eastAsia="Times New Roman"/>
          <w:color w:val="000000"/>
          <w:sz w:val="20"/>
          <w:szCs w:val="20"/>
        </w:rPr>
        <w:t>This section contains a discussion of the accounting policies that we believe are important to our financial condition and results of operations</w:t>
      </w:r>
      <w:r>
        <w:rPr>
          <w:rFonts w:eastAsia="Times New Roman"/>
          <w:color w:val="000000"/>
          <w:sz w:val="20"/>
          <w:szCs w:val="20"/>
        </w:rPr>
        <w:t xml:space="preserve"> and that require judgment and estimates on the part of management in their application. In addition, all of our significant accounting policies, including critical accounting policies, are summarized in Note 1, “Basis of Presentation and Significant Accou</w:t>
      </w:r>
      <w:r>
        <w:rPr>
          <w:rFonts w:eastAsia="Times New Roman"/>
          <w:color w:val="000000"/>
          <w:sz w:val="20"/>
          <w:szCs w:val="20"/>
        </w:rPr>
        <w:t>nting Policies”, in the Notes to Consolidated Financial Statements in Item 8 of Part II of this Report.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For management's discussion of our consolidated results for the year ended December 31, 2021 in comparison with the year ended December 31, 2020, and </w:t>
      </w:r>
      <w:r>
        <w:rPr>
          <w:rFonts w:eastAsia="Times New Roman"/>
          <w:color w:val="000000"/>
          <w:sz w:val="20"/>
          <w:szCs w:val="20"/>
        </w:rPr>
        <w:t>other financial information related to fiscal year 2020, refer to Item 7 "Management's Discussion and Analysis of Financial Condition and Results of Operations", in our 2021 Annual Report on Form 10-K filed with the SEC on February 25, 2022 (“2021 Form 10-</w:t>
      </w:r>
      <w:r>
        <w:rPr>
          <w:rFonts w:eastAsia="Times New Roman"/>
          <w:color w:val="000000"/>
          <w:sz w:val="20"/>
          <w:szCs w:val="20"/>
        </w:rPr>
        <w:t>K”).</w:t>
      </w:r>
    </w:p>
    <w:p w:rsidR="00000000" w:rsidRDefault="0040289C">
      <w:pPr>
        <w:jc w:val="both"/>
        <w:rPr>
          <w:rFonts w:eastAsia="Times New Roman"/>
        </w:rPr>
      </w:pPr>
    </w:p>
    <w:p w:rsidR="00000000" w:rsidRDefault="0040289C">
      <w:pPr>
        <w:ind w:hanging="720"/>
        <w:divId w:val="1518616946"/>
        <w:rPr>
          <w:rFonts w:eastAsia="Times New Roman"/>
        </w:rPr>
      </w:pPr>
      <w:r>
        <w:rPr>
          <w:rFonts w:eastAsia="Times New Roman"/>
          <w:b/>
          <w:bCs/>
          <w:color w:val="000000"/>
          <w:sz w:val="20"/>
          <w:szCs w:val="20"/>
        </w:rPr>
        <w:t>OVERVIEW</w:t>
      </w:r>
    </w:p>
    <w:p w:rsidR="00000000" w:rsidRDefault="0040289C">
      <w:pPr>
        <w:ind w:hanging="720"/>
        <w:jc w:val="both"/>
        <w:rPr>
          <w:rFonts w:eastAsia="Times New Roman"/>
        </w:rPr>
      </w:pPr>
    </w:p>
    <w:p w:rsidR="00000000" w:rsidRDefault="0040289C">
      <w:pPr>
        <w:jc w:val="both"/>
        <w:rPr>
          <w:rFonts w:eastAsia="Times New Roman"/>
        </w:rPr>
      </w:pPr>
      <w:r>
        <w:rPr>
          <w:rFonts w:eastAsia="Times New Roman"/>
          <w:b/>
          <w:bCs/>
          <w:i/>
          <w:iCs/>
          <w:color w:val="000000"/>
          <w:sz w:val="20"/>
          <w:szCs w:val="20"/>
        </w:rPr>
        <w:t>BUSINESS OVERVIEW</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Corporation (“NCR”, the “Company”, “we” or “us”) was originally incorporated in 1884 and is a software- and services-led enterprise technology provider that runs stores, restaurants and self-directed banking for ou</w:t>
      </w:r>
      <w:r>
        <w:rPr>
          <w:rFonts w:eastAsia="Times New Roman"/>
          <w:color w:val="000000"/>
          <w:sz w:val="20"/>
          <w:szCs w:val="20"/>
        </w:rPr>
        <w:t>r customers, which includes businesses of all sizes. NCR is a global company that is headquartered in Atlanta, Georgia. Our software platform, which runs in the cloud and includes microservices and APIs that integrate with our customers' systems, and our N</w:t>
      </w:r>
      <w:r>
        <w:rPr>
          <w:rFonts w:eastAsia="Times New Roman"/>
          <w:color w:val="000000"/>
          <w:sz w:val="20"/>
          <w:szCs w:val="20"/>
        </w:rPr>
        <w:t xml:space="preserve">CR-as-a-Service solutions bring together all of the capabilities and competencies of NCR to power the technology to run our customers’ operations. Our portfolio includes digital first software and services offerings for banking, retailers and restaurants, </w:t>
      </w:r>
      <w:r>
        <w:rPr>
          <w:rFonts w:eastAsia="Times New Roman"/>
          <w:color w:val="000000"/>
          <w:sz w:val="20"/>
          <w:szCs w:val="20"/>
        </w:rPr>
        <w:t>as well as payments processing and networks, multi-vendor connected device services, automated teller machines (“ATMs”), self-checkout (“SCO”) kiosks and related technologies, point of sale (“POS”) terminals and other self-service technologies. We also res</w:t>
      </w:r>
      <w:r>
        <w:rPr>
          <w:rFonts w:eastAsia="Times New Roman"/>
          <w:color w:val="000000"/>
          <w:sz w:val="20"/>
          <w:szCs w:val="20"/>
        </w:rPr>
        <w:t>ell third-party networking products and provide related service offerings in the telecommunications and technology sector. Our solutions are designed to support our transition to becoming a software platform and payments company.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Effective January 1, 202</w:t>
      </w:r>
      <w:r>
        <w:rPr>
          <w:rFonts w:eastAsia="Times New Roman"/>
          <w:color w:val="000000"/>
          <w:sz w:val="20"/>
          <w:szCs w:val="20"/>
        </w:rPr>
        <w:t>2, the Company realigned its reportable segments to correspond with changes to its operating model, management structure and organizational responsibilities. The reportable segments effective January 1, 2022 include: Retail, Hospitality, Digital Banking, P</w:t>
      </w:r>
      <w:r>
        <w:rPr>
          <w:rFonts w:eastAsia="Times New Roman"/>
          <w:color w:val="000000"/>
          <w:sz w:val="20"/>
          <w:szCs w:val="20"/>
        </w:rPr>
        <w:t>ayments &amp; Network, and Self-Service Banking.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w:t>
      </w:r>
      <w:r>
        <w:rPr>
          <w:rFonts w:eastAsia="Times New Roman"/>
          <w:color w:val="000000"/>
          <w:sz w:val="20"/>
          <w:szCs w:val="20"/>
        </w:rPr>
        <w:t>s reputation is founded upon over 139 years of providing quality products, services and solutions to our customers. At the heart of our customer and other business relationships is a commitment to acting responsibly, ethically and with the highest level of</w:t>
      </w:r>
      <w:r>
        <w:rPr>
          <w:rFonts w:eastAsia="Times New Roman"/>
          <w:color w:val="000000"/>
          <w:sz w:val="20"/>
          <w:szCs w:val="20"/>
        </w:rPr>
        <w:t xml:space="preserve"> integrity. This commitment is reflected in NCR’s Code of Conduct, which is available on the Corporate Governance page of our website.</w:t>
      </w:r>
    </w:p>
    <w:p w:rsidR="00000000" w:rsidRDefault="0040289C">
      <w:pPr>
        <w:jc w:val="both"/>
        <w:rPr>
          <w:rFonts w:eastAsia="Times New Roman"/>
        </w:rPr>
      </w:pPr>
    </w:p>
    <w:p w:rsidR="00000000" w:rsidRDefault="0040289C">
      <w:pPr>
        <w:jc w:val="center"/>
        <w:divId w:val="1006591349"/>
        <w:rPr>
          <w:rFonts w:eastAsia="Times New Roman"/>
        </w:rPr>
      </w:pPr>
      <w:r>
        <w:rPr>
          <w:rFonts w:eastAsia="Times New Roman"/>
          <w:color w:val="000000"/>
          <w:sz w:val="20"/>
          <w:szCs w:val="20"/>
        </w:rPr>
        <w:t>35</w:t>
      </w:r>
    </w:p>
    <w:p w:rsidR="00000000" w:rsidRDefault="0040289C">
      <w:pPr>
        <w:rPr>
          <w:rFonts w:eastAsia="Times New Roman"/>
        </w:rPr>
      </w:pPr>
      <w:r>
        <w:rPr>
          <w:rFonts w:eastAsia="Times New Roman"/>
        </w:rPr>
        <w:pict>
          <v:rect id="_x0000_i1065" style="width:0;height:1.5pt" o:hralign="center" o:hrstd="t" o:hr="t" fillcolor="#a0a0a0" stroked="f"/>
        </w:pict>
      </w:r>
    </w:p>
    <w:p w:rsidR="00000000" w:rsidRDefault="0040289C">
      <w:pPr>
        <w:divId w:val="55885690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780994105"/>
        <w:rPr>
          <w:rFonts w:eastAsia="Times New Roman"/>
        </w:rPr>
      </w:pPr>
    </w:p>
    <w:p w:rsidR="00000000" w:rsidRDefault="0040289C">
      <w:pPr>
        <w:jc w:val="both"/>
        <w:rPr>
          <w:rFonts w:eastAsia="Times New Roman"/>
        </w:rPr>
      </w:pPr>
      <w:r>
        <w:rPr>
          <w:rFonts w:eastAsia="Times New Roman"/>
          <w:b/>
          <w:bCs/>
          <w:i/>
          <w:iCs/>
          <w:color w:val="000000"/>
          <w:sz w:val="20"/>
          <w:szCs w:val="20"/>
        </w:rPr>
        <w:t>S</w:t>
      </w:r>
      <w:r>
        <w:rPr>
          <w:rFonts w:eastAsia="Times New Roman"/>
          <w:b/>
          <w:bCs/>
          <w:i/>
          <w:iCs/>
          <w:color w:val="000000"/>
          <w:sz w:val="20"/>
          <w:szCs w:val="20"/>
        </w:rPr>
        <w:t>IGNIFICANT THEMES AND EVENTS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more fully discussed in later sections of this MD&amp;A, the following were significant themes and events for 2022.</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 xml:space="preserve">•Revenue of $7.8 billion, up 10% compared to prior year, and up 13% excluding foreign currency impacts </w:t>
      </w:r>
    </w:p>
    <w:p w:rsidR="00000000" w:rsidRDefault="0040289C">
      <w:pPr>
        <w:ind w:hanging="360"/>
        <w:jc w:val="both"/>
        <w:rPr>
          <w:rFonts w:eastAsia="Times New Roman"/>
        </w:rPr>
      </w:pPr>
      <w:r>
        <w:rPr>
          <w:rFonts w:eastAsia="Times New Roman"/>
          <w:color w:val="000000"/>
          <w:sz w:val="20"/>
          <w:szCs w:val="20"/>
        </w:rPr>
        <w:t>◦</w:t>
      </w:r>
      <w:r>
        <w:rPr>
          <w:rFonts w:eastAsia="Times New Roman"/>
          <w:color w:val="000000"/>
          <w:sz w:val="20"/>
          <w:szCs w:val="20"/>
        </w:rPr>
        <w:t>Rec</w:t>
      </w:r>
      <w:r>
        <w:rPr>
          <w:rFonts w:eastAsia="Times New Roman"/>
          <w:color w:val="000000"/>
          <w:sz w:val="20"/>
          <w:szCs w:val="20"/>
        </w:rPr>
        <w:t>urring revenue increased 16% from the prior year and comprised 62% of total consolidated revenue</w:t>
      </w:r>
    </w:p>
    <w:p w:rsidR="00000000" w:rsidRDefault="0040289C">
      <w:pPr>
        <w:ind w:hanging="360"/>
        <w:jc w:val="both"/>
        <w:rPr>
          <w:rFonts w:eastAsia="Times New Roman"/>
        </w:rPr>
      </w:pPr>
      <w:r>
        <w:rPr>
          <w:rFonts w:eastAsia="Times New Roman"/>
          <w:color w:val="000000"/>
          <w:sz w:val="20"/>
          <w:szCs w:val="20"/>
        </w:rPr>
        <w:t>•Strong performance despite numerous external macro factors, such as rising interest rates, the effects of the strong U.S. dollar, supply-chain challenges, and</w:t>
      </w:r>
      <w:r>
        <w:rPr>
          <w:rFonts w:eastAsia="Times New Roman"/>
          <w:color w:val="000000"/>
          <w:sz w:val="20"/>
          <w:szCs w:val="20"/>
        </w:rPr>
        <w:t xml:space="preserve"> high component costs</w:t>
      </w:r>
    </w:p>
    <w:p w:rsidR="00000000" w:rsidRDefault="0040289C">
      <w:pPr>
        <w:ind w:hanging="360"/>
        <w:jc w:val="both"/>
        <w:rPr>
          <w:rFonts w:eastAsia="Times New Roman"/>
        </w:rPr>
      </w:pPr>
      <w:r>
        <w:rPr>
          <w:rFonts w:eastAsia="Times New Roman"/>
          <w:color w:val="000000"/>
          <w:sz w:val="20"/>
          <w:szCs w:val="20"/>
        </w:rPr>
        <w:t>•Continued strength in strategic initiatives</w:t>
      </w:r>
    </w:p>
    <w:p w:rsidR="00000000" w:rsidRDefault="0040289C">
      <w:pPr>
        <w:ind w:hanging="360"/>
        <w:jc w:val="both"/>
        <w:rPr>
          <w:rFonts w:eastAsia="Times New Roman"/>
        </w:rPr>
      </w:pPr>
      <w:r>
        <w:rPr>
          <w:rFonts w:eastAsia="Times New Roman"/>
          <w:color w:val="000000"/>
          <w:sz w:val="20"/>
          <w:szCs w:val="20"/>
        </w:rPr>
        <w:t>•Planned separation of NCR into two independent, publicly traded companies was announced on September 15, 2022</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STRATEGIC INITIATIVES AND TRENDS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order to provide long-term value to all our stakeholders, we set complementary business goals and financial strategies. NCR is continuing its transition to become a software platform and payments company with a shift to a higher level of recurring reven</w:t>
      </w:r>
      <w:r>
        <w:rPr>
          <w:rFonts w:eastAsia="Times New Roman"/>
          <w:color w:val="000000"/>
          <w:sz w:val="20"/>
          <w:szCs w:val="20"/>
        </w:rPr>
        <w:t>ue. Our business goal is to be a leading enterprise technology provider that runs stores, restaurants and self-directed banking through our software platform and our NCR-as-a-Service solutions. Execution of our goals and strategy is driven by the following</w:t>
      </w:r>
      <w:r>
        <w:rPr>
          <w:rFonts w:eastAsia="Times New Roman"/>
          <w:color w:val="000000"/>
          <w:sz w:val="20"/>
          <w:szCs w:val="20"/>
        </w:rPr>
        <w:t xml:space="preserve"> key pillars: (i) focus on our customers; (ii) take care of our employees; (iii) bring high-quality, innovative products to market; and (iv) leverage our brand.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we strive to achieve our aspirational goals, we plan to capitalize on opportunities presen</w:t>
      </w:r>
      <w:r>
        <w:rPr>
          <w:rFonts w:eastAsia="Times New Roman"/>
          <w:color w:val="000000"/>
          <w:sz w:val="20"/>
          <w:szCs w:val="20"/>
        </w:rPr>
        <w:t xml:space="preserve">ted by the acquisitions of Cardtronics and LibertyX to accelerate our Payments &amp; Network business as we go to market with a more robust offering in this segment. We also plan to continue to improve our execution to drive solid returns and to transform our </w:t>
      </w:r>
      <w:r>
        <w:rPr>
          <w:rFonts w:eastAsia="Times New Roman"/>
          <w:color w:val="000000"/>
          <w:sz w:val="20"/>
          <w:szCs w:val="20"/>
        </w:rPr>
        <w:t>business to enhance value for all shareholders.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On September 15, 2022, NCR announced a plan to separate into two independent, publicly traded companies – one focused on digital commerce, the other on ATMs. The digital commerce company is expected to be a</w:t>
      </w:r>
      <w:r>
        <w:rPr>
          <w:rFonts w:eastAsia="Times New Roman"/>
          <w:color w:val="000000"/>
          <w:sz w:val="20"/>
          <w:szCs w:val="20"/>
        </w:rPr>
        <w:t xml:space="preserve"> growth business positioned to leverage NCR’s software-led model to continue transforming, connecting and running global retail, hospitality and digital banking. We believe it will enhance common solutions to drive innovation and boost operational efficien</w:t>
      </w:r>
      <w:r>
        <w:rPr>
          <w:rFonts w:eastAsia="Times New Roman"/>
          <w:color w:val="000000"/>
          <w:sz w:val="20"/>
          <w:szCs w:val="20"/>
        </w:rPr>
        <w:t>cy. The commerce company is expected to also reinvest in the business to accelerate growth and recurring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ATM company is expected to be a cash-generative business positioned to focus on delivering ATM-as-a-Service to a large, installed custom</w:t>
      </w:r>
      <w:r>
        <w:rPr>
          <w:rFonts w:eastAsia="Times New Roman"/>
          <w:color w:val="000000"/>
          <w:sz w:val="20"/>
          <w:szCs w:val="20"/>
        </w:rPr>
        <w:t>er base across banks and retailers. We believe it will build on NCR’s leadership in self-service banking and ATM networks to meet global demand for ATM access and leverage new ATM transaction types, including digital currency solutions, to drive market gro</w:t>
      </w:r>
      <w:r>
        <w:rPr>
          <w:rFonts w:eastAsia="Times New Roman"/>
          <w:color w:val="000000"/>
          <w:sz w:val="20"/>
          <w:szCs w:val="20"/>
        </w:rPr>
        <w:t>wth. The ATM company is expected to also continue shifting to a highly recurring revenue model to drive stable cash flow and capital returns to shareholders.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separation is intended to be structured in a tax-free manner. The separation transaction will follow the satisfaction of customary conditions, including effectiveness of appropriate filings with the U.S. Securities and Exchange Commission, and the comp</w:t>
      </w:r>
      <w:r>
        <w:rPr>
          <w:rFonts w:eastAsia="Times New Roman"/>
          <w:color w:val="000000"/>
          <w:sz w:val="20"/>
          <w:szCs w:val="20"/>
        </w:rPr>
        <w:t>letion of audited financial statements. The current target is to complete the separation by the end of 2023. Should alternative options become available in the future that could deliver superior value to our shareholders than the planned separation, such a</w:t>
      </w:r>
      <w:r>
        <w:rPr>
          <w:rFonts w:eastAsia="Times New Roman"/>
          <w:color w:val="000000"/>
          <w:sz w:val="20"/>
          <w:szCs w:val="20"/>
        </w:rPr>
        <w:t>s a whole or partial company sale of NCR, the Board of Directors remains open to considering alternative scenarios.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Cybersecurity Risk Management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Similar to most companies, NCR and its customers are subject to more frequent and increasingly sophisticat</w:t>
      </w:r>
      <w:r>
        <w:rPr>
          <w:rFonts w:eastAsia="Times New Roman"/>
          <w:color w:val="000000"/>
          <w:sz w:val="20"/>
          <w:szCs w:val="20"/>
        </w:rPr>
        <w:t>ed cybersecurity attacks. The Company maintains cybersecurity risk management policies and procedures including disclosure controls, which it regularly evaluates for updates, for handling and responding to cybersecurity events. These policies and procedure</w:t>
      </w:r>
      <w:r>
        <w:rPr>
          <w:rFonts w:eastAsia="Times New Roman"/>
          <w:color w:val="000000"/>
          <w:sz w:val="20"/>
          <w:szCs w:val="20"/>
        </w:rPr>
        <w:t>s include internal notifications and engagements and, as necessary, cooperation with law enforcement. Personnel involved in handling and responding to cybersecurity events periodically undertake tabletop exercises to simulate an event. Our internal notific</w:t>
      </w:r>
      <w:r>
        <w:rPr>
          <w:rFonts w:eastAsia="Times New Roman"/>
          <w:color w:val="000000"/>
          <w:sz w:val="20"/>
          <w:szCs w:val="20"/>
        </w:rPr>
        <w:t xml:space="preserve">ation procedures include notifying the applicable Company attorneys, which, depending on the level of severity assigned to the event, may include direct notice to, among others, the Company’s General Counsel, Ethics &amp; Compliance Officer, and Chief Privacy </w:t>
      </w:r>
      <w:r>
        <w:rPr>
          <w:rFonts w:eastAsia="Times New Roman"/>
          <w:color w:val="000000"/>
          <w:sz w:val="20"/>
          <w:szCs w:val="20"/>
        </w:rPr>
        <w:t>Officer. Company attorneys support efforts to evaluate the materiality of any incidents, determine whether notice to third parties such as customers or vendors is required, determine whether any prohibition on insider trading is appropriate, and assess whe</w:t>
      </w:r>
      <w:r>
        <w:rPr>
          <w:rFonts w:eastAsia="Times New Roman"/>
          <w:color w:val="000000"/>
          <w:sz w:val="20"/>
          <w:szCs w:val="20"/>
        </w:rPr>
        <w:t>ther disclosure to stockholders or governmental filings, including with the SEC, are required. Our internal notification procedures also include notifying various NCR Information Technology Services managers, subject matter experts in the Company’s softwar</w:t>
      </w:r>
      <w:r>
        <w:rPr>
          <w:rFonts w:eastAsia="Times New Roman"/>
          <w:color w:val="000000"/>
          <w:sz w:val="20"/>
          <w:szCs w:val="20"/>
        </w:rPr>
        <w:t>e department and Company leadership, depending on the level of severity assigned to the event.</w:t>
      </w:r>
    </w:p>
    <w:p w:rsidR="00000000" w:rsidRDefault="0040289C">
      <w:pPr>
        <w:divId w:val="909466513"/>
        <w:rPr>
          <w:rFonts w:eastAsia="Times New Roman"/>
        </w:rPr>
      </w:pPr>
    </w:p>
    <w:p w:rsidR="00000000" w:rsidRDefault="0040289C">
      <w:pPr>
        <w:divId w:val="1803189540"/>
        <w:rPr>
          <w:rFonts w:eastAsia="Times New Roman"/>
        </w:rPr>
      </w:pPr>
      <w:r>
        <w:rPr>
          <w:rFonts w:eastAsia="Times New Roman"/>
          <w:color w:val="000000"/>
          <w:sz w:val="20"/>
          <w:szCs w:val="20"/>
        </w:rPr>
        <w:t>For further information on potential risks and uncertainties see Part I, Item 1A “Risk Factors”, of this Form 10-K.</w:t>
      </w:r>
    </w:p>
    <w:p w:rsidR="00000000" w:rsidRDefault="0040289C">
      <w:pPr>
        <w:jc w:val="center"/>
        <w:divId w:val="146476163"/>
        <w:rPr>
          <w:rFonts w:eastAsia="Times New Roman"/>
        </w:rPr>
      </w:pPr>
      <w:r>
        <w:rPr>
          <w:rFonts w:eastAsia="Times New Roman"/>
          <w:color w:val="000000"/>
          <w:sz w:val="20"/>
          <w:szCs w:val="20"/>
        </w:rPr>
        <w:t>36</w:t>
      </w:r>
    </w:p>
    <w:p w:rsidR="00000000" w:rsidRDefault="0040289C">
      <w:pPr>
        <w:rPr>
          <w:rFonts w:eastAsia="Times New Roman"/>
        </w:rPr>
      </w:pPr>
      <w:r>
        <w:rPr>
          <w:rFonts w:eastAsia="Times New Roman"/>
        </w:rPr>
        <w:pict>
          <v:rect id="_x0000_i1066" style="width:0;height:1.5pt" o:hralign="center" o:hrstd="t" o:hr="t" fillcolor="#a0a0a0" stroked="f"/>
        </w:pict>
      </w:r>
    </w:p>
    <w:p w:rsidR="00000000" w:rsidRDefault="0040289C">
      <w:pPr>
        <w:divId w:val="116852439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870533220"/>
        <w:rPr>
          <w:rFonts w:eastAsia="Times New Roman"/>
        </w:rPr>
      </w:pPr>
    </w:p>
    <w:p w:rsidR="00000000" w:rsidRDefault="0040289C">
      <w:pPr>
        <w:jc w:val="both"/>
        <w:rPr>
          <w:rFonts w:eastAsia="Times New Roman"/>
        </w:rPr>
      </w:pPr>
    </w:p>
    <w:p w:rsidR="00000000" w:rsidRDefault="0040289C">
      <w:pPr>
        <w:divId w:val="1262839225"/>
        <w:rPr>
          <w:rFonts w:eastAsia="Times New Roman"/>
        </w:rPr>
      </w:pPr>
      <w:r>
        <w:rPr>
          <w:rFonts w:eastAsia="Times New Roman"/>
          <w:b/>
          <w:bCs/>
          <w:i/>
          <w:iCs/>
          <w:color w:val="000000"/>
          <w:sz w:val="20"/>
          <w:szCs w:val="20"/>
        </w:rPr>
        <w:t>Impacts from Geopolitical, Macroeconomic, and COVID-19 Challenges    </w:t>
      </w:r>
    </w:p>
    <w:p w:rsidR="00000000" w:rsidRDefault="0040289C">
      <w:pPr>
        <w:divId w:val="452673184"/>
        <w:rPr>
          <w:rFonts w:eastAsia="Times New Roman"/>
        </w:rPr>
      </w:pPr>
    </w:p>
    <w:p w:rsidR="00000000" w:rsidRDefault="0040289C">
      <w:pPr>
        <w:jc w:val="both"/>
        <w:rPr>
          <w:rFonts w:eastAsia="Times New Roman"/>
        </w:rPr>
      </w:pPr>
      <w:r>
        <w:rPr>
          <w:rFonts w:eastAsia="Times New Roman"/>
          <w:color w:val="000000"/>
          <w:sz w:val="20"/>
          <w:szCs w:val="20"/>
        </w:rPr>
        <w:t>We continue to be exposed to macroeconomic pressures as a result of the lingering impacts of the COVID-19 p</w:t>
      </w:r>
      <w:r>
        <w:rPr>
          <w:rFonts w:eastAsia="Times New Roman"/>
          <w:color w:val="000000"/>
          <w:sz w:val="20"/>
          <w:szCs w:val="20"/>
        </w:rPr>
        <w:t>andemic, supply chain challenges, foreign currency fluctuations, and spikes in commodity and energy prices as a result of geopolitical challenges, including the war in Eastern Europe. We continue to navigate through these challenges with a sharp focus on a</w:t>
      </w:r>
      <w:r>
        <w:rPr>
          <w:rFonts w:eastAsia="Times New Roman"/>
          <w:color w:val="000000"/>
          <w:sz w:val="20"/>
          <w:szCs w:val="20"/>
        </w:rPr>
        <w:t>nd goal of safeguarding our employees, helping our customers and managing impacts on our supply chain. Despite the unprecedented environment, our teams are executing at a high level and we are advancing our strategy.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COVID-19 pandemic is complex and </w:t>
      </w:r>
      <w:r>
        <w:rPr>
          <w:rFonts w:eastAsia="Times New Roman"/>
          <w:color w:val="000000"/>
          <w:sz w:val="20"/>
          <w:szCs w:val="20"/>
        </w:rPr>
        <w:t>continues to evolve. The ultimate impact on our overall financial condition and operating results will depend on supply chain challenges and cost escalations including materials, labor and freight, as a result of the continued impacts from the pandemic, an</w:t>
      </w:r>
      <w:r>
        <w:rPr>
          <w:rFonts w:eastAsia="Times New Roman"/>
          <w:color w:val="000000"/>
          <w:sz w:val="20"/>
          <w:szCs w:val="20"/>
        </w:rPr>
        <w:t>d any additional governmental and public actions taken in response.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war in Eastern Europe and related sanctions imposed on Russia and related actors have resulted in interest rate acceleration and inflation, including, but not limited to, a significa</w:t>
      </w:r>
      <w:r>
        <w:rPr>
          <w:rFonts w:eastAsia="Times New Roman"/>
          <w:color w:val="000000"/>
          <w:sz w:val="20"/>
          <w:szCs w:val="20"/>
        </w:rPr>
        <w:t>nt increase in the price of energy around the world, particularly in regions such as Europe that are significantly dependent on Russia for their energy needs, and continued commodity price increases due to disruption in the mining industry in Ukraine and o</w:t>
      </w:r>
      <w:r>
        <w:rPr>
          <w:rFonts w:eastAsia="Times New Roman"/>
          <w:color w:val="000000"/>
          <w:sz w:val="20"/>
          <w:szCs w:val="20"/>
        </w:rPr>
        <w:t>ther factors. The war in Eastern Europe has also contributed to further disruption in logistics due to the shipping difficulties in and around the Black Sea and its ports, which have resulted in the rerouting of traffic to other ports and further logistics</w:t>
      </w:r>
      <w:r>
        <w:rPr>
          <w:rFonts w:eastAsia="Times New Roman"/>
          <w:color w:val="000000"/>
          <w:sz w:val="20"/>
          <w:szCs w:val="20"/>
        </w:rPr>
        <w:t xml:space="preserve"> challenges.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expect that these factors will continue to negatively impact our business at least in the short-term. The ultimate impact on our overall financial condition and operating results will depend on the duration and severity of these activiti</w:t>
      </w:r>
      <w:r>
        <w:rPr>
          <w:rFonts w:eastAsia="Times New Roman"/>
          <w:color w:val="000000"/>
          <w:sz w:val="20"/>
          <w:szCs w:val="20"/>
        </w:rPr>
        <w:t xml:space="preserve">es. We continue to evaluate the long-term impact that these may have on our business model, however, there can be no assurance that the measures we have taken or will take will completely offset the negative impact.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For further information on the risks </w:t>
      </w:r>
      <w:r>
        <w:rPr>
          <w:rFonts w:eastAsia="Times New Roman"/>
          <w:color w:val="000000"/>
          <w:sz w:val="20"/>
          <w:szCs w:val="20"/>
        </w:rPr>
        <w:t>posed to our business from the COVID-19 pandemic and other factors, refer to Part I, Item 1A “Risk Factors”, of this Form 10-K. For further information on exposures to foreign exchange risk, refer to Item 7A, “Quantitative and Qualitative Disclosures about</w:t>
      </w:r>
      <w:r>
        <w:rPr>
          <w:rFonts w:eastAsia="Times New Roman"/>
          <w:color w:val="000000"/>
          <w:sz w:val="20"/>
          <w:szCs w:val="20"/>
        </w:rPr>
        <w:t xml:space="preserve"> Market Risk”, in this Form 10-K.</w:t>
      </w:r>
    </w:p>
    <w:p w:rsidR="00000000" w:rsidRDefault="0040289C">
      <w:pPr>
        <w:divId w:val="736170016"/>
        <w:rPr>
          <w:rFonts w:eastAsia="Times New Roman"/>
        </w:rPr>
      </w:pPr>
    </w:p>
    <w:p w:rsidR="00000000" w:rsidRDefault="0040289C">
      <w:pPr>
        <w:jc w:val="both"/>
        <w:rPr>
          <w:rFonts w:eastAsia="Times New Roman"/>
        </w:rPr>
      </w:pPr>
      <w:r>
        <w:rPr>
          <w:rFonts w:eastAsia="Times New Roman"/>
          <w:b/>
          <w:bCs/>
          <w:color w:val="000000"/>
          <w:sz w:val="20"/>
          <w:szCs w:val="20"/>
        </w:rPr>
        <w:t>RESULTS OF OPERATIONS</w:t>
      </w:r>
    </w:p>
    <w:p w:rsidR="00000000" w:rsidRDefault="0040289C">
      <w:pPr>
        <w:jc w:val="both"/>
        <w:rPr>
          <w:rFonts w:eastAsia="Times New Roman"/>
        </w:rPr>
      </w:pPr>
    </w:p>
    <w:p w:rsidR="00000000" w:rsidRDefault="0040289C">
      <w:pPr>
        <w:divId w:val="686979876"/>
        <w:rPr>
          <w:rFonts w:eastAsia="Times New Roman"/>
        </w:rPr>
      </w:pPr>
      <w:r>
        <w:rPr>
          <w:rFonts w:eastAsia="Times New Roman"/>
          <w:b/>
          <w:bCs/>
          <w:color w:val="000000"/>
          <w:sz w:val="20"/>
          <w:szCs w:val="20"/>
        </w:rPr>
        <w:t>Key Strategic Financial Metrics</w:t>
      </w:r>
    </w:p>
    <w:p w:rsidR="00000000" w:rsidRDefault="0040289C">
      <w:pPr>
        <w:divId w:val="841314451"/>
        <w:rPr>
          <w:rFonts w:eastAsia="Times New Roman"/>
        </w:rPr>
      </w:pPr>
    </w:p>
    <w:p w:rsidR="00000000" w:rsidRDefault="0040289C">
      <w:pPr>
        <w:jc w:val="both"/>
        <w:rPr>
          <w:rFonts w:eastAsia="Times New Roman"/>
        </w:rPr>
      </w:pPr>
      <w:r>
        <w:rPr>
          <w:rFonts w:eastAsia="Times New Roman"/>
          <w:color w:val="000000"/>
          <w:sz w:val="20"/>
          <w:szCs w:val="20"/>
        </w:rPr>
        <w:t xml:space="preserve">The following tables show our key strategic financial metrics for the years ended December 31, the relative percentage that those amounts represent to total revenue, and the change in those amounts year-over-year. </w:t>
      </w:r>
    </w:p>
    <w:p w:rsidR="00000000" w:rsidRDefault="0040289C">
      <w:pPr>
        <w:divId w:val="1352025612"/>
        <w:rPr>
          <w:rFonts w:eastAsia="Times New Roman"/>
        </w:rPr>
      </w:pPr>
    </w:p>
    <w:p w:rsidR="00000000" w:rsidRDefault="0040289C">
      <w:pPr>
        <w:ind w:hanging="360"/>
        <w:jc w:val="both"/>
        <w:rPr>
          <w:rFonts w:eastAsia="Times New Roman"/>
        </w:rPr>
      </w:pPr>
      <w:r>
        <w:rPr>
          <w:rFonts w:eastAsia="Times New Roman"/>
          <w:b/>
          <w:bCs/>
          <w:i/>
          <w:iCs/>
          <w:color w:val="000000"/>
          <w:sz w:val="20"/>
          <w:szCs w:val="20"/>
        </w:rPr>
        <w:t>Recurring revenue as a percentage of to</w:t>
      </w:r>
      <w:r>
        <w:rPr>
          <w:rFonts w:eastAsia="Times New Roman"/>
          <w:b/>
          <w:bCs/>
          <w:i/>
          <w:iCs/>
          <w:color w:val="000000"/>
          <w:sz w:val="20"/>
          <w:szCs w:val="20"/>
        </w:rPr>
        <w:t>tal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1794"/>
        <w:gridCol w:w="38"/>
        <w:gridCol w:w="36"/>
        <w:gridCol w:w="36"/>
        <w:gridCol w:w="36"/>
        <w:gridCol w:w="120"/>
        <w:gridCol w:w="512"/>
        <w:gridCol w:w="36"/>
        <w:gridCol w:w="36"/>
        <w:gridCol w:w="36"/>
        <w:gridCol w:w="36"/>
        <w:gridCol w:w="120"/>
        <w:gridCol w:w="512"/>
        <w:gridCol w:w="36"/>
        <w:gridCol w:w="36"/>
        <w:gridCol w:w="36"/>
        <w:gridCol w:w="36"/>
        <w:gridCol w:w="120"/>
        <w:gridCol w:w="512"/>
        <w:gridCol w:w="36"/>
        <w:gridCol w:w="36"/>
        <w:gridCol w:w="36"/>
        <w:gridCol w:w="36"/>
        <w:gridCol w:w="63"/>
        <w:gridCol w:w="457"/>
        <w:gridCol w:w="188"/>
        <w:gridCol w:w="36"/>
        <w:gridCol w:w="36"/>
        <w:gridCol w:w="36"/>
        <w:gridCol w:w="63"/>
        <w:gridCol w:w="457"/>
        <w:gridCol w:w="188"/>
        <w:gridCol w:w="36"/>
        <w:gridCol w:w="36"/>
        <w:gridCol w:w="36"/>
        <w:gridCol w:w="63"/>
        <w:gridCol w:w="457"/>
        <w:gridCol w:w="188"/>
        <w:gridCol w:w="36"/>
        <w:gridCol w:w="36"/>
        <w:gridCol w:w="36"/>
        <w:gridCol w:w="42"/>
        <w:gridCol w:w="507"/>
        <w:gridCol w:w="187"/>
        <w:gridCol w:w="36"/>
        <w:gridCol w:w="36"/>
        <w:gridCol w:w="36"/>
        <w:gridCol w:w="41"/>
        <w:gridCol w:w="479"/>
        <w:gridCol w:w="187"/>
      </w:tblGrid>
      <w:tr w:rsidR="00000000">
        <w:trPr>
          <w:divId w:val="815759139"/>
        </w:trPr>
        <w:tc>
          <w:tcPr>
            <w:tcW w:w="50" w:type="pct"/>
            <w:vAlign w:val="center"/>
            <w:hideMark/>
          </w:tcPr>
          <w:p w:rsidR="00000000" w:rsidRDefault="0040289C">
            <w:pPr>
              <w:ind w:hanging="360"/>
              <w:jc w:val="both"/>
              <w:rPr>
                <w:rFonts w:eastAsia="Times New Roman"/>
              </w:rPr>
            </w:pPr>
          </w:p>
        </w:tc>
        <w:tc>
          <w:tcPr>
            <w:tcW w:w="117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815759139"/>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Percentage of Total Revenue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Increase (Decrease)</w:t>
            </w:r>
          </w:p>
        </w:tc>
      </w:tr>
      <w:tr w:rsidR="00000000">
        <w:trPr>
          <w:divId w:val="815759139"/>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2021 v 2020</w:t>
            </w:r>
          </w:p>
        </w:tc>
      </w:tr>
      <w:tr w:rsidR="0040289C">
        <w:trPr>
          <w:divId w:val="815759139"/>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divId w:val="1144155899"/>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815759139"/>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All other products and services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3,003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2,990 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2,869 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40289C">
        <w:trPr>
          <w:divId w:val="815759139"/>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divId w:val="408187801"/>
        <w:rPr>
          <w:rFonts w:eastAsia="Times New Roman"/>
        </w:rPr>
      </w:pPr>
    </w:p>
    <w:p w:rsidR="00000000" w:rsidRDefault="0040289C">
      <w:pPr>
        <w:ind w:hanging="270"/>
        <w:jc w:val="both"/>
        <w:rPr>
          <w:rFonts w:eastAsia="Times New Roman"/>
        </w:rPr>
      </w:pPr>
      <w:r>
        <w:rPr>
          <w:rFonts w:eastAsia="Times New Roman"/>
          <w:color w:val="000000"/>
          <w:sz w:val="9"/>
          <w:szCs w:val="9"/>
        </w:rPr>
        <w:t>(1)</w:t>
      </w:r>
      <w:r>
        <w:rPr>
          <w:rFonts w:eastAsia="Times New Roman"/>
          <w:color w:val="000000"/>
          <w:sz w:val="9"/>
          <w:szCs w:val="9"/>
        </w:rPr>
        <w:t xml:space="preserve"> </w:t>
      </w:r>
      <w:r>
        <w:rPr>
          <w:rFonts w:eastAsia="Times New Roman"/>
          <w:color w:val="000000"/>
          <w:sz w:val="14"/>
          <w:szCs w:val="14"/>
        </w:rPr>
        <w:t>Recurring revenue includes all revenue streams from contracts where there is a predictable revenue pattern that will occur at regular intervals with a relatively high degree of certainty. This includes hard</w:t>
      </w:r>
      <w:r>
        <w:rPr>
          <w:rFonts w:eastAsia="Times New Roman"/>
          <w:color w:val="000000"/>
          <w:sz w:val="14"/>
          <w:szCs w:val="14"/>
        </w:rPr>
        <w:t>ware and software maintenance revenue, cloud revenue, payment processing revenue, interchange and network revenue, cryptocurrency-related revenue, and certain professional services arrangements as well as term-based software license arrangements that inclu</w:t>
      </w:r>
      <w:r>
        <w:rPr>
          <w:rFonts w:eastAsia="Times New Roman"/>
          <w:color w:val="000000"/>
          <w:sz w:val="14"/>
          <w:szCs w:val="14"/>
        </w:rPr>
        <w:t>de customer termination rights.</w:t>
      </w:r>
    </w:p>
    <w:p w:rsidR="00000000" w:rsidRDefault="0040289C">
      <w:pPr>
        <w:ind w:hanging="270"/>
        <w:jc w:val="both"/>
        <w:rPr>
          <w:rFonts w:eastAsia="Times New Roman"/>
        </w:rPr>
      </w:pPr>
    </w:p>
    <w:p w:rsidR="00000000" w:rsidRDefault="0040289C">
      <w:pPr>
        <w:ind w:hanging="360"/>
        <w:jc w:val="both"/>
        <w:rPr>
          <w:rFonts w:eastAsia="Times New Roman"/>
        </w:rPr>
      </w:pPr>
      <w:r>
        <w:rPr>
          <w:rFonts w:eastAsia="Times New Roman"/>
          <w:b/>
          <w:bCs/>
          <w:i/>
          <w:iCs/>
          <w:color w:val="000000"/>
          <w:sz w:val="20"/>
          <w:szCs w:val="20"/>
        </w:rPr>
        <w:t>Net income (loss) from continuing operations attributable to NCR and Adjusted EBITD</w:t>
      </w:r>
      <w:r>
        <w:rPr>
          <w:rFonts w:eastAsia="Times New Roman"/>
          <w:b/>
          <w:bCs/>
          <w:i/>
          <w:iCs/>
          <w:color w:val="000000"/>
          <w:sz w:val="20"/>
          <w:szCs w:val="20"/>
        </w:rPr>
        <w:t>A</w:t>
      </w:r>
      <w:r>
        <w:rPr>
          <w:rFonts w:eastAsia="Times New Roman"/>
          <w:b/>
          <w:bCs/>
          <w:i/>
          <w:iCs/>
          <w:color w:val="000000"/>
          <w:sz w:val="13"/>
          <w:szCs w:val="13"/>
        </w:rPr>
        <w:t>(2)</w:t>
      </w:r>
      <w:r>
        <w:rPr>
          <w:rFonts w:eastAsia="Times New Roman"/>
          <w:b/>
          <w:bCs/>
          <w:i/>
          <w:iCs/>
          <w:color w:val="000000"/>
          <w:sz w:val="13"/>
          <w:szCs w:val="13"/>
        </w:rPr>
        <w:t xml:space="preserve"> </w:t>
      </w:r>
      <w:r>
        <w:rPr>
          <w:rFonts w:eastAsia="Times New Roman"/>
          <w:b/>
          <w:bCs/>
          <w:i/>
          <w:iCs/>
          <w:color w:val="000000"/>
          <w:sz w:val="20"/>
          <w:szCs w:val="20"/>
        </w:rPr>
        <w:t>as a percentage of total revenue</w:t>
      </w:r>
    </w:p>
    <w:p w:rsidR="00000000" w:rsidRDefault="0040289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1988"/>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51"/>
        <w:gridCol w:w="429"/>
        <w:gridCol w:w="188"/>
        <w:gridCol w:w="36"/>
        <w:gridCol w:w="36"/>
        <w:gridCol w:w="36"/>
        <w:gridCol w:w="51"/>
        <w:gridCol w:w="445"/>
        <w:gridCol w:w="188"/>
        <w:gridCol w:w="36"/>
        <w:gridCol w:w="36"/>
        <w:gridCol w:w="36"/>
        <w:gridCol w:w="51"/>
        <w:gridCol w:w="445"/>
        <w:gridCol w:w="188"/>
        <w:gridCol w:w="36"/>
        <w:gridCol w:w="36"/>
        <w:gridCol w:w="36"/>
        <w:gridCol w:w="42"/>
        <w:gridCol w:w="584"/>
        <w:gridCol w:w="187"/>
        <w:gridCol w:w="36"/>
        <w:gridCol w:w="36"/>
        <w:gridCol w:w="36"/>
        <w:gridCol w:w="41"/>
        <w:gridCol w:w="479"/>
        <w:gridCol w:w="187"/>
      </w:tblGrid>
      <w:tr w:rsidR="00000000">
        <w:tc>
          <w:tcPr>
            <w:tcW w:w="50" w:type="pct"/>
            <w:vAlign w:val="center"/>
            <w:hideMark/>
          </w:tcPr>
          <w:p w:rsidR="00000000" w:rsidRDefault="0040289C">
            <w:pPr>
              <w:jc w:val="both"/>
              <w:rPr>
                <w:rFonts w:eastAsia="Times New Roman"/>
              </w:rPr>
            </w:pPr>
          </w:p>
        </w:tc>
        <w:tc>
          <w:tcPr>
            <w:tcW w:w="129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Percentage of Total Revenue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Increase (Decrease)</w:t>
            </w: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2021 v 2020</w:t>
            </w:r>
          </w:p>
        </w:tc>
      </w:tr>
      <w:tr w:rsidR="00000000">
        <w:tc>
          <w:tcPr>
            <w:tcW w:w="0" w:type="auto"/>
            <w:gridSpan w:val="3"/>
            <w:vAlign w:val="center"/>
            <w:hideMark/>
          </w:tcPr>
          <w:p w:rsidR="00000000" w:rsidRDefault="0040289C">
            <w:pPr>
              <w:spacing w:after="100"/>
              <w:jc w:val="center"/>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40289C">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income (loss) from continuing operations attributable to NCR</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n/m</w:t>
            </w:r>
          </w:p>
        </w:tc>
      </w:tr>
      <w:tr w:rsidR="0040289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763407480"/>
              <w:rPr>
                <w:rFonts w:eastAsia="Times New Roman"/>
              </w:rPr>
            </w:pPr>
            <w:r>
              <w:rPr>
                <w:rFonts w:eastAsia="Times New Roman"/>
                <w:color w:val="000000"/>
                <w:sz w:val="20"/>
                <w:szCs w:val="20"/>
              </w:rPr>
              <w:t>Adjusted EBITDA</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1,244 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9"/>
          <w:szCs w:val="9"/>
        </w:rPr>
        <w:t>(2)</w:t>
      </w:r>
      <w:r>
        <w:rPr>
          <w:rFonts w:eastAsia="Times New Roman"/>
          <w:color w:val="000000"/>
          <w:sz w:val="9"/>
          <w:szCs w:val="9"/>
        </w:rPr>
        <w:t xml:space="preserve"> </w:t>
      </w:r>
      <w:r>
        <w:rPr>
          <w:rFonts w:eastAsia="Times New Roman"/>
          <w:color w:val="000000"/>
          <w:sz w:val="14"/>
          <w:szCs w:val="14"/>
        </w:rPr>
        <w:t>Refer to our definition of Adjusted EBITDA in the section entitled "Non-GAAP Financial Measures and Use of Certain Terms" below.</w:t>
      </w:r>
    </w:p>
    <w:p w:rsidR="00000000" w:rsidRDefault="0040289C">
      <w:pPr>
        <w:jc w:val="center"/>
        <w:divId w:val="1560363209"/>
        <w:rPr>
          <w:rFonts w:eastAsia="Times New Roman"/>
        </w:rPr>
      </w:pPr>
      <w:r>
        <w:rPr>
          <w:rFonts w:eastAsia="Times New Roman"/>
          <w:color w:val="000000"/>
          <w:sz w:val="20"/>
          <w:szCs w:val="20"/>
        </w:rPr>
        <w:t>37</w:t>
      </w:r>
    </w:p>
    <w:p w:rsidR="00000000" w:rsidRDefault="0040289C">
      <w:pPr>
        <w:rPr>
          <w:rFonts w:eastAsia="Times New Roman"/>
        </w:rPr>
      </w:pPr>
      <w:r>
        <w:rPr>
          <w:rFonts w:eastAsia="Times New Roman"/>
        </w:rPr>
        <w:pict>
          <v:rect id="_x0000_i1067" style="width:0;height:1.5pt" o:hralign="center" o:hrstd="t" o:hr="t" fillcolor="#a0a0a0" stroked="f"/>
        </w:pict>
      </w:r>
    </w:p>
    <w:p w:rsidR="00000000" w:rsidRDefault="0040289C">
      <w:pPr>
        <w:divId w:val="149811314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734819831"/>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ind w:hanging="270"/>
        <w:jc w:val="both"/>
        <w:rPr>
          <w:rFonts w:eastAsia="Times New Roman"/>
        </w:rPr>
      </w:pPr>
      <w:r>
        <w:rPr>
          <w:rFonts w:eastAsia="Times New Roman"/>
          <w:b/>
          <w:bCs/>
          <w:color w:val="000000"/>
          <w:sz w:val="20"/>
          <w:szCs w:val="20"/>
          <w:u w:val="single"/>
        </w:rPr>
        <w:t>Non-GAAP Financial Measures and Use of Certain Terms:</w:t>
      </w:r>
    </w:p>
    <w:p w:rsidR="00000000" w:rsidRDefault="0040289C">
      <w:pPr>
        <w:jc w:val="both"/>
        <w:rPr>
          <w:rFonts w:eastAsia="Times New Roman"/>
        </w:rPr>
      </w:pPr>
    </w:p>
    <w:p w:rsidR="00000000" w:rsidRDefault="0040289C">
      <w:pPr>
        <w:jc w:val="both"/>
        <w:divId w:val="978263632"/>
        <w:rPr>
          <w:rFonts w:eastAsia="Times New Roman"/>
        </w:rPr>
      </w:pPr>
      <w:r>
        <w:rPr>
          <w:rFonts w:eastAsia="Times New Roman"/>
          <w:i/>
          <w:iCs/>
          <w:color w:val="000000"/>
          <w:sz w:val="20"/>
          <w:szCs w:val="20"/>
        </w:rPr>
        <w:t>Constant Currency</w:t>
      </w:r>
      <w:r>
        <w:rPr>
          <w:rFonts w:eastAsia="Times New Roman"/>
          <w:color w:val="000000"/>
          <w:sz w:val="20"/>
          <w:szCs w:val="20"/>
        </w:rPr>
        <w:t xml:space="preserve"> NCR presents certain financial measures, such as period-over-period revenue growth, on a constant currency basis, which excludes the effects of for</w:t>
      </w:r>
      <w:r>
        <w:rPr>
          <w:rFonts w:eastAsia="Times New Roman"/>
          <w:color w:val="000000"/>
          <w:sz w:val="20"/>
          <w:szCs w:val="20"/>
        </w:rPr>
        <w:t>eign currency translation by translating prior period results at current period monthly average exchange rates. Due to the overall variability of foreign exchange rates from period to period, NCR’s management uses constant currency measures to evaluate per</w:t>
      </w:r>
      <w:r>
        <w:rPr>
          <w:rFonts w:eastAsia="Times New Roman"/>
          <w:color w:val="000000"/>
          <w:sz w:val="20"/>
          <w:szCs w:val="20"/>
        </w:rPr>
        <w:t>iod-over-period operating performance on a more consistent and comparable basis. NCR’s management believes that presentation of financial measures without this result may contribute to an understanding of the Company's period-over-period operating performa</w:t>
      </w:r>
      <w:r>
        <w:rPr>
          <w:rFonts w:eastAsia="Times New Roman"/>
          <w:color w:val="000000"/>
          <w:sz w:val="20"/>
          <w:szCs w:val="20"/>
        </w:rPr>
        <w:t xml:space="preserve">nce and provides additional insight into historical and/or future performance, which may be helpful for investors. </w:t>
      </w:r>
    </w:p>
    <w:p w:rsidR="00000000" w:rsidRDefault="0040289C">
      <w:pPr>
        <w:jc w:val="both"/>
        <w:divId w:val="86662840"/>
        <w:rPr>
          <w:rFonts w:eastAsia="Times New Roman"/>
        </w:rPr>
      </w:pPr>
    </w:p>
    <w:p w:rsidR="00000000" w:rsidRDefault="0040289C">
      <w:pPr>
        <w:jc w:val="both"/>
        <w:divId w:val="1757050558"/>
        <w:rPr>
          <w:rFonts w:eastAsia="Times New Roman"/>
        </w:rPr>
      </w:pPr>
      <w:r>
        <w:rPr>
          <w:rFonts w:eastAsia="Times New Roman"/>
          <w:i/>
          <w:iCs/>
          <w:color w:val="000000"/>
          <w:sz w:val="20"/>
          <w:szCs w:val="20"/>
        </w:rPr>
        <w:t xml:space="preserve">Adjusted Earnings Before Interest, Taxes, Depreciation and Amortization (“Adjusted EBITDA”) </w:t>
      </w:r>
      <w:r>
        <w:rPr>
          <w:rFonts w:eastAsia="Times New Roman"/>
          <w:color w:val="000000"/>
          <w:sz w:val="20"/>
          <w:szCs w:val="20"/>
        </w:rPr>
        <w:t>NCR's management uses the non-GAAP measure Adjusted EBITDA because it provides useful information to investors as an indicator of strength and performance of the Co</w:t>
      </w:r>
      <w:r>
        <w:rPr>
          <w:rFonts w:eastAsia="Times New Roman"/>
          <w:color w:val="000000"/>
          <w:sz w:val="20"/>
          <w:szCs w:val="20"/>
        </w:rPr>
        <w:t>mpany's ongoing business operations, including funding discretionary spending such as capital expenditures, strategic acquisitions, and other investments. NCR determines Adjusted EBITDA based on GAAP net income (loss) from continuing operations attributabl</w:t>
      </w:r>
      <w:r>
        <w:rPr>
          <w:rFonts w:eastAsia="Times New Roman"/>
          <w:color w:val="000000"/>
          <w:sz w:val="20"/>
          <w:szCs w:val="20"/>
        </w:rPr>
        <w:t>e to NCR plus interest expense, net; plus income tax expense (benefit); plus depreciation and amortization; plus stock-based compensation expense; plus other income (expense); plus pension mark-to-market adjustments, pension settlements, pension curtailmen</w:t>
      </w:r>
      <w:r>
        <w:rPr>
          <w:rFonts w:eastAsia="Times New Roman"/>
          <w:color w:val="000000"/>
          <w:sz w:val="20"/>
          <w:szCs w:val="20"/>
        </w:rPr>
        <w:t>ts and pension special termination benefits and other special items, including amortization of acquisition-related intangibles and transformation and restructuring charges (which includes integration, severance and other exit and disposal costs), among oth</w:t>
      </w:r>
      <w:r>
        <w:rPr>
          <w:rFonts w:eastAsia="Times New Roman"/>
          <w:color w:val="000000"/>
          <w:sz w:val="20"/>
          <w:szCs w:val="20"/>
        </w:rPr>
        <w:t xml:space="preserve">ers. The special items are considered non-operational so are excluded from the Adjusted EBITDA metric utilized by our chief operating decision maker in evaluating segment performance and are separately delineated to reconcile back to total reported income </w:t>
      </w:r>
      <w:r>
        <w:rPr>
          <w:rFonts w:eastAsia="Times New Roman"/>
          <w:color w:val="000000"/>
          <w:sz w:val="20"/>
          <w:szCs w:val="20"/>
        </w:rPr>
        <w:t>(loss) from continuing operations attributable to NCR. This format is useful to investors because it allows analysis and comparability of operating trends. It also includes the same information that is used by NCR management to make decisions regarding the</w:t>
      </w:r>
      <w:r>
        <w:rPr>
          <w:rFonts w:eastAsia="Times New Roman"/>
          <w:color w:val="000000"/>
          <w:sz w:val="20"/>
          <w:szCs w:val="20"/>
        </w:rPr>
        <w:t xml:space="preserve"> segments and to assess our financial performance. Refer to the table below for the reconciliations of net income (loss) from continuing operations attributable to NCR (GAAP) to Adjusted EBITDA (non-GAAP).</w:t>
      </w:r>
    </w:p>
    <w:p w:rsidR="00000000" w:rsidRDefault="0040289C">
      <w:pPr>
        <w:jc w:val="both"/>
        <w:divId w:val="30083135"/>
        <w:rPr>
          <w:rFonts w:eastAsia="Times New Roman"/>
        </w:rPr>
      </w:pPr>
    </w:p>
    <w:p w:rsidR="00000000" w:rsidRDefault="0040289C">
      <w:pPr>
        <w:jc w:val="both"/>
        <w:divId w:val="1425999195"/>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Easter</w:t>
      </w:r>
      <w:r>
        <w:rPr>
          <w:rFonts w:eastAsia="Times New Roman"/>
          <w:color w:val="000000"/>
          <w:sz w:val="20"/>
          <w:szCs w:val="20"/>
        </w:rPr>
        <w:t>n Europe and related sanctions imposed on Russia and related actors by the United States and other jurisdictions required us to commence the orderly wind down of our operations in Russia beginning in the first quarter of 2022. As of December 31, 2022, we h</w:t>
      </w:r>
      <w:r>
        <w:rPr>
          <w:rFonts w:eastAsia="Times New Roman"/>
          <w:color w:val="000000"/>
          <w:sz w:val="20"/>
          <w:szCs w:val="20"/>
        </w:rPr>
        <w:t>ave ceased operations in Russia and are in the process of dissolving our only subsidiary in Russia. As a result, for the year ending December 31, 2022, our non-GAAP presentation of the measures described above exclude the immaterial impact of our operating</w:t>
      </w:r>
      <w:r>
        <w:rPr>
          <w:rFonts w:eastAsia="Times New Roman"/>
          <w:color w:val="000000"/>
          <w:sz w:val="20"/>
          <w:szCs w:val="20"/>
        </w:rPr>
        <w:t xml:space="preserve"> results in Russia, as well as the impact of impairments taken to write down the carrying value of assets and liabilities, severance charges, and the assessment of collectability on revenue recognition. We consider this to be a non-recurring special item a</w:t>
      </w:r>
      <w:r>
        <w:rPr>
          <w:rFonts w:eastAsia="Times New Roman"/>
          <w:color w:val="000000"/>
          <w:sz w:val="20"/>
          <w:szCs w:val="20"/>
        </w:rPr>
        <w:t>nd management has reviewed the results of its business segments excluding these impacts. We have not adjusted the presentation of the prior year periods due to the immaterial impact of Russia to revenue and income from continuing operations for the years e</w:t>
      </w:r>
      <w:r>
        <w:rPr>
          <w:rFonts w:eastAsia="Times New Roman"/>
          <w:color w:val="000000"/>
          <w:sz w:val="20"/>
          <w:szCs w:val="20"/>
        </w:rPr>
        <w:t>nded December 31, 2021 and 2020.</w:t>
      </w:r>
    </w:p>
    <w:p w:rsidR="00000000" w:rsidRDefault="0040289C">
      <w:pPr>
        <w:jc w:val="both"/>
        <w:rPr>
          <w:rFonts w:eastAsia="Times New Roman"/>
        </w:rPr>
      </w:pPr>
    </w:p>
    <w:p w:rsidR="00000000" w:rsidRDefault="0040289C">
      <w:pPr>
        <w:jc w:val="center"/>
        <w:divId w:val="1945334737"/>
        <w:rPr>
          <w:rFonts w:eastAsia="Times New Roman"/>
        </w:rPr>
      </w:pPr>
      <w:r>
        <w:rPr>
          <w:rFonts w:eastAsia="Times New Roman"/>
          <w:color w:val="000000"/>
          <w:sz w:val="20"/>
          <w:szCs w:val="20"/>
        </w:rPr>
        <w:t>38</w:t>
      </w:r>
    </w:p>
    <w:p w:rsidR="00000000" w:rsidRDefault="0040289C">
      <w:pPr>
        <w:rPr>
          <w:rFonts w:eastAsia="Times New Roman"/>
        </w:rPr>
      </w:pPr>
      <w:r>
        <w:rPr>
          <w:rFonts w:eastAsia="Times New Roman"/>
        </w:rPr>
        <w:pict>
          <v:rect id="_x0000_i1068" style="width:0;height:1.5pt" o:hralign="center" o:hrstd="t" o:hr="t" fillcolor="#a0a0a0" stroked="f"/>
        </w:pict>
      </w:r>
    </w:p>
    <w:p w:rsidR="00000000" w:rsidRDefault="0040289C">
      <w:pPr>
        <w:divId w:val="46959291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101298675"/>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NCR's definitions and calculations of these non-GAAP measures may differ from similarly-titled measur</w:t>
      </w:r>
      <w:r>
        <w:rPr>
          <w:rFonts w:eastAsia="Times New Roman"/>
          <w:color w:val="000000"/>
          <w:sz w:val="20"/>
          <w:szCs w:val="20"/>
        </w:rPr>
        <w:t>es reported by other companies and cannot, therefore, be compared with similarly-titled measures of other companies. These non-GAAP measures should not be considered as substitutes for, or superior to, results determined in accordance with GAAP.</w:t>
      </w:r>
    </w:p>
    <w:p w:rsidR="00000000" w:rsidRDefault="0040289C">
      <w:pPr>
        <w:jc w:val="both"/>
        <w:rPr>
          <w:rFonts w:eastAsia="Times New Roman"/>
        </w:rPr>
      </w:pPr>
    </w:p>
    <w:tbl>
      <w:tblPr>
        <w:tblW w:w="4887" w:type="pct"/>
        <w:tblCellMar>
          <w:top w:w="15" w:type="dxa"/>
          <w:left w:w="15" w:type="dxa"/>
          <w:bottom w:w="15" w:type="dxa"/>
          <w:right w:w="15" w:type="dxa"/>
        </w:tblCellMar>
        <w:tblLook w:val="04A0" w:firstRow="1" w:lastRow="0" w:firstColumn="1" w:lastColumn="0" w:noHBand="0" w:noVBand="1"/>
      </w:tblPr>
      <w:tblGrid>
        <w:gridCol w:w="39"/>
        <w:gridCol w:w="5780"/>
        <w:gridCol w:w="37"/>
        <w:gridCol w:w="120"/>
        <w:gridCol w:w="554"/>
        <w:gridCol w:w="36"/>
        <w:gridCol w:w="36"/>
        <w:gridCol w:w="36"/>
        <w:gridCol w:w="36"/>
        <w:gridCol w:w="120"/>
        <w:gridCol w:w="512"/>
        <w:gridCol w:w="36"/>
        <w:gridCol w:w="36"/>
        <w:gridCol w:w="36"/>
        <w:gridCol w:w="36"/>
        <w:gridCol w:w="120"/>
        <w:gridCol w:w="512"/>
        <w:gridCol w:w="36"/>
      </w:tblGrid>
      <w:tr w:rsidR="00000000">
        <w:tc>
          <w:tcPr>
            <w:tcW w:w="50" w:type="pct"/>
            <w:vAlign w:val="center"/>
            <w:hideMark/>
          </w:tcPr>
          <w:p w:rsidR="00000000" w:rsidRDefault="0040289C">
            <w:pPr>
              <w:jc w:val="both"/>
              <w:rPr>
                <w:rFonts w:eastAsia="Times New Roman"/>
              </w:rPr>
            </w:pPr>
          </w:p>
        </w:tc>
        <w:tc>
          <w:tcPr>
            <w:tcW w:w="359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Net income (loss) from continuing operations attributable to NCR (GAAP)</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Pension mark-to-market adjustments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Transformation and restructuring costs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Acquisition-related amortization of intangibles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Acquisition-related (gains) costs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Separation costs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Loss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Depreciation and amortization (excluding acquisition related amortization of intangibles)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Russia</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Adjusted EBITDA (Non-GAAP)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divId w:val="413406245"/>
        <w:rPr>
          <w:rFonts w:eastAsia="Times New Roman"/>
        </w:rPr>
      </w:pPr>
      <w:r>
        <w:rPr>
          <w:rFonts w:eastAsia="Times New Roman"/>
          <w:b/>
          <w:bCs/>
          <w:color w:val="000000"/>
          <w:sz w:val="20"/>
          <w:szCs w:val="20"/>
        </w:rPr>
        <w:t>Consolidated Results</w:t>
      </w:r>
    </w:p>
    <w:p w:rsidR="00000000" w:rsidRDefault="0040289C">
      <w:pPr>
        <w:divId w:val="1688869820"/>
        <w:rPr>
          <w:rFonts w:eastAsia="Times New Roman"/>
        </w:rPr>
      </w:pPr>
    </w:p>
    <w:p w:rsidR="00000000" w:rsidRDefault="0040289C">
      <w:pPr>
        <w:jc w:val="both"/>
        <w:rPr>
          <w:rFonts w:eastAsia="Times New Roman"/>
        </w:rPr>
      </w:pPr>
      <w:r>
        <w:rPr>
          <w:rFonts w:eastAsia="Times New Roman"/>
          <w:color w:val="000000"/>
          <w:sz w:val="20"/>
          <w:szCs w:val="20"/>
        </w:rPr>
        <w:t>The following table shows our results for the years December 31, the relative percentage that those amounts represent to revenue, and the change in those amounts year-over-year. The operations of Cardtronics have been included in the consolidated results f</w:t>
      </w:r>
      <w:r>
        <w:rPr>
          <w:rFonts w:eastAsia="Times New Roman"/>
          <w:color w:val="000000"/>
          <w:sz w:val="20"/>
          <w:szCs w:val="20"/>
        </w:rPr>
        <w:t xml:space="preserve">rom the acquisition close date, June 21, 2021. </w:t>
      </w:r>
    </w:p>
    <w:p w:rsidR="00000000" w:rsidRDefault="0040289C">
      <w:pPr>
        <w:divId w:val="29880346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1897"/>
        <w:gridCol w:w="38"/>
        <w:gridCol w:w="120"/>
        <w:gridCol w:w="570"/>
        <w:gridCol w:w="36"/>
        <w:gridCol w:w="36"/>
        <w:gridCol w:w="36"/>
        <w:gridCol w:w="36"/>
        <w:gridCol w:w="120"/>
        <w:gridCol w:w="500"/>
        <w:gridCol w:w="36"/>
        <w:gridCol w:w="36"/>
        <w:gridCol w:w="36"/>
        <w:gridCol w:w="36"/>
        <w:gridCol w:w="120"/>
        <w:gridCol w:w="500"/>
        <w:gridCol w:w="36"/>
        <w:gridCol w:w="36"/>
        <w:gridCol w:w="36"/>
        <w:gridCol w:w="36"/>
        <w:gridCol w:w="68"/>
        <w:gridCol w:w="452"/>
        <w:gridCol w:w="188"/>
        <w:gridCol w:w="36"/>
        <w:gridCol w:w="36"/>
        <w:gridCol w:w="36"/>
        <w:gridCol w:w="64"/>
        <w:gridCol w:w="456"/>
        <w:gridCol w:w="188"/>
        <w:gridCol w:w="36"/>
        <w:gridCol w:w="36"/>
        <w:gridCol w:w="36"/>
        <w:gridCol w:w="59"/>
        <w:gridCol w:w="461"/>
        <w:gridCol w:w="188"/>
        <w:gridCol w:w="36"/>
        <w:gridCol w:w="36"/>
        <w:gridCol w:w="36"/>
        <w:gridCol w:w="41"/>
        <w:gridCol w:w="500"/>
        <w:gridCol w:w="188"/>
        <w:gridCol w:w="37"/>
        <w:gridCol w:w="36"/>
        <w:gridCol w:w="36"/>
        <w:gridCol w:w="42"/>
        <w:gridCol w:w="447"/>
        <w:gridCol w:w="187"/>
      </w:tblGrid>
      <w:tr w:rsidR="00000000">
        <w:trPr>
          <w:divId w:val="1609853975"/>
        </w:trPr>
        <w:tc>
          <w:tcPr>
            <w:tcW w:w="50" w:type="pct"/>
            <w:vAlign w:val="center"/>
            <w:hideMark/>
          </w:tcPr>
          <w:p w:rsidR="00000000" w:rsidRDefault="0040289C">
            <w:pPr>
              <w:rPr>
                <w:rFonts w:eastAsia="Times New Roman"/>
              </w:rPr>
            </w:pPr>
          </w:p>
        </w:tc>
        <w:tc>
          <w:tcPr>
            <w:tcW w:w="122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5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609853975"/>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rPr>
          <w:divId w:val="1609853975"/>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40289C">
        <w:trPr>
          <w:divId w:val="1609853975"/>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2,351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09853975"/>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4,963 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4,202 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67.7 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09853975"/>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09853975"/>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Product gross margin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09853975"/>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Service gross margin</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1,550 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1,252 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09853975"/>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gross margin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09853975"/>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1,151 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1,069 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09853975"/>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40289C">
        <w:trPr>
          <w:divId w:val="1609853975"/>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Income from operations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divId w:val="1508449019"/>
        <w:rPr>
          <w:rFonts w:eastAsia="Times New Roman"/>
        </w:rPr>
      </w:pPr>
    </w:p>
    <w:p w:rsidR="00000000" w:rsidRDefault="0040289C">
      <w:pPr>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The percentage of revenue is calculated for each line </w:t>
      </w:r>
      <w:r>
        <w:rPr>
          <w:rFonts w:eastAsia="Times New Roman"/>
          <w:color w:val="000000"/>
          <w:sz w:val="14"/>
          <w:szCs w:val="14"/>
        </w:rPr>
        <w:t>item divided by total revenue, except for product gross margin, service gross margin and total gross margin, which are divided by the related component of revenue.</w:t>
      </w:r>
    </w:p>
    <w:p w:rsidR="00000000" w:rsidRDefault="0040289C">
      <w:pPr>
        <w:divId w:val="718893177"/>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Revenue</w:t>
      </w:r>
    </w:p>
    <w:p w:rsidR="00000000" w:rsidRDefault="0040289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907"/>
        <w:gridCol w:w="37"/>
        <w:gridCol w:w="120"/>
        <w:gridCol w:w="570"/>
        <w:gridCol w:w="36"/>
        <w:gridCol w:w="36"/>
        <w:gridCol w:w="36"/>
        <w:gridCol w:w="36"/>
        <w:gridCol w:w="120"/>
        <w:gridCol w:w="500"/>
        <w:gridCol w:w="36"/>
        <w:gridCol w:w="36"/>
        <w:gridCol w:w="36"/>
        <w:gridCol w:w="36"/>
        <w:gridCol w:w="120"/>
        <w:gridCol w:w="500"/>
        <w:gridCol w:w="36"/>
        <w:gridCol w:w="36"/>
        <w:gridCol w:w="36"/>
        <w:gridCol w:w="36"/>
        <w:gridCol w:w="68"/>
        <w:gridCol w:w="452"/>
        <w:gridCol w:w="188"/>
        <w:gridCol w:w="36"/>
        <w:gridCol w:w="36"/>
        <w:gridCol w:w="36"/>
        <w:gridCol w:w="64"/>
        <w:gridCol w:w="456"/>
        <w:gridCol w:w="188"/>
        <w:gridCol w:w="36"/>
        <w:gridCol w:w="36"/>
        <w:gridCol w:w="36"/>
        <w:gridCol w:w="59"/>
        <w:gridCol w:w="461"/>
        <w:gridCol w:w="188"/>
        <w:gridCol w:w="36"/>
        <w:gridCol w:w="36"/>
        <w:gridCol w:w="36"/>
        <w:gridCol w:w="41"/>
        <w:gridCol w:w="500"/>
        <w:gridCol w:w="188"/>
        <w:gridCol w:w="37"/>
        <w:gridCol w:w="36"/>
        <w:gridCol w:w="36"/>
        <w:gridCol w:w="40"/>
        <w:gridCol w:w="449"/>
        <w:gridCol w:w="187"/>
      </w:tblGrid>
      <w:tr w:rsidR="00000000">
        <w:tc>
          <w:tcPr>
            <w:tcW w:w="50" w:type="pct"/>
            <w:vAlign w:val="center"/>
            <w:hideMark/>
          </w:tcPr>
          <w:p w:rsidR="00000000" w:rsidRDefault="0040289C">
            <w:pPr>
              <w:jc w:val="both"/>
              <w:rPr>
                <w:rFonts w:eastAsia="Times New Roman"/>
              </w:rPr>
            </w:pPr>
          </w:p>
        </w:tc>
        <w:tc>
          <w:tcPr>
            <w:tcW w:w="122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5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40289C">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2,351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4,963 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4,202 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67.7 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40289C">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jc w:val="both"/>
        <w:rPr>
          <w:rFonts w:eastAsia="Times New Roman"/>
        </w:rPr>
      </w:pPr>
    </w:p>
    <w:p w:rsidR="00000000" w:rsidRDefault="0040289C">
      <w:pPr>
        <w:jc w:val="center"/>
        <w:divId w:val="191235025"/>
        <w:rPr>
          <w:rFonts w:eastAsia="Times New Roman"/>
        </w:rPr>
      </w:pPr>
      <w:r>
        <w:rPr>
          <w:rFonts w:eastAsia="Times New Roman"/>
          <w:color w:val="000000"/>
          <w:sz w:val="20"/>
          <w:szCs w:val="20"/>
        </w:rPr>
        <w:t>39</w:t>
      </w:r>
    </w:p>
    <w:p w:rsidR="00000000" w:rsidRDefault="0040289C">
      <w:pPr>
        <w:rPr>
          <w:rFonts w:eastAsia="Times New Roman"/>
        </w:rPr>
      </w:pPr>
      <w:r>
        <w:rPr>
          <w:rFonts w:eastAsia="Times New Roman"/>
        </w:rPr>
        <w:pict>
          <v:rect id="_x0000_i1069" style="width:0;height:1.5pt" o:hralign="center" o:hrstd="t" o:hr="t" fillcolor="#a0a0a0" stroked="f"/>
        </w:pict>
      </w:r>
    </w:p>
    <w:p w:rsidR="00000000" w:rsidRDefault="0040289C">
      <w:pPr>
        <w:divId w:val="130943698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048751528"/>
        <w:rPr>
          <w:rFonts w:eastAsia="Times New Roman"/>
        </w:rPr>
      </w:pPr>
    </w:p>
    <w:p w:rsidR="00000000" w:rsidRDefault="0040289C">
      <w:pPr>
        <w:jc w:val="both"/>
        <w:rPr>
          <w:rFonts w:eastAsia="Times New Roman"/>
        </w:rPr>
      </w:pPr>
      <w:r>
        <w:rPr>
          <w:rFonts w:eastAsia="Times New Roman"/>
          <w:color w:val="000000"/>
          <w:sz w:val="20"/>
          <w:szCs w:val="20"/>
        </w:rPr>
        <w:t>Product revenue includes our hardware and software license revenue streams as well as cryptocurrency-related revenues. Service revenue includ</w:t>
      </w:r>
      <w:r>
        <w:rPr>
          <w:rFonts w:eastAsia="Times New Roman"/>
          <w:color w:val="000000"/>
          <w:sz w:val="20"/>
          <w:szCs w:val="20"/>
        </w:rPr>
        <w:t>es hardware and software maintenance revenue, implementation services revenue, cloud revenue, payments processing revenue, interchange and network revenue, as well as professional services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Total revenue increased 10% for the year ended December </w:t>
      </w:r>
      <w:r>
        <w:rPr>
          <w:rFonts w:eastAsia="Times New Roman"/>
          <w:color w:val="000000"/>
          <w:sz w:val="20"/>
          <w:szCs w:val="20"/>
        </w:rPr>
        <w:t xml:space="preserve">31, 2022 compared to the year ended December 31, 2021. Product revenue increased 7% due to growth in POS and SCO revenue as well as the addition of cryptocurrency-related revenue following the acquisition of LibertyX in January 2022, partially offset by a </w:t>
      </w:r>
      <w:r>
        <w:rPr>
          <w:rFonts w:eastAsia="Times New Roman"/>
          <w:color w:val="000000"/>
          <w:sz w:val="20"/>
          <w:szCs w:val="20"/>
        </w:rPr>
        <w:t>slight decline in ATM revenue. Service revenue increased 11% due primarily to growth in payments processing, which includes the results of Cardtronics, software maintenance, and managed services, partially offset by a decline in hardware maintenance revenu</w:t>
      </w:r>
      <w:r>
        <w:rPr>
          <w:rFonts w:eastAsia="Times New Roman"/>
          <w:color w:val="000000"/>
          <w:sz w:val="20"/>
          <w:szCs w:val="20"/>
        </w:rPr>
        <w:t xml:space="preserve">e. Foreign currency fluctuations had an unfavorable impact of 3% on the revenue comparison, primarily in hardware maintenance and hardware product sales. </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Gross Margin</w:t>
      </w:r>
    </w:p>
    <w:p w:rsidR="00000000" w:rsidRDefault="0040289C">
      <w:pPr>
        <w:divId w:val="28666622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909"/>
        <w:gridCol w:w="36"/>
        <w:gridCol w:w="120"/>
        <w:gridCol w:w="570"/>
        <w:gridCol w:w="36"/>
        <w:gridCol w:w="36"/>
        <w:gridCol w:w="36"/>
        <w:gridCol w:w="36"/>
        <w:gridCol w:w="120"/>
        <w:gridCol w:w="500"/>
        <w:gridCol w:w="36"/>
        <w:gridCol w:w="36"/>
        <w:gridCol w:w="36"/>
        <w:gridCol w:w="36"/>
        <w:gridCol w:w="120"/>
        <w:gridCol w:w="500"/>
        <w:gridCol w:w="36"/>
        <w:gridCol w:w="36"/>
        <w:gridCol w:w="36"/>
        <w:gridCol w:w="36"/>
        <w:gridCol w:w="55"/>
        <w:gridCol w:w="401"/>
        <w:gridCol w:w="188"/>
        <w:gridCol w:w="36"/>
        <w:gridCol w:w="36"/>
        <w:gridCol w:w="36"/>
        <w:gridCol w:w="52"/>
        <w:gridCol w:w="457"/>
        <w:gridCol w:w="188"/>
        <w:gridCol w:w="36"/>
        <w:gridCol w:w="36"/>
        <w:gridCol w:w="36"/>
        <w:gridCol w:w="48"/>
        <w:gridCol w:w="520"/>
        <w:gridCol w:w="188"/>
        <w:gridCol w:w="36"/>
        <w:gridCol w:w="36"/>
        <w:gridCol w:w="36"/>
        <w:gridCol w:w="41"/>
        <w:gridCol w:w="527"/>
        <w:gridCol w:w="188"/>
        <w:gridCol w:w="37"/>
        <w:gridCol w:w="36"/>
        <w:gridCol w:w="36"/>
        <w:gridCol w:w="40"/>
        <w:gridCol w:w="449"/>
        <w:gridCol w:w="187"/>
      </w:tblGrid>
      <w:tr w:rsidR="00000000">
        <w:tc>
          <w:tcPr>
            <w:tcW w:w="50" w:type="pct"/>
            <w:vAlign w:val="center"/>
            <w:hideMark/>
          </w:tcPr>
          <w:p w:rsidR="00000000" w:rsidRDefault="0040289C">
            <w:pPr>
              <w:rPr>
                <w:rFonts w:eastAsia="Times New Roman"/>
              </w:rPr>
            </w:pPr>
          </w:p>
        </w:tc>
        <w:tc>
          <w:tcPr>
            <w:tcW w:w="122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5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40289C">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Product gross margin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Service gross margin</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1,550 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1,252 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40289C">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gross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The percentage of revenue is calcula</w:t>
      </w:r>
      <w:r>
        <w:rPr>
          <w:rFonts w:eastAsia="Times New Roman"/>
          <w:color w:val="000000"/>
          <w:sz w:val="14"/>
          <w:szCs w:val="14"/>
        </w:rPr>
        <w:t>ted for each line item divided by the related component of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Gross margin as a percentage of revenue was 23.7%</w:t>
      </w:r>
      <w:r>
        <w:rPr>
          <w:rFonts w:eastAsia="Times New Roman"/>
          <w:color w:val="000000"/>
          <w:sz w:val="20"/>
          <w:szCs w:val="20"/>
        </w:rPr>
        <w:t xml:space="preserve"> in 2022</w:t>
      </w:r>
      <w:r>
        <w:rPr>
          <w:rFonts w:eastAsia="Times New Roman"/>
          <w:color w:val="000000"/>
          <w:sz w:val="20"/>
          <w:szCs w:val="20"/>
          <w:shd w:val="clear" w:color="auto" w:fill="FFFFFF"/>
        </w:rPr>
        <w:t xml:space="preserve"> compared to 26.5% in </w:t>
      </w:r>
      <w:r>
        <w:rPr>
          <w:rFonts w:eastAsia="Times New Roman"/>
          <w:color w:val="000000"/>
          <w:sz w:val="20"/>
          <w:szCs w:val="20"/>
        </w:rPr>
        <w:t>2021</w:t>
      </w:r>
      <w:r>
        <w:rPr>
          <w:rFonts w:eastAsia="Times New Roman"/>
          <w:color w:val="000000"/>
          <w:sz w:val="20"/>
          <w:szCs w:val="20"/>
          <w:shd w:val="clear" w:color="auto" w:fill="FFFFFF"/>
        </w:rPr>
        <w:t xml:space="preserve">. </w:t>
      </w:r>
      <w:r>
        <w:rPr>
          <w:rFonts w:eastAsia="Times New Roman"/>
          <w:color w:val="000000"/>
          <w:sz w:val="20"/>
          <w:szCs w:val="20"/>
        </w:rPr>
        <w:t xml:space="preserve">Gross margin for the year ended December 31, 2022 included $37 million related to transformation and </w:t>
      </w:r>
      <w:r>
        <w:rPr>
          <w:rFonts w:eastAsia="Times New Roman"/>
          <w:color w:val="000000"/>
          <w:sz w:val="20"/>
          <w:szCs w:val="20"/>
        </w:rPr>
        <w:t xml:space="preserve">restructuring costs and $100 million related to amortization of acquisition-related intangible assets, $1 million of acquisition-related costs, and $10 million related to operating losses, impairments and other actions taken with respect to our operations </w:t>
      </w:r>
      <w:r>
        <w:rPr>
          <w:rFonts w:eastAsia="Times New Roman"/>
          <w:color w:val="000000"/>
          <w:sz w:val="20"/>
          <w:szCs w:val="20"/>
        </w:rPr>
        <w:t>in Russia. Gross margin for the year ended December 31, 2021 included $39 million related to transformation and restructuring costs and $60 million related to amortization of acquisition-related intangible assets. Excluding these items, gross margin as a p</w:t>
      </w:r>
      <w:r>
        <w:rPr>
          <w:rFonts w:eastAsia="Times New Roman"/>
          <w:color w:val="000000"/>
          <w:sz w:val="20"/>
          <w:szCs w:val="20"/>
        </w:rPr>
        <w:t>ercentage of revenue decreased from 27.8% to 25.6% due to increases in fuel costs, component parts, and increased interest rates driving higher cost on vault cash agreements as well as other supply chain challenges that negatively impacted our costs. The i</w:t>
      </w:r>
      <w:r>
        <w:rPr>
          <w:rFonts w:eastAsia="Times New Roman"/>
          <w:color w:val="000000"/>
          <w:sz w:val="20"/>
          <w:szCs w:val="20"/>
        </w:rPr>
        <w:t>mpact of these cost increases was partially offset by cost mitigation actions implemented and an increase in the favorable higher margin software and services revenue.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Selling, General and Administrative Expenses</w:t>
      </w:r>
    </w:p>
    <w:p w:rsidR="00000000" w:rsidRDefault="0040289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1899"/>
        <w:gridCol w:w="36"/>
        <w:gridCol w:w="120"/>
        <w:gridCol w:w="570"/>
        <w:gridCol w:w="36"/>
        <w:gridCol w:w="36"/>
        <w:gridCol w:w="36"/>
        <w:gridCol w:w="36"/>
        <w:gridCol w:w="120"/>
        <w:gridCol w:w="500"/>
        <w:gridCol w:w="36"/>
        <w:gridCol w:w="36"/>
        <w:gridCol w:w="36"/>
        <w:gridCol w:w="36"/>
        <w:gridCol w:w="120"/>
        <w:gridCol w:w="500"/>
        <w:gridCol w:w="36"/>
        <w:gridCol w:w="36"/>
        <w:gridCol w:w="36"/>
        <w:gridCol w:w="36"/>
        <w:gridCol w:w="55"/>
        <w:gridCol w:w="401"/>
        <w:gridCol w:w="188"/>
        <w:gridCol w:w="36"/>
        <w:gridCol w:w="36"/>
        <w:gridCol w:w="36"/>
        <w:gridCol w:w="52"/>
        <w:gridCol w:w="457"/>
        <w:gridCol w:w="188"/>
        <w:gridCol w:w="36"/>
        <w:gridCol w:w="36"/>
        <w:gridCol w:w="36"/>
        <w:gridCol w:w="48"/>
        <w:gridCol w:w="520"/>
        <w:gridCol w:w="188"/>
        <w:gridCol w:w="36"/>
        <w:gridCol w:w="36"/>
        <w:gridCol w:w="36"/>
        <w:gridCol w:w="41"/>
        <w:gridCol w:w="527"/>
        <w:gridCol w:w="188"/>
        <w:gridCol w:w="37"/>
        <w:gridCol w:w="36"/>
        <w:gridCol w:w="36"/>
        <w:gridCol w:w="40"/>
        <w:gridCol w:w="449"/>
        <w:gridCol w:w="187"/>
      </w:tblGrid>
      <w:tr w:rsidR="00000000">
        <w:tc>
          <w:tcPr>
            <w:tcW w:w="50" w:type="pct"/>
            <w:vAlign w:val="center"/>
            <w:hideMark/>
          </w:tcPr>
          <w:p w:rsidR="00000000" w:rsidRDefault="0040289C">
            <w:pPr>
              <w:jc w:val="both"/>
              <w:rPr>
                <w:rFonts w:eastAsia="Times New Roman"/>
              </w:rPr>
            </w:pPr>
          </w:p>
        </w:tc>
        <w:tc>
          <w:tcPr>
            <w:tcW w:w="122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5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40289C">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Selling, general and administrative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Selling, general, and administrative expenses were $1,152 million in 2022, flat with 2021. As a percentage of revenue, selling, general and administrative expenses were 14.7% in 2022 and 16.1% in 2021. In 2022, selling, general and administrative expenses </w:t>
      </w:r>
      <w:r>
        <w:rPr>
          <w:rFonts w:eastAsia="Times New Roman"/>
          <w:color w:val="000000"/>
          <w:sz w:val="20"/>
          <w:szCs w:val="20"/>
        </w:rPr>
        <w:t xml:space="preserve">included $64 million of transformation and restructuring costs, $72 million of acquisition-related amortization of intangibles, $9 million of acquisition-related costs, $6 million of costs related to actions taken with respect to our operations in Russia, </w:t>
      </w:r>
      <w:r>
        <w:rPr>
          <w:rFonts w:eastAsia="Times New Roman"/>
          <w:color w:val="000000"/>
          <w:sz w:val="20"/>
          <w:szCs w:val="20"/>
        </w:rPr>
        <w:t>and $3 million in consulting, legal and other costs related to the Company's planned separation into two independent companies. In 2021, selling, general and administrative expenses included $20 million of transformation and restructuring costs, $72 millio</w:t>
      </w:r>
      <w:r>
        <w:rPr>
          <w:rFonts w:eastAsia="Times New Roman"/>
          <w:color w:val="000000"/>
          <w:sz w:val="20"/>
          <w:szCs w:val="20"/>
        </w:rPr>
        <w:t>n of acquisition-related amortization of intangibles and $84 million of acquisition-related costs. Excluding these items, selling, general and administrative expenses decreased as a percentage of revenue from 13.6% in 2021 to 12.7% in 2022, primarily due t</w:t>
      </w:r>
      <w:r>
        <w:rPr>
          <w:rFonts w:eastAsia="Times New Roman"/>
          <w:color w:val="000000"/>
          <w:sz w:val="20"/>
          <w:szCs w:val="20"/>
        </w:rPr>
        <w:t>o cost mitigation actions implemented, including labor cost reductions and changes in employee benefit programs.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Research and Development Expenses</w:t>
      </w:r>
    </w:p>
    <w:p w:rsidR="00000000" w:rsidRDefault="0040289C">
      <w:pPr>
        <w:divId w:val="42457195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1903"/>
        <w:gridCol w:w="36"/>
        <w:gridCol w:w="120"/>
        <w:gridCol w:w="570"/>
        <w:gridCol w:w="36"/>
        <w:gridCol w:w="36"/>
        <w:gridCol w:w="36"/>
        <w:gridCol w:w="36"/>
        <w:gridCol w:w="120"/>
        <w:gridCol w:w="491"/>
        <w:gridCol w:w="36"/>
        <w:gridCol w:w="36"/>
        <w:gridCol w:w="36"/>
        <w:gridCol w:w="36"/>
        <w:gridCol w:w="120"/>
        <w:gridCol w:w="491"/>
        <w:gridCol w:w="36"/>
        <w:gridCol w:w="36"/>
        <w:gridCol w:w="36"/>
        <w:gridCol w:w="36"/>
        <w:gridCol w:w="46"/>
        <w:gridCol w:w="428"/>
        <w:gridCol w:w="188"/>
        <w:gridCol w:w="36"/>
        <w:gridCol w:w="36"/>
        <w:gridCol w:w="36"/>
        <w:gridCol w:w="44"/>
        <w:gridCol w:w="465"/>
        <w:gridCol w:w="188"/>
        <w:gridCol w:w="36"/>
        <w:gridCol w:w="36"/>
        <w:gridCol w:w="36"/>
        <w:gridCol w:w="41"/>
        <w:gridCol w:w="527"/>
        <w:gridCol w:w="188"/>
        <w:gridCol w:w="36"/>
        <w:gridCol w:w="36"/>
        <w:gridCol w:w="36"/>
        <w:gridCol w:w="41"/>
        <w:gridCol w:w="527"/>
        <w:gridCol w:w="188"/>
        <w:gridCol w:w="37"/>
        <w:gridCol w:w="36"/>
        <w:gridCol w:w="36"/>
        <w:gridCol w:w="40"/>
        <w:gridCol w:w="449"/>
        <w:gridCol w:w="187"/>
      </w:tblGrid>
      <w:tr w:rsidR="00000000">
        <w:tc>
          <w:tcPr>
            <w:tcW w:w="50" w:type="pct"/>
            <w:vAlign w:val="center"/>
            <w:hideMark/>
          </w:tcPr>
          <w:p w:rsidR="00000000" w:rsidRDefault="0040289C">
            <w:pPr>
              <w:rPr>
                <w:rFonts w:eastAsia="Times New Roman"/>
              </w:rPr>
            </w:pPr>
          </w:p>
        </w:tc>
        <w:tc>
          <w:tcPr>
            <w:tcW w:w="122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5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Percentage of Total Revenue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40289C">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Research and development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jc w:val="both"/>
        <w:rPr>
          <w:rFonts w:eastAsia="Times New Roman"/>
        </w:rPr>
      </w:pPr>
    </w:p>
    <w:p w:rsidR="00000000" w:rsidRDefault="0040289C">
      <w:pPr>
        <w:jc w:val="center"/>
        <w:divId w:val="586501802"/>
        <w:rPr>
          <w:rFonts w:eastAsia="Times New Roman"/>
        </w:rPr>
      </w:pPr>
      <w:r>
        <w:rPr>
          <w:rFonts w:eastAsia="Times New Roman"/>
          <w:color w:val="000000"/>
          <w:sz w:val="20"/>
          <w:szCs w:val="20"/>
        </w:rPr>
        <w:t>40</w:t>
      </w:r>
    </w:p>
    <w:p w:rsidR="00000000" w:rsidRDefault="0040289C">
      <w:pPr>
        <w:rPr>
          <w:rFonts w:eastAsia="Times New Roman"/>
        </w:rPr>
      </w:pPr>
      <w:r>
        <w:rPr>
          <w:rFonts w:eastAsia="Times New Roman"/>
        </w:rPr>
        <w:pict>
          <v:rect id="_x0000_i1070" style="width:0;height:1.5pt" o:hralign="center" o:hrstd="t" o:hr="t" fillcolor="#a0a0a0" stroked="f"/>
        </w:pict>
      </w:r>
    </w:p>
    <w:p w:rsidR="00000000" w:rsidRDefault="0040289C">
      <w:pPr>
        <w:divId w:val="11502627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586882837"/>
        <w:rPr>
          <w:rFonts w:eastAsia="Times New Roman"/>
        </w:rPr>
      </w:pPr>
    </w:p>
    <w:p w:rsidR="00000000" w:rsidRDefault="0040289C">
      <w:pPr>
        <w:jc w:val="both"/>
        <w:rPr>
          <w:rFonts w:eastAsia="Times New Roman"/>
        </w:rPr>
      </w:pPr>
      <w:r>
        <w:rPr>
          <w:rFonts w:eastAsia="Times New Roman"/>
          <w:color w:val="000000"/>
          <w:sz w:val="20"/>
          <w:szCs w:val="20"/>
        </w:rPr>
        <w:t>Research and development expenses were $217 million in 2022, down from $268 million in 2021. As a percentage of revenue, these costs were 2.8</w:t>
      </w:r>
      <w:r>
        <w:rPr>
          <w:rFonts w:eastAsia="Times New Roman"/>
          <w:color w:val="000000"/>
          <w:sz w:val="20"/>
          <w:szCs w:val="20"/>
        </w:rPr>
        <w:t>% in 2022 and 3.7% in 2021. In 2022, research and development expenses included $12 million of costs related to our transformation and restructuring initiatives. In 2021, research and development expenses included $1 million of transformation and restructu</w:t>
      </w:r>
      <w:r>
        <w:rPr>
          <w:rFonts w:eastAsia="Times New Roman"/>
          <w:color w:val="000000"/>
          <w:sz w:val="20"/>
          <w:szCs w:val="20"/>
        </w:rPr>
        <w:t>ring costs. After considering this item, research and development expenses decreased as a percentage of revenue from 3.7% in 2021 to 2.6% in 2022 due to an increase in development related to our strategic initiatives in 2022 as well as cost-mitigation acti</w:t>
      </w:r>
      <w:r>
        <w:rPr>
          <w:rFonts w:eastAsia="Times New Roman"/>
          <w:color w:val="000000"/>
          <w:sz w:val="20"/>
          <w:szCs w:val="20"/>
        </w:rPr>
        <w:t>ons that were implemented.</w:t>
      </w:r>
    </w:p>
    <w:p w:rsidR="00000000" w:rsidRDefault="0040289C">
      <w:pPr>
        <w:jc w:val="both"/>
        <w:rPr>
          <w:rFonts w:eastAsia="Times New Roman"/>
        </w:rPr>
      </w:pPr>
    </w:p>
    <w:p w:rsidR="00000000" w:rsidRDefault="0040289C">
      <w:pPr>
        <w:divId w:val="1886865587"/>
        <w:rPr>
          <w:rFonts w:eastAsia="Times New Roman"/>
        </w:rPr>
      </w:pPr>
      <w:r>
        <w:rPr>
          <w:rFonts w:eastAsia="Times New Roman"/>
          <w:b/>
          <w:bCs/>
          <w:color w:val="000000"/>
          <w:sz w:val="20"/>
          <w:szCs w:val="20"/>
        </w:rPr>
        <w:t>Loss on Extinguishment of Debt</w:t>
      </w:r>
    </w:p>
    <w:p w:rsidR="00000000" w:rsidRDefault="0040289C">
      <w:pPr>
        <w:divId w:val="66987286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080"/>
        <w:gridCol w:w="36"/>
        <w:gridCol w:w="120"/>
        <w:gridCol w:w="584"/>
        <w:gridCol w:w="36"/>
        <w:gridCol w:w="36"/>
        <w:gridCol w:w="36"/>
        <w:gridCol w:w="36"/>
        <w:gridCol w:w="120"/>
        <w:gridCol w:w="516"/>
        <w:gridCol w:w="36"/>
        <w:gridCol w:w="36"/>
        <w:gridCol w:w="36"/>
        <w:gridCol w:w="36"/>
        <w:gridCol w:w="120"/>
        <w:gridCol w:w="516"/>
        <w:gridCol w:w="36"/>
        <w:gridCol w:w="36"/>
        <w:gridCol w:w="36"/>
        <w:gridCol w:w="36"/>
        <w:gridCol w:w="49"/>
        <w:gridCol w:w="580"/>
        <w:gridCol w:w="188"/>
        <w:gridCol w:w="37"/>
        <w:gridCol w:w="36"/>
        <w:gridCol w:w="36"/>
        <w:gridCol w:w="40"/>
        <w:gridCol w:w="591"/>
        <w:gridCol w:w="187"/>
      </w:tblGrid>
      <w:tr w:rsidR="00000000">
        <w:trPr>
          <w:divId w:val="1177188697"/>
        </w:trPr>
        <w:tc>
          <w:tcPr>
            <w:tcW w:w="50" w:type="pct"/>
            <w:vAlign w:val="center"/>
            <w:hideMark/>
          </w:tcPr>
          <w:p w:rsidR="00000000" w:rsidRDefault="0040289C">
            <w:pPr>
              <w:rPr>
                <w:rFonts w:eastAsia="Times New Roman"/>
              </w:rPr>
            </w:pPr>
          </w:p>
        </w:tc>
        <w:tc>
          <w:tcPr>
            <w:tcW w:w="251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177188697"/>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rPr>
          <w:divId w:val="1177188697"/>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000000">
        <w:trPr>
          <w:divId w:val="1177188697"/>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Loss on extinguishment of debt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divId w:val="1943561900"/>
        <w:rPr>
          <w:rFonts w:eastAsia="Times New Roman"/>
        </w:rPr>
      </w:pPr>
    </w:p>
    <w:p w:rsidR="00000000" w:rsidRDefault="0040289C">
      <w:pPr>
        <w:jc w:val="both"/>
        <w:rPr>
          <w:rFonts w:eastAsia="Times New Roman"/>
        </w:rPr>
      </w:pPr>
      <w:r>
        <w:rPr>
          <w:rFonts w:eastAsia="Times New Roman"/>
          <w:color w:val="000000"/>
          <w:sz w:val="20"/>
          <w:szCs w:val="20"/>
        </w:rPr>
        <w:t>Loss on extinguishment of debt was $42 million in 2021 rel</w:t>
      </w:r>
      <w:r>
        <w:rPr>
          <w:rFonts w:eastAsia="Times New Roman"/>
          <w:color w:val="000000"/>
          <w:sz w:val="20"/>
          <w:szCs w:val="20"/>
        </w:rPr>
        <w:t>ated to the premium paid for early redemption of $400 million aggregate principal amount of 8.125% senior secured notes due 2025, which includes the write-off of deferred financing fees of $5 million and a cash redemption premium of $37 million. Refer to N</w:t>
      </w:r>
      <w:r>
        <w:rPr>
          <w:rFonts w:eastAsia="Times New Roman"/>
          <w:color w:val="000000"/>
          <w:sz w:val="20"/>
          <w:szCs w:val="20"/>
        </w:rPr>
        <w:t>ote 5, “Debt Obligations”, of the Notes to Consolidated Financial Statements in the 2021 Form 10-K for additional discussion on the financing transactions.</w:t>
      </w:r>
    </w:p>
    <w:p w:rsidR="00000000" w:rsidRDefault="0040289C">
      <w:pPr>
        <w:divId w:val="1946377453"/>
        <w:rPr>
          <w:rFonts w:eastAsia="Times New Roman"/>
        </w:rPr>
      </w:pPr>
    </w:p>
    <w:p w:rsidR="00000000" w:rsidRDefault="0040289C">
      <w:pPr>
        <w:jc w:val="both"/>
        <w:rPr>
          <w:rFonts w:eastAsia="Times New Roman"/>
        </w:rPr>
      </w:pPr>
      <w:r>
        <w:rPr>
          <w:rFonts w:eastAsia="Times New Roman"/>
          <w:b/>
          <w:bCs/>
          <w:color w:val="000000"/>
          <w:sz w:val="20"/>
          <w:szCs w:val="20"/>
        </w:rPr>
        <w:t>Interest Expense</w:t>
      </w:r>
    </w:p>
    <w:p w:rsidR="00000000" w:rsidRDefault="0040289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153"/>
        <w:gridCol w:w="36"/>
        <w:gridCol w:w="120"/>
        <w:gridCol w:w="591"/>
        <w:gridCol w:w="36"/>
        <w:gridCol w:w="36"/>
        <w:gridCol w:w="36"/>
        <w:gridCol w:w="36"/>
        <w:gridCol w:w="120"/>
        <w:gridCol w:w="530"/>
        <w:gridCol w:w="36"/>
        <w:gridCol w:w="36"/>
        <w:gridCol w:w="36"/>
        <w:gridCol w:w="36"/>
        <w:gridCol w:w="120"/>
        <w:gridCol w:w="530"/>
        <w:gridCol w:w="36"/>
        <w:gridCol w:w="36"/>
        <w:gridCol w:w="36"/>
        <w:gridCol w:w="36"/>
        <w:gridCol w:w="41"/>
        <w:gridCol w:w="566"/>
        <w:gridCol w:w="188"/>
        <w:gridCol w:w="36"/>
        <w:gridCol w:w="36"/>
        <w:gridCol w:w="36"/>
        <w:gridCol w:w="40"/>
        <w:gridCol w:w="507"/>
        <w:gridCol w:w="187"/>
      </w:tblGrid>
      <w:tr w:rsidR="00000000">
        <w:tc>
          <w:tcPr>
            <w:tcW w:w="50" w:type="pct"/>
            <w:vAlign w:val="center"/>
            <w:hideMark/>
          </w:tcPr>
          <w:p w:rsidR="00000000" w:rsidRDefault="0040289C">
            <w:pPr>
              <w:jc w:val="both"/>
              <w:rPr>
                <w:rFonts w:eastAsia="Times New Roman"/>
              </w:rPr>
            </w:pPr>
          </w:p>
        </w:tc>
        <w:tc>
          <w:tcPr>
            <w:tcW w:w="255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Interest expense was $285 million in 2022 compared to $238</w:t>
      </w:r>
      <w:r>
        <w:rPr>
          <w:rFonts w:eastAsia="Times New Roman"/>
          <w:color w:val="000000"/>
          <w:sz w:val="20"/>
          <w:szCs w:val="20"/>
        </w:rPr>
        <w:t xml:space="preserve"> million in 2021. Interest expense is primarily related to the Company's senior unsecured notes and borrowings under the Company's Senior Secured Credit Facility. The main driver of the increase in interest expense from 2021 to 2022 was the increase in tot</w:t>
      </w:r>
      <w:r>
        <w:rPr>
          <w:rFonts w:eastAsia="Times New Roman"/>
          <w:color w:val="000000"/>
          <w:sz w:val="20"/>
          <w:szCs w:val="20"/>
        </w:rPr>
        <w:t>al outstanding debt as a result of the closing of the acquisition of Cardtronics in the second quarter of 2021, combined with an increase in variable interest rates on the Senior Secured Credit Facility.</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Other Income (Expense), net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Other income (expens</w:t>
      </w:r>
      <w:r>
        <w:rPr>
          <w:rFonts w:eastAsia="Times New Roman"/>
          <w:color w:val="000000"/>
          <w:sz w:val="20"/>
          <w:szCs w:val="20"/>
        </w:rPr>
        <w:t>e), net was income of $7 million in 2022, income of $90 million in 2021 and expense of $42 million in 2020, with the components reflected in the following table: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80"/>
        <w:gridCol w:w="37"/>
        <w:gridCol w:w="120"/>
        <w:gridCol w:w="905"/>
        <w:gridCol w:w="36"/>
        <w:gridCol w:w="36"/>
        <w:gridCol w:w="36"/>
        <w:gridCol w:w="36"/>
        <w:gridCol w:w="120"/>
        <w:gridCol w:w="863"/>
        <w:gridCol w:w="36"/>
        <w:gridCol w:w="36"/>
        <w:gridCol w:w="36"/>
        <w:gridCol w:w="36"/>
        <w:gridCol w:w="120"/>
        <w:gridCol w:w="886"/>
        <w:gridCol w:w="36"/>
      </w:tblGrid>
      <w:tr w:rsidR="00000000">
        <w:trPr>
          <w:jc w:val="center"/>
        </w:trPr>
        <w:tc>
          <w:tcPr>
            <w:tcW w:w="50" w:type="pct"/>
            <w:vAlign w:val="center"/>
            <w:hideMark/>
          </w:tcPr>
          <w:p w:rsidR="00000000" w:rsidRDefault="0040289C">
            <w:pPr>
              <w:jc w:val="both"/>
              <w:rPr>
                <w:rFonts w:eastAsia="Times New Roman"/>
              </w:rPr>
            </w:pPr>
          </w:p>
        </w:tc>
        <w:tc>
          <w:tcPr>
            <w:tcW w:w="29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Foreign currency fluctuations and foreign exchange contracts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Bank-related fees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Employee benefit plans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Impairment of an equity investment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Bargain purchase gain on acquisition</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Other income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Employee benefit plans within other income (expense) net includes the components of pension, postemployment and postretirement expense, other than service cost, as well as actuarial gains and losses from the annual pension mark-to-market adjustment. In 202</w:t>
      </w:r>
      <w:r>
        <w:rPr>
          <w:rFonts w:eastAsia="Times New Roman"/>
          <w:color w:val="000000"/>
          <w:sz w:val="20"/>
          <w:szCs w:val="20"/>
        </w:rPr>
        <w:t>2, there was an actuarial loss of $8 million compared to an actuarial gain of $118 million in 2021. The net actuarial loss in 2022 was primarily due to the impact of economic downturns on the value of plan assets, partially offset by an increase in discoun</w:t>
      </w:r>
      <w:r>
        <w:rPr>
          <w:rFonts w:eastAsia="Times New Roman"/>
          <w:color w:val="000000"/>
          <w:sz w:val="20"/>
          <w:szCs w:val="20"/>
        </w:rPr>
        <w:t>t rates in measuring the benefit obligation. The actuarial gain in 2021 was primarily due to an increase in discount rates as well as a favorable impact from an update to the mortality tables.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In 2022, Other, net includes a $9 million loss recognized on </w:t>
      </w:r>
      <w:r>
        <w:rPr>
          <w:rFonts w:eastAsia="Times New Roman"/>
          <w:color w:val="000000"/>
          <w:sz w:val="20"/>
          <w:szCs w:val="20"/>
        </w:rPr>
        <w:t xml:space="preserve">the divestiture of a non-strategic business.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2021, the Company incurred bank-related fees of $19 million related to certain structuring and commitment fees as a result of the financing transactions entered into during the first quarter of 2021 relate</w:t>
      </w:r>
      <w:r>
        <w:rPr>
          <w:rFonts w:eastAsia="Times New Roman"/>
          <w:color w:val="000000"/>
          <w:sz w:val="20"/>
          <w:szCs w:val="20"/>
        </w:rPr>
        <w:t>d to the transaction with Cardtronics.</w:t>
      </w:r>
    </w:p>
    <w:p w:rsidR="00000000" w:rsidRDefault="0040289C">
      <w:pPr>
        <w:jc w:val="both"/>
        <w:rPr>
          <w:rFonts w:eastAsia="Times New Roman"/>
        </w:rPr>
      </w:pPr>
    </w:p>
    <w:p w:rsidR="00000000" w:rsidRDefault="0040289C">
      <w:pPr>
        <w:jc w:val="center"/>
        <w:divId w:val="1788742192"/>
        <w:rPr>
          <w:rFonts w:eastAsia="Times New Roman"/>
        </w:rPr>
      </w:pPr>
      <w:r>
        <w:rPr>
          <w:rFonts w:eastAsia="Times New Roman"/>
          <w:color w:val="000000"/>
          <w:sz w:val="20"/>
          <w:szCs w:val="20"/>
        </w:rPr>
        <w:t>41</w:t>
      </w:r>
    </w:p>
    <w:p w:rsidR="00000000" w:rsidRDefault="0040289C">
      <w:pPr>
        <w:rPr>
          <w:rFonts w:eastAsia="Times New Roman"/>
        </w:rPr>
      </w:pPr>
      <w:r>
        <w:rPr>
          <w:rFonts w:eastAsia="Times New Roman"/>
        </w:rPr>
        <w:pict>
          <v:rect id="_x0000_i1071" style="width:0;height:1.5pt" o:hralign="center" o:hrstd="t" o:hr="t" fillcolor="#a0a0a0" stroked="f"/>
        </w:pict>
      </w:r>
    </w:p>
    <w:p w:rsidR="00000000" w:rsidRDefault="0040289C">
      <w:pPr>
        <w:divId w:val="82139278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765110550"/>
        <w:rPr>
          <w:rFonts w:eastAsia="Times New Roman"/>
        </w:rPr>
      </w:pPr>
    </w:p>
    <w:p w:rsidR="00000000" w:rsidRDefault="0040289C">
      <w:pPr>
        <w:jc w:val="both"/>
        <w:rPr>
          <w:rFonts w:eastAsia="Times New Roman"/>
        </w:rPr>
      </w:pPr>
      <w:r>
        <w:rPr>
          <w:rFonts w:eastAsia="Times New Roman"/>
          <w:b/>
          <w:bCs/>
          <w:color w:val="000000"/>
          <w:sz w:val="20"/>
          <w:szCs w:val="20"/>
        </w:rPr>
        <w:t>Income Taxes</w:t>
      </w:r>
    </w:p>
    <w:p w:rsidR="00000000" w:rsidRDefault="0040289C">
      <w:pPr>
        <w:ind w:firstLine="495"/>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151"/>
        <w:gridCol w:w="37"/>
        <w:gridCol w:w="120"/>
        <w:gridCol w:w="591"/>
        <w:gridCol w:w="36"/>
        <w:gridCol w:w="36"/>
        <w:gridCol w:w="36"/>
        <w:gridCol w:w="36"/>
        <w:gridCol w:w="120"/>
        <w:gridCol w:w="530"/>
        <w:gridCol w:w="36"/>
        <w:gridCol w:w="36"/>
        <w:gridCol w:w="36"/>
        <w:gridCol w:w="36"/>
        <w:gridCol w:w="120"/>
        <w:gridCol w:w="530"/>
        <w:gridCol w:w="36"/>
        <w:gridCol w:w="36"/>
        <w:gridCol w:w="36"/>
        <w:gridCol w:w="36"/>
        <w:gridCol w:w="41"/>
        <w:gridCol w:w="566"/>
        <w:gridCol w:w="188"/>
        <w:gridCol w:w="36"/>
        <w:gridCol w:w="36"/>
        <w:gridCol w:w="36"/>
        <w:gridCol w:w="51"/>
        <w:gridCol w:w="496"/>
        <w:gridCol w:w="187"/>
      </w:tblGrid>
      <w:tr w:rsidR="00000000">
        <w:tc>
          <w:tcPr>
            <w:tcW w:w="50" w:type="pct"/>
            <w:vAlign w:val="center"/>
            <w:hideMark/>
          </w:tcPr>
          <w:p w:rsidR="00000000" w:rsidRDefault="0040289C">
            <w:pPr>
              <w:ind w:firstLine="495"/>
              <w:jc w:val="both"/>
              <w:rPr>
                <w:rFonts w:eastAsia="Times New Roman"/>
              </w:rPr>
            </w:pPr>
          </w:p>
        </w:tc>
        <w:tc>
          <w:tcPr>
            <w:tcW w:w="255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tax expense (benefit)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effective tax rate was 70% in 2022, 65% in 2021, and 90% in 2020. During 2022, our tax rate was impacted by a $94 million expense from recording a valuation allowance against deferred tax assets in the United Kingdom and other foreign jurisdictions. Du</w:t>
      </w:r>
      <w:r>
        <w:rPr>
          <w:rFonts w:eastAsia="Times New Roman"/>
          <w:color w:val="000000"/>
          <w:sz w:val="20"/>
          <w:szCs w:val="20"/>
        </w:rPr>
        <w:t xml:space="preserve">ring 2021, significant matters impacting our tax rate include a $36 million expense from recording a valuation allowance against interest expense deduction carryforwards in the United States, a $14 million benefit from the deferred tax impact of a tax law </w:t>
      </w:r>
      <w:r>
        <w:rPr>
          <w:rFonts w:eastAsia="Times New Roman"/>
          <w:color w:val="000000"/>
          <w:sz w:val="20"/>
          <w:szCs w:val="20"/>
        </w:rPr>
        <w:t>change in the United Kingdom and a $40 million non-cash expense resulting from an internal entity restructuring.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While we are subject to numerous federal, state and foreign tax audits, we believe that appropriate reserves exist for issues that might aris</w:t>
      </w:r>
      <w:r>
        <w:rPr>
          <w:rFonts w:eastAsia="Times New Roman"/>
          <w:color w:val="000000"/>
          <w:sz w:val="20"/>
          <w:szCs w:val="20"/>
        </w:rPr>
        <w:t xml:space="preserve">e from these audits. Should these audits be settled, the resulting tax effect could impact the tax provision and cash flows in future periods. During 2023, the Company expects to resolve certain tax matters related to U.S. and foreign jurisdictions. These </w:t>
      </w:r>
      <w:r>
        <w:rPr>
          <w:rFonts w:eastAsia="Times New Roman"/>
          <w:color w:val="000000"/>
          <w:sz w:val="20"/>
          <w:szCs w:val="20"/>
        </w:rPr>
        <w:t>resolutions could have a material impact on the effective tax rate in 2023.</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We regularly review our deferred tax assets for recoverability and establish a valuation allowance if it is more likely than not that some portion or all of a deferred tax asset </w:t>
      </w:r>
      <w:r>
        <w:rPr>
          <w:rFonts w:eastAsia="Times New Roman"/>
          <w:color w:val="000000"/>
          <w:sz w:val="20"/>
          <w:szCs w:val="20"/>
        </w:rPr>
        <w:t>will not be realized. The determination as to whether a deferred tax asset will be realized is made on a jurisdictional basis and is based on the evaluation of positive and negative evidence. This evidence includes historical taxable income/loss, projected</w:t>
      </w:r>
      <w:r>
        <w:rPr>
          <w:rFonts w:eastAsia="Times New Roman"/>
          <w:color w:val="000000"/>
          <w:sz w:val="20"/>
          <w:szCs w:val="20"/>
        </w:rPr>
        <w:t xml:space="preserve"> future taxable income, the expected timing of the reversal of existing temporary differences and the implementation of tax planning strategies.  </w:t>
      </w:r>
    </w:p>
    <w:p w:rsidR="00000000" w:rsidRDefault="0040289C">
      <w:pPr>
        <w:divId w:val="338510055"/>
        <w:rPr>
          <w:rFonts w:eastAsia="Times New Roman"/>
        </w:rPr>
      </w:pPr>
    </w:p>
    <w:p w:rsidR="00000000" w:rsidRDefault="0040289C">
      <w:pPr>
        <w:jc w:val="both"/>
        <w:rPr>
          <w:rFonts w:eastAsia="Times New Roman"/>
        </w:rPr>
      </w:pPr>
      <w:r>
        <w:rPr>
          <w:rFonts w:eastAsia="Times New Roman"/>
          <w:b/>
          <w:bCs/>
          <w:color w:val="000000"/>
          <w:sz w:val="20"/>
          <w:szCs w:val="20"/>
        </w:rPr>
        <w:t>Loss from Discontinued Operations, net of tax</w:t>
      </w:r>
    </w:p>
    <w:p w:rsidR="00000000" w:rsidRDefault="0040289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176"/>
        <w:gridCol w:w="36"/>
        <w:gridCol w:w="120"/>
        <w:gridCol w:w="603"/>
        <w:gridCol w:w="36"/>
        <w:gridCol w:w="36"/>
        <w:gridCol w:w="36"/>
        <w:gridCol w:w="36"/>
        <w:gridCol w:w="120"/>
        <w:gridCol w:w="554"/>
        <w:gridCol w:w="36"/>
        <w:gridCol w:w="36"/>
        <w:gridCol w:w="36"/>
        <w:gridCol w:w="36"/>
        <w:gridCol w:w="120"/>
        <w:gridCol w:w="556"/>
        <w:gridCol w:w="36"/>
        <w:gridCol w:w="36"/>
        <w:gridCol w:w="36"/>
        <w:gridCol w:w="36"/>
        <w:gridCol w:w="41"/>
        <w:gridCol w:w="592"/>
        <w:gridCol w:w="37"/>
        <w:gridCol w:w="36"/>
        <w:gridCol w:w="36"/>
        <w:gridCol w:w="36"/>
        <w:gridCol w:w="51"/>
        <w:gridCol w:w="535"/>
        <w:gridCol w:w="187"/>
      </w:tblGrid>
      <w:tr w:rsidR="00000000">
        <w:tc>
          <w:tcPr>
            <w:tcW w:w="50" w:type="pct"/>
            <w:vAlign w:val="center"/>
            <w:hideMark/>
          </w:tcPr>
          <w:p w:rsidR="00000000" w:rsidRDefault="0040289C">
            <w:pPr>
              <w:jc w:val="both"/>
              <w:rPr>
                <w:rFonts w:eastAsia="Times New Roman"/>
              </w:rPr>
            </w:pPr>
          </w:p>
        </w:tc>
        <w:tc>
          <w:tcPr>
            <w:tcW w:w="255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(loss) from discontinued operations, net of tax</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n/m</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ind w:firstLine="495"/>
        <w:jc w:val="both"/>
        <w:rPr>
          <w:rFonts w:eastAsia="Times New Roman"/>
        </w:rPr>
      </w:pPr>
    </w:p>
    <w:p w:rsidR="00000000" w:rsidRDefault="0040289C">
      <w:pPr>
        <w:jc w:val="both"/>
        <w:rPr>
          <w:rFonts w:eastAsia="Times New Roman"/>
        </w:rPr>
      </w:pPr>
      <w:r>
        <w:rPr>
          <w:rFonts w:eastAsia="Times New Roman"/>
          <w:color w:val="000000"/>
          <w:sz w:val="20"/>
          <w:szCs w:val="20"/>
        </w:rPr>
        <w:t>In 2022, the loss from discontinued operations was $4 million, net of tax, primarily</w:t>
      </w:r>
      <w:r>
        <w:rPr>
          <w:rFonts w:eastAsia="Times New Roman"/>
          <w:color w:val="000000"/>
          <w:sz w:val="20"/>
          <w:szCs w:val="20"/>
        </w:rPr>
        <w:t xml:space="preserve"> driven by updates in estimates and assumptions for the Kalamazoo River and Fox River environmental reserves partially offset by insurance recoveries.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2020, the loss from discontinued operations was $72 million, net of tax, primarily related to update</w:t>
      </w:r>
      <w:r>
        <w:rPr>
          <w:rFonts w:eastAsia="Times New Roman"/>
          <w:color w:val="000000"/>
          <w:sz w:val="20"/>
          <w:szCs w:val="20"/>
        </w:rPr>
        <w:t>s in estimates and assumptions for the Fox River and Kalamazoo River environmental reserves.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Revenue and Adjusted EBITDA by Segment</w:t>
      </w:r>
    </w:p>
    <w:p w:rsidR="00000000" w:rsidRDefault="0040289C">
      <w:pPr>
        <w:ind w:firstLine="495"/>
        <w:jc w:val="both"/>
        <w:rPr>
          <w:rFonts w:eastAsia="Times New Roman"/>
        </w:rPr>
      </w:pPr>
    </w:p>
    <w:p w:rsidR="00000000" w:rsidRDefault="0040289C">
      <w:pPr>
        <w:jc w:val="both"/>
        <w:rPr>
          <w:rFonts w:eastAsia="Times New Roman"/>
        </w:rPr>
      </w:pPr>
      <w:r>
        <w:rPr>
          <w:rFonts w:eastAsia="Times New Roman"/>
          <w:color w:val="000000"/>
          <w:sz w:val="20"/>
          <w:szCs w:val="20"/>
        </w:rPr>
        <w:t>The Company manages and reports its businesses in the following segments: Retail, Hospitality, Digital Banking, Payments &amp; Network, and Self-Service Banking. Segments are measured for profitability by the Company’s chief operating decision maker based on r</w:t>
      </w:r>
      <w:r>
        <w:rPr>
          <w:rFonts w:eastAsia="Times New Roman"/>
          <w:color w:val="000000"/>
          <w:sz w:val="20"/>
          <w:szCs w:val="20"/>
        </w:rPr>
        <w:t xml:space="preserve">evenue and segment Adjusted EBITDA. Refer to the section above entitled "Non-GAAP Financial Measures and Use of Certain Terms" for our definition of Adjusted EBITDA and the reconciliation of net income (loss) from continuing operations attributable to NCR </w:t>
      </w:r>
      <w:r>
        <w:rPr>
          <w:rFonts w:eastAsia="Times New Roman"/>
          <w:color w:val="000000"/>
          <w:sz w:val="20"/>
          <w:szCs w:val="20"/>
        </w:rPr>
        <w:t>(GAAP) to Adjusted EBITDA (non-GAAP).</w:t>
      </w:r>
    </w:p>
    <w:p w:rsidR="00000000" w:rsidRDefault="0040289C">
      <w:pPr>
        <w:divId w:val="1594170113"/>
        <w:rPr>
          <w:rFonts w:eastAsia="Times New Roman"/>
        </w:rPr>
      </w:pPr>
    </w:p>
    <w:p w:rsidR="00000000" w:rsidRDefault="0040289C">
      <w:pPr>
        <w:jc w:val="both"/>
        <w:rPr>
          <w:rFonts w:eastAsia="Times New Roman"/>
        </w:rPr>
      </w:pPr>
      <w:r>
        <w:rPr>
          <w:rFonts w:eastAsia="Times New Roman"/>
          <w:color w:val="000000"/>
          <w:sz w:val="20"/>
          <w:szCs w:val="20"/>
        </w:rPr>
        <w:t>Corporate and Other includes income and expenses related to corporate functions that are not specifically attributable to an individual reportable segment along with any immaterial operating segment(s).</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2109425998"/>
        <w:rPr>
          <w:rFonts w:eastAsia="Times New Roman"/>
        </w:rPr>
      </w:pPr>
      <w:r>
        <w:rPr>
          <w:rFonts w:eastAsia="Times New Roman"/>
          <w:color w:val="000000"/>
          <w:sz w:val="20"/>
          <w:szCs w:val="20"/>
        </w:rPr>
        <w:t>42</w:t>
      </w:r>
    </w:p>
    <w:p w:rsidR="00000000" w:rsidRDefault="0040289C">
      <w:pPr>
        <w:rPr>
          <w:rFonts w:eastAsia="Times New Roman"/>
        </w:rPr>
      </w:pPr>
      <w:r>
        <w:rPr>
          <w:rFonts w:eastAsia="Times New Roman"/>
        </w:rPr>
        <w:pict>
          <v:rect id="_x0000_i1072" style="width:0;height:1.5pt" o:hralign="center" o:hrstd="t" o:hr="t" fillcolor="#a0a0a0" stroked="f"/>
        </w:pict>
      </w:r>
    </w:p>
    <w:p w:rsidR="00000000" w:rsidRDefault="0040289C">
      <w:pPr>
        <w:divId w:val="20907838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310397629"/>
        <w:rPr>
          <w:rFonts w:eastAsia="Times New Roman"/>
        </w:rPr>
      </w:pPr>
    </w:p>
    <w:p w:rsidR="00000000" w:rsidRDefault="0040289C">
      <w:pPr>
        <w:jc w:val="both"/>
        <w:rPr>
          <w:rFonts w:eastAsia="Times New Roman"/>
        </w:rPr>
      </w:pPr>
      <w:r>
        <w:rPr>
          <w:rFonts w:eastAsia="Times New Roman"/>
          <w:color w:val="000000"/>
          <w:sz w:val="20"/>
          <w:szCs w:val="20"/>
        </w:rPr>
        <w:t>The following table shows our segment revenue and Adjusted EBITDA for the years ended December 31, the relative percentage that those amounts repre</w:t>
      </w:r>
      <w:r>
        <w:rPr>
          <w:rFonts w:eastAsia="Times New Roman"/>
          <w:color w:val="000000"/>
          <w:sz w:val="20"/>
          <w:szCs w:val="20"/>
        </w:rPr>
        <w:t>sent to revenue, and the change in those amounts year-over-year. The Payments &amp; Network and Self-Service Banking revenue and Adjusted EBITDA metrics below include the results of operations of Cardtronics from the date of acquisition, June 21, 2021.</w:t>
      </w:r>
    </w:p>
    <w:p w:rsidR="00000000" w:rsidRDefault="0040289C">
      <w:pPr>
        <w:divId w:val="81055909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851"/>
        <w:gridCol w:w="38"/>
        <w:gridCol w:w="120"/>
        <w:gridCol w:w="511"/>
        <w:gridCol w:w="36"/>
        <w:gridCol w:w="36"/>
        <w:gridCol w:w="36"/>
        <w:gridCol w:w="36"/>
        <w:gridCol w:w="120"/>
        <w:gridCol w:w="500"/>
        <w:gridCol w:w="36"/>
        <w:gridCol w:w="36"/>
        <w:gridCol w:w="36"/>
        <w:gridCol w:w="36"/>
        <w:gridCol w:w="120"/>
        <w:gridCol w:w="500"/>
        <w:gridCol w:w="36"/>
        <w:gridCol w:w="36"/>
        <w:gridCol w:w="36"/>
        <w:gridCol w:w="36"/>
        <w:gridCol w:w="78"/>
        <w:gridCol w:w="526"/>
        <w:gridCol w:w="188"/>
        <w:gridCol w:w="36"/>
        <w:gridCol w:w="36"/>
        <w:gridCol w:w="36"/>
        <w:gridCol w:w="74"/>
        <w:gridCol w:w="530"/>
        <w:gridCol w:w="188"/>
        <w:gridCol w:w="36"/>
        <w:gridCol w:w="36"/>
        <w:gridCol w:w="36"/>
        <w:gridCol w:w="68"/>
        <w:gridCol w:w="536"/>
        <w:gridCol w:w="188"/>
        <w:gridCol w:w="36"/>
        <w:gridCol w:w="36"/>
        <w:gridCol w:w="36"/>
        <w:gridCol w:w="41"/>
        <w:gridCol w:w="321"/>
        <w:gridCol w:w="188"/>
        <w:gridCol w:w="36"/>
        <w:gridCol w:w="36"/>
        <w:gridCol w:w="36"/>
        <w:gridCol w:w="59"/>
        <w:gridCol w:w="462"/>
        <w:gridCol w:w="187"/>
      </w:tblGrid>
      <w:tr w:rsidR="00000000">
        <w:trPr>
          <w:divId w:val="74019274"/>
        </w:trPr>
        <w:tc>
          <w:tcPr>
            <w:tcW w:w="50" w:type="pct"/>
            <w:vAlign w:val="center"/>
            <w:hideMark/>
          </w:tcPr>
          <w:p w:rsidR="00000000" w:rsidRDefault="0040289C">
            <w:pPr>
              <w:rPr>
                <w:rFonts w:eastAsia="Times New Roman"/>
              </w:rPr>
            </w:pPr>
          </w:p>
        </w:tc>
        <w:tc>
          <w:tcPr>
            <w:tcW w:w="12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4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74019274"/>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Percentage of Revenue</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Increase (Decrease)</w:t>
            </w:r>
          </w:p>
        </w:tc>
      </w:tr>
      <w:tr w:rsidR="00000000">
        <w:trPr>
          <w:divId w:val="74019274"/>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 v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 v 2020</w:t>
            </w:r>
          </w:p>
        </w:tc>
      </w:tr>
      <w:tr w:rsidR="00000000">
        <w:trPr>
          <w:divId w:val="7401927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40289C">
        <w:trPr>
          <w:divId w:val="74019274"/>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Retail</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2,231 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2,030 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849 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686 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Digital Banking</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472 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Payments &amp; Network</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675 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Self-Service Banking</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2,602 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948149621"/>
              <w:rPr>
                <w:rFonts w:eastAsia="Times New Roman"/>
              </w:rPr>
            </w:pPr>
            <w:r>
              <w:rPr>
                <w:rFonts w:eastAsia="Times New Roman"/>
                <w:color w:val="000000"/>
                <w:sz w:val="20"/>
                <w:szCs w:val="20"/>
              </w:rPr>
              <w:t>Elimination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40289C">
        <w:trPr>
          <w:divId w:val="7401927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Segment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294336140"/>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7401927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Height w:val="300"/>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7401927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40289C">
        <w:trPr>
          <w:divId w:val="74019274"/>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Retail</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Digital Banking</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47.9 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Payments &amp; Network</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1,487 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Self-Service Banking</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580 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523 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(399)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(163.5)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(124.2)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(105.8)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74019274"/>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585647104"/>
              <w:rPr>
                <w:rFonts w:eastAsia="Times New Roman"/>
              </w:rPr>
            </w:pPr>
            <w:r>
              <w:rPr>
                <w:rFonts w:eastAsia="Times New Roman"/>
                <w:color w:val="000000"/>
                <w:sz w:val="20"/>
                <w:szCs w:val="20"/>
              </w:rPr>
              <w:t>Elimination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79.1 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40289C">
        <w:trPr>
          <w:divId w:val="7401927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Adjusted EBITDA</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17.4 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14.4 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ind w:hanging="180"/>
        <w:jc w:val="both"/>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The percentage of revenue is calculated for each line item divided by total revenue, except for Adjusted EBITDA, which are divided by the related component</w:t>
      </w:r>
      <w:r>
        <w:rPr>
          <w:rFonts w:eastAsia="Times New Roman"/>
          <w:color w:val="000000"/>
          <w:sz w:val="14"/>
          <w:szCs w:val="14"/>
        </w:rPr>
        <w:t xml:space="preserve"> of revenue.</w:t>
      </w:r>
    </w:p>
    <w:p w:rsidR="00000000" w:rsidRDefault="0040289C">
      <w:pPr>
        <w:ind w:hanging="180"/>
        <w:jc w:val="both"/>
        <w:rPr>
          <w:rFonts w:eastAsia="Times New Roman"/>
        </w:rPr>
      </w:pPr>
      <w:r>
        <w:rPr>
          <w:rFonts w:eastAsia="Times New Roman"/>
          <w:color w:val="000000"/>
          <w:sz w:val="9"/>
          <w:szCs w:val="9"/>
        </w:rPr>
        <w:t>(2)</w:t>
      </w:r>
      <w:r>
        <w:rPr>
          <w:rFonts w:eastAsia="Times New Roman"/>
          <w:color w:val="000000"/>
          <w:sz w:val="9"/>
          <w:szCs w:val="9"/>
        </w:rPr>
        <w:t xml:space="preserve"> </w:t>
      </w:r>
      <w:r>
        <w:rPr>
          <w:rFonts w:eastAsia="Times New Roman"/>
          <w:color w:val="000000"/>
          <w:sz w:val="14"/>
          <w:szCs w:val="14"/>
        </w:rPr>
        <w:t>Eliminations include revenues from contracts with customers and the related costs that are reported in the Payments &amp; Network segment as well as in the Retail or Hospitality segments, including merchant acquiring services that are monetize</w:t>
      </w:r>
      <w:r>
        <w:rPr>
          <w:rFonts w:eastAsia="Times New Roman"/>
          <w:color w:val="000000"/>
          <w:sz w:val="14"/>
          <w:szCs w:val="14"/>
        </w:rPr>
        <w:t>d via payments.</w:t>
      </w:r>
    </w:p>
    <w:p w:rsidR="00000000" w:rsidRDefault="0040289C">
      <w:pPr>
        <w:ind w:hanging="180"/>
        <w:jc w:val="both"/>
        <w:rPr>
          <w:rFonts w:eastAsia="Times New Roman"/>
        </w:rPr>
      </w:pPr>
      <w:r>
        <w:rPr>
          <w:rFonts w:eastAsia="Times New Roman"/>
          <w:color w:val="000000"/>
          <w:sz w:val="9"/>
          <w:szCs w:val="9"/>
        </w:rPr>
        <w:t>(3</w:t>
      </w:r>
      <w:r>
        <w:rPr>
          <w:rFonts w:eastAsia="Times New Roman"/>
          <w:color w:val="000000"/>
          <w:sz w:val="9"/>
          <w:szCs w:val="9"/>
        </w:rPr>
        <w:t>)</w:t>
      </w:r>
      <w:r>
        <w:rPr>
          <w:rFonts w:eastAsia="Times New Roman"/>
          <w:color w:val="000000"/>
          <w:sz w:val="14"/>
          <w:szCs w:val="14"/>
        </w:rPr>
        <w:t xml:space="preserve"> Other adjustment reflects the revenue attributable to the Company's operations in Russia that were excluded from management's measure of revenue due to our announcement to suspend sales to Russia and anticipated orderly wind down of our</w:t>
      </w:r>
      <w:r>
        <w:rPr>
          <w:rFonts w:eastAsia="Times New Roman"/>
          <w:color w:val="000000"/>
          <w:sz w:val="14"/>
          <w:szCs w:val="14"/>
        </w:rPr>
        <w:t xml:space="preserve"> operations in Russia. The revenue attributable to the Russian operations for the years ended December 31, 2021 and 2020 of $48 million and $41 million, respectively, is included in the respective segments.</w:t>
      </w:r>
    </w:p>
    <w:p w:rsidR="00000000" w:rsidRDefault="0040289C">
      <w:pPr>
        <w:divId w:val="67576032"/>
        <w:rPr>
          <w:rFonts w:eastAsia="Times New Roman"/>
        </w:rPr>
      </w:pPr>
    </w:p>
    <w:p w:rsidR="00000000" w:rsidRDefault="0040289C">
      <w:pPr>
        <w:jc w:val="both"/>
        <w:divId w:val="1101141020"/>
        <w:rPr>
          <w:rFonts w:eastAsia="Times New Roman"/>
        </w:rPr>
      </w:pPr>
    </w:p>
    <w:p w:rsidR="00000000" w:rsidRDefault="0040289C">
      <w:pPr>
        <w:jc w:val="center"/>
        <w:divId w:val="1927225836"/>
        <w:rPr>
          <w:rFonts w:eastAsia="Times New Roman"/>
        </w:rPr>
      </w:pPr>
      <w:r>
        <w:rPr>
          <w:rFonts w:eastAsia="Times New Roman"/>
          <w:color w:val="000000"/>
          <w:sz w:val="20"/>
          <w:szCs w:val="20"/>
        </w:rPr>
        <w:t>43</w:t>
      </w:r>
    </w:p>
    <w:p w:rsidR="00000000" w:rsidRDefault="0040289C">
      <w:pPr>
        <w:rPr>
          <w:rFonts w:eastAsia="Times New Roman"/>
        </w:rPr>
      </w:pPr>
      <w:r>
        <w:rPr>
          <w:rFonts w:eastAsia="Times New Roman"/>
        </w:rPr>
        <w:pict>
          <v:rect id="_x0000_i1073" style="width:0;height:1.5pt" o:hralign="center" o:hrstd="t" o:hr="t" fillcolor="#a0a0a0" stroked="f"/>
        </w:pict>
      </w:r>
    </w:p>
    <w:p w:rsidR="00000000" w:rsidRDefault="0040289C">
      <w:pPr>
        <w:divId w:val="103790036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324474937"/>
        <w:rPr>
          <w:rFonts w:eastAsia="Times New Roman"/>
        </w:rPr>
      </w:pPr>
    </w:p>
    <w:p w:rsidR="00000000" w:rsidRDefault="0040289C">
      <w:pPr>
        <w:jc w:val="both"/>
        <w:divId w:val="1138958762"/>
        <w:rPr>
          <w:rFonts w:eastAsia="Times New Roman"/>
        </w:rPr>
      </w:pPr>
      <w:r>
        <w:rPr>
          <w:rFonts w:eastAsia="Times New Roman"/>
          <w:color w:val="000000"/>
          <w:sz w:val="20"/>
          <w:szCs w:val="20"/>
        </w:rPr>
        <w:t>The following table provides a reconciliation of segment and total revenue percentage growth (GAAP) to revenue percentage growth constant currency (non-GAAP) for the twelve months end</w:t>
      </w:r>
      <w:r>
        <w:rPr>
          <w:rFonts w:eastAsia="Times New Roman"/>
          <w:color w:val="000000"/>
          <w:sz w:val="20"/>
          <w:szCs w:val="20"/>
        </w:rPr>
        <w:t>ed December 31, 2022 and December 31, 2021.</w:t>
      </w:r>
    </w:p>
    <w:p w:rsidR="00000000" w:rsidRDefault="0040289C">
      <w:pPr>
        <w:jc w:val="both"/>
        <w:divId w:val="259223597"/>
        <w:rPr>
          <w:rFonts w:eastAsia="Times New Roman"/>
        </w:rPr>
      </w:pPr>
    </w:p>
    <w:tbl>
      <w:tblPr>
        <w:tblW w:w="4908" w:type="pct"/>
        <w:tblCellMar>
          <w:top w:w="15" w:type="dxa"/>
          <w:left w:w="15" w:type="dxa"/>
          <w:bottom w:w="15" w:type="dxa"/>
          <w:right w:w="15" w:type="dxa"/>
        </w:tblCellMar>
        <w:tblLook w:val="04A0" w:firstRow="1" w:lastRow="0" w:firstColumn="1" w:lastColumn="0" w:noHBand="0" w:noVBand="1"/>
      </w:tblPr>
      <w:tblGrid>
        <w:gridCol w:w="54"/>
        <w:gridCol w:w="211"/>
        <w:gridCol w:w="39"/>
        <w:gridCol w:w="54"/>
        <w:gridCol w:w="736"/>
        <w:gridCol w:w="37"/>
        <w:gridCol w:w="36"/>
        <w:gridCol w:w="36"/>
        <w:gridCol w:w="36"/>
        <w:gridCol w:w="84"/>
        <w:gridCol w:w="773"/>
        <w:gridCol w:w="220"/>
        <w:gridCol w:w="36"/>
        <w:gridCol w:w="36"/>
        <w:gridCol w:w="36"/>
        <w:gridCol w:w="99"/>
        <w:gridCol w:w="1012"/>
        <w:gridCol w:w="220"/>
        <w:gridCol w:w="36"/>
        <w:gridCol w:w="36"/>
        <w:gridCol w:w="36"/>
        <w:gridCol w:w="55"/>
        <w:gridCol w:w="805"/>
        <w:gridCol w:w="220"/>
        <w:gridCol w:w="36"/>
        <w:gridCol w:w="36"/>
        <w:gridCol w:w="36"/>
        <w:gridCol w:w="84"/>
        <w:gridCol w:w="773"/>
        <w:gridCol w:w="220"/>
        <w:gridCol w:w="36"/>
        <w:gridCol w:w="36"/>
        <w:gridCol w:w="36"/>
        <w:gridCol w:w="99"/>
        <w:gridCol w:w="1012"/>
        <w:gridCol w:w="220"/>
        <w:gridCol w:w="36"/>
        <w:gridCol w:w="36"/>
        <w:gridCol w:w="36"/>
        <w:gridCol w:w="55"/>
        <w:gridCol w:w="805"/>
        <w:gridCol w:w="220"/>
      </w:tblGrid>
      <w:tr w:rsidR="00000000">
        <w:trPr>
          <w:divId w:val="1969971835"/>
        </w:trPr>
        <w:tc>
          <w:tcPr>
            <w:tcW w:w="50" w:type="pct"/>
            <w:vAlign w:val="center"/>
            <w:hideMark/>
          </w:tcPr>
          <w:p w:rsidR="00000000" w:rsidRDefault="0040289C">
            <w:pPr>
              <w:jc w:val="both"/>
              <w:rPr>
                <w:rFonts w:eastAsia="Times New Roman"/>
              </w:rPr>
            </w:pPr>
          </w:p>
        </w:tc>
        <w:tc>
          <w:tcPr>
            <w:tcW w:w="19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8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1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4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1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4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69971835"/>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2021</w:t>
            </w:r>
          </w:p>
        </w:tc>
      </w:tr>
      <w:tr w:rsidR="00000000">
        <w:trPr>
          <w:divId w:val="1969971835"/>
        </w:trPr>
        <w:tc>
          <w:tcPr>
            <w:tcW w:w="0" w:type="auto"/>
            <w:gridSpan w:val="6"/>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Revenue Growth % (GAAP)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Favorable (Unfavorable) FX Impact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 xml:space="preserve">Revenue Growth % </w:t>
            </w:r>
            <w:r>
              <w:rPr>
                <w:rFonts w:eastAsia="Times New Roman"/>
                <w:b/>
                <w:bCs/>
                <w:color w:val="000000"/>
                <w:sz w:val="18"/>
                <w:szCs w:val="18"/>
              </w:rPr>
              <w:br/>
              <w:t>Constant Currency (non-GAAP)</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Revenue Growth % (GAAP)</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Favorable (Unfavorable) FX Impact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8"/>
                <w:szCs w:val="18"/>
              </w:rPr>
              <w:t xml:space="preserve">Revenue Growth % </w:t>
            </w:r>
            <w:r>
              <w:rPr>
                <w:rFonts w:eastAsia="Times New Roman"/>
                <w:b/>
                <w:bCs/>
                <w:color w:val="000000"/>
                <w:sz w:val="18"/>
                <w:szCs w:val="18"/>
              </w:rPr>
              <w:br/>
              <w:t>Constant Currency (non-GAAP)</w:t>
            </w:r>
          </w:p>
        </w:tc>
      </w:tr>
      <w:tr w:rsidR="00000000">
        <w:trPr>
          <w:divId w:val="1969971835"/>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Retail</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969971835"/>
        </w:trPr>
        <w:tc>
          <w:tcPr>
            <w:tcW w:w="0" w:type="auto"/>
            <w:gridSpan w:val="6"/>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Hospitality</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969971835"/>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Digital Banking</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969971835"/>
        </w:trPr>
        <w:tc>
          <w:tcPr>
            <w:tcW w:w="0" w:type="auto"/>
            <w:gridSpan w:val="6"/>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Payments &amp; Network</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969971835"/>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Self-Service Banking</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969971835"/>
        </w:trPr>
        <w:tc>
          <w:tcPr>
            <w:tcW w:w="0" w:type="auto"/>
            <w:gridSpan w:val="6"/>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Corporate and Other</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969971835"/>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Eliminations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969971835"/>
        </w:trPr>
        <w:tc>
          <w:tcPr>
            <w:tcW w:w="0" w:type="auto"/>
            <w:gridSpan w:val="6"/>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segment revenue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r>
      <w:tr w:rsidR="00000000">
        <w:trPr>
          <w:divId w:val="1969971835"/>
        </w:trPr>
        <w:tc>
          <w:tcPr>
            <w:tcW w:w="0" w:type="auto"/>
            <w:gridSpan w:val="3"/>
            <w:vAlign w:val="center"/>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1969971835"/>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r>
    </w:tbl>
    <w:p w:rsidR="00000000" w:rsidRDefault="0040289C">
      <w:pPr>
        <w:jc w:val="both"/>
        <w:rPr>
          <w:rFonts w:eastAsia="Times New Roman"/>
        </w:rPr>
      </w:pPr>
    </w:p>
    <w:p w:rsidR="00000000" w:rsidRDefault="0040289C">
      <w:pPr>
        <w:divId w:val="779180505"/>
        <w:rPr>
          <w:rFonts w:eastAsia="Times New Roman"/>
        </w:rPr>
      </w:pPr>
    </w:p>
    <w:p w:rsidR="00000000" w:rsidRDefault="0040289C">
      <w:pPr>
        <w:jc w:val="both"/>
        <w:rPr>
          <w:rFonts w:eastAsia="Times New Roman"/>
        </w:rPr>
      </w:pPr>
      <w:r>
        <w:rPr>
          <w:rFonts w:eastAsia="Times New Roman"/>
          <w:b/>
          <w:bCs/>
          <w:color w:val="000000"/>
          <w:sz w:val="20"/>
          <w:szCs w:val="20"/>
        </w:rPr>
        <w:t>Segment Revenue</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For the year ended December 31, 202</w:t>
      </w:r>
      <w:r>
        <w:rPr>
          <w:rFonts w:eastAsia="Times New Roman"/>
          <w:i/>
          <w:iCs/>
          <w:color w:val="000000"/>
          <w:sz w:val="20"/>
          <w:szCs w:val="20"/>
        </w:rPr>
        <w:t>2 compared to the year ended December 31, 2021</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Retail revenue increased 1% for the year ended December 31, 2022 compared to the prior year period. Foreign currency fluctuations had an unfavorable impact of 4% on the revenue comparison. The increase in re</w:t>
      </w:r>
      <w:r>
        <w:rPr>
          <w:rFonts w:eastAsia="Times New Roman"/>
          <w:color w:val="000000"/>
          <w:sz w:val="20"/>
          <w:szCs w:val="20"/>
        </w:rPr>
        <w:t>venue compared to the prior period is due to an increase in self-checkout and point-of-sale hardware revenue and an increase in point-of-sale solutions revenue partially offset by a decrease in software license and hardware maintenance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Hospitali</w:t>
      </w:r>
      <w:r>
        <w:rPr>
          <w:rFonts w:eastAsia="Times New Roman"/>
          <w:color w:val="000000"/>
          <w:sz w:val="20"/>
          <w:szCs w:val="20"/>
        </w:rPr>
        <w:t>ty revenue increased 9% for the year ended December 31, 2022, compared to the prior year period driven primarily by an increase in point-of-sale hardware, as well as increases in hardware maintenance and software revenues, including growth in payment proce</w:t>
      </w:r>
      <w:r>
        <w:rPr>
          <w:rFonts w:eastAsia="Times New Roman"/>
          <w:color w:val="000000"/>
          <w:sz w:val="20"/>
          <w:szCs w:val="20"/>
        </w:rPr>
        <w:t>ssing.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Digital Banking revenue increased 6% for the year ended December 31, 2022 compared to the prior year period due to an increase in software license and cloud services revenues.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Payments &amp; Network revenue increased 91% for the year ended December</w:t>
      </w:r>
      <w:r>
        <w:rPr>
          <w:rFonts w:eastAsia="Times New Roman"/>
          <w:color w:val="000000"/>
          <w:sz w:val="20"/>
          <w:szCs w:val="20"/>
        </w:rPr>
        <w:t xml:space="preserve"> 31, 2022 compared to the prior year period. Foreign currency fluctuations had an unfavorable impact of 5% on the revenue comparison. The increase is primarily due to additional payments processing revenue from the acquisition of Cardtronics, which occurre</w:t>
      </w:r>
      <w:r>
        <w:rPr>
          <w:rFonts w:eastAsia="Times New Roman"/>
          <w:color w:val="000000"/>
          <w:sz w:val="20"/>
          <w:szCs w:val="20"/>
        </w:rPr>
        <w:t>d on June 21, 2021. Additionally, the year ended</w:t>
      </w:r>
      <w:r>
        <w:rPr>
          <w:rFonts w:eastAsia="Times New Roman"/>
          <w:i/>
          <w:iCs/>
          <w:color w:val="000000"/>
          <w:sz w:val="20"/>
          <w:szCs w:val="20"/>
        </w:rPr>
        <w:t xml:space="preserve"> </w:t>
      </w:r>
      <w:r>
        <w:rPr>
          <w:rFonts w:eastAsia="Times New Roman"/>
          <w:color w:val="000000"/>
          <w:sz w:val="20"/>
          <w:szCs w:val="20"/>
        </w:rPr>
        <w:t xml:space="preserve">December 31, 2022 includes revenue from cryptocurrency-related transactions following the acquisition of LibertyX in January 2022. </w:t>
      </w:r>
    </w:p>
    <w:p w:rsidR="00000000" w:rsidRDefault="0040289C">
      <w:pPr>
        <w:divId w:val="136145032"/>
        <w:rPr>
          <w:rFonts w:eastAsia="Times New Roman"/>
        </w:rPr>
      </w:pPr>
    </w:p>
    <w:p w:rsidR="00000000" w:rsidRDefault="0040289C">
      <w:pPr>
        <w:jc w:val="both"/>
        <w:rPr>
          <w:rFonts w:eastAsia="Times New Roman"/>
        </w:rPr>
      </w:pPr>
      <w:r>
        <w:rPr>
          <w:rFonts w:eastAsia="Times New Roman"/>
          <w:color w:val="000000"/>
          <w:sz w:val="20"/>
          <w:szCs w:val="20"/>
        </w:rPr>
        <w:t>Self-Service Banking revenue for the year ended December 31, 2022 was fla</w:t>
      </w:r>
      <w:r>
        <w:rPr>
          <w:rFonts w:eastAsia="Times New Roman"/>
          <w:color w:val="000000"/>
          <w:sz w:val="20"/>
          <w:szCs w:val="20"/>
        </w:rPr>
        <w:t>t in comparison to the prior year period. Foreign currency fluctuations had an unfavorable impact of 4% in the revenue comparisons. Revenue compared to prior year period was driven by an increase in services revenues, including hardware maintenance and ATM</w:t>
      </w:r>
      <w:r>
        <w:rPr>
          <w:rFonts w:eastAsia="Times New Roman"/>
          <w:color w:val="000000"/>
          <w:sz w:val="20"/>
          <w:szCs w:val="20"/>
        </w:rPr>
        <w:t xml:space="preserve">-as-a-Service, offset by a decline in ATM hardware sales. Software and services revenue as a percent of total Self-Service Banking segment revenue was 68% in the years ended December 31, 2022 and 2021.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For the operations grouped as Other, revenue decreased 18% for the year ended December 31, 2022 compared to the prior year period, primarily due to a decrease in hardware maintenance revenue in the telecommunications and technology business.</w:t>
      </w:r>
    </w:p>
    <w:p w:rsidR="00000000" w:rsidRDefault="0040289C">
      <w:pPr>
        <w:divId w:val="1602487689"/>
        <w:rPr>
          <w:rFonts w:eastAsia="Times New Roman"/>
        </w:rPr>
      </w:pPr>
    </w:p>
    <w:p w:rsidR="00000000" w:rsidRDefault="0040289C">
      <w:pPr>
        <w:jc w:val="both"/>
        <w:rPr>
          <w:rFonts w:eastAsia="Times New Roman"/>
        </w:rPr>
      </w:pPr>
      <w:r>
        <w:rPr>
          <w:rFonts w:eastAsia="Times New Roman"/>
          <w:i/>
          <w:iCs/>
          <w:color w:val="000000"/>
          <w:sz w:val="20"/>
          <w:szCs w:val="20"/>
        </w:rPr>
        <w:t>For the year</w:t>
      </w:r>
      <w:r>
        <w:rPr>
          <w:rFonts w:eastAsia="Times New Roman"/>
          <w:i/>
          <w:iCs/>
          <w:color w:val="000000"/>
          <w:sz w:val="20"/>
          <w:szCs w:val="20"/>
        </w:rPr>
        <w:t xml:space="preserve"> ended December 31, 2021 compared to the year ended December 31, 2020</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Retail revenue increased 10% for the year ended December 31, 2021 compared to the prior year period due to higher point-of-sale and self-checkout solutions revenue. </w:t>
      </w:r>
    </w:p>
    <w:p w:rsidR="00000000" w:rsidRDefault="0040289C">
      <w:pPr>
        <w:jc w:val="both"/>
        <w:rPr>
          <w:rFonts w:eastAsia="Times New Roman"/>
        </w:rPr>
      </w:pPr>
    </w:p>
    <w:p w:rsidR="00000000" w:rsidRDefault="0040289C">
      <w:pPr>
        <w:jc w:val="center"/>
        <w:divId w:val="1765951891"/>
        <w:rPr>
          <w:rFonts w:eastAsia="Times New Roman"/>
        </w:rPr>
      </w:pPr>
      <w:r>
        <w:rPr>
          <w:rFonts w:eastAsia="Times New Roman"/>
          <w:color w:val="000000"/>
          <w:sz w:val="20"/>
          <w:szCs w:val="20"/>
        </w:rPr>
        <w:t>44</w:t>
      </w:r>
    </w:p>
    <w:p w:rsidR="00000000" w:rsidRDefault="0040289C">
      <w:pPr>
        <w:rPr>
          <w:rFonts w:eastAsia="Times New Roman"/>
        </w:rPr>
      </w:pPr>
      <w:r>
        <w:rPr>
          <w:rFonts w:eastAsia="Times New Roman"/>
        </w:rPr>
        <w:pict>
          <v:rect id="_x0000_i1074" style="width:0;height:1.5pt" o:hralign="center" o:hrstd="t" o:hr="t" fillcolor="#a0a0a0" stroked="f"/>
        </w:pict>
      </w:r>
    </w:p>
    <w:p w:rsidR="00000000" w:rsidRDefault="0040289C">
      <w:pPr>
        <w:divId w:val="63625357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061399695"/>
        <w:rPr>
          <w:rFonts w:eastAsia="Times New Roman"/>
        </w:rPr>
      </w:pPr>
    </w:p>
    <w:p w:rsidR="00000000" w:rsidRDefault="0040289C">
      <w:pPr>
        <w:jc w:val="both"/>
        <w:rPr>
          <w:rFonts w:eastAsia="Times New Roman"/>
        </w:rPr>
      </w:pPr>
      <w:r>
        <w:rPr>
          <w:rFonts w:eastAsia="Times New Roman"/>
          <w:color w:val="000000"/>
          <w:sz w:val="20"/>
          <w:szCs w:val="20"/>
        </w:rPr>
        <w:t>Hospitality revenue increased 24% for the year ended December 31, 2021 compared to the prior year period driven primarily by an increase in point-of-sale</w:t>
      </w:r>
      <w:r>
        <w:rPr>
          <w:rFonts w:eastAsia="Times New Roman"/>
          <w:color w:val="000000"/>
          <w:sz w:val="20"/>
          <w:szCs w:val="20"/>
        </w:rPr>
        <w:t xml:space="preserve"> solutions revenue.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Digital Banking revenue increased 9% for the year ended December 31, 2021 compared to the prior year period due to an increase in software license and cloud services revenues.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Payments &amp; Network revenue increased significantly for </w:t>
      </w:r>
      <w:r>
        <w:rPr>
          <w:rFonts w:eastAsia="Times New Roman"/>
          <w:color w:val="000000"/>
          <w:sz w:val="20"/>
          <w:szCs w:val="20"/>
        </w:rPr>
        <w:t xml:space="preserve">the year ended December 31, 2021 compared to the prior year period due to additional payments processing revenue from the acquisition of Cardtronics, which occurred on June 21, 2021.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Self-Service Banking revenue increased 1% for the year ended December </w:t>
      </w:r>
      <w:r>
        <w:rPr>
          <w:rFonts w:eastAsia="Times New Roman"/>
          <w:color w:val="000000"/>
          <w:sz w:val="20"/>
          <w:szCs w:val="20"/>
        </w:rPr>
        <w:t>31, 2021 compared to the prior year period due primarily due to higher software and services revenue, including software and hardware maintenance as well as ATM-as-a-Service revenue from the acquisition of Cardtronics, which occurred on June 21, 2021, part</w:t>
      </w:r>
      <w:r>
        <w:rPr>
          <w:rFonts w:eastAsia="Times New Roman"/>
          <w:color w:val="000000"/>
          <w:sz w:val="20"/>
          <w:szCs w:val="20"/>
        </w:rPr>
        <w:t>ially offset by a decline in ATM hardware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For the operations grouped as Other, revenue decreased 14% for the year ended December 31, 2021 compared to the prior year period driven by a decrease in services revenue in the telecommunications and te</w:t>
      </w:r>
      <w:r>
        <w:rPr>
          <w:rFonts w:eastAsia="Times New Roman"/>
          <w:color w:val="000000"/>
          <w:sz w:val="20"/>
          <w:szCs w:val="20"/>
        </w:rPr>
        <w:t>chnology business.</w:t>
      </w:r>
    </w:p>
    <w:p w:rsidR="00000000" w:rsidRDefault="0040289C">
      <w:pPr>
        <w:divId w:val="72552552"/>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Segment Adjusted EBITDA</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For the year ended December 31, 2022 compared to the year ended December 31, 2021</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Retail Adjusted EBITDA decreased 6% for the year ended December 31, 2022 compared to the prior year period. The decline in </w:t>
      </w:r>
      <w:r>
        <w:rPr>
          <w:rFonts w:eastAsia="Times New Roman"/>
          <w:color w:val="000000"/>
          <w:sz w:val="20"/>
          <w:szCs w:val="20"/>
        </w:rPr>
        <w:t>Adjusted EBITDA compared to the prior year period is primarily driven by product cost and mix, increased labor costs, and other supply chain challenges.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Hospitality Adjusted EBITDA increased 22% for the year ended December 31, 2022 compared to the prior year period primarily driven by an increase in revenue driven by subscription and payments processing. These improvements were partially offset by supply c</w:t>
      </w:r>
      <w:r>
        <w:rPr>
          <w:rFonts w:eastAsia="Times New Roman"/>
          <w:color w:val="000000"/>
          <w:sz w:val="20"/>
          <w:szCs w:val="20"/>
        </w:rPr>
        <w:t xml:space="preserve">hain challenges and increased fuel costs which drove up component and other costs, particularly in transaction services and hardware.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Digital Banking Adjusted EBITDA increased 6% for the year ended December 31, 2022 compared to the prior year period driven by an increase in recurring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Payments &amp; Network Adjusted EBITDA increased by 70% for the year ended December 31, 2022 compa</w:t>
      </w:r>
      <w:r>
        <w:rPr>
          <w:rFonts w:eastAsia="Times New Roman"/>
          <w:color w:val="000000"/>
          <w:sz w:val="20"/>
          <w:szCs w:val="20"/>
        </w:rPr>
        <w:t>red to the prior year period. This was primarily due to additional payments processing revenue from the acquisition of Cardtronics, which occurred in the second quarter of 2021. Payments &amp; Network Adjusted EBITDA for the year ended December 31, 2022 has be</w:t>
      </w:r>
      <w:r>
        <w:rPr>
          <w:rFonts w:eastAsia="Times New Roman"/>
          <w:color w:val="000000"/>
          <w:sz w:val="20"/>
          <w:szCs w:val="20"/>
        </w:rPr>
        <w:t>en negatively impacted by higher interest rates, which increases the cost of our vault cash rental obligations.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Self-Service Banking Adjusted EBITDA declined 3% for the year ended December 31, 2022 compared to the prior year period primarily due to suppl</w:t>
      </w:r>
      <w:r>
        <w:rPr>
          <w:rFonts w:eastAsia="Times New Roman"/>
          <w:color w:val="000000"/>
          <w:sz w:val="20"/>
          <w:szCs w:val="20"/>
        </w:rPr>
        <w:t>y chain challenges and increased fuel costs which drove up component and other costs, particularly in ATM hardware, hardware maintenance and transaction services. These headwinds were partially offset by an increase in recurring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Corporate and Ot</w:t>
      </w:r>
      <w:r>
        <w:rPr>
          <w:rFonts w:eastAsia="Times New Roman"/>
          <w:color w:val="000000"/>
          <w:sz w:val="20"/>
          <w:szCs w:val="20"/>
        </w:rPr>
        <w:t>her Adjusted EBITDA loss increased 8% for the year ended December 31, 2022 compared to the prior year period primarily due to infrastructure costs of the Cardtronics business that was acquired on June 21, 2021.</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For the year ended December 31, 2021 compar</w:t>
      </w:r>
      <w:r>
        <w:rPr>
          <w:rFonts w:eastAsia="Times New Roman"/>
          <w:i/>
          <w:iCs/>
          <w:color w:val="000000"/>
          <w:sz w:val="20"/>
          <w:szCs w:val="20"/>
        </w:rPr>
        <w:t>ed to the year ended December 31, 2020</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Retail, Hospitality, Payments &amp; Network and Self-Service Banking Adjusted EBITDA increased for the year ended December 31, 2021 compared to 2020 primarily driven by higher revenue as well as benefits realized from c</w:t>
      </w:r>
      <w:r>
        <w:rPr>
          <w:rFonts w:eastAsia="Times New Roman"/>
          <w:color w:val="000000"/>
          <w:sz w:val="20"/>
          <w:szCs w:val="20"/>
        </w:rPr>
        <w:t xml:space="preserve">ost reduction actions taken in the prior year.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Digital Banking Adjusted EBITDA decreased 6% for the year ended December 31, 2021 compared to the prior year period due to an increase in research and development spend on strategic initiatives and an incre</w:t>
      </w:r>
      <w:r>
        <w:rPr>
          <w:rFonts w:eastAsia="Times New Roman"/>
          <w:color w:val="000000"/>
          <w:sz w:val="20"/>
          <w:szCs w:val="20"/>
        </w:rPr>
        <w:t>ase in other operating expenses, partially offset by higher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Corporate and Other Adjusted EBITDA loss increased for the year ended December 31, 2021 compared to 2020 driven by lower revenue in the telecommunications and technology business as wel</w:t>
      </w:r>
      <w:r>
        <w:rPr>
          <w:rFonts w:eastAsia="Times New Roman"/>
          <w:color w:val="000000"/>
          <w:sz w:val="20"/>
          <w:szCs w:val="20"/>
        </w:rPr>
        <w:t>l as infrastructure costs of the Cardtronics business that was acquired on June 21, 2021, partially offset by benefits realized from cost reduction actions taken in the prior year.</w:t>
      </w:r>
    </w:p>
    <w:p w:rsidR="00000000" w:rsidRDefault="0040289C">
      <w:pPr>
        <w:jc w:val="center"/>
        <w:divId w:val="1705984285"/>
        <w:rPr>
          <w:rFonts w:eastAsia="Times New Roman"/>
        </w:rPr>
      </w:pPr>
      <w:r>
        <w:rPr>
          <w:rFonts w:eastAsia="Times New Roman"/>
          <w:color w:val="000000"/>
          <w:sz w:val="20"/>
          <w:szCs w:val="20"/>
        </w:rPr>
        <w:t>45</w:t>
      </w:r>
    </w:p>
    <w:p w:rsidR="00000000" w:rsidRDefault="0040289C">
      <w:pPr>
        <w:rPr>
          <w:rFonts w:eastAsia="Times New Roman"/>
        </w:rPr>
      </w:pPr>
      <w:r>
        <w:rPr>
          <w:rFonts w:eastAsia="Times New Roman"/>
        </w:rPr>
        <w:pict>
          <v:rect id="_x0000_i1075" style="width:0;height:1.5pt" o:hralign="center" o:hrstd="t" o:hr="t" fillcolor="#a0a0a0" stroked="f"/>
        </w:pict>
      </w:r>
    </w:p>
    <w:p w:rsidR="00000000" w:rsidRDefault="0040289C">
      <w:pPr>
        <w:divId w:val="12373826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884555479"/>
        <w:rPr>
          <w:rFonts w:eastAsia="Times New Roman"/>
        </w:rPr>
      </w:pPr>
    </w:p>
    <w:p w:rsidR="00000000" w:rsidRDefault="0040289C">
      <w:pPr>
        <w:jc w:val="both"/>
        <w:rPr>
          <w:rFonts w:eastAsia="Times New Roman"/>
        </w:rPr>
      </w:pPr>
    </w:p>
    <w:p w:rsidR="00000000" w:rsidRDefault="0040289C">
      <w:pPr>
        <w:divId w:val="553660501"/>
        <w:rPr>
          <w:rFonts w:eastAsia="Times New Roman"/>
        </w:rPr>
      </w:pPr>
      <w:r>
        <w:rPr>
          <w:rFonts w:eastAsia="Times New Roman"/>
          <w:b/>
          <w:bCs/>
          <w:color w:val="000000"/>
          <w:sz w:val="20"/>
          <w:szCs w:val="20"/>
        </w:rPr>
        <w:t>FINANCIAL CONDITION, LIQUIDITY AND CAPITAL RESOURCES</w:t>
      </w:r>
    </w:p>
    <w:p w:rsidR="00000000" w:rsidRDefault="0040289C">
      <w:pPr>
        <w:divId w:val="1390154994"/>
        <w:rPr>
          <w:rFonts w:eastAsia="Times New Roman"/>
        </w:rPr>
      </w:pPr>
    </w:p>
    <w:p w:rsidR="00000000" w:rsidRDefault="0040289C">
      <w:pPr>
        <w:jc w:val="both"/>
        <w:rPr>
          <w:rFonts w:eastAsia="Times New Roman"/>
        </w:rPr>
      </w:pPr>
      <w:r>
        <w:rPr>
          <w:rFonts w:eastAsia="Times New Roman"/>
          <w:color w:val="000000"/>
          <w:sz w:val="20"/>
          <w:szCs w:val="20"/>
        </w:rPr>
        <w:t>Cash provided by operating activities was $447 million for the year ended December 31, 2022 compared to cash provided by operating activities of $1.077 bill</w:t>
      </w:r>
      <w:r>
        <w:rPr>
          <w:rFonts w:eastAsia="Times New Roman"/>
          <w:color w:val="000000"/>
          <w:sz w:val="20"/>
          <w:szCs w:val="20"/>
        </w:rPr>
        <w:t>ion for the year ended December 31, 2021. The decrease in cash provided by operating activities was driven by the unfavorable movement in net working capital accounts, partially offset by cash received upon termination of interest rate swap contracts in th</w:t>
      </w:r>
      <w:r>
        <w:rPr>
          <w:rFonts w:eastAsia="Times New Roman"/>
          <w:color w:val="000000"/>
          <w:sz w:val="20"/>
          <w:szCs w:val="20"/>
        </w:rPr>
        <w:t xml:space="preserve">e first and second quarters of 2022. Additionally, cash provided by operating activities in the year ended December 31, 2021 reflects the agreement entered into during the third quarter of 2021 to sell short-term receivables from certain trade accounts to </w:t>
      </w:r>
      <w:r>
        <w:rPr>
          <w:rFonts w:eastAsia="Times New Roman"/>
          <w:color w:val="000000"/>
          <w:sz w:val="20"/>
          <w:szCs w:val="20"/>
        </w:rPr>
        <w:t>an unaffiliated financial institution, which provided a $300 million benefit to operating cash flows. Refer to Note 6, “Trade Receivables Facility”, of the Notes to Consolidated Financial Statements included in this Form 10-K for more information.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NCR’s </w:t>
      </w:r>
      <w:r>
        <w:rPr>
          <w:rFonts w:eastAsia="Times New Roman"/>
          <w:color w:val="000000"/>
          <w:sz w:val="20"/>
          <w:szCs w:val="20"/>
        </w:rPr>
        <w:t>management uses a non-GAAP measure called “free cash flow” to assess the financial performance of the Company. We define free cash flow as net cash provided by (used in) operating activities less capital expenditures for property, plant and equipment, less</w:t>
      </w:r>
      <w:r>
        <w:rPr>
          <w:rFonts w:eastAsia="Times New Roman"/>
          <w:color w:val="000000"/>
          <w:sz w:val="20"/>
          <w:szCs w:val="20"/>
        </w:rPr>
        <w:t xml:space="preserve"> additions to capitalized software, plus/minus restricted cash settlement activity, plus acquisition-related items, less the impact from the initial sale of trade accounts receivables under the agreement entered into during the third quarter of 2021, and p</w:t>
      </w:r>
      <w:r>
        <w:rPr>
          <w:rFonts w:eastAsia="Times New Roman"/>
          <w:color w:val="000000"/>
          <w:sz w:val="20"/>
          <w:szCs w:val="20"/>
        </w:rPr>
        <w:t>lus pension contributions and settlements. We believe free cash flow information is useful for investors because it relates the operating cash flows from the Company’s continuing and discontinued operations to the capital that is spent to continue and impr</w:t>
      </w:r>
      <w:r>
        <w:rPr>
          <w:rFonts w:eastAsia="Times New Roman"/>
          <w:color w:val="000000"/>
          <w:sz w:val="20"/>
          <w:szCs w:val="20"/>
        </w:rPr>
        <w:t>ove business operations. In particular, free cash flow indicates the amount of cash available after capital expenditures for, among other things, investments in the Company’s existing businesses, strategic acquisitions, repurchases of NCR stock and repayme</w:t>
      </w:r>
      <w:r>
        <w:rPr>
          <w:rFonts w:eastAsia="Times New Roman"/>
          <w:color w:val="000000"/>
          <w:sz w:val="20"/>
          <w:szCs w:val="20"/>
        </w:rPr>
        <w:t>nt of debt obligations. Free cash flow does not represent the residual cash flow available for discretionary expenditures, since there may be other non-discretionary expenditures that are not deducted from the measure. Free cash flow does not have a unifor</w:t>
      </w:r>
      <w:r>
        <w:rPr>
          <w:rFonts w:eastAsia="Times New Roman"/>
          <w:color w:val="000000"/>
          <w:sz w:val="20"/>
          <w:szCs w:val="20"/>
        </w:rPr>
        <w:t xml:space="preserve">m definition under GAAP, and therefore NCR’s definition may differ from other companies’ definitions of this measure. This non-GAAP measure should not be considered a substitute for, or superior to, cash flows from operating activities under GAAP.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table below reconciles net cash provided by (used in) operating activities, the most directly comparable GAAP measure, to NCR’s non-GAAP measure of free cash flow for the years ended December 31:</w:t>
      </w:r>
    </w:p>
    <w:p w:rsidR="00000000" w:rsidRDefault="0040289C">
      <w:pPr>
        <w:divId w:val="592859018"/>
        <w:rPr>
          <w:rFonts w:eastAsia="Times New Roman"/>
        </w:rPr>
      </w:pPr>
      <w:r>
        <w:rPr>
          <w:rFonts w:eastAsia="Times New Roman"/>
          <w:color w:val="000000"/>
          <w:sz w:val="18"/>
          <w:szCs w:val="18"/>
        </w:rPr>
        <w:t> </w:t>
      </w:r>
    </w:p>
    <w:tbl>
      <w:tblPr>
        <w:tblW w:w="4823" w:type="pct"/>
        <w:jc w:val="center"/>
        <w:tblCellMar>
          <w:top w:w="15" w:type="dxa"/>
          <w:left w:w="15" w:type="dxa"/>
          <w:bottom w:w="15" w:type="dxa"/>
          <w:right w:w="15" w:type="dxa"/>
        </w:tblCellMar>
        <w:tblLook w:val="04A0" w:firstRow="1" w:lastRow="0" w:firstColumn="1" w:lastColumn="0" w:noHBand="0" w:noVBand="1"/>
      </w:tblPr>
      <w:tblGrid>
        <w:gridCol w:w="39"/>
        <w:gridCol w:w="5948"/>
        <w:gridCol w:w="37"/>
        <w:gridCol w:w="120"/>
        <w:gridCol w:w="454"/>
        <w:gridCol w:w="36"/>
        <w:gridCol w:w="36"/>
        <w:gridCol w:w="36"/>
        <w:gridCol w:w="36"/>
        <w:gridCol w:w="120"/>
        <w:gridCol w:w="500"/>
        <w:gridCol w:w="36"/>
        <w:gridCol w:w="36"/>
        <w:gridCol w:w="36"/>
        <w:gridCol w:w="36"/>
        <w:gridCol w:w="120"/>
        <w:gridCol w:w="350"/>
        <w:gridCol w:w="36"/>
      </w:tblGrid>
      <w:tr w:rsidR="00000000">
        <w:trPr>
          <w:divId w:val="1546528185"/>
          <w:jc w:val="center"/>
        </w:trPr>
        <w:tc>
          <w:tcPr>
            <w:tcW w:w="50" w:type="pct"/>
            <w:vAlign w:val="center"/>
            <w:hideMark/>
          </w:tcPr>
          <w:p w:rsidR="00000000" w:rsidRDefault="0040289C">
            <w:pPr>
              <w:rPr>
                <w:rFonts w:eastAsia="Times New Roman"/>
              </w:rPr>
            </w:pPr>
          </w:p>
        </w:tc>
        <w:tc>
          <w:tcPr>
            <w:tcW w:w="375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546528185"/>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87" w:type="dxa"/>
              <w:bottom w:w="30" w:type="dxa"/>
              <w:right w:w="87"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87" w:type="dxa"/>
              <w:bottom w:w="30" w:type="dxa"/>
              <w:right w:w="87"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87" w:type="dxa"/>
              <w:bottom w:w="30" w:type="dxa"/>
              <w:right w:w="87"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546528185"/>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46528185"/>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46528185"/>
          <w:jc w:val="center"/>
        </w:trPr>
        <w:tc>
          <w:tcPr>
            <w:tcW w:w="0" w:type="auto"/>
            <w:gridSpan w:val="3"/>
            <w:shd w:val="clear" w:color="auto" w:fill="CCEE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Additions to capitalized software</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46528185"/>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Restricted cash settlement activity</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46528185"/>
          <w:jc w:val="center"/>
        </w:trPr>
        <w:tc>
          <w:tcPr>
            <w:tcW w:w="0" w:type="auto"/>
            <w:gridSpan w:val="3"/>
            <w:shd w:val="clear" w:color="auto" w:fill="CCEE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Transaction costs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46528185"/>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Initial sale of trade account receivables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46528185"/>
          <w:jc w:val="center"/>
        </w:trPr>
        <w:tc>
          <w:tcPr>
            <w:tcW w:w="0" w:type="auto"/>
            <w:gridSpan w:val="3"/>
            <w:shd w:val="clear" w:color="auto" w:fill="CCEE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Pension contributions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46528185"/>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546528185"/>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Free cash flow (non-GAAP)</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168442316"/>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Excluding the impact of the initial sale of trade accounts receivables in 2021, in 2022, net cash provided by operating activities decreased $330 million, which contributed to a n</w:t>
      </w:r>
      <w:r>
        <w:rPr>
          <w:rFonts w:eastAsia="Times New Roman"/>
          <w:color w:val="000000"/>
          <w:sz w:val="20"/>
          <w:szCs w:val="20"/>
        </w:rPr>
        <w:t>et decrease in free cash flow of $296 million in comparison to 2021. Capital expenditures for property, plant and equipment decreased $14 million primarily due to one-time spending in 2021 that did not reoccur in 2022 related to leasehold improvements as w</w:t>
      </w:r>
      <w:r>
        <w:rPr>
          <w:rFonts w:eastAsia="Times New Roman"/>
          <w:color w:val="000000"/>
          <w:sz w:val="20"/>
          <w:szCs w:val="20"/>
        </w:rPr>
        <w:t xml:space="preserve">ell as strategic investment decisions in response to macroeconomic challenges. Additions to capitalized software increased $43 million as the Company continued to focus on investment in our strategic growth platforms.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Financing activities and certain ot</w:t>
      </w:r>
      <w:r>
        <w:rPr>
          <w:rFonts w:eastAsia="Times New Roman"/>
          <w:color w:val="000000"/>
          <w:sz w:val="20"/>
          <w:szCs w:val="20"/>
        </w:rPr>
        <w:t>her investing activities are not included in our calculation of free cash flow. Other investing activities primarily include business acquisitions, divestitures and investments. During the year ended December 31, 2022, the payments for business combination</w:t>
      </w:r>
      <w:r>
        <w:rPr>
          <w:rFonts w:eastAsia="Times New Roman"/>
          <w:color w:val="000000"/>
          <w:sz w:val="20"/>
          <w:szCs w:val="20"/>
        </w:rPr>
        <w:t xml:space="preserve">s was $13 million, net of cash acquired, for the cash consideration paid primarily related to the acquisition of the India ATM Business of FIS Payment Solutions &amp; Services Private Limited completed in July of 2022 and the LibertyX acquisition completed in </w:t>
      </w:r>
      <w:r>
        <w:rPr>
          <w:rFonts w:eastAsia="Times New Roman"/>
          <w:color w:val="000000"/>
          <w:sz w:val="20"/>
          <w:szCs w:val="20"/>
        </w:rPr>
        <w:t xml:space="preserve">January of 2022. The LibertyX acquisition was completed via issuance of NCR common stock in exchange for the outstanding shares of LibertyX.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Our financing activities include borrowings and repayments of credit facilities and notes. Financing activities </w:t>
      </w:r>
      <w:r>
        <w:rPr>
          <w:rFonts w:eastAsia="Times New Roman"/>
          <w:color w:val="000000"/>
          <w:sz w:val="20"/>
          <w:szCs w:val="20"/>
        </w:rPr>
        <w:t>during the year ended December 31, 2022 also included dividends paid on the Series A preferred stock of $15 million, proceeds from employee stock plans of $31 million as well as tax withholding payments on behalf of employees for stock based awards that ve</w:t>
      </w:r>
      <w:r>
        <w:rPr>
          <w:rFonts w:eastAsia="Times New Roman"/>
          <w:color w:val="000000"/>
          <w:sz w:val="20"/>
          <w:szCs w:val="20"/>
        </w:rPr>
        <w:t xml:space="preserve">sted of $59 million. </w:t>
      </w:r>
    </w:p>
    <w:p w:rsidR="00000000" w:rsidRDefault="0040289C">
      <w:pPr>
        <w:jc w:val="center"/>
        <w:divId w:val="836775136"/>
        <w:rPr>
          <w:rFonts w:eastAsia="Times New Roman"/>
        </w:rPr>
      </w:pPr>
      <w:r>
        <w:rPr>
          <w:rFonts w:eastAsia="Times New Roman"/>
          <w:color w:val="000000"/>
          <w:sz w:val="20"/>
          <w:szCs w:val="20"/>
        </w:rPr>
        <w:t>46</w:t>
      </w:r>
    </w:p>
    <w:p w:rsidR="00000000" w:rsidRDefault="0040289C">
      <w:pPr>
        <w:rPr>
          <w:rFonts w:eastAsia="Times New Roman"/>
        </w:rPr>
      </w:pPr>
      <w:r>
        <w:rPr>
          <w:rFonts w:eastAsia="Times New Roman"/>
        </w:rPr>
        <w:pict>
          <v:rect id="_x0000_i1076" style="width:0;height:1.5pt" o:hralign="center" o:hrstd="t" o:hr="t" fillcolor="#a0a0a0" stroked="f"/>
        </w:pict>
      </w:r>
    </w:p>
    <w:p w:rsidR="00000000" w:rsidRDefault="0040289C">
      <w:pPr>
        <w:divId w:val="186878853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725908054"/>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Long Term Borrowings </w:t>
      </w:r>
      <w:r>
        <w:rPr>
          <w:rFonts w:eastAsia="Times New Roman"/>
          <w:color w:val="000000"/>
          <w:sz w:val="20"/>
          <w:szCs w:val="20"/>
        </w:rPr>
        <w:t>The Senior Secured Credit Facility consists of term loan facilities in an aggregate principa</w:t>
      </w:r>
      <w:r>
        <w:rPr>
          <w:rFonts w:eastAsia="Times New Roman"/>
          <w:color w:val="000000"/>
          <w:sz w:val="20"/>
          <w:szCs w:val="20"/>
        </w:rPr>
        <w:t>l amount of $2.06 billion, of which $1.88 billion was outstanding as of December 31, 2022. Additionally, the Senior Secured Credit Facility provides for a five-year Revolving Credit Facility with an aggregate principal amount of $1.3 billion, of which $523</w:t>
      </w:r>
      <w:r>
        <w:rPr>
          <w:rFonts w:eastAsia="Times New Roman"/>
          <w:color w:val="000000"/>
          <w:sz w:val="20"/>
          <w:szCs w:val="20"/>
        </w:rPr>
        <w:t xml:space="preserve"> million was outstanding as of December 31, 2022. The Revolving Credit Facility also contains a sub-facility to be used for letters of credit, and as of December 31, 2022, there were $29 million letters of credit outstanding.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of December 31, 2022, we</w:t>
      </w:r>
      <w:r>
        <w:rPr>
          <w:rFonts w:eastAsia="Times New Roman"/>
          <w:color w:val="000000"/>
          <w:sz w:val="20"/>
          <w:szCs w:val="20"/>
        </w:rPr>
        <w:t xml:space="preserve"> had outstanding $1.2 billion in aggregate principal balance of 5.125% senior unsecured notes due in 2029, $500 million in aggregate principal balance of 5.750% senior unsecured notes due in 2027, $650 million aggregate principal balance of 5.000% senior u</w:t>
      </w:r>
      <w:r>
        <w:rPr>
          <w:rFonts w:eastAsia="Times New Roman"/>
          <w:color w:val="000000"/>
          <w:sz w:val="20"/>
          <w:szCs w:val="20"/>
        </w:rPr>
        <w:t>nsecured notes due in 2028, $500 million in aggregate principal balance of 6.125% senior unsecured notes due in 2029, and $450 million in aggregate principal balance of 5.250% senior unsecured notes due in 2030.</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Additionally, in December 2022, the Compan</w:t>
      </w:r>
      <w:r>
        <w:rPr>
          <w:rFonts w:eastAsia="Times New Roman"/>
          <w:color w:val="000000"/>
          <w:sz w:val="20"/>
          <w:szCs w:val="20"/>
        </w:rPr>
        <w:t>y entered into a borrowing agreement with Banc of America Leasing &amp; Capital, LLC to direct funds to NCR in exchange for installment repayments and for security interest in ATM equipment in corresponding ATM-as-a-Service ("ATMaaS") contracts. The total amou</w:t>
      </w:r>
      <w:r>
        <w:rPr>
          <w:rFonts w:eastAsia="Times New Roman"/>
          <w:color w:val="000000"/>
          <w:sz w:val="20"/>
          <w:szCs w:val="20"/>
        </w:rPr>
        <w:t>nt available under the financing program is $20 million with repayment terms up to four years. As of December 31, 2022, total debt outstanding under the financing program was $12 million with a weighted average interest rate of 7.21% and a weighted average</w:t>
      </w:r>
      <w:r>
        <w:rPr>
          <w:rFonts w:eastAsia="Times New Roman"/>
          <w:color w:val="000000"/>
          <w:sz w:val="20"/>
          <w:szCs w:val="20"/>
        </w:rPr>
        <w:t xml:space="preserve"> term of 3.7 years.</w:t>
      </w:r>
    </w:p>
    <w:p w:rsidR="00000000" w:rsidRDefault="0040289C">
      <w:pPr>
        <w:divId w:val="1958100455"/>
        <w:rPr>
          <w:rFonts w:eastAsia="Times New Roman"/>
        </w:rPr>
      </w:pPr>
    </w:p>
    <w:p w:rsidR="00000000" w:rsidRDefault="0040289C">
      <w:pPr>
        <w:jc w:val="both"/>
        <w:rPr>
          <w:rFonts w:eastAsia="Times New Roman"/>
        </w:rPr>
      </w:pPr>
      <w:r>
        <w:rPr>
          <w:rFonts w:eastAsia="Times New Roman"/>
          <w:color w:val="000000"/>
          <w:sz w:val="20"/>
          <w:szCs w:val="20"/>
        </w:rPr>
        <w:t>See Note 5, “Debt Obligations”, of the Notes to Consolidated Financial Statements included in Item 8 of this Report for further information on the Senior Secured Credit Facility.</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Employee Benefit Plans </w:t>
      </w:r>
      <w:r>
        <w:rPr>
          <w:rFonts w:eastAsia="Times New Roman"/>
          <w:color w:val="000000"/>
          <w:sz w:val="20"/>
          <w:szCs w:val="20"/>
        </w:rPr>
        <w:t>In 2023, we expect to make contributions of $20 million to our international pension plans, $75 million to our postemployment plan and $2 million to our postretirement plan. See Note 9, “Employee Benefit Plans”, of the Notes to Consolidated Financial State</w:t>
      </w:r>
      <w:r>
        <w:rPr>
          <w:rFonts w:eastAsia="Times New Roman"/>
          <w:color w:val="000000"/>
          <w:sz w:val="20"/>
          <w:szCs w:val="20"/>
        </w:rPr>
        <w:t>ments included in Item 8 of Part II of this Report for additional discussion on our pension, postemployment and postretirement plans.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Series A Convertible Preferred Stock</w:t>
      </w:r>
      <w:r>
        <w:rPr>
          <w:rFonts w:eastAsia="Times New Roman"/>
          <w:color w:val="000000"/>
          <w:sz w:val="20"/>
          <w:szCs w:val="20"/>
        </w:rPr>
        <w:t xml:space="preserve"> In 2015, NCR issued 820,000 shares of Series A Convertible Preferred Stock. As of D</w:t>
      </w:r>
      <w:r>
        <w:rPr>
          <w:rFonts w:eastAsia="Times New Roman"/>
          <w:color w:val="000000"/>
          <w:sz w:val="20"/>
          <w:szCs w:val="20"/>
        </w:rPr>
        <w:t xml:space="preserve">ecember 31, 2022, there were approximately 300,000 shares that remained issued and outstanding with a redemption value of approximately $276 million. Holders of Series A Convertible Preferred Stock are entitled to a cumulative dividend at the rate of 5.5% </w:t>
      </w:r>
      <w:r>
        <w:rPr>
          <w:rFonts w:eastAsia="Times New Roman"/>
          <w:color w:val="000000"/>
          <w:sz w:val="20"/>
          <w:szCs w:val="20"/>
        </w:rPr>
        <w:t>per annum, which was payable quarterly in arrears and payable in-kind for the first sixteen dividend payments, after which, beginning in the first quarter of 2020, are payable in cash or in-kind at the option of the Company. During the years ended December</w:t>
      </w:r>
      <w:r>
        <w:rPr>
          <w:rFonts w:eastAsia="Times New Roman"/>
          <w:color w:val="000000"/>
          <w:sz w:val="20"/>
          <w:szCs w:val="20"/>
        </w:rPr>
        <w:t xml:space="preserve"> 31, 2022 and 2021, the Company paid cash dividends of $15 million. The holders also have certain redemption rights or put rights, including the right to require us to repurchase all or any portion of the Series A Convertible Preferred Stock on any date du</w:t>
      </w:r>
      <w:r>
        <w:rPr>
          <w:rFonts w:eastAsia="Times New Roman"/>
          <w:color w:val="000000"/>
          <w:sz w:val="20"/>
          <w:szCs w:val="20"/>
        </w:rPr>
        <w:t>ring the three months commencing on and immediately following March 16, 2024 and the three months commencing on and immediately following every third anniversary of such date, at 100% of the liquidation preference plus all accrued but unpaid dividends.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w:t>
      </w:r>
      <w:r>
        <w:rPr>
          <w:rFonts w:eastAsia="Times New Roman"/>
          <w:color w:val="000000"/>
          <w:sz w:val="20"/>
          <w:szCs w:val="20"/>
        </w:rPr>
        <w:t>dditionally, the Series A Convertible Preferred Stock is convertible at the option of the holders at any time into shares of common stock at a conversion price of $30.00 per share, or a conversion rate of 33.333 shares of common stock per share of Series A</w:t>
      </w:r>
      <w:r>
        <w:rPr>
          <w:rFonts w:eastAsia="Times New Roman"/>
          <w:color w:val="000000"/>
          <w:sz w:val="20"/>
          <w:szCs w:val="20"/>
        </w:rPr>
        <w:t xml:space="preserve"> Convertible Preferred Stock. As of December 31, 2022 and 2021, the maximum number of common shares that could be required to be issued upon conversion of the outstanding shares of the Series A Convertible Preferred Stock was 9.2 million shares which would</w:t>
      </w:r>
      <w:r>
        <w:rPr>
          <w:rFonts w:eastAsia="Times New Roman"/>
          <w:color w:val="000000"/>
          <w:sz w:val="20"/>
          <w:szCs w:val="20"/>
        </w:rPr>
        <w:t xml:space="preserve"> represent approximately 6% of our outstanding common stock as of December 31, 2022 including the preferred shares on an as-converted basis.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Cash and Cash Equivalents Held by Foreign Subsidiaries </w:t>
      </w:r>
      <w:r>
        <w:rPr>
          <w:rFonts w:eastAsia="Times New Roman"/>
          <w:color w:val="000000"/>
          <w:sz w:val="20"/>
          <w:szCs w:val="20"/>
        </w:rPr>
        <w:t>Cash and cash equivalents held by the Company's foreign su</w:t>
      </w:r>
      <w:r>
        <w:rPr>
          <w:rFonts w:eastAsia="Times New Roman"/>
          <w:color w:val="000000"/>
          <w:sz w:val="20"/>
          <w:szCs w:val="20"/>
        </w:rPr>
        <w:t>bsidiaries were $419 million and $412 million at December 31, 2022 and 2021, respectively. Under current tax laws and regulations, if cash and cash equivalents and short-term investments held outside the U.S. are distributed to the U.S. in the form of divi</w:t>
      </w:r>
      <w:r>
        <w:rPr>
          <w:rFonts w:eastAsia="Times New Roman"/>
          <w:color w:val="000000"/>
          <w:sz w:val="20"/>
          <w:szCs w:val="20"/>
        </w:rPr>
        <w:t>dends or otherwise, we may be subject to additional U.S. income taxes and foreign withholding taxes, which could be significant.</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Summary</w:t>
      </w:r>
      <w:r>
        <w:rPr>
          <w:rFonts w:eastAsia="Times New Roman"/>
          <w:color w:val="000000"/>
          <w:sz w:val="20"/>
          <w:szCs w:val="20"/>
        </w:rPr>
        <w:t xml:space="preserve"> As of December 31, 2022, our cash and cash equivalents totaled $505 million and our total debt was $5.71 billion. Our</w:t>
      </w:r>
      <w:r>
        <w:rPr>
          <w:rFonts w:eastAsia="Times New Roman"/>
          <w:color w:val="000000"/>
          <w:sz w:val="20"/>
          <w:szCs w:val="20"/>
        </w:rPr>
        <w:t xml:space="preserve"> borrowing capacity under our senior secured credit facility was $748 million at December 31, 2022. Our ability to generate positive cash flows from operations is dependent on general economic conditions, and the competitive environment in our industry, an</w:t>
      </w:r>
      <w:r>
        <w:rPr>
          <w:rFonts w:eastAsia="Times New Roman"/>
          <w:color w:val="000000"/>
          <w:sz w:val="20"/>
          <w:szCs w:val="20"/>
        </w:rPr>
        <w:t>d is subject to the business and other risk factors described in Item 1A of Part I of this Report. If we are unable to generate sufficient cash flows from operations, or otherwise comply with the terms of our credit facilities, we may be required to seek a</w:t>
      </w:r>
      <w:r>
        <w:rPr>
          <w:rFonts w:eastAsia="Times New Roman"/>
          <w:color w:val="000000"/>
          <w:sz w:val="20"/>
          <w:szCs w:val="20"/>
        </w:rPr>
        <w:t xml:space="preserve">dditional financing alternatives.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believe that we have sufficient liquidity based on our current cash position, cash flows from operations and existing financing to meet our expected pension, postemployment, and postretirement plan contributions, rem</w:t>
      </w:r>
      <w:r>
        <w:rPr>
          <w:rFonts w:eastAsia="Times New Roman"/>
          <w:color w:val="000000"/>
          <w:sz w:val="20"/>
          <w:szCs w:val="20"/>
        </w:rPr>
        <w:t xml:space="preserve">ediation payments related to environmental </w:t>
      </w:r>
    </w:p>
    <w:p w:rsidR="00000000" w:rsidRDefault="0040289C">
      <w:pPr>
        <w:jc w:val="center"/>
        <w:divId w:val="1470896172"/>
        <w:rPr>
          <w:rFonts w:eastAsia="Times New Roman"/>
        </w:rPr>
      </w:pPr>
      <w:r>
        <w:rPr>
          <w:rFonts w:eastAsia="Times New Roman"/>
          <w:color w:val="000000"/>
          <w:sz w:val="20"/>
          <w:szCs w:val="20"/>
        </w:rPr>
        <w:t>47</w:t>
      </w:r>
    </w:p>
    <w:p w:rsidR="00000000" w:rsidRDefault="0040289C">
      <w:pPr>
        <w:rPr>
          <w:rFonts w:eastAsia="Times New Roman"/>
        </w:rPr>
      </w:pPr>
      <w:r>
        <w:rPr>
          <w:rFonts w:eastAsia="Times New Roman"/>
        </w:rPr>
        <w:pict>
          <v:rect id="_x0000_i1077" style="width:0;height:1.5pt" o:hralign="center" o:hrstd="t" o:hr="t" fillcolor="#a0a0a0" stroked="f"/>
        </w:pict>
      </w:r>
    </w:p>
    <w:p w:rsidR="00000000" w:rsidRDefault="0040289C">
      <w:pPr>
        <w:divId w:val="173284857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994983338"/>
        <w:rPr>
          <w:rFonts w:eastAsia="Times New Roman"/>
        </w:rPr>
      </w:pPr>
    </w:p>
    <w:p w:rsidR="00000000" w:rsidRDefault="0040289C">
      <w:pPr>
        <w:jc w:val="both"/>
        <w:rPr>
          <w:rFonts w:eastAsia="Times New Roman"/>
        </w:rPr>
      </w:pPr>
      <w:r>
        <w:rPr>
          <w:rFonts w:eastAsia="Times New Roman"/>
          <w:color w:val="000000"/>
          <w:sz w:val="20"/>
          <w:szCs w:val="20"/>
        </w:rPr>
        <w:t>matters, debt servicing obligations, payments related to transformation and restructuring initiatives, and our operating requirements for the next twelve months, and in the long-term (i.e., beyond December 31, 2023) to meet our material cash requirements.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Material Cash Requirements from Contractual and Other Obligations</w:t>
      </w:r>
      <w:r>
        <w:rPr>
          <w:rFonts w:eastAsia="Times New Roman"/>
          <w:color w:val="000000"/>
          <w:sz w:val="20"/>
          <w:szCs w:val="20"/>
        </w:rPr>
        <w:t xml:space="preserve"> In the normal course of business, we enter into various contractual obligations that impact, or could impact, the liquidity of our operations. The following table and discussion outlines o</w:t>
      </w:r>
      <w:r>
        <w:rPr>
          <w:rFonts w:eastAsia="Times New Roman"/>
          <w:color w:val="000000"/>
          <w:sz w:val="20"/>
          <w:szCs w:val="20"/>
        </w:rPr>
        <w:t>ur material obligations as of December 31, 2022 on an undiscounted basis, with projected cash payments in the years shown:</w:t>
      </w:r>
    </w:p>
    <w:tbl>
      <w:tblPr>
        <w:tblW w:w="4766" w:type="pct"/>
        <w:jc w:val="center"/>
        <w:tblCellMar>
          <w:top w:w="15" w:type="dxa"/>
          <w:left w:w="15" w:type="dxa"/>
          <w:bottom w:w="15" w:type="dxa"/>
          <w:right w:w="15" w:type="dxa"/>
        </w:tblCellMar>
        <w:tblLook w:val="04A0" w:firstRow="1" w:lastRow="0" w:firstColumn="1" w:lastColumn="0" w:noHBand="0" w:noVBand="1"/>
      </w:tblPr>
      <w:tblGrid>
        <w:gridCol w:w="39"/>
        <w:gridCol w:w="3806"/>
        <w:gridCol w:w="37"/>
        <w:gridCol w:w="121"/>
        <w:gridCol w:w="631"/>
        <w:gridCol w:w="36"/>
        <w:gridCol w:w="120"/>
        <w:gridCol w:w="631"/>
        <w:gridCol w:w="36"/>
        <w:gridCol w:w="120"/>
        <w:gridCol w:w="631"/>
        <w:gridCol w:w="36"/>
        <w:gridCol w:w="120"/>
        <w:gridCol w:w="632"/>
        <w:gridCol w:w="36"/>
        <w:gridCol w:w="121"/>
        <w:gridCol w:w="692"/>
        <w:gridCol w:w="36"/>
        <w:gridCol w:w="36"/>
      </w:tblGrid>
      <w:tr w:rsidR="00000000">
        <w:trPr>
          <w:divId w:val="741416717"/>
          <w:jc w:val="center"/>
        </w:trPr>
        <w:tc>
          <w:tcPr>
            <w:tcW w:w="50" w:type="pct"/>
            <w:vAlign w:val="center"/>
            <w:hideMark/>
          </w:tcPr>
          <w:p w:rsidR="00000000" w:rsidRDefault="0040289C">
            <w:pPr>
              <w:jc w:val="both"/>
              <w:rPr>
                <w:rFonts w:eastAsia="Times New Roman"/>
              </w:rPr>
            </w:pPr>
          </w:p>
        </w:tc>
        <w:tc>
          <w:tcPr>
            <w:tcW w:w="24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741416717"/>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 Amounts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2023</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2024-2025</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2026-2027</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2028 &amp; Thereafter</w:t>
            </w:r>
          </w:p>
        </w:tc>
        <w:tc>
          <w:tcPr>
            <w:tcW w:w="0" w:type="auto"/>
            <w:vAlign w:val="center"/>
            <w:hideMark/>
          </w:tcPr>
          <w:p w:rsidR="00000000" w:rsidRDefault="0040289C">
            <w:pPr>
              <w:spacing w:after="100"/>
              <w:jc w:val="center"/>
              <w:rPr>
                <w:rFonts w:eastAsia="Times New Roman"/>
              </w:rPr>
            </w:pPr>
          </w:p>
        </w:tc>
      </w:tr>
      <w:tr w:rsidR="00000000">
        <w:trPr>
          <w:divId w:val="74141671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Debt obligations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5,714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2,599 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divId w:val="74141671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on debt obligations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640 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divId w:val="74141671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Estimated environmental liability payments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divId w:val="74141671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Lease obligations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divId w:val="74141671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Purchase obligations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1,118 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divId w:val="741416717"/>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74141671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obligations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9,155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bl>
    <w:p w:rsidR="00000000" w:rsidRDefault="0040289C">
      <w:pPr>
        <w:divId w:val="1445341725"/>
        <w:rPr>
          <w:rFonts w:eastAsia="Times New Roman"/>
        </w:rPr>
      </w:pPr>
    </w:p>
    <w:p w:rsidR="00000000" w:rsidRDefault="0040289C">
      <w:pPr>
        <w:jc w:val="both"/>
        <w:rPr>
          <w:rFonts w:eastAsia="Times New Roman"/>
        </w:rPr>
      </w:pPr>
      <w:r>
        <w:rPr>
          <w:rFonts w:eastAsia="Times New Roman"/>
          <w:color w:val="000000"/>
          <w:sz w:val="20"/>
          <w:szCs w:val="20"/>
        </w:rPr>
        <w:t>For purposes of this table, we used interest rates as of De</w:t>
      </w:r>
      <w:r>
        <w:rPr>
          <w:rFonts w:eastAsia="Times New Roman"/>
          <w:color w:val="000000"/>
          <w:sz w:val="20"/>
          <w:szCs w:val="20"/>
        </w:rPr>
        <w:t>cember 31, 2022 to estimate the future interest on debt obligations outstanding as of December 31, 2022 and have assumed no voluntary prepayments of existing debt. See Note 5, “Debt Obligations” of the Notes to Consolidated Financial Statements included in</w:t>
      </w:r>
      <w:r>
        <w:rPr>
          <w:rFonts w:eastAsia="Times New Roman"/>
          <w:color w:val="000000"/>
          <w:sz w:val="20"/>
          <w:szCs w:val="20"/>
        </w:rPr>
        <w:t xml:space="preserve"> Item 8 of Part II of this Report for additional disclosure related to our debt obligations and the related interest rate terms.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estimated environmental liability payments included in the table of material cash requirements shown above are related p</w:t>
      </w:r>
      <w:r>
        <w:rPr>
          <w:rFonts w:eastAsia="Times New Roman"/>
          <w:color w:val="000000"/>
          <w:sz w:val="20"/>
          <w:szCs w:val="20"/>
        </w:rPr>
        <w:t xml:space="preserve">rimarily to the Kalamazoo River and Ebina environmental matters. As of December 31, 2022, all of the Company's remedial obligations for the Fox River matter have been completed. For the Kalamazoo River and Ebina matters, the amounts shown are our expected </w:t>
      </w:r>
      <w:r>
        <w:rPr>
          <w:rFonts w:eastAsia="Times New Roman"/>
          <w:color w:val="000000"/>
          <w:sz w:val="20"/>
          <w:szCs w:val="20"/>
        </w:rPr>
        <w:t>payments, net of the payment obligations of co-obligors and an estimate for payments to be received from indemnification parties. For additional information, refer to Note 10, “Commitments and Contingencies”, of the Notes to Consolidated Financial Statemen</w:t>
      </w:r>
      <w:r>
        <w:rPr>
          <w:rFonts w:eastAsia="Times New Roman"/>
          <w:color w:val="000000"/>
          <w:sz w:val="20"/>
          <w:szCs w:val="20"/>
        </w:rPr>
        <w:t>ts included in Item 8 of Part II of this Report.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lease obligations are primarily for future rental amounts for our world headquarters in Atlanta, Georgia, as well as for certain sales and manufacturing facilities in various domestic and international</w:t>
      </w:r>
      <w:r>
        <w:rPr>
          <w:rFonts w:eastAsia="Times New Roman"/>
          <w:color w:val="000000"/>
          <w:sz w:val="20"/>
          <w:szCs w:val="20"/>
        </w:rPr>
        <w:t xml:space="preserve"> locations and leases related to equipment and vehicles.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Purchase obligations represent committed purchase orders and other contractual commitments for goods or services. The purchase obligation amounts were determined through information in our procurem</w:t>
      </w:r>
      <w:r>
        <w:rPr>
          <w:rFonts w:eastAsia="Times New Roman"/>
          <w:color w:val="000000"/>
          <w:sz w:val="20"/>
          <w:szCs w:val="20"/>
        </w:rPr>
        <w:t>ent systems and payment schedules for significant contracts. Included in the amounts are committed payments in relation to the long-term service agreement with Accenture under which NCR’s transaction processing activities and functions are performed.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We </w:t>
      </w:r>
      <w:r>
        <w:rPr>
          <w:rFonts w:eastAsia="Times New Roman"/>
          <w:color w:val="000000"/>
          <w:sz w:val="20"/>
          <w:szCs w:val="20"/>
        </w:rPr>
        <w:t>have a liability related to our uncertain tax positions. Due to the nature of the underlying liabilities and the extended time often needed to resolve income tax uncertainties, we cannot make reliable estimates of the amount or timing of cash payments that</w:t>
      </w:r>
      <w:r>
        <w:rPr>
          <w:rFonts w:eastAsia="Times New Roman"/>
          <w:color w:val="000000"/>
          <w:sz w:val="20"/>
          <w:szCs w:val="20"/>
        </w:rPr>
        <w:t xml:space="preserve"> may be required to settle these liabilities. For additional information, refer to Note 7, “Income Taxes”, of the Notes to Consolidated Financial Statements included in Item 8 of Part II of this Report.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U.S. and international employee benefit plans,</w:t>
      </w:r>
      <w:r>
        <w:rPr>
          <w:rFonts w:eastAsia="Times New Roman"/>
          <w:color w:val="000000"/>
          <w:sz w:val="20"/>
          <w:szCs w:val="20"/>
        </w:rPr>
        <w:t xml:space="preserve"> which are described in Note 9, “Employee Benefit Plans”, of the Notes to Consolidated Financial Statements included in Item 8 of Part II of this Report, could require significant future cash payments. </w:t>
      </w:r>
      <w:r>
        <w:rPr>
          <w:rFonts w:eastAsia="Times New Roman"/>
          <w:color w:val="000000"/>
          <w:sz w:val="20"/>
          <w:szCs w:val="20"/>
          <w:shd w:val="clear" w:color="auto" w:fill="FFFFFF"/>
        </w:rPr>
        <w:t>In 2022, we made a $50 million discretionary contribut</w:t>
      </w:r>
      <w:r>
        <w:rPr>
          <w:rFonts w:eastAsia="Times New Roman"/>
          <w:color w:val="000000"/>
          <w:sz w:val="20"/>
          <w:szCs w:val="20"/>
          <w:shd w:val="clear" w:color="auto" w:fill="FFFFFF"/>
        </w:rPr>
        <w:t xml:space="preserve">ion to our U.S. pension plan. We do not expect mandatory contributions until 2026 based on current funding requirements and assuming the Company does not complete any further actions, including, but not limited to, a further pre-fund or de-risking action. </w:t>
      </w:r>
      <w:r>
        <w:rPr>
          <w:rFonts w:eastAsia="Times New Roman"/>
          <w:color w:val="000000"/>
          <w:sz w:val="20"/>
          <w:szCs w:val="20"/>
        </w:rPr>
        <w:t xml:space="preserve">The funded status of NCR’s U.S. pension plan is an underfunded position of $407 million as of December 31, 2022 compared to an underfunded position of $503 million as of December 31, 2021. Our international retirement plans were in an underfunded position </w:t>
      </w:r>
      <w:r>
        <w:rPr>
          <w:rFonts w:eastAsia="Times New Roman"/>
          <w:color w:val="000000"/>
          <w:sz w:val="20"/>
          <w:szCs w:val="20"/>
        </w:rPr>
        <w:t>of $8 million as of December 31, 2022, as compared to a funded position of $1 million as of December 31, 2021. The improvement in the underfunded position of the U.S. pension plan is due to the $50 million discretionary contribution made in 2022 and the im</w:t>
      </w:r>
      <w:r>
        <w:rPr>
          <w:rFonts w:eastAsia="Times New Roman"/>
          <w:color w:val="000000"/>
          <w:sz w:val="20"/>
          <w:szCs w:val="20"/>
        </w:rPr>
        <w:t>pact of an increase in discount rates in measuring the benefit obligation, partially offset by the impact of economic downturns on the value of plan assets. The increase in our underfunded position of international plans is primarily attributable to the im</w:t>
      </w:r>
      <w:r>
        <w:rPr>
          <w:rFonts w:eastAsia="Times New Roman"/>
          <w:color w:val="000000"/>
          <w:sz w:val="20"/>
          <w:szCs w:val="20"/>
        </w:rPr>
        <w:t>pact of economic downturns on the value of plan assets, partially offset by an increase in discount rates in measuring the benefit obligation. Contributions to international pension plans are expected to be approximately $20 million in 2023.</w:t>
      </w:r>
    </w:p>
    <w:p w:rsidR="00000000" w:rsidRDefault="0040289C">
      <w:pPr>
        <w:jc w:val="both"/>
        <w:rPr>
          <w:rFonts w:eastAsia="Times New Roman"/>
        </w:rPr>
      </w:pPr>
    </w:p>
    <w:p w:rsidR="00000000" w:rsidRDefault="0040289C">
      <w:pPr>
        <w:jc w:val="center"/>
        <w:divId w:val="488444329"/>
        <w:rPr>
          <w:rFonts w:eastAsia="Times New Roman"/>
        </w:rPr>
      </w:pPr>
      <w:r>
        <w:rPr>
          <w:rFonts w:eastAsia="Times New Roman"/>
          <w:color w:val="000000"/>
          <w:sz w:val="20"/>
          <w:szCs w:val="20"/>
        </w:rPr>
        <w:t>48</w:t>
      </w:r>
    </w:p>
    <w:p w:rsidR="00000000" w:rsidRDefault="0040289C">
      <w:pPr>
        <w:rPr>
          <w:rFonts w:eastAsia="Times New Roman"/>
        </w:rPr>
      </w:pPr>
      <w:r>
        <w:rPr>
          <w:rFonts w:eastAsia="Times New Roman"/>
        </w:rPr>
        <w:pict>
          <v:rect id="_x0000_i1078" style="width:0;height:1.5pt" o:hralign="center" o:hrstd="t" o:hr="t" fillcolor="#a0a0a0" stroked="f"/>
        </w:pict>
      </w:r>
    </w:p>
    <w:p w:rsidR="00000000" w:rsidRDefault="0040289C">
      <w:pPr>
        <w:divId w:val="197193871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65579677"/>
        <w:rPr>
          <w:rFonts w:eastAsia="Times New Roman"/>
        </w:rPr>
      </w:pPr>
    </w:p>
    <w:p w:rsidR="00000000" w:rsidRDefault="0040289C">
      <w:pPr>
        <w:jc w:val="both"/>
        <w:rPr>
          <w:rFonts w:eastAsia="Times New Roman"/>
        </w:rPr>
      </w:pPr>
      <w:r>
        <w:rPr>
          <w:rFonts w:eastAsia="Times New Roman"/>
          <w:color w:val="000000"/>
          <w:sz w:val="20"/>
          <w:szCs w:val="20"/>
        </w:rPr>
        <w:t xml:space="preserve">We also have product warranties that may affect future cash flows. These items are not included in the table of obligations shown above, but </w:t>
      </w:r>
      <w:r>
        <w:rPr>
          <w:rFonts w:eastAsia="Times New Roman"/>
          <w:color w:val="000000"/>
          <w:sz w:val="20"/>
          <w:szCs w:val="20"/>
        </w:rPr>
        <w:t>are described in detail in Note 10, “Commitments and Contingencies”, of the Notes to Consolidated Financial Statements included in Item 8 of Part II of this Report.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senior secured credit facility and the indentures for our senior unsecured notes incl</w:t>
      </w:r>
      <w:r>
        <w:rPr>
          <w:rFonts w:eastAsia="Times New Roman"/>
          <w:color w:val="000000"/>
          <w:sz w:val="20"/>
          <w:szCs w:val="20"/>
        </w:rPr>
        <w:t>ude affirmative and negative covenants that restrict or limit our ability to, among other things, incur indebtedness; create liens on assets; engage in certain fundamental corporate changes or changes to our business activities; make investments; sell or o</w:t>
      </w:r>
      <w:r>
        <w:rPr>
          <w:rFonts w:eastAsia="Times New Roman"/>
          <w:color w:val="000000"/>
          <w:sz w:val="20"/>
          <w:szCs w:val="20"/>
        </w:rPr>
        <w:t>therwise dispose of assets; engage in sale-leaseback or hedging transactions; pay dividends or make similar distributions; repay other indebtedness; engage in certain affiliate transactions; or enter into agreements that restrict our ability to create lien</w:t>
      </w:r>
      <w:r>
        <w:rPr>
          <w:rFonts w:eastAsia="Times New Roman"/>
          <w:color w:val="000000"/>
          <w:sz w:val="20"/>
          <w:szCs w:val="20"/>
        </w:rPr>
        <w:t>s, pay dividends or make loan repayments. Our senior secured credit facility also includes financial covenants that require us to maintain a consolidated leverage ratio not to exceed 4.75 to 1.00 on the last day of any fiscal quarter ending on or after Dec</w:t>
      </w:r>
      <w:r>
        <w:rPr>
          <w:rFonts w:eastAsia="Times New Roman"/>
          <w:color w:val="000000"/>
          <w:sz w:val="20"/>
          <w:szCs w:val="20"/>
        </w:rPr>
        <w:t>ember 31, 2022.</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has the option to elect to increase the maximum permitted leverage ratio for the periods described in the foregoing clause (iii) by 0.25 in connection with the consummation of any material acquisition (as defined in the Senior</w:t>
      </w:r>
      <w:r>
        <w:rPr>
          <w:rFonts w:eastAsia="Times New Roman"/>
          <w:color w:val="000000"/>
          <w:sz w:val="20"/>
          <w:szCs w:val="20"/>
        </w:rPr>
        <w:t xml:space="preserve"> Secured Credit Facility) for three fiscal quarters. At December 31, 2022, the maximum consolidated leverage ratio under the Senior Secured Credit Facility was 4.75 to 1.00.</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CRITICAL ACCOUNTING ESTIMATES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consolidated financial statements are prep</w:t>
      </w:r>
      <w:r>
        <w:rPr>
          <w:rFonts w:eastAsia="Times New Roman"/>
          <w:color w:val="000000"/>
          <w:sz w:val="20"/>
          <w:szCs w:val="20"/>
        </w:rPr>
        <w:t>ared in accordance with GAAP. In connection with the preparation of these financial statements, we are required to make assumptions, estimates and judgments that affect the reported amounts of assets, liabilities, revenue, expenses and the related disclosu</w:t>
      </w:r>
      <w:r>
        <w:rPr>
          <w:rFonts w:eastAsia="Times New Roman"/>
          <w:color w:val="000000"/>
          <w:sz w:val="20"/>
          <w:szCs w:val="20"/>
        </w:rPr>
        <w:t>re of contingent liabilities. These assumptions, estimates and judgments are based on historical experience and are believed to be reasonable at the time. However, because future events and their effects cannot be determined with certainty, the determinati</w:t>
      </w:r>
      <w:r>
        <w:rPr>
          <w:rFonts w:eastAsia="Times New Roman"/>
          <w:color w:val="000000"/>
          <w:sz w:val="20"/>
          <w:szCs w:val="20"/>
        </w:rPr>
        <w:t xml:space="preserve">on of estimates requires the exercise of judgment. Our critical accounting policies are those that require assumptions to be made about matters that are highly uncertain. Different estimates could have a material impact on our financial results. Judgments </w:t>
      </w:r>
      <w:r>
        <w:rPr>
          <w:rFonts w:eastAsia="Times New Roman"/>
          <w:color w:val="000000"/>
          <w:sz w:val="20"/>
          <w:szCs w:val="20"/>
        </w:rPr>
        <w:t>and uncertainties affecting the application of these policies and estimates may result in materially different amounts being reported under different conditions or circumstances. Our management continually reviews these assumptions, estimates and judgments</w:t>
      </w:r>
      <w:r>
        <w:rPr>
          <w:rFonts w:eastAsia="Times New Roman"/>
          <w:color w:val="000000"/>
          <w:sz w:val="20"/>
          <w:szCs w:val="20"/>
        </w:rPr>
        <w:t xml:space="preserve"> to ensure that our financial statements are presented fairly and are materially correct.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many cases, the accounting treatment of a particular transaction is specifically dictated by GAAP and does not require significant management judgment in its app</w:t>
      </w:r>
      <w:r>
        <w:rPr>
          <w:rFonts w:eastAsia="Times New Roman"/>
          <w:color w:val="000000"/>
          <w:sz w:val="20"/>
          <w:szCs w:val="20"/>
        </w:rPr>
        <w:t>lication. There are also areas in which management’s judgment in selecting among available alternatives would not produce a materially different result. The significant accounting policies and estimates that we believe are the most critical to aid in fully</w:t>
      </w:r>
      <w:r>
        <w:rPr>
          <w:rFonts w:eastAsia="Times New Roman"/>
          <w:color w:val="000000"/>
          <w:sz w:val="20"/>
          <w:szCs w:val="20"/>
        </w:rPr>
        <w:t xml:space="preserve"> understanding and evaluating our reported financial results are discussed in the paragraphs below. Our senior management has reviewed these critical accounting estimates and related disclosures with our independent registered public accounting firm and th</w:t>
      </w:r>
      <w:r>
        <w:rPr>
          <w:rFonts w:eastAsia="Times New Roman"/>
          <w:color w:val="000000"/>
          <w:sz w:val="20"/>
          <w:szCs w:val="20"/>
        </w:rPr>
        <w:t>e Audit Committee of our Board of Directors. See Note 1, “Basis of Presentation and Significant Accounting Policies”, of the Notes to Consolidated Financial Statements in Item 8 of Part II of this Report, which contains additional information regarding our</w:t>
      </w:r>
      <w:r>
        <w:rPr>
          <w:rFonts w:eastAsia="Times New Roman"/>
          <w:color w:val="000000"/>
          <w:sz w:val="20"/>
          <w:szCs w:val="20"/>
        </w:rPr>
        <w:t xml:space="preserve"> accounting policies and other disclosures required by GAAP.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Revenue Recognition</w:t>
      </w:r>
      <w:r>
        <w:rPr>
          <w:rFonts w:eastAsia="Times New Roman"/>
          <w:color w:val="000000"/>
          <w:sz w:val="20"/>
          <w:szCs w:val="20"/>
        </w:rPr>
        <w:t xml:space="preserve"> We enter into contracts to sell our products and services, which may be sold separately or bundled with other products and services. As a result, interpretation and judgmen</w:t>
      </w:r>
      <w:r>
        <w:rPr>
          <w:rFonts w:eastAsia="Times New Roman"/>
          <w:color w:val="000000"/>
          <w:sz w:val="20"/>
          <w:szCs w:val="20"/>
        </w:rPr>
        <w:t>t are sometimes required to determine the appropriate accounting for these transactions, including: (1) whether performance obligations are considered distinct that should be accounted for separately versus together, how the price should be allocated among</w:t>
      </w:r>
      <w:r>
        <w:rPr>
          <w:rFonts w:eastAsia="Times New Roman"/>
          <w:color w:val="000000"/>
          <w:sz w:val="20"/>
          <w:szCs w:val="20"/>
        </w:rPr>
        <w:t xml:space="preserve"> the performance obligations, and when to recognize revenue for each performance obligation</w:t>
      </w:r>
      <w:r>
        <w:rPr>
          <w:rFonts w:eastAsia="Times New Roman"/>
          <w:color w:val="000000"/>
          <w:sz w:val="20"/>
          <w:szCs w:val="20"/>
        </w:rPr>
        <w:t>;</w:t>
      </w:r>
      <w:r>
        <w:rPr>
          <w:rFonts w:eastAsia="Times New Roman"/>
          <w:color w:val="000000"/>
          <w:sz w:val="20"/>
          <w:szCs w:val="20"/>
        </w:rPr>
        <w:t xml:space="preserve"> (2) developing an estimate of the stand-alone selling price, or SSP, of each distinct performance obligation</w:t>
      </w:r>
      <w:r>
        <w:rPr>
          <w:rFonts w:eastAsia="Times New Roman"/>
          <w:color w:val="000000"/>
          <w:sz w:val="20"/>
          <w:szCs w:val="20"/>
        </w:rPr>
        <w:t>;</w:t>
      </w:r>
      <w:r>
        <w:rPr>
          <w:rFonts w:eastAsia="Times New Roman"/>
          <w:color w:val="000000"/>
          <w:sz w:val="20"/>
          <w:szCs w:val="20"/>
        </w:rPr>
        <w:t xml:space="preserve"> (3) combining contracts that may impact the allocatio</w:t>
      </w:r>
      <w:r>
        <w:rPr>
          <w:rFonts w:eastAsia="Times New Roman"/>
          <w:color w:val="000000"/>
          <w:sz w:val="20"/>
          <w:szCs w:val="20"/>
        </w:rPr>
        <w:t>n of the transaction price between product and services</w:t>
      </w:r>
      <w:r>
        <w:rPr>
          <w:rFonts w:eastAsia="Times New Roman"/>
          <w:color w:val="000000"/>
          <w:sz w:val="20"/>
          <w:szCs w:val="20"/>
        </w:rPr>
        <w:t>;</w:t>
      </w:r>
      <w:r>
        <w:rPr>
          <w:rFonts w:eastAsia="Times New Roman"/>
          <w:color w:val="000000"/>
          <w:sz w:val="20"/>
          <w:szCs w:val="20"/>
        </w:rPr>
        <w:t xml:space="preserve"> and (4) estimating and accounting for variable consideration, including rights of return, rebates, expected penalties or other price concessions as a reduction of the transaction price.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estimat</w:t>
      </w:r>
      <w:r>
        <w:rPr>
          <w:rFonts w:eastAsia="Times New Roman"/>
          <w:color w:val="000000"/>
          <w:sz w:val="20"/>
          <w:szCs w:val="20"/>
        </w:rPr>
        <w:t>es of SSP for each performance obligation require judgment that considers multiple factors, including, but not limited to, historical discounting trends for products and services, pricing practices in different geographies and industries, gross margin obje</w:t>
      </w:r>
      <w:r>
        <w:rPr>
          <w:rFonts w:eastAsia="Times New Roman"/>
          <w:color w:val="000000"/>
          <w:sz w:val="20"/>
          <w:szCs w:val="20"/>
        </w:rPr>
        <w:t>ctives, and internal costs. Our estimates for rights of return and rebates are based on historical sales returns and credits, specific criteria outlined in customer contracts or rebate agreements, and other factors known at the time. Our estimates for expe</w:t>
      </w:r>
      <w:r>
        <w:rPr>
          <w:rFonts w:eastAsia="Times New Roman"/>
          <w:color w:val="000000"/>
          <w:sz w:val="20"/>
          <w:szCs w:val="20"/>
        </w:rPr>
        <w:t>cted penalties and other price concessions are based on historical trends and expectations regarding future occurrence.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Changes in judgments with respect to these assumptions and estimates could impact the timing or amount of revenue recognition. Additio</w:t>
      </w:r>
      <w:r>
        <w:rPr>
          <w:rFonts w:eastAsia="Times New Roman"/>
          <w:color w:val="000000"/>
          <w:sz w:val="20"/>
          <w:szCs w:val="20"/>
        </w:rPr>
        <w:t>nal information regarding our revenue recognition policy is included in Note 1, “Basis of Presentation and Significant Accounting Policies”, in the Notes to Consolidated Financial Statements.</w:t>
      </w:r>
    </w:p>
    <w:p w:rsidR="00000000" w:rsidRDefault="0040289C">
      <w:pPr>
        <w:jc w:val="both"/>
        <w:rPr>
          <w:rFonts w:eastAsia="Times New Roman"/>
        </w:rPr>
      </w:pPr>
    </w:p>
    <w:p w:rsidR="00000000" w:rsidRDefault="0040289C">
      <w:pPr>
        <w:jc w:val="center"/>
        <w:divId w:val="1215119091"/>
        <w:rPr>
          <w:rFonts w:eastAsia="Times New Roman"/>
        </w:rPr>
      </w:pPr>
      <w:r>
        <w:rPr>
          <w:rFonts w:eastAsia="Times New Roman"/>
          <w:color w:val="000000"/>
          <w:sz w:val="20"/>
          <w:szCs w:val="20"/>
        </w:rPr>
        <w:t>49</w:t>
      </w:r>
    </w:p>
    <w:p w:rsidR="00000000" w:rsidRDefault="0040289C">
      <w:pPr>
        <w:rPr>
          <w:rFonts w:eastAsia="Times New Roman"/>
        </w:rPr>
      </w:pPr>
      <w:r>
        <w:rPr>
          <w:rFonts w:eastAsia="Times New Roman"/>
        </w:rPr>
        <w:pict>
          <v:rect id="_x0000_i1079" style="width:0;height:1.5pt" o:hralign="center" o:hrstd="t" o:hr="t" fillcolor="#a0a0a0" stroked="f"/>
        </w:pict>
      </w:r>
    </w:p>
    <w:p w:rsidR="00000000" w:rsidRDefault="0040289C">
      <w:pPr>
        <w:divId w:val="154058465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39050467"/>
        <w:rPr>
          <w:rFonts w:eastAsia="Times New Roman"/>
        </w:rPr>
      </w:pPr>
    </w:p>
    <w:p w:rsidR="00000000" w:rsidRDefault="0040289C">
      <w:pPr>
        <w:jc w:val="both"/>
        <w:rPr>
          <w:rFonts w:eastAsia="Times New Roman"/>
        </w:rPr>
      </w:pPr>
      <w:r>
        <w:rPr>
          <w:rFonts w:eastAsia="Times New Roman"/>
          <w:b/>
          <w:bCs/>
          <w:color w:val="000000"/>
          <w:sz w:val="20"/>
          <w:szCs w:val="20"/>
        </w:rPr>
        <w:t>Inventory Valuation</w:t>
      </w:r>
      <w:r>
        <w:rPr>
          <w:rFonts w:eastAsia="Times New Roman"/>
          <w:color w:val="000000"/>
          <w:sz w:val="20"/>
          <w:szCs w:val="20"/>
        </w:rPr>
        <w:t xml:space="preserve"> We assess the valuation of our inventory on a periodic basis and make adjustments to the value to properly provide for po</w:t>
      </w:r>
      <w:r>
        <w:rPr>
          <w:rFonts w:eastAsia="Times New Roman"/>
          <w:color w:val="000000"/>
          <w:sz w:val="20"/>
          <w:szCs w:val="20"/>
        </w:rPr>
        <w:t>tential exposure due to slow-moving, excess, obsolete or unusable inventory. Inventories are written down to net realizable value based on forecasted usage of part, sales orders, technological obsolescence and inventory aging. These factors can be impacted</w:t>
      </w:r>
      <w:r>
        <w:rPr>
          <w:rFonts w:eastAsia="Times New Roman"/>
          <w:color w:val="000000"/>
          <w:sz w:val="20"/>
          <w:szCs w:val="20"/>
        </w:rPr>
        <w:t xml:space="preserve"> by market conditions, technology changes, changes in strategic direction, and customer demand and require estimates and management judgment that may include elements that are uncertain. On a quarterly basis, we review the current net realizable value of i</w:t>
      </w:r>
      <w:r>
        <w:rPr>
          <w:rFonts w:eastAsia="Times New Roman"/>
          <w:color w:val="000000"/>
          <w:sz w:val="20"/>
          <w:szCs w:val="20"/>
        </w:rPr>
        <w:t>nventory and adjust for any inventory exposure due to age, obsolescence, or excess of cost over net realizable value.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Goodwill </w:t>
      </w:r>
      <w:r>
        <w:rPr>
          <w:rFonts w:eastAsia="Times New Roman"/>
          <w:color w:val="000000"/>
          <w:sz w:val="20"/>
          <w:szCs w:val="20"/>
        </w:rPr>
        <w:t>Goodwill is tested at the reporting unit level for impairment on an annual basis during the fourth quarter or more frequently if certain events occur indicating that the carrying value of goodwill may be impaired. A significant amount of judgment is involv</w:t>
      </w:r>
      <w:r>
        <w:rPr>
          <w:rFonts w:eastAsia="Times New Roman"/>
          <w:color w:val="000000"/>
          <w:sz w:val="20"/>
          <w:szCs w:val="20"/>
        </w:rPr>
        <w:t xml:space="preserve">ed in determining if an indicator of impairment has occurred. Such indicators may include a decline in expected cash flows, a significant adverse change in legal factors or in the business climate, a decision to sell a business, unanticipated competition, </w:t>
      </w:r>
      <w:r>
        <w:rPr>
          <w:rFonts w:eastAsia="Times New Roman"/>
          <w:color w:val="000000"/>
          <w:sz w:val="20"/>
          <w:szCs w:val="20"/>
        </w:rPr>
        <w:t>or slower growth rates, among others. Consistent with the examples of such events and circumstances given in the accounting guidance, we believe that a goodwill impairment test should be performed immediately before and after a reorganization of our report</w:t>
      </w:r>
      <w:r>
        <w:rPr>
          <w:rFonts w:eastAsia="Times New Roman"/>
          <w:color w:val="000000"/>
          <w:sz w:val="20"/>
          <w:szCs w:val="20"/>
        </w:rPr>
        <w:t xml:space="preserve">ing structure when the reorganization would affect the composition of one or more of our reporting units. In this circumstance, performing the impairment test immediately before and after the reorganization would help to confirm that the reorganization is </w:t>
      </w:r>
      <w:r>
        <w:rPr>
          <w:rFonts w:eastAsia="Times New Roman"/>
          <w:color w:val="000000"/>
          <w:sz w:val="20"/>
          <w:szCs w:val="20"/>
        </w:rPr>
        <w:t>not potentially masking a goodwill impairment charge.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the evaluation of goodwill for impairment, we have the option to perform a qualitative assessment to determine whether further impairment testing is necessary or to perform a quantitative assessmen</w:t>
      </w:r>
      <w:r>
        <w:rPr>
          <w:rFonts w:eastAsia="Times New Roman"/>
          <w:color w:val="000000"/>
          <w:sz w:val="20"/>
          <w:szCs w:val="20"/>
        </w:rPr>
        <w:t>t by comparing the fair value of a reporting unit to its carrying amount, including goodwill. Under the qualitative assessment, an entity is not required to calculate the fair value of a reporting unit unless the entity determines that it is more likely th</w:t>
      </w:r>
      <w:r>
        <w:rPr>
          <w:rFonts w:eastAsia="Times New Roman"/>
          <w:color w:val="000000"/>
          <w:sz w:val="20"/>
          <w:szCs w:val="20"/>
        </w:rPr>
        <w:t>an not that its fair value is less than its carrying amount. If under the quantitative assessment the fair value of a reporting unit is less than its carrying amount, then the amount of the impairment loss, if any, is determined based on the amount by whic</w:t>
      </w:r>
      <w:r>
        <w:rPr>
          <w:rFonts w:eastAsia="Times New Roman"/>
          <w:color w:val="000000"/>
          <w:sz w:val="20"/>
          <w:szCs w:val="20"/>
        </w:rPr>
        <w:t xml:space="preserve">h the carrying amount exceeds the fair value up to the total value of goodwill assigned to the reporting unit. Fair values of the reporting units are estimated using a weighted methodology considering the output from both the income and market approaches. </w:t>
      </w:r>
      <w:r>
        <w:rPr>
          <w:rFonts w:eastAsia="Times New Roman"/>
          <w:color w:val="000000"/>
          <w:sz w:val="20"/>
          <w:szCs w:val="20"/>
        </w:rPr>
        <w:t>The income approach incorporates the use of a discounted cash flow (“DCF”) analysis. A number of significant assumptions and estimates are involved in the application of the DCF model to forecast operating cash flows, including revenue growth rates, EBITDA</w:t>
      </w:r>
      <w:r>
        <w:rPr>
          <w:rFonts w:eastAsia="Times New Roman"/>
          <w:color w:val="000000"/>
          <w:sz w:val="20"/>
          <w:szCs w:val="20"/>
        </w:rPr>
        <w:t xml:space="preserve"> margins and discount rates. Several of these assumptions vary among reporting units. The cash flow forecasts are generally based on approved strategic operating plans. The market approach is performed using the Guideline Public Companies (“GPC”) method wh</w:t>
      </w:r>
      <w:r>
        <w:rPr>
          <w:rFonts w:eastAsia="Times New Roman"/>
          <w:color w:val="000000"/>
          <w:sz w:val="20"/>
          <w:szCs w:val="20"/>
        </w:rPr>
        <w:t>ich is based on earnings multiple data. We perform a reconciliation between our market capitalization and our estimate of the aggregate fair value of the reporting units, including consideration of a control premium.</w:t>
      </w:r>
    </w:p>
    <w:p w:rsidR="00000000" w:rsidRDefault="0040289C">
      <w:pPr>
        <w:divId w:val="1705979787"/>
        <w:rPr>
          <w:rFonts w:eastAsia="Times New Roman"/>
        </w:rPr>
      </w:pPr>
    </w:p>
    <w:p w:rsidR="00000000" w:rsidRDefault="0040289C">
      <w:pPr>
        <w:jc w:val="both"/>
        <w:rPr>
          <w:rFonts w:eastAsia="Times New Roman"/>
        </w:rPr>
      </w:pPr>
      <w:r>
        <w:rPr>
          <w:rFonts w:eastAsia="Times New Roman"/>
          <w:b/>
          <w:bCs/>
          <w:color w:val="000000"/>
          <w:sz w:val="20"/>
          <w:szCs w:val="20"/>
        </w:rPr>
        <w:t>Valuation of Long-lived Assets and Am</w:t>
      </w:r>
      <w:r>
        <w:rPr>
          <w:rFonts w:eastAsia="Times New Roman"/>
          <w:b/>
          <w:bCs/>
          <w:color w:val="000000"/>
          <w:sz w:val="20"/>
          <w:szCs w:val="20"/>
        </w:rPr>
        <w:t xml:space="preserve">ortizable Other Intangible Assets </w:t>
      </w:r>
      <w:r>
        <w:rPr>
          <w:rFonts w:eastAsia="Times New Roman"/>
          <w:color w:val="000000"/>
          <w:sz w:val="20"/>
          <w:szCs w:val="20"/>
        </w:rPr>
        <w:t>We perform impairment tests for our long-lived assets if an event or circumstance indicates that the carrying amount of our long-lived assets may not be recoverable. In response to changes in industry and market conditions</w:t>
      </w:r>
      <w:r>
        <w:rPr>
          <w:rFonts w:eastAsia="Times New Roman"/>
          <w:color w:val="000000"/>
          <w:sz w:val="20"/>
          <w:szCs w:val="20"/>
        </w:rPr>
        <w:t>, we may also strategically realign our resources and consider restructuring, disposing of, or otherwise exiting businesses. Such activities could result in impairment of our long-lived assets or other intangible assets. We also are subject to the possibil</w:t>
      </w:r>
      <w:r>
        <w:rPr>
          <w:rFonts w:eastAsia="Times New Roman"/>
          <w:color w:val="000000"/>
          <w:sz w:val="20"/>
          <w:szCs w:val="20"/>
        </w:rPr>
        <w:t xml:space="preserve">ity of impairment of long-lived assets arising in the ordinary course of business. We consider the likelihood of impairment if certain events occur indicating that the carrying value of the long-lived assets may be impaired and we may recognize impairment </w:t>
      </w:r>
      <w:r>
        <w:rPr>
          <w:rFonts w:eastAsia="Times New Roman"/>
          <w:color w:val="000000"/>
          <w:sz w:val="20"/>
          <w:szCs w:val="20"/>
        </w:rPr>
        <w:t xml:space="preserve">if the carrying amount of a long-lived asset or intangible asset is not recoverable from its undiscounted cash flows. Impairment is measured as the difference between the carrying amount and the fair value of the asset. We use both the income approach and </w:t>
      </w:r>
      <w:r>
        <w:rPr>
          <w:rFonts w:eastAsia="Times New Roman"/>
          <w:color w:val="000000"/>
          <w:sz w:val="20"/>
          <w:szCs w:val="20"/>
        </w:rPr>
        <w:t xml:space="preserve">market approach to estimate fair value. Our estimates of fair value are subject to a high degree of judgment since they include a long-term forecast of future operations. Accordingly, any value ultimately derived from our long-lived assets may differ from </w:t>
      </w:r>
      <w:r>
        <w:rPr>
          <w:rFonts w:eastAsia="Times New Roman"/>
          <w:color w:val="000000"/>
          <w:sz w:val="20"/>
          <w:szCs w:val="20"/>
        </w:rPr>
        <w:t xml:space="preserve">our estimate of fair value.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make strategic acquisitions that may have a material impact on our consolidated results of operations or financial position. We allocate the purchase price of acquired businesses to the assets acquired and liabilities assu</w:t>
      </w:r>
      <w:r>
        <w:rPr>
          <w:rFonts w:eastAsia="Times New Roman"/>
          <w:color w:val="000000"/>
          <w:sz w:val="20"/>
          <w:szCs w:val="20"/>
        </w:rPr>
        <w:t>med in the transaction at their estimated fair values. The estimates used to determine the fair value of long-lived assets, such as intangible assets, can be complex and require significant judgments. We use information available to us to make fair value d</w:t>
      </w:r>
      <w:r>
        <w:rPr>
          <w:rFonts w:eastAsia="Times New Roman"/>
          <w:color w:val="000000"/>
          <w:sz w:val="20"/>
          <w:szCs w:val="20"/>
        </w:rPr>
        <w:t>eterminations and engage independent valuation specialists, when necessary, to assist in the fair value determination of significant acquired long-lived assets. The determination of fair value requires estimates about cash flow forecasts, discount rates, r</w:t>
      </w:r>
      <w:r>
        <w:rPr>
          <w:rFonts w:eastAsia="Times New Roman"/>
          <w:color w:val="000000"/>
          <w:sz w:val="20"/>
          <w:szCs w:val="20"/>
        </w:rPr>
        <w:t>evenue growth rates, EBITDA margin, customer attrition rate, and other future events that are judgmental in nature. While we use our best estimates and assumptions as a part of the purchase price allocation process, our estimates are inherently uncertain a</w:t>
      </w:r>
      <w:r>
        <w:rPr>
          <w:rFonts w:eastAsia="Times New Roman"/>
          <w:color w:val="000000"/>
          <w:sz w:val="20"/>
          <w:szCs w:val="20"/>
        </w:rPr>
        <w:t>nd subject to refinement. As a result, during the measurement period, which may be up to one year from the acquisition date, we may record adjustments to the assets acquired and liabilities assumed, with the corresponding offset to goodwill. Any adjustment</w:t>
      </w:r>
      <w:r>
        <w:rPr>
          <w:rFonts w:eastAsia="Times New Roman"/>
          <w:color w:val="000000"/>
          <w:sz w:val="20"/>
          <w:szCs w:val="20"/>
        </w:rPr>
        <w:t>s subsequent to the measurement period are recorded to our consolidated statements of income. We are also required to estimate the useful lives of intangible assets to determine the amount of acquisition-related intangible asset amortization expense to rec</w:t>
      </w:r>
      <w:r>
        <w:rPr>
          <w:rFonts w:eastAsia="Times New Roman"/>
          <w:color w:val="000000"/>
          <w:sz w:val="20"/>
          <w:szCs w:val="20"/>
        </w:rPr>
        <w:t>ord in future periods. Additional information regarding our acquisitions is included in Note 2, “Business Combinations”, in Notes to Consolidated Financial Statements.</w:t>
      </w:r>
    </w:p>
    <w:p w:rsidR="00000000" w:rsidRDefault="0040289C">
      <w:pPr>
        <w:jc w:val="both"/>
        <w:rPr>
          <w:rFonts w:eastAsia="Times New Roman"/>
        </w:rPr>
      </w:pPr>
    </w:p>
    <w:p w:rsidR="00000000" w:rsidRDefault="0040289C">
      <w:pPr>
        <w:jc w:val="center"/>
        <w:divId w:val="103042212"/>
        <w:rPr>
          <w:rFonts w:eastAsia="Times New Roman"/>
        </w:rPr>
      </w:pPr>
      <w:r>
        <w:rPr>
          <w:rFonts w:eastAsia="Times New Roman"/>
          <w:color w:val="000000"/>
          <w:sz w:val="20"/>
          <w:szCs w:val="20"/>
        </w:rPr>
        <w:t>50</w:t>
      </w:r>
    </w:p>
    <w:p w:rsidR="00000000" w:rsidRDefault="0040289C">
      <w:pPr>
        <w:rPr>
          <w:rFonts w:eastAsia="Times New Roman"/>
        </w:rPr>
      </w:pPr>
      <w:r>
        <w:rPr>
          <w:rFonts w:eastAsia="Times New Roman"/>
        </w:rPr>
        <w:pict>
          <v:rect id="_x0000_i1080" style="width:0;height:1.5pt" o:hralign="center" o:hrstd="t" o:hr="t" fillcolor="#a0a0a0" stroked="f"/>
        </w:pict>
      </w:r>
    </w:p>
    <w:p w:rsidR="00000000" w:rsidRDefault="0040289C">
      <w:pPr>
        <w:divId w:val="53091825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142230696"/>
        <w:rPr>
          <w:rFonts w:eastAsia="Times New Roman"/>
        </w:rPr>
      </w:pPr>
    </w:p>
    <w:p w:rsidR="00000000" w:rsidRDefault="0040289C">
      <w:pPr>
        <w:jc w:val="both"/>
        <w:rPr>
          <w:rFonts w:eastAsia="Times New Roman"/>
        </w:rPr>
      </w:pPr>
      <w:r>
        <w:rPr>
          <w:rFonts w:eastAsia="Times New Roman"/>
          <w:b/>
          <w:bCs/>
          <w:color w:val="000000"/>
          <w:sz w:val="20"/>
          <w:szCs w:val="20"/>
        </w:rPr>
        <w:t xml:space="preserve">Pension, Postretirement and Postemployment Benefits </w:t>
      </w:r>
      <w:r>
        <w:rPr>
          <w:rFonts w:eastAsia="Times New Roman"/>
          <w:color w:val="000000"/>
          <w:sz w:val="20"/>
          <w:szCs w:val="20"/>
        </w:rPr>
        <w:t>We sponsor domestic and foreign defined benefit pension and postemployment plans as well as domestic postretirement plans. As a result, we have significant pension, postre</w:t>
      </w:r>
      <w:r>
        <w:rPr>
          <w:rFonts w:eastAsia="Times New Roman"/>
          <w:color w:val="000000"/>
          <w:sz w:val="20"/>
          <w:szCs w:val="20"/>
        </w:rPr>
        <w:t>tirement and postemployment benefit costs, which are developed from actuarial valuations. Actuarial assumptions attempt to anticipate future events and are used in calculating the expense and liability relating to these plans. These factors include assumpt</w:t>
      </w:r>
      <w:r>
        <w:rPr>
          <w:rFonts w:eastAsia="Times New Roman"/>
          <w:color w:val="000000"/>
          <w:sz w:val="20"/>
          <w:szCs w:val="20"/>
        </w:rPr>
        <w:t>ions we make about interest rates, expected investment return on plan assets, involuntary turnover rates, and rates of future compensation increases. In addition, our actuarial consultants advise us about subjective factors such as withdrawal rates and mor</w:t>
      </w:r>
      <w:r>
        <w:rPr>
          <w:rFonts w:eastAsia="Times New Roman"/>
          <w:color w:val="000000"/>
          <w:sz w:val="20"/>
          <w:szCs w:val="20"/>
        </w:rPr>
        <w:t>tality rates to use in our valuations. We generally review and update these assumptions on an annual basis at the end of each fiscal year. We are required to consider current market conditions, including changes in interest rates, in making these assumptio</w:t>
      </w:r>
      <w:r>
        <w:rPr>
          <w:rFonts w:eastAsia="Times New Roman"/>
          <w:color w:val="000000"/>
          <w:sz w:val="20"/>
          <w:szCs w:val="20"/>
        </w:rPr>
        <w:t>ns. The actuarial assumptions that we use may differ materially from actual results due to changing market and economic conditions, higher or lower withdrawal rates, or longer or shorter life spans of participants. These differences may result in a signifi</w:t>
      </w:r>
      <w:r>
        <w:rPr>
          <w:rFonts w:eastAsia="Times New Roman"/>
          <w:color w:val="000000"/>
          <w:sz w:val="20"/>
          <w:szCs w:val="20"/>
        </w:rPr>
        <w:t>cant impact to the amount of pension, postretirement or postemployment benefits expense we have recorded or may record. Ongoing pension, postemployment and postretirement expense impacts all of our segments. Pension mark-to-market adjustments, settlements,</w:t>
      </w:r>
      <w:r>
        <w:rPr>
          <w:rFonts w:eastAsia="Times New Roman"/>
          <w:color w:val="000000"/>
          <w:sz w:val="20"/>
          <w:szCs w:val="20"/>
        </w:rPr>
        <w:t xml:space="preserve"> curtailments and special termination benefits are excluded from our segment results as those items are not included in the evaluation of segment performance. See Note 4, “Segment Information and Concentrations”, in the Notes to Consolidated Financial Stat</w:t>
      </w:r>
      <w:r>
        <w:rPr>
          <w:rFonts w:eastAsia="Times New Roman"/>
          <w:color w:val="000000"/>
          <w:sz w:val="20"/>
          <w:szCs w:val="20"/>
        </w:rPr>
        <w:t xml:space="preserve">ements in Item 8 of Part II of this Report for a reconciliation of our segment results to income from operations.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key assumptions used in developing our 2022 expense were discount rates of 2.7% for our U.S. pension plan and 1.9% for our postretireme</w:t>
      </w:r>
      <w:r>
        <w:rPr>
          <w:rFonts w:eastAsia="Times New Roman"/>
          <w:color w:val="000000"/>
          <w:sz w:val="20"/>
          <w:szCs w:val="20"/>
        </w:rPr>
        <w:t>nt plan, and an expected return on assets assumption of 5.0% for our U.S. pension plan in 2022. The U.S. plan represented 65% of the pension obligation and 100% of the postretirement plan obligation as of December 31, 2022</w:t>
      </w:r>
      <w:r>
        <w:rPr>
          <w:rFonts w:eastAsia="Times New Roman"/>
          <w:color w:val="330E74"/>
          <w:sz w:val="20"/>
          <w:szCs w:val="20"/>
        </w:rPr>
        <w:t>.</w:t>
      </w:r>
      <w:r>
        <w:rPr>
          <w:rFonts w:eastAsia="Times New Roman"/>
          <w:color w:val="000000"/>
          <w:sz w:val="20"/>
          <w:szCs w:val="20"/>
        </w:rPr>
        <w:t xml:space="preserve"> Holding all other assumptions co</w:t>
      </w:r>
      <w:r>
        <w:rPr>
          <w:rFonts w:eastAsia="Times New Roman"/>
          <w:color w:val="000000"/>
          <w:sz w:val="20"/>
          <w:szCs w:val="20"/>
        </w:rPr>
        <w:t>nstant, a 0.25% change in the discount rate used for the U.S. plan would have increased or decreased 2022 ongoing pension expense by approximately $3 million and would have had an immaterial impact on 2022 postretirement income. A 0.25% change in the expec</w:t>
      </w:r>
      <w:r>
        <w:rPr>
          <w:rFonts w:eastAsia="Times New Roman"/>
          <w:color w:val="000000"/>
          <w:sz w:val="20"/>
          <w:szCs w:val="20"/>
        </w:rPr>
        <w:t>ted rate of return on plan assets assumption for the U.S. pension plan would have increased or decreased 2022 ongoing pension expense by approximately $3 million. Our expected return on plan assets has historically been and will likely continue to be mater</w:t>
      </w:r>
      <w:r>
        <w:rPr>
          <w:rFonts w:eastAsia="Times New Roman"/>
          <w:color w:val="000000"/>
          <w:sz w:val="20"/>
          <w:szCs w:val="20"/>
        </w:rPr>
        <w:t xml:space="preserve">ial to net income. For 2023, we intend to use discount rates of 5.3% and 5.2% in determining the U.S. pension and postretirement expense, respectively. We intend to use an expected rate of return on assets assumption of 7.0% for the U.S. pension plan.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w:t>
      </w:r>
      <w:r>
        <w:rPr>
          <w:rFonts w:eastAsia="Times New Roman"/>
          <w:color w:val="000000"/>
          <w:sz w:val="20"/>
          <w:szCs w:val="20"/>
        </w:rPr>
        <w:t>e recognize additional changes in the fair value of plan assets and net actuarial gains or losses of our pension plans upon remeasurement, which occurs at least annually in the fourth quarter of each year. The remaining components of pension expense, prima</w:t>
      </w:r>
      <w:r>
        <w:rPr>
          <w:rFonts w:eastAsia="Times New Roman"/>
          <w:color w:val="000000"/>
          <w:sz w:val="20"/>
          <w:szCs w:val="20"/>
        </w:rPr>
        <w:t>rily net service cost, interest cost, and the expected return on plan assets, are recorded on a quarterly basis as ongoing pension expense. While it is required that we review our actuarial assumptions each year at the measurement date, we generally do not</w:t>
      </w:r>
      <w:r>
        <w:rPr>
          <w:rFonts w:eastAsia="Times New Roman"/>
          <w:color w:val="000000"/>
          <w:sz w:val="20"/>
          <w:szCs w:val="20"/>
        </w:rPr>
        <w:t xml:space="preserve"> change them between measurement dates. We use a measurement date of December 31 for all of our plans. Changes in assumptions or asset values may have a significant effect on the annual measurement of expense or income in the fourth quarter.</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most sig</w:t>
      </w:r>
      <w:r>
        <w:rPr>
          <w:rFonts w:eastAsia="Times New Roman"/>
          <w:color w:val="000000"/>
          <w:sz w:val="20"/>
          <w:szCs w:val="20"/>
        </w:rPr>
        <w:t>nificant assumption used in developing our 2022 postemployment plan expense is the assumed rate of involuntary turnover of 3.8%. The involuntary turnover rate is based on historical trends and projections of involuntary turnover in the future. A 0.25% chan</w:t>
      </w:r>
      <w:r>
        <w:rPr>
          <w:rFonts w:eastAsia="Times New Roman"/>
          <w:color w:val="000000"/>
          <w:sz w:val="20"/>
          <w:szCs w:val="20"/>
        </w:rPr>
        <w:t>ge in the rate of involuntary turnover would have increased or decreased 2022 expense by approximately $2 million. The sensitivity of the assumptions described above is specific to each individual plan and not to our pension, postretirement and postemploym</w:t>
      </w:r>
      <w:r>
        <w:rPr>
          <w:rFonts w:eastAsia="Times New Roman"/>
          <w:color w:val="000000"/>
          <w:sz w:val="20"/>
          <w:szCs w:val="20"/>
        </w:rPr>
        <w:t>ent plans in the aggregate. We intend to use an involuntary turnover assumption of 3.8% in determining the 2023 postemployment expense.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Environmental and Legal Contingencies </w:t>
      </w:r>
      <w:r>
        <w:rPr>
          <w:rFonts w:eastAsia="Times New Roman"/>
          <w:color w:val="000000"/>
          <w:sz w:val="20"/>
          <w:szCs w:val="20"/>
        </w:rPr>
        <w:t>Each quarter, we review the status of each claim and legal proceeding and assess</w:t>
      </w:r>
      <w:r>
        <w:rPr>
          <w:rFonts w:eastAsia="Times New Roman"/>
          <w:color w:val="000000"/>
          <w:sz w:val="20"/>
          <w:szCs w:val="20"/>
        </w:rPr>
        <w:t xml:space="preserve"> our potential financial exposure. If the potential loss from any claim or legal proceeding would be material and is considered probable and the amount can be reasonably estimated, we accrue a liability for the estimated loss. To the extent that the amount</w:t>
      </w:r>
      <w:r>
        <w:rPr>
          <w:rFonts w:eastAsia="Times New Roman"/>
          <w:color w:val="000000"/>
          <w:sz w:val="20"/>
          <w:szCs w:val="20"/>
        </w:rPr>
        <w:t xml:space="preserve"> of such a probable loss is estimable only by reference to a range of equally likely outcomes, and no amount within the range appears to be a better estimate than any other amount, we accrue the amount at the low end of the range. Because of uncertainties </w:t>
      </w:r>
      <w:r>
        <w:rPr>
          <w:rFonts w:eastAsia="Times New Roman"/>
          <w:color w:val="000000"/>
          <w:sz w:val="20"/>
          <w:szCs w:val="20"/>
        </w:rPr>
        <w:t>related to these matters, the use of estimates, assumptions and judgments, and external factors beyond our control, accruals are based on the best information available at the time. At environmental sites, or portions of environmental sites, where liabilit</w:t>
      </w:r>
      <w:r>
        <w:rPr>
          <w:rFonts w:eastAsia="Times New Roman"/>
          <w:color w:val="000000"/>
          <w:sz w:val="20"/>
          <w:szCs w:val="20"/>
        </w:rPr>
        <w:t>y is determined to be probable but a remedy has not yet been determined, we accrue for the costs of investigations and studies for the affected areas but not for the costs of remediation. As additional information becomes available, we reassess the potenti</w:t>
      </w:r>
      <w:r>
        <w:rPr>
          <w:rFonts w:eastAsia="Times New Roman"/>
          <w:color w:val="000000"/>
          <w:sz w:val="20"/>
          <w:szCs w:val="20"/>
        </w:rPr>
        <w:t>al liability related to our pending claims and litigation and may revise our estimates. Such revisions in the estimates of the potential liabilities could have a material impact on our results of operations and financial position. When insurance carriers o</w:t>
      </w:r>
      <w:r>
        <w:rPr>
          <w:rFonts w:eastAsia="Times New Roman"/>
          <w:color w:val="000000"/>
          <w:sz w:val="20"/>
          <w:szCs w:val="20"/>
        </w:rPr>
        <w:t xml:space="preserve">r third parties have agreed to pay any amounts related to costs, and we believe that it is probable that we can collect such amounts, those amounts are reflected as receivables in our Consolidated Balance Sheet.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most significant legal contingencies </w:t>
      </w:r>
      <w:r>
        <w:rPr>
          <w:rFonts w:eastAsia="Times New Roman"/>
          <w:color w:val="000000"/>
          <w:sz w:val="20"/>
          <w:szCs w:val="20"/>
        </w:rPr>
        <w:t xml:space="preserve">impacting our Company are the Fox River, Kalamazoo River, and Ebina matters, which are further described in detail in Note 10, “Commitments and Contingencies”, in the Notes to Consolidated Financial Statements in Item </w:t>
      </w:r>
    </w:p>
    <w:p w:rsidR="00000000" w:rsidRDefault="0040289C">
      <w:pPr>
        <w:jc w:val="center"/>
        <w:divId w:val="1117677575"/>
        <w:rPr>
          <w:rFonts w:eastAsia="Times New Roman"/>
        </w:rPr>
      </w:pPr>
      <w:r>
        <w:rPr>
          <w:rFonts w:eastAsia="Times New Roman"/>
          <w:color w:val="000000"/>
          <w:sz w:val="20"/>
          <w:szCs w:val="20"/>
        </w:rPr>
        <w:t>51</w:t>
      </w:r>
    </w:p>
    <w:p w:rsidR="00000000" w:rsidRDefault="0040289C">
      <w:pPr>
        <w:rPr>
          <w:rFonts w:eastAsia="Times New Roman"/>
        </w:rPr>
      </w:pPr>
      <w:r>
        <w:rPr>
          <w:rFonts w:eastAsia="Times New Roman"/>
        </w:rPr>
        <w:pict>
          <v:rect id="_x0000_i1081" style="width:0;height:1.5pt" o:hralign="center" o:hrstd="t" o:hr="t" fillcolor="#a0a0a0" stroked="f"/>
        </w:pict>
      </w:r>
    </w:p>
    <w:p w:rsidR="00000000" w:rsidRDefault="0040289C">
      <w:pPr>
        <w:divId w:val="207620029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60100915"/>
        <w:rPr>
          <w:rFonts w:eastAsia="Times New Roman"/>
        </w:rPr>
      </w:pPr>
    </w:p>
    <w:p w:rsidR="00000000" w:rsidRDefault="0040289C">
      <w:pPr>
        <w:jc w:val="both"/>
        <w:rPr>
          <w:rFonts w:eastAsia="Times New Roman"/>
        </w:rPr>
      </w:pPr>
      <w:r>
        <w:rPr>
          <w:rFonts w:eastAsia="Times New Roman"/>
          <w:color w:val="000000"/>
          <w:sz w:val="20"/>
          <w:szCs w:val="20"/>
        </w:rPr>
        <w:t xml:space="preserve">8 of Part II of this Report. NCR has been identified as a potentially responsible party (“PRP”) at both the Fox River and Kalamazoo River sites.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described below and in Note 10, “Commitments and Contingencies”, in the Notes to Consolidated Financial S</w:t>
      </w:r>
      <w:r>
        <w:rPr>
          <w:rFonts w:eastAsia="Times New Roman"/>
          <w:color w:val="000000"/>
          <w:sz w:val="20"/>
          <w:szCs w:val="20"/>
        </w:rPr>
        <w:t xml:space="preserve">tatements in Item 8 of Part II of this Report, while litigation activities have been concluded with respect to the Fox River matter and while the Company has engaged in cooperative regulatory compliance activities with the government of Japan with respect </w:t>
      </w:r>
      <w:r>
        <w:rPr>
          <w:rFonts w:eastAsia="Times New Roman"/>
          <w:color w:val="000000"/>
          <w:sz w:val="20"/>
          <w:szCs w:val="20"/>
        </w:rPr>
        <w:t>to the Ebina matter, the extent of our potential liabilities continues to be subject to significant uncertainties. The uncertainties related to the Kalamazoo River matter include the total cost of clean-up as well as the solvency and willingness of the co-</w:t>
      </w:r>
      <w:r>
        <w:rPr>
          <w:rFonts w:eastAsia="Times New Roman"/>
          <w:color w:val="000000"/>
          <w:sz w:val="20"/>
          <w:szCs w:val="20"/>
        </w:rPr>
        <w:t>obligors or indemnitors, and other responsible parties, to pay. As relates to Fox River, uncertainties remain with respect to the final reconciliation of the indemnitors' payment obligations. The uncertainties related to the Ebina matter include total cost</w:t>
      </w:r>
      <w:r>
        <w:rPr>
          <w:rFonts w:eastAsia="Times New Roman"/>
          <w:color w:val="000000"/>
          <w:sz w:val="20"/>
          <w:szCs w:val="20"/>
        </w:rPr>
        <w:t xml:space="preserve"> of clean-up subject to approval by government agencies in Japan.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net reserves for the Fox River matter, the Kalamazoo River matter and the Ebina matter, as of December 31, 2022 were approximately $22 million, $90 million, and $7 million, respectively, as further discussed in Note 10, “Commitments and Contingencies”,</w:t>
      </w:r>
      <w:r>
        <w:rPr>
          <w:rFonts w:eastAsia="Times New Roman"/>
          <w:color w:val="000000"/>
          <w:sz w:val="20"/>
          <w:szCs w:val="20"/>
        </w:rPr>
        <w:t xml:space="preserve"> in the Notes to Consolidated Financial Statements in Item 8 of Part II of this Report. The Company regularly re-evaluates the assumptions used in determining the appropriate reserve for these matters as additional information becomes available and, when w</w:t>
      </w:r>
      <w:r>
        <w:rPr>
          <w:rFonts w:eastAsia="Times New Roman"/>
          <w:color w:val="000000"/>
          <w:sz w:val="20"/>
          <w:szCs w:val="20"/>
        </w:rPr>
        <w:t xml:space="preserve">arranted, makes appropriate adjustments.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Income Taxes </w:t>
      </w:r>
      <w:r>
        <w:rPr>
          <w:rFonts w:eastAsia="Times New Roman"/>
          <w:color w:val="000000"/>
          <w:sz w:val="20"/>
          <w:szCs w:val="20"/>
        </w:rPr>
        <w:t>We recognize deferred tax assets and liabilities based on the differences between the financial statement carrying amounts and the tax basis of assets and liabilities. The deferred tax assets and lia</w:t>
      </w:r>
      <w:r>
        <w:rPr>
          <w:rFonts w:eastAsia="Times New Roman"/>
          <w:color w:val="000000"/>
          <w:sz w:val="20"/>
          <w:szCs w:val="20"/>
        </w:rPr>
        <w:t>bilities are determined based on the enacted tax rates expected to apply in the periods in which the deferred tax assets or liabilities are anticipated to be settled or realized.</w:t>
      </w:r>
    </w:p>
    <w:p w:rsidR="00000000" w:rsidRDefault="0040289C">
      <w:pPr>
        <w:jc w:val="both"/>
        <w:rPr>
          <w:rFonts w:eastAsia="Times New Roman"/>
        </w:rPr>
      </w:pPr>
    </w:p>
    <w:p w:rsidR="00000000" w:rsidRDefault="0040289C">
      <w:pPr>
        <w:jc w:val="both"/>
        <w:divId w:val="1540512334"/>
        <w:rPr>
          <w:rFonts w:eastAsia="Times New Roman"/>
        </w:rPr>
      </w:pPr>
      <w:r>
        <w:rPr>
          <w:rFonts w:eastAsia="Times New Roman"/>
          <w:color w:val="000000"/>
          <w:sz w:val="20"/>
          <w:szCs w:val="20"/>
        </w:rPr>
        <w:t>We regularly review our deferred tax assets for recoverability and establis</w:t>
      </w:r>
      <w:r>
        <w:rPr>
          <w:rFonts w:eastAsia="Times New Roman"/>
          <w:color w:val="000000"/>
          <w:sz w:val="20"/>
          <w:szCs w:val="20"/>
        </w:rPr>
        <w:t>h a valuation allowance if it is more likely than not that some portion or all of a deferred tax asset will not be realized. The determination as to whether a deferred tax asset will be realized is made on a jurisdictional basis and is based on the evaluat</w:t>
      </w:r>
      <w:r>
        <w:rPr>
          <w:rFonts w:eastAsia="Times New Roman"/>
          <w:color w:val="000000"/>
          <w:sz w:val="20"/>
          <w:szCs w:val="20"/>
        </w:rPr>
        <w:t>ion of positive and negative evidence. This evidence includes historical taxable income, projected future taxable income, the expected timing of the reversal of existing temporary differences and the implementation of tax planning strategies. Projected fut</w:t>
      </w:r>
      <w:r>
        <w:rPr>
          <w:rFonts w:eastAsia="Times New Roman"/>
          <w:color w:val="000000"/>
          <w:sz w:val="20"/>
          <w:szCs w:val="20"/>
        </w:rPr>
        <w:t>ure taxable income is based on our expected results and assumptions as to the jurisdiction in which the income will be earned. The expected timing of the reversals of existing temporary differences is based on current tax law and our tax methods of account</w:t>
      </w:r>
      <w:r>
        <w:rPr>
          <w:rFonts w:eastAsia="Times New Roman"/>
          <w:color w:val="000000"/>
          <w:sz w:val="20"/>
          <w:szCs w:val="20"/>
        </w:rPr>
        <w:t>ing. As a result of this determination, we had valuation allowances of $448 million as of December 31, 2022 and $368 million as of December 31, 2021, related to certain deferred income tax assets, primarily tax loss carryforwards, in jurisdictions where th</w:t>
      </w:r>
      <w:r>
        <w:rPr>
          <w:rFonts w:eastAsia="Times New Roman"/>
          <w:color w:val="000000"/>
          <w:sz w:val="20"/>
          <w:szCs w:val="20"/>
        </w:rPr>
        <w:t>ere is uncertainty as to the ultimate realization of a benefit from those tax assets.</w:t>
      </w:r>
    </w:p>
    <w:p w:rsidR="00000000" w:rsidRDefault="0040289C">
      <w:pPr>
        <w:jc w:val="both"/>
        <w:divId w:val="2016611522"/>
        <w:rPr>
          <w:rFonts w:eastAsia="Times New Roman"/>
        </w:rPr>
      </w:pPr>
      <w:r>
        <w:rPr>
          <w:rFonts w:eastAsia="Times New Roman"/>
          <w:color w:val="000000"/>
          <w:sz w:val="20"/>
          <w:szCs w:val="20"/>
        </w:rPr>
        <w:t>If we are unable to generate sufficient future taxable income, or if there is a material change in the actual effective tax rates or the time period within which the unde</w:t>
      </w:r>
      <w:r>
        <w:rPr>
          <w:rFonts w:eastAsia="Times New Roman"/>
          <w:color w:val="000000"/>
          <w:sz w:val="20"/>
          <w:szCs w:val="20"/>
        </w:rPr>
        <w:t>rlying temporary differences become taxable or deductible, or if the tax laws change unfavorably, then we could be required to increase our valuation allowance against our deferred tax assets, resulting in an increase in our effective tax rate.</w:t>
      </w:r>
    </w:p>
    <w:p w:rsidR="00000000" w:rsidRDefault="0040289C">
      <w:pPr>
        <w:jc w:val="both"/>
        <w:divId w:val="1883864006"/>
        <w:rPr>
          <w:rFonts w:eastAsia="Times New Roman"/>
        </w:rPr>
      </w:pPr>
      <w:r>
        <w:rPr>
          <w:rFonts w:eastAsia="Times New Roman"/>
          <w:color w:val="000000"/>
          <w:sz w:val="20"/>
          <w:szCs w:val="20"/>
        </w:rPr>
        <w:t>The Company</w:t>
      </w:r>
      <w:r>
        <w:rPr>
          <w:rFonts w:eastAsia="Times New Roman"/>
          <w:color w:val="000000"/>
          <w:sz w:val="20"/>
          <w:szCs w:val="20"/>
        </w:rPr>
        <w:t xml:space="preserve"> recognizes the tax benefit from an uncertain tax position only if it is more likely than not that the tax position will be sustained on examination by the taxing authorities, based on the technical merits of the position. The tax benefits recognized in th</w:t>
      </w:r>
      <w:r>
        <w:rPr>
          <w:rFonts w:eastAsia="Times New Roman"/>
          <w:color w:val="000000"/>
          <w:sz w:val="20"/>
          <w:szCs w:val="20"/>
        </w:rPr>
        <w:t xml:space="preserve">e consolidated financial statements from such a position are measured based on the largest benefit that has a greater than fifty percent likelihood of being realized upon settlement. Interest and penalties related to uncertain tax positions are recognized </w:t>
      </w:r>
      <w:r>
        <w:rPr>
          <w:rFonts w:eastAsia="Times New Roman"/>
          <w:color w:val="000000"/>
          <w:sz w:val="20"/>
          <w:szCs w:val="20"/>
        </w:rPr>
        <w:t>as part of the provision for income taxes and are accrued beginning in the period that such interest and penalties would be applicable under relevant tax law until such time that the related tax benefits are recognized.</w:t>
      </w:r>
    </w:p>
    <w:p w:rsidR="00000000" w:rsidRDefault="0040289C">
      <w:pPr>
        <w:jc w:val="both"/>
        <w:divId w:val="221908501"/>
        <w:rPr>
          <w:rFonts w:eastAsia="Times New Roman"/>
        </w:rPr>
      </w:pPr>
      <w:r>
        <w:rPr>
          <w:rFonts w:eastAsia="Times New Roman"/>
          <w:color w:val="000000"/>
          <w:sz w:val="20"/>
          <w:szCs w:val="20"/>
        </w:rPr>
        <w:t xml:space="preserve">During 2019, we transferred certain </w:t>
      </w:r>
      <w:r>
        <w:rPr>
          <w:rFonts w:eastAsia="Times New Roman"/>
          <w:color w:val="000000"/>
          <w:sz w:val="20"/>
          <w:szCs w:val="20"/>
        </w:rPr>
        <w:t>intangible assets among our wholly-owned subsidiaries, which resulted in the establishment of deferred tax assets of $274 million. The establishment of deferred tax assets from intra-entity transfers of intangible assets required us to make significant est</w:t>
      </w:r>
      <w:r>
        <w:rPr>
          <w:rFonts w:eastAsia="Times New Roman"/>
          <w:color w:val="000000"/>
          <w:sz w:val="20"/>
          <w:szCs w:val="20"/>
        </w:rPr>
        <w:t xml:space="preserve">imates and assumptions to determine the fair value of such intangible assets. Critical estimates in valuing the intangible assets include, but are not limited to, internal revenue and expense forecasts, and discount rates. The sustainability of our future </w:t>
      </w:r>
      <w:r>
        <w:rPr>
          <w:rFonts w:eastAsia="Times New Roman"/>
          <w:color w:val="000000"/>
          <w:sz w:val="20"/>
          <w:szCs w:val="20"/>
        </w:rPr>
        <w:t>tax benefits is dependent upon the acceptance of these valuation estimates and assumptions by the taxing authorities.</w:t>
      </w:r>
    </w:p>
    <w:p w:rsidR="00000000" w:rsidRDefault="0040289C">
      <w:pPr>
        <w:jc w:val="both"/>
        <w:divId w:val="1333142386"/>
        <w:rPr>
          <w:rFonts w:eastAsia="Times New Roman"/>
        </w:rPr>
      </w:pPr>
      <w:r>
        <w:rPr>
          <w:rFonts w:eastAsia="Times New Roman"/>
          <w:color w:val="000000"/>
          <w:sz w:val="20"/>
          <w:szCs w:val="20"/>
        </w:rPr>
        <w:t xml:space="preserve">The provision for income taxes may change period-to-period based on non-recurring events, such as the settlement of income tax audits and </w:t>
      </w:r>
      <w:r>
        <w:rPr>
          <w:rFonts w:eastAsia="Times New Roman"/>
          <w:color w:val="000000"/>
          <w:sz w:val="20"/>
          <w:szCs w:val="20"/>
        </w:rPr>
        <w:t>changes in tax laws, as well as recurring factors including the geographic mix of income before taxes, state and local taxes and the effects of various global income tax strategies. We maintain certain strategic management and operational activities in ove</w:t>
      </w:r>
      <w:r>
        <w:rPr>
          <w:rFonts w:eastAsia="Times New Roman"/>
          <w:color w:val="000000"/>
          <w:sz w:val="20"/>
          <w:szCs w:val="20"/>
        </w:rPr>
        <w:t>rseas subsidiaries and our foreign earnings are taxed at rates that are generally lower than in the United States. As of December 31, 2022, we did not provide for U.S. federal income taxes or foreign withholding taxes on approximately $3.7 billion of undis</w:t>
      </w:r>
      <w:r>
        <w:rPr>
          <w:rFonts w:eastAsia="Times New Roman"/>
          <w:color w:val="000000"/>
          <w:sz w:val="20"/>
          <w:szCs w:val="20"/>
        </w:rPr>
        <w:t>tributed earnings of our foreign subsidiaries as such earnings are expected to be reinvested indefinitely. The amount of unrecognized deferred tax liability associated with these indefinitely reinvested earnings is approximately $152 million.</w:t>
      </w:r>
    </w:p>
    <w:p w:rsidR="00000000" w:rsidRDefault="0040289C">
      <w:pPr>
        <w:jc w:val="center"/>
        <w:divId w:val="1506627158"/>
        <w:rPr>
          <w:rFonts w:eastAsia="Times New Roman"/>
        </w:rPr>
      </w:pPr>
      <w:r>
        <w:rPr>
          <w:rFonts w:eastAsia="Times New Roman"/>
          <w:color w:val="000000"/>
          <w:sz w:val="20"/>
          <w:szCs w:val="20"/>
        </w:rPr>
        <w:t>52</w:t>
      </w:r>
    </w:p>
    <w:p w:rsidR="00000000" w:rsidRDefault="0040289C">
      <w:pPr>
        <w:rPr>
          <w:rFonts w:eastAsia="Times New Roman"/>
        </w:rPr>
      </w:pPr>
      <w:r>
        <w:rPr>
          <w:rFonts w:eastAsia="Times New Roman"/>
        </w:rPr>
        <w:pict>
          <v:rect id="_x0000_i1082" style="width:0;height:1.5pt" o:hralign="center" o:hrstd="t" o:hr="t" fillcolor="#a0a0a0" stroked="f"/>
        </w:pict>
      </w:r>
    </w:p>
    <w:p w:rsidR="00000000" w:rsidRDefault="0040289C">
      <w:pPr>
        <w:divId w:val="188994961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860926113"/>
        <w:rPr>
          <w:rFonts w:eastAsia="Times New Roman"/>
        </w:rPr>
      </w:pPr>
    </w:p>
    <w:p w:rsidR="00000000" w:rsidRDefault="0040289C">
      <w:pPr>
        <w:jc w:val="both"/>
        <w:rPr>
          <w:rFonts w:eastAsia="Times New Roman"/>
        </w:rPr>
      </w:pPr>
      <w:r>
        <w:rPr>
          <w:rFonts w:eastAsia="Times New Roman"/>
          <w:color w:val="000000"/>
          <w:sz w:val="20"/>
          <w:szCs w:val="20"/>
        </w:rPr>
        <w:t>Refer to Note 7, “Income Taxes”, in the Notes to Consolidated Financial Statements in Item 8 of Part II of this Report for disclosures related to forei</w:t>
      </w:r>
      <w:r>
        <w:rPr>
          <w:rFonts w:eastAsia="Times New Roman"/>
          <w:color w:val="000000"/>
          <w:sz w:val="20"/>
          <w:szCs w:val="20"/>
        </w:rPr>
        <w:t>gn and domestic pretax income, foreign and domestic income tax (benefit) expense and the effect foreign taxes have on our overall effective tax rate.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RECENTLY ISSUED ACCOUNTING PRONOUNCEMENTS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 discussion of recently issued accounting pronouncements is</w:t>
      </w:r>
      <w:r>
        <w:rPr>
          <w:rFonts w:eastAsia="Times New Roman"/>
          <w:color w:val="000000"/>
          <w:sz w:val="20"/>
          <w:szCs w:val="20"/>
        </w:rPr>
        <w:t xml:space="preserve"> described in Note 1, “Basis of Presentation and Significant Accounting Policies”, of the Notes to Consolidated Financial Statements in Item 8 of Part II of this Report, and we incorporate by reference such discussion in this MD&amp;A. </w:t>
      </w:r>
    </w:p>
    <w:p w:rsidR="00000000" w:rsidRDefault="0040289C">
      <w:pPr>
        <w:divId w:val="338894652"/>
        <w:rPr>
          <w:rFonts w:eastAsia="Times New Roman"/>
        </w:rPr>
      </w:pPr>
    </w:p>
    <w:p w:rsidR="00000000" w:rsidRDefault="0040289C">
      <w:pPr>
        <w:ind w:hanging="1170"/>
        <w:jc w:val="both"/>
        <w:rPr>
          <w:rFonts w:eastAsia="Times New Roman"/>
        </w:rPr>
      </w:pPr>
    </w:p>
    <w:p w:rsidR="00000000" w:rsidRDefault="0040289C">
      <w:pPr>
        <w:ind w:hanging="1170"/>
        <w:jc w:val="both"/>
        <w:rPr>
          <w:rFonts w:eastAsia="Times New Roman"/>
        </w:rPr>
      </w:pPr>
      <w:r>
        <w:rPr>
          <w:rFonts w:eastAsia="Times New Roman"/>
          <w:b/>
          <w:bCs/>
          <w:color w:val="000000"/>
          <w:sz w:val="20"/>
          <w:szCs w:val="20"/>
        </w:rPr>
        <w:t>Item 7A.    QUANTIT</w:t>
      </w:r>
      <w:r>
        <w:rPr>
          <w:rFonts w:eastAsia="Times New Roman"/>
          <w:b/>
          <w:bCs/>
          <w:color w:val="000000"/>
          <w:sz w:val="20"/>
          <w:szCs w:val="20"/>
        </w:rPr>
        <w:t>ATIVE AND QUALITATIVE DISCLOSURES ABOUT MARKET RISK</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Market Risk</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We are exposed to market risks primarily from changes in foreign currency exchange rates and interest rates. It is our policy to manage our foreign exchange exposure and debt structure in order to manage capital costs, control financial risks and maintain </w:t>
      </w:r>
      <w:r>
        <w:rPr>
          <w:rFonts w:eastAsia="Times New Roman"/>
          <w:color w:val="000000"/>
          <w:sz w:val="20"/>
          <w:szCs w:val="20"/>
        </w:rPr>
        <w:t>financial flexibility over the long term. In managing market risks, we employ derivatives according to documented policies and procedures, including foreign currency contracts and interest rate swaps. We do not use derivatives for trading or speculative pu</w:t>
      </w:r>
      <w:r>
        <w:rPr>
          <w:rFonts w:eastAsia="Times New Roman"/>
          <w:color w:val="000000"/>
          <w:sz w:val="20"/>
          <w:szCs w:val="20"/>
        </w:rPr>
        <w:t>rposes.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Foreign Exchange Risk</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Since a substantial portion of our operations and revenue occur outside the United States, and in currencies other than the U.S. Dollar, our results can be significantly impacted by changes in foreign currency exchange rat</w:t>
      </w:r>
      <w:r>
        <w:rPr>
          <w:rFonts w:eastAsia="Times New Roman"/>
          <w:color w:val="000000"/>
          <w:sz w:val="20"/>
          <w:szCs w:val="20"/>
          <w:shd w:val="clear" w:color="auto" w:fill="FFFFFF"/>
        </w:rPr>
        <w:t xml:space="preserve">es. We have exposure to approximately </w:t>
      </w:r>
      <w:r>
        <w:rPr>
          <w:rFonts w:eastAsia="Times New Roman"/>
          <w:color w:val="000000"/>
          <w:sz w:val="20"/>
          <w:szCs w:val="20"/>
        </w:rPr>
        <w:t>45</w:t>
      </w:r>
      <w:r>
        <w:rPr>
          <w:rFonts w:eastAsia="Times New Roman"/>
          <w:color w:val="000000"/>
          <w:sz w:val="20"/>
          <w:szCs w:val="20"/>
          <w:shd w:val="clear" w:color="auto" w:fill="FFFFFF"/>
        </w:rPr>
        <w:t xml:space="preserve"> functional currencies and are exposed to foreign currency exchange risk with respect to our sales, profits and assets and liabilities denominated in currencies other than the U.S. Dollar. Although we use financial i</w:t>
      </w:r>
      <w:r>
        <w:rPr>
          <w:rFonts w:eastAsia="Times New Roman"/>
          <w:color w:val="000000"/>
          <w:sz w:val="20"/>
          <w:szCs w:val="20"/>
          <w:shd w:val="clear" w:color="auto" w:fill="FFFFFF"/>
        </w:rPr>
        <w:t>nstruments to hedge certain foreign currency risks, we are not fully protected against foreign currency fluctuations and our reported results of operations could be affected by changes in foreign currency exchange rates. To manage our exposures and mitigat</w:t>
      </w:r>
      <w:r>
        <w:rPr>
          <w:rFonts w:eastAsia="Times New Roman"/>
          <w:color w:val="000000"/>
          <w:sz w:val="20"/>
          <w:szCs w:val="20"/>
          <w:shd w:val="clear" w:color="auto" w:fill="FFFFFF"/>
        </w:rPr>
        <w:t xml:space="preserve">e the impact of currency fluctuations on the operations of our foreign subsidiaries, we hedge our main transactional exposures through the use of foreign exchange forward and option contracts. This is primarily done through the hedging of foreign currency </w:t>
      </w:r>
      <w:r>
        <w:rPr>
          <w:rFonts w:eastAsia="Times New Roman"/>
          <w:color w:val="000000"/>
          <w:sz w:val="20"/>
          <w:szCs w:val="20"/>
          <w:shd w:val="clear" w:color="auto" w:fill="FFFFFF"/>
        </w:rPr>
        <w:t>denominated inter-company inventory purchases by the marketing units and the foreign currency denominated inputs to our manufacturing units. All of these transactions are forecasted. If these contracts are designated as highly effective cash flow hedges, t</w:t>
      </w:r>
      <w:r>
        <w:rPr>
          <w:rFonts w:eastAsia="Times New Roman"/>
          <w:color w:val="000000"/>
          <w:sz w:val="20"/>
          <w:szCs w:val="20"/>
          <w:shd w:val="clear" w:color="auto" w:fill="FFFFFF"/>
        </w:rPr>
        <w:t>he gains or losses are deferred into accumulated other comprehensive income (</w:t>
      </w:r>
      <w:r>
        <w:rPr>
          <w:rFonts w:eastAsia="Times New Roman"/>
          <w:color w:val="000000"/>
          <w:sz w:val="20"/>
          <w:szCs w:val="20"/>
        </w:rPr>
        <w:t>“</w:t>
      </w:r>
      <w:r>
        <w:rPr>
          <w:rFonts w:eastAsia="Times New Roman"/>
          <w:color w:val="000000"/>
          <w:sz w:val="20"/>
          <w:szCs w:val="20"/>
          <w:shd w:val="clear" w:color="auto" w:fill="FFFFFF"/>
        </w:rPr>
        <w:t>AOCI</w:t>
      </w:r>
      <w:r>
        <w:rPr>
          <w:rFonts w:eastAsia="Times New Roman"/>
          <w:color w:val="000000"/>
          <w:sz w:val="20"/>
          <w:szCs w:val="20"/>
        </w:rPr>
        <w:t>”</w:t>
      </w:r>
      <w:r>
        <w:rPr>
          <w:rFonts w:eastAsia="Times New Roman"/>
          <w:color w:val="000000"/>
          <w:sz w:val="20"/>
          <w:szCs w:val="20"/>
          <w:shd w:val="clear" w:color="auto" w:fill="FFFFFF"/>
        </w:rPr>
        <w:t>). The gains or losses from derivative contracts that are designated as highly effective cash flow hedges related to inventory purchases are recorded in cost of products whe</w:t>
      </w:r>
      <w:r>
        <w:rPr>
          <w:rFonts w:eastAsia="Times New Roman"/>
          <w:color w:val="000000"/>
          <w:sz w:val="20"/>
          <w:szCs w:val="20"/>
          <w:shd w:val="clear" w:color="auto" w:fill="FFFFFF"/>
        </w:rPr>
        <w:t>n the inventory is sold to an unrelated third party. Otherwise, the gains or losses from these contracts are recognized in earnings as exchange rates change. We also use derivatives not designated as hedging instruments consisting primarily of forward cont</w:t>
      </w:r>
      <w:r>
        <w:rPr>
          <w:rFonts w:eastAsia="Times New Roman"/>
          <w:color w:val="000000"/>
          <w:sz w:val="20"/>
          <w:szCs w:val="20"/>
          <w:shd w:val="clear" w:color="auto" w:fill="FFFFFF"/>
        </w:rPr>
        <w:t xml:space="preserve">racts to hedge foreign currency denominated balance sheet exposures. For these derivatives we recognize gains and losses in the same period as the remeasurement losses and gains of the related foreign currency-denominated exposures.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We utilize non-excha</w:t>
      </w:r>
      <w:r>
        <w:rPr>
          <w:rFonts w:eastAsia="Times New Roman"/>
          <w:color w:val="000000"/>
          <w:sz w:val="20"/>
          <w:szCs w:val="20"/>
          <w:shd w:val="clear" w:color="auto" w:fill="FFFFFF"/>
        </w:rPr>
        <w:t>nge traded financial instruments, such as foreign exchange forward and option contracts, that we purchase exclusively from highly rated financial institutions. We record these contracts on our balance sheet at fair market value based upon market price quot</w:t>
      </w:r>
      <w:r>
        <w:rPr>
          <w:rFonts w:eastAsia="Times New Roman"/>
          <w:color w:val="000000"/>
          <w:sz w:val="20"/>
          <w:szCs w:val="20"/>
          <w:shd w:val="clear" w:color="auto" w:fill="FFFFFF"/>
        </w:rPr>
        <w:t>ations from the financial institutions. We do not enter into non-exchange traded contracts that require the use of fair value estimation techniques, but if we did, they could have a material impact on our financial results.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For purposes of analyzing pote</w:t>
      </w:r>
      <w:r>
        <w:rPr>
          <w:rFonts w:eastAsia="Times New Roman"/>
          <w:color w:val="000000"/>
          <w:sz w:val="20"/>
          <w:szCs w:val="20"/>
          <w:shd w:val="clear" w:color="auto" w:fill="FFFFFF"/>
        </w:rPr>
        <w:t>ntial risk, we use sensitivity analysis to quantify potential impacts that market rate changes may have on the fair values of our hedge portfolio related to firmly committed or forecasted transactions. The sensitivity analysis represents the hypothetical c</w:t>
      </w:r>
      <w:r>
        <w:rPr>
          <w:rFonts w:eastAsia="Times New Roman"/>
          <w:color w:val="000000"/>
          <w:sz w:val="20"/>
          <w:szCs w:val="20"/>
          <w:shd w:val="clear" w:color="auto" w:fill="FFFFFF"/>
        </w:rPr>
        <w:t>hanges in value of the hedge position and does not reflect the related gain or loss on the forecasted underlying transaction. A 10% appreciation in the value of the U.S. Dollar against foreign currencies from the prevailing market rates would have resulted</w:t>
      </w:r>
      <w:r>
        <w:rPr>
          <w:rFonts w:eastAsia="Times New Roman"/>
          <w:color w:val="000000"/>
          <w:sz w:val="20"/>
          <w:szCs w:val="20"/>
          <w:shd w:val="clear" w:color="auto" w:fill="FFFFFF"/>
        </w:rPr>
        <w:t xml:space="preserve"> in a corresponding decrease in the fair value of the hedge portfolio of $6 million as of </w:t>
      </w:r>
      <w:r>
        <w:rPr>
          <w:rFonts w:eastAsia="Times New Roman"/>
          <w:color w:val="000000"/>
          <w:sz w:val="20"/>
          <w:szCs w:val="20"/>
        </w:rPr>
        <w:t>December 31, 2022</w:t>
      </w:r>
      <w:r>
        <w:rPr>
          <w:rFonts w:eastAsia="Times New Roman"/>
          <w:color w:val="000000"/>
          <w:sz w:val="20"/>
          <w:szCs w:val="20"/>
          <w:shd w:val="clear" w:color="auto" w:fill="FFFFFF"/>
        </w:rPr>
        <w:t>. A 10% depreciation in the value of the U.S. Dollar against foreign currencies from the prevailing market rates would have resulted in a correspondi</w:t>
      </w:r>
      <w:r>
        <w:rPr>
          <w:rFonts w:eastAsia="Times New Roman"/>
          <w:color w:val="000000"/>
          <w:sz w:val="20"/>
          <w:szCs w:val="20"/>
          <w:shd w:val="clear" w:color="auto" w:fill="FFFFFF"/>
        </w:rPr>
        <w:t xml:space="preserve">ng increase in the fair value of the hedge portfolio of $6 million as of </w:t>
      </w:r>
      <w:r>
        <w:rPr>
          <w:rFonts w:eastAsia="Times New Roman"/>
          <w:color w:val="000000"/>
          <w:sz w:val="20"/>
          <w:szCs w:val="20"/>
        </w:rPr>
        <w:t>December 31, 2022</w:t>
      </w:r>
      <w:r>
        <w:rPr>
          <w:rFonts w:eastAsia="Times New Roman"/>
          <w:color w:val="000000"/>
          <w:sz w:val="20"/>
          <w:szCs w:val="20"/>
          <w:shd w:val="clear" w:color="auto" w:fill="FFFFFF"/>
        </w:rPr>
        <w:t>. The Company expects that any increase or decrease in the fair value of the portfolio would be substantially offset by increases or decreases in the underlying expos</w:t>
      </w:r>
      <w:r>
        <w:rPr>
          <w:rFonts w:eastAsia="Times New Roman"/>
          <w:color w:val="000000"/>
          <w:sz w:val="20"/>
          <w:szCs w:val="20"/>
          <w:shd w:val="clear" w:color="auto" w:fill="FFFFFF"/>
        </w:rPr>
        <w:t>ures being hedged.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U.S. Dollar was stronger in 2022 compared to 2021 based on comparable weighted averages for our functional currencies. This had an unfavorable revenue impact of 3% on 2022 compared to 2021. This excludes the effects of our hedging </w:t>
      </w:r>
      <w:r>
        <w:rPr>
          <w:rFonts w:eastAsia="Times New Roman"/>
          <w:color w:val="000000"/>
          <w:sz w:val="20"/>
          <w:szCs w:val="20"/>
        </w:rPr>
        <w:t>activities and, therefore, does not reflect the actual impact of fluctuations in exchange rates on our operating income.</w:t>
      </w:r>
      <w:r>
        <w:rPr>
          <w:rFonts w:eastAsia="Times New Roman"/>
          <w:color w:val="000000"/>
          <w:sz w:val="20"/>
          <w:szCs w:val="20"/>
          <w:shd w:val="clear" w:color="auto" w:fill="FFFFFF"/>
        </w:rPr>
        <w:t xml:space="preserve"> </w:t>
      </w:r>
    </w:p>
    <w:p w:rsidR="00000000" w:rsidRDefault="0040289C">
      <w:pPr>
        <w:jc w:val="center"/>
        <w:divId w:val="1571041435"/>
        <w:rPr>
          <w:rFonts w:eastAsia="Times New Roman"/>
        </w:rPr>
      </w:pPr>
      <w:r>
        <w:rPr>
          <w:rFonts w:eastAsia="Times New Roman"/>
          <w:color w:val="000000"/>
          <w:sz w:val="20"/>
          <w:szCs w:val="20"/>
        </w:rPr>
        <w:t>53</w:t>
      </w:r>
    </w:p>
    <w:p w:rsidR="00000000" w:rsidRDefault="0040289C">
      <w:pPr>
        <w:rPr>
          <w:rFonts w:eastAsia="Times New Roman"/>
        </w:rPr>
      </w:pPr>
      <w:r>
        <w:rPr>
          <w:rFonts w:eastAsia="Times New Roman"/>
        </w:rPr>
        <w:pict>
          <v:rect id="_x0000_i1083" style="width:0;height:1.5pt" o:hralign="center" o:hrstd="t" o:hr="t" fillcolor="#a0a0a0" stroked="f"/>
        </w:pict>
      </w:r>
    </w:p>
    <w:p w:rsidR="00000000" w:rsidRDefault="0040289C">
      <w:pPr>
        <w:divId w:val="72483662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317220634"/>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Interest Rate Risk</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are subject to interest rate risk principally in relation to variable-rate debt. Approximately 58% of our borrowing</w:t>
      </w:r>
      <w:r>
        <w:rPr>
          <w:rFonts w:eastAsia="Times New Roman"/>
          <w:color w:val="000000"/>
          <w:sz w:val="20"/>
          <w:szCs w:val="20"/>
        </w:rPr>
        <w:t xml:space="preserve">s were on a fixed rate basis as of December 31, 2022. The increase in pre-tax interest expense for the year ended December 31, 2022 from a hypothetical 100 basis point increase in variable interest rates would be approximately $24 million. </w:t>
      </w:r>
      <w:r>
        <w:rPr>
          <w:rFonts w:eastAsia="Times New Roman"/>
          <w:color w:val="000000"/>
          <w:sz w:val="20"/>
          <w:szCs w:val="20"/>
          <w:shd w:val="clear" w:color="auto" w:fill="FFFFFF"/>
        </w:rPr>
        <w:t xml:space="preserve">As of </w:t>
      </w:r>
      <w:r>
        <w:rPr>
          <w:rFonts w:eastAsia="Times New Roman"/>
          <w:color w:val="000000"/>
          <w:sz w:val="20"/>
          <w:szCs w:val="20"/>
        </w:rPr>
        <w:t>December 3</w:t>
      </w:r>
      <w:r>
        <w:rPr>
          <w:rFonts w:eastAsia="Times New Roman"/>
          <w:color w:val="000000"/>
          <w:sz w:val="20"/>
          <w:szCs w:val="20"/>
        </w:rPr>
        <w:t>1, 2022</w:t>
      </w:r>
      <w:r>
        <w:rPr>
          <w:rFonts w:eastAsia="Times New Roman"/>
          <w:color w:val="000000"/>
          <w:sz w:val="20"/>
          <w:szCs w:val="20"/>
          <w:shd w:val="clear" w:color="auto" w:fill="FFFFFF"/>
        </w:rPr>
        <w:t>, we do not have any outstanding interest rate derivative contracts related to our variable rate debt.</w:t>
      </w:r>
      <w:r>
        <w:rPr>
          <w:rFonts w:eastAsia="Times New Roman"/>
          <w:color w:val="000000"/>
          <w:sz w:val="20"/>
          <w:szCs w:val="20"/>
        </w:rPr>
        <w:t xml:space="preserv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Additionally, as our ATM vault cash rental expense is based on market rates of interest, it is sensitive to changes in applicable interest rate</w:t>
      </w:r>
      <w:r>
        <w:rPr>
          <w:rFonts w:eastAsia="Times New Roman"/>
          <w:color w:val="000000"/>
          <w:sz w:val="20"/>
          <w:szCs w:val="20"/>
        </w:rPr>
        <w:t>s in the respective countries in which we operate. We pay a monthly fee on the average outstanding vault cash balances in our ATMs under floating rate formulas based on a spread above various interbank offered rates. The increase in vault cash rental expen</w:t>
      </w:r>
      <w:r>
        <w:rPr>
          <w:rFonts w:eastAsia="Times New Roman"/>
          <w:color w:val="000000"/>
          <w:sz w:val="20"/>
          <w:szCs w:val="20"/>
        </w:rPr>
        <w:t>se for the twelve months ended December 31, 2022 from a hypothetical 100 basis point increase in variable interest rates would be approximately $40 million, excluding the impact from outstanding interest rate swap agreements related to our vault cash.</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w:t>
      </w:r>
      <w:r>
        <w:rPr>
          <w:rFonts w:eastAsia="Times New Roman"/>
          <w:color w:val="000000"/>
          <w:sz w:val="20"/>
          <w:szCs w:val="20"/>
        </w:rPr>
        <w:t xml:space="preserve"> utilize interest rate swap contracts and interest rate cap agreements to add stability to interest expense and to manage exposure to interest rate movements as part of our interest rate risk management strategy. Payments and receipts related to interest r</w:t>
      </w:r>
      <w:r>
        <w:rPr>
          <w:rFonts w:eastAsia="Times New Roman"/>
          <w:color w:val="000000"/>
          <w:sz w:val="20"/>
          <w:szCs w:val="20"/>
        </w:rPr>
        <w:t>ate cap agreements and interest rate swap contracts are included in cash flows from operating activities in the Consolidated Statements of Cash Flows. Refer to Note 14, “Derivatives and Hedging Instruments”, for further information on our interest rate der</w:t>
      </w:r>
      <w:r>
        <w:rPr>
          <w:rFonts w:eastAsia="Times New Roman"/>
          <w:color w:val="000000"/>
          <w:sz w:val="20"/>
          <w:szCs w:val="20"/>
        </w:rPr>
        <w:t>ivative contracts in effect as of December 31, 2022.</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Concentrations of Credit Risk</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are potentially subject to concentrations of credit risk on accounts receivable and financial instruments, such as hedging instruments and cash and cash equivalents. Credit risk includes the risk of nonperformance by counterparties. The maximum potentia</w:t>
      </w:r>
      <w:r>
        <w:rPr>
          <w:rFonts w:eastAsia="Times New Roman"/>
          <w:color w:val="000000"/>
          <w:sz w:val="20"/>
          <w:szCs w:val="20"/>
        </w:rPr>
        <w:t>l loss may exceed the amount recognized on the balance sheet. Exposure to credit risk is managed through credit approvals, credit limits, selecting major international financial institutions as counterparties to hedging transactions, and monitoring procedu</w:t>
      </w:r>
      <w:r>
        <w:rPr>
          <w:rFonts w:eastAsia="Times New Roman"/>
          <w:color w:val="000000"/>
          <w:sz w:val="20"/>
          <w:szCs w:val="20"/>
        </w:rPr>
        <w:t>res. Our business often involves large transactions with customers for which we do not require collateral. If one or more of those customers were to default in its obligations under applicable contractual arrangements, we could be exposed to potentially si</w:t>
      </w:r>
      <w:r>
        <w:rPr>
          <w:rFonts w:eastAsia="Times New Roman"/>
          <w:color w:val="000000"/>
          <w:sz w:val="20"/>
          <w:szCs w:val="20"/>
        </w:rPr>
        <w:t>gnificant losses. Moreover, a prolonged downturn in the global economy could have an adverse impact on the ability of our customers to pay their obligations on a timely basis. We believe that the reserves for potential losses are adequate. As of December 3</w:t>
      </w:r>
      <w:r>
        <w:rPr>
          <w:rFonts w:eastAsia="Times New Roman"/>
          <w:color w:val="000000"/>
          <w:sz w:val="20"/>
          <w:szCs w:val="20"/>
        </w:rPr>
        <w:t>1, 2022, we did not have any significant concentration of credit risk related to financial instruments.</w:t>
      </w:r>
    </w:p>
    <w:p w:rsidR="00000000" w:rsidRDefault="0040289C">
      <w:pPr>
        <w:jc w:val="both"/>
        <w:rPr>
          <w:rFonts w:eastAsia="Times New Roman"/>
        </w:rPr>
      </w:pPr>
    </w:p>
    <w:p w:rsidR="00000000" w:rsidRDefault="0040289C">
      <w:pPr>
        <w:jc w:val="center"/>
        <w:divId w:val="1440487286"/>
        <w:rPr>
          <w:rFonts w:eastAsia="Times New Roman"/>
        </w:rPr>
      </w:pPr>
      <w:r>
        <w:rPr>
          <w:rFonts w:eastAsia="Times New Roman"/>
          <w:color w:val="000000"/>
          <w:sz w:val="20"/>
          <w:szCs w:val="20"/>
        </w:rPr>
        <w:t>54</w:t>
      </w:r>
    </w:p>
    <w:p w:rsidR="00000000" w:rsidRDefault="0040289C">
      <w:pPr>
        <w:rPr>
          <w:rFonts w:eastAsia="Times New Roman"/>
        </w:rPr>
      </w:pPr>
      <w:r>
        <w:rPr>
          <w:rFonts w:eastAsia="Times New Roman"/>
        </w:rPr>
        <w:pict>
          <v:rect id="_x0000_i1084" style="width:0;height:1.5pt" o:hralign="center" o:hrstd="t" o:hr="t" fillcolor="#a0a0a0" stroked="f"/>
        </w:pict>
      </w:r>
    </w:p>
    <w:p w:rsidR="00000000" w:rsidRDefault="0040289C">
      <w:pPr>
        <w:divId w:val="143806352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027949517"/>
        <w:rPr>
          <w:rFonts w:eastAsia="Times New Roman"/>
        </w:rPr>
      </w:pPr>
    </w:p>
    <w:p w:rsidR="00000000" w:rsidRDefault="0040289C">
      <w:pPr>
        <w:divId w:val="1802529104"/>
        <w:rPr>
          <w:rFonts w:eastAsia="Times New Roman"/>
        </w:rPr>
      </w:pPr>
    </w:p>
    <w:p w:rsidR="00000000" w:rsidRDefault="0040289C">
      <w:pPr>
        <w:divId w:val="1384140766"/>
        <w:rPr>
          <w:rFonts w:eastAsia="Times New Roman"/>
        </w:rPr>
      </w:pPr>
    </w:p>
    <w:p w:rsidR="00000000" w:rsidRDefault="0040289C">
      <w:pPr>
        <w:jc w:val="center"/>
        <w:rPr>
          <w:rFonts w:eastAsia="Times New Roman"/>
        </w:rPr>
      </w:pPr>
    </w:p>
    <w:p w:rsidR="00000000" w:rsidRDefault="0040289C">
      <w:pPr>
        <w:jc w:val="center"/>
        <w:rPr>
          <w:rFonts w:eastAsia="Times New Roman"/>
        </w:rPr>
      </w:pPr>
      <w:r>
        <w:rPr>
          <w:rFonts w:eastAsia="Times New Roman"/>
          <w:b/>
          <w:bCs/>
          <w:color w:val="000000"/>
          <w:sz w:val="20"/>
          <w:szCs w:val="20"/>
        </w:rPr>
        <w:t>Index to Financial Statem</w:t>
      </w:r>
      <w:r>
        <w:rPr>
          <w:rFonts w:eastAsia="Times New Roman"/>
          <w:b/>
          <w:bCs/>
          <w:color w:val="000000"/>
          <w:sz w:val="20"/>
          <w:szCs w:val="20"/>
        </w:rPr>
        <w:t>ents and Supplemental Data</w:t>
      </w:r>
    </w:p>
    <w:tbl>
      <w:tblPr>
        <w:tblW w:w="4427" w:type="pct"/>
        <w:tblCellMar>
          <w:top w:w="15" w:type="dxa"/>
          <w:left w:w="15" w:type="dxa"/>
          <w:bottom w:w="15" w:type="dxa"/>
          <w:right w:w="15" w:type="dxa"/>
        </w:tblCellMar>
        <w:tblLook w:val="04A0" w:firstRow="1" w:lastRow="0" w:firstColumn="1" w:lastColumn="0" w:noHBand="0" w:noVBand="1"/>
      </w:tblPr>
      <w:tblGrid>
        <w:gridCol w:w="59"/>
        <w:gridCol w:w="6789"/>
        <w:gridCol w:w="38"/>
        <w:gridCol w:w="59"/>
        <w:gridCol w:w="373"/>
        <w:gridCol w:w="36"/>
      </w:tblGrid>
      <w:tr w:rsidR="00000000">
        <w:trPr>
          <w:divId w:val="1615870451"/>
        </w:trPr>
        <w:tc>
          <w:tcPr>
            <w:tcW w:w="50" w:type="pct"/>
            <w:vAlign w:val="center"/>
            <w:hideMark/>
          </w:tcPr>
          <w:p w:rsidR="00000000" w:rsidRDefault="0040289C">
            <w:pPr>
              <w:jc w:val="center"/>
              <w:rPr>
                <w:rFonts w:eastAsia="Times New Roman"/>
              </w:rPr>
            </w:pPr>
          </w:p>
        </w:tc>
        <w:tc>
          <w:tcPr>
            <w:tcW w:w="46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615870451"/>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16"/>
                <w:szCs w:val="16"/>
                <w:u w:val="single"/>
              </w:rPr>
              <w:t>Page</w:t>
            </w:r>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361831851"/>
              <w:rPr>
                <w:rFonts w:eastAsia="Times New Roman"/>
              </w:rPr>
            </w:pPr>
            <w:hyperlink w:anchor="if07fd8a5a4294970a048ac5c5178b1ea_136" w:history="1">
              <w:r>
                <w:rPr>
                  <w:rStyle w:val="a3"/>
                  <w:rFonts w:eastAsia="Times New Roman"/>
                  <w:sz w:val="20"/>
                  <w:szCs w:val="20"/>
                </w:rPr>
                <w:t>Report of Independent Registered Public Accounting Fir</w:t>
              </w:r>
            </w:hyperlink>
            <w:hyperlink w:anchor="if07fd8a5a4294970a048ac5c5178b1ea_136" w:history="1">
              <w:r>
                <w:rPr>
                  <w:rStyle w:val="a3"/>
                  <w:rFonts w:eastAsia="Times New Roman"/>
                  <w:sz w:val="20"/>
                  <w:szCs w:val="20"/>
                </w:rPr>
                <w:t xml:space="preserve">m [PCAOB ID </w:t>
              </w:r>
            </w:hyperlink>
            <w:r>
              <w:rPr>
                <w:rFonts w:eastAsia="Times New Roman"/>
                <w:color w:val="3051F2"/>
                <w:sz w:val="20"/>
                <w:szCs w:val="20"/>
                <w:u w:val="single"/>
              </w:rPr>
              <w:t>238</w:t>
            </w:r>
            <w:hyperlink w:anchor="if07fd8a5a4294970a048ac5c5178b1ea_136" w:history="1">
              <w:r>
                <w:rPr>
                  <w:rStyle w:val="a3"/>
                  <w:rFonts w:eastAsia="Times New Roman"/>
                  <w:sz w:val="20"/>
                  <w:szCs w:val="20"/>
                </w:rPr>
                <w:t>]</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36" w:history="1">
              <w:r>
                <w:rPr>
                  <w:rStyle w:val="a3"/>
                  <w:rFonts w:eastAsia="Times New Roman"/>
                  <w:sz w:val="20"/>
                  <w:szCs w:val="20"/>
                </w:rPr>
                <w:t>56</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970134860"/>
              <w:rPr>
                <w:rFonts w:eastAsia="Times New Roman"/>
              </w:rPr>
            </w:pPr>
            <w:hyperlink w:anchor="if07fd8a5a4294970a048ac5c5178b1ea_139" w:history="1">
              <w:r>
                <w:rPr>
                  <w:rStyle w:val="a3"/>
                  <w:rFonts w:eastAsia="Times New Roman"/>
                  <w:sz w:val="20"/>
                  <w:szCs w:val="20"/>
                </w:rPr>
                <w:t>Consolidated Statements of Operations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39" w:history="1">
              <w:r>
                <w:rPr>
                  <w:rStyle w:val="a3"/>
                  <w:rFonts w:eastAsia="Times New Roman"/>
                  <w:sz w:val="20"/>
                  <w:szCs w:val="20"/>
                </w:rPr>
                <w:t>58</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233901185"/>
              <w:rPr>
                <w:rFonts w:eastAsia="Times New Roman"/>
              </w:rPr>
            </w:pPr>
            <w:hyperlink w:anchor="if07fd8a5a4294970a048ac5c5178b1ea_142" w:history="1">
              <w:r>
                <w:rPr>
                  <w:rStyle w:val="a3"/>
                  <w:rFonts w:eastAsia="Times New Roman"/>
                  <w:sz w:val="20"/>
                  <w:szCs w:val="20"/>
                </w:rPr>
                <w:t>Consolidated Statements of Comprehensive Income (Loss)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42" w:history="1">
              <w:r>
                <w:rPr>
                  <w:rStyle w:val="a3"/>
                  <w:rFonts w:eastAsia="Times New Roman"/>
                  <w:sz w:val="20"/>
                  <w:szCs w:val="20"/>
                </w:rPr>
                <w:t>59</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1123843434"/>
              <w:rPr>
                <w:rFonts w:eastAsia="Times New Roman"/>
              </w:rPr>
            </w:pPr>
            <w:hyperlink w:anchor="if07fd8a5a4294970a048ac5c5178b1ea_145"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45" w:history="1">
              <w:r>
                <w:rPr>
                  <w:rStyle w:val="a3"/>
                  <w:rFonts w:eastAsia="Times New Roman"/>
                  <w:sz w:val="20"/>
                  <w:szCs w:val="20"/>
                </w:rPr>
                <w:t>60</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2094935550"/>
              <w:rPr>
                <w:rFonts w:eastAsia="Times New Roman"/>
              </w:rPr>
            </w:pPr>
            <w:hyperlink w:anchor="if07fd8a5a4294970a048ac5c5178b1ea_148" w:history="1">
              <w:r>
                <w:rPr>
                  <w:rStyle w:val="a3"/>
                  <w:rFonts w:eastAsia="Times New Roman"/>
                  <w:sz w:val="20"/>
                  <w:szCs w:val="20"/>
                </w:rPr>
                <w:t>Consolidated Statements of Cash Flows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48" w:history="1">
              <w:r>
                <w:rPr>
                  <w:rStyle w:val="a3"/>
                  <w:rFonts w:eastAsia="Times New Roman"/>
                  <w:sz w:val="20"/>
                  <w:szCs w:val="20"/>
                </w:rPr>
                <w:t>61</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214972978"/>
              <w:rPr>
                <w:rFonts w:eastAsia="Times New Roman"/>
              </w:rPr>
            </w:pPr>
            <w:hyperlink w:anchor="if07fd8a5a4294970a048ac5c5178b1ea_151" w:history="1">
              <w:r>
                <w:rPr>
                  <w:rStyle w:val="a3"/>
                  <w:rFonts w:eastAsia="Times New Roman"/>
                  <w:sz w:val="20"/>
                  <w:szCs w:val="20"/>
                </w:rPr>
                <w:t>Consolidated Statements of Changes in Stockholders' Equity</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51" w:history="1">
              <w:r>
                <w:rPr>
                  <w:rStyle w:val="a3"/>
                  <w:rFonts w:eastAsia="Times New Roman"/>
                  <w:sz w:val="20"/>
                  <w:szCs w:val="20"/>
                </w:rPr>
                <w:t>62</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541017288"/>
              <w:rPr>
                <w:rFonts w:eastAsia="Times New Roman"/>
              </w:rPr>
            </w:pPr>
            <w:hyperlink w:anchor="if07fd8a5a4294970a048ac5c5178b1ea_154" w:history="1">
              <w:r>
                <w:rPr>
                  <w:rStyle w:val="a3"/>
                  <w:rFonts w:eastAsia="Times New Roman"/>
                  <w:sz w:val="20"/>
                  <w:szCs w:val="20"/>
                </w:rPr>
                <w:t xml:space="preserve">Notes to </w:t>
              </w:r>
              <w:r>
                <w:rPr>
                  <w:rStyle w:val="a3"/>
                  <w:rFonts w:eastAsia="Times New Roman"/>
                  <w:sz w:val="20"/>
                  <w:szCs w:val="20"/>
                </w:rPr>
                <w:t>Consolidated Financial Statements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54" w:history="1">
              <w:r>
                <w:rPr>
                  <w:rStyle w:val="a3"/>
                  <w:rFonts w:eastAsia="Times New Roman"/>
                  <w:sz w:val="20"/>
                  <w:szCs w:val="20"/>
                </w:rPr>
                <w:t>63</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939145128"/>
              <w:rPr>
                <w:rFonts w:eastAsia="Times New Roman"/>
              </w:rPr>
            </w:pPr>
            <w:hyperlink w:anchor="if07fd8a5a4294970a048ac5c5178b1ea_1906" w:history="1">
              <w:r>
                <w:rPr>
                  <w:rStyle w:val="a3"/>
                  <w:rFonts w:eastAsia="Times New Roman"/>
                  <w:sz w:val="20"/>
                  <w:szCs w:val="20"/>
                </w:rPr>
                <w:t>Note 1. Basis of Presentation and Significant Accounting Policies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906" w:history="1">
              <w:r>
                <w:rPr>
                  <w:rStyle w:val="a3"/>
                  <w:rFonts w:eastAsia="Times New Roman"/>
                  <w:sz w:val="20"/>
                  <w:szCs w:val="20"/>
                </w:rPr>
                <w:t>63</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817259488"/>
              <w:rPr>
                <w:rFonts w:eastAsia="Times New Roman"/>
              </w:rPr>
            </w:pPr>
            <w:hyperlink w:anchor="if07fd8a5a4294970a048ac5c5178b1ea_163" w:history="1">
              <w:r>
                <w:rPr>
                  <w:rStyle w:val="a3"/>
                  <w:rFonts w:eastAsia="Times New Roman"/>
                  <w:sz w:val="20"/>
                  <w:szCs w:val="20"/>
                </w:rPr>
                <w:t xml:space="preserve">Note </w:t>
              </w:r>
            </w:hyperlink>
            <w:hyperlink w:anchor="if07fd8a5a4294970a048ac5c5178b1ea_163" w:history="1">
              <w:r>
                <w:rPr>
                  <w:rStyle w:val="a3"/>
                  <w:rFonts w:eastAsia="Times New Roman"/>
                  <w:sz w:val="20"/>
                  <w:szCs w:val="20"/>
                </w:rPr>
                <w:t>2</w:t>
              </w:r>
            </w:hyperlink>
            <w:hyperlink w:anchor="if07fd8a5a4294970a048ac5c5178b1ea_163" w:history="1">
              <w:r>
                <w:rPr>
                  <w:rStyle w:val="a3"/>
                  <w:rFonts w:eastAsia="Times New Roman"/>
                  <w:sz w:val="20"/>
                  <w:szCs w:val="20"/>
                </w:rPr>
                <w:t>. Business Combinations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63" w:history="1">
              <w:r>
                <w:rPr>
                  <w:rStyle w:val="a3"/>
                  <w:rFonts w:eastAsia="Times New Roman"/>
                  <w:sz w:val="20"/>
                  <w:szCs w:val="20"/>
                </w:rPr>
                <w:t>75</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676158486"/>
              <w:rPr>
                <w:rFonts w:eastAsia="Times New Roman"/>
              </w:rPr>
            </w:pPr>
            <w:hyperlink w:anchor="if07fd8a5a4294970a048ac5c5178b1ea_160" w:history="1">
              <w:r>
                <w:rPr>
                  <w:rStyle w:val="a3"/>
                  <w:rFonts w:eastAsia="Times New Roman"/>
                  <w:sz w:val="20"/>
                  <w:szCs w:val="20"/>
                </w:rPr>
                <w:t>Note 3. Goodwill and Purchased Intangib</w:t>
              </w:r>
              <w:r>
                <w:rPr>
                  <w:rStyle w:val="a3"/>
                  <w:rFonts w:eastAsia="Times New Roman"/>
                  <w:sz w:val="20"/>
                  <w:szCs w:val="20"/>
                </w:rPr>
                <w:t>le Assets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60" w:history="1">
              <w:r>
                <w:rPr>
                  <w:rStyle w:val="a3"/>
                  <w:rFonts w:eastAsia="Times New Roman"/>
                  <w:sz w:val="20"/>
                  <w:szCs w:val="20"/>
                </w:rPr>
                <w:t>79</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1524049303"/>
              <w:rPr>
                <w:rFonts w:eastAsia="Times New Roman"/>
              </w:rPr>
            </w:pPr>
            <w:hyperlink w:anchor="if07fd8a5a4294970a048ac5c5178b1ea_166" w:history="1">
              <w:r>
                <w:rPr>
                  <w:rStyle w:val="a3"/>
                  <w:rFonts w:eastAsia="Times New Roman"/>
                  <w:sz w:val="20"/>
                  <w:szCs w:val="20"/>
                </w:rPr>
                <w:t>Note 4. Segment Information</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66" w:history="1">
              <w:r>
                <w:rPr>
                  <w:rStyle w:val="a3"/>
                  <w:rFonts w:eastAsia="Times New Roman"/>
                  <w:sz w:val="20"/>
                  <w:szCs w:val="20"/>
                </w:rPr>
                <w:t>81</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474759067"/>
              <w:rPr>
                <w:rFonts w:eastAsia="Times New Roman"/>
              </w:rPr>
            </w:pPr>
            <w:hyperlink w:anchor="if07fd8a5a4294970a048ac5c5178b1ea_169" w:history="1">
              <w:r>
                <w:rPr>
                  <w:rStyle w:val="a3"/>
                  <w:rFonts w:eastAsia="Times New Roman"/>
                  <w:sz w:val="20"/>
                  <w:szCs w:val="20"/>
                </w:rPr>
                <w:t>Note 5. Debt Obligations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69" w:history="1">
              <w:r>
                <w:rPr>
                  <w:rStyle w:val="a3"/>
                  <w:rFonts w:eastAsia="Times New Roman"/>
                  <w:sz w:val="20"/>
                  <w:szCs w:val="20"/>
                </w:rPr>
                <w:t>85</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850682647"/>
              <w:rPr>
                <w:rFonts w:eastAsia="Times New Roman"/>
              </w:rPr>
            </w:pPr>
            <w:hyperlink w:anchor="if07fd8a5a4294970a048ac5c5178b1ea_1876" w:history="1">
              <w:r>
                <w:rPr>
                  <w:rStyle w:val="a3"/>
                  <w:rFonts w:eastAsia="Times New Roman"/>
                  <w:sz w:val="20"/>
                  <w:szCs w:val="20"/>
                </w:rPr>
                <w:t>Note 6. Trade Receivable Facility</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876" w:history="1">
              <w:r>
                <w:rPr>
                  <w:rStyle w:val="a3"/>
                  <w:rFonts w:eastAsia="Times New Roman"/>
                  <w:sz w:val="20"/>
                  <w:szCs w:val="20"/>
                </w:rPr>
                <w:t>89</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205992370"/>
              <w:rPr>
                <w:rFonts w:eastAsia="Times New Roman"/>
              </w:rPr>
            </w:pPr>
            <w:hyperlink w:anchor="if07fd8a5a4294970a048ac5c5178b1ea_172" w:history="1">
              <w:r>
                <w:rPr>
                  <w:rStyle w:val="a3"/>
                  <w:rFonts w:eastAsia="Times New Roman"/>
                  <w:sz w:val="20"/>
                  <w:szCs w:val="20"/>
                </w:rPr>
                <w:t>N</w:t>
              </w:r>
            </w:hyperlink>
            <w:hyperlink w:anchor="if07fd8a5a4294970a048ac5c5178b1ea_172" w:history="1">
              <w:r>
                <w:rPr>
                  <w:rStyle w:val="a3"/>
                  <w:rFonts w:eastAsia="Times New Roman"/>
                  <w:sz w:val="20"/>
                  <w:szCs w:val="20"/>
                </w:rPr>
                <w:t xml:space="preserve">ote 7. </w:t>
              </w:r>
            </w:hyperlink>
            <w:hyperlink w:anchor="if07fd8a5a4294970a048ac5c5178b1ea_172" w:history="1">
              <w:r>
                <w:rPr>
                  <w:rStyle w:val="a3"/>
                  <w:rFonts w:eastAsia="Times New Roman"/>
                  <w:sz w:val="20"/>
                  <w:szCs w:val="20"/>
                </w:rPr>
                <w:t>Income Taxes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72" w:history="1">
              <w:r>
                <w:rPr>
                  <w:rStyle w:val="a3"/>
                  <w:rFonts w:eastAsia="Times New Roman"/>
                  <w:sz w:val="20"/>
                  <w:szCs w:val="20"/>
                </w:rPr>
                <w:t>90</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2143695162"/>
              <w:rPr>
                <w:rFonts w:eastAsia="Times New Roman"/>
              </w:rPr>
            </w:pPr>
            <w:hyperlink w:anchor="if07fd8a5a4294970a048ac5c5178b1ea_175" w:history="1">
              <w:r>
                <w:rPr>
                  <w:rStyle w:val="a3"/>
                  <w:rFonts w:eastAsia="Times New Roman"/>
                  <w:sz w:val="20"/>
                  <w:szCs w:val="20"/>
                </w:rPr>
                <w:t xml:space="preserve">Note </w:t>
              </w:r>
            </w:hyperlink>
            <w:hyperlink w:anchor="if07fd8a5a4294970a048ac5c5178b1ea_175" w:history="1">
              <w:r>
                <w:rPr>
                  <w:rStyle w:val="a3"/>
                  <w:rFonts w:eastAsia="Times New Roman"/>
                  <w:sz w:val="20"/>
                  <w:szCs w:val="20"/>
                </w:rPr>
                <w:t>8</w:t>
              </w:r>
            </w:hyperlink>
            <w:hyperlink w:anchor="if07fd8a5a4294970a048ac5c5178b1ea_175" w:history="1">
              <w:r>
                <w:rPr>
                  <w:rStyle w:val="a3"/>
                  <w:rFonts w:eastAsia="Times New Roman"/>
                  <w:sz w:val="20"/>
                  <w:szCs w:val="20"/>
                </w:rPr>
                <w:t>. Stock Compensation Plans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75" w:history="1">
              <w:r>
                <w:rPr>
                  <w:rStyle w:val="a3"/>
                  <w:rFonts w:eastAsia="Times New Roman"/>
                  <w:sz w:val="20"/>
                  <w:szCs w:val="20"/>
                </w:rPr>
                <w:t>93</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401098833"/>
              <w:rPr>
                <w:rFonts w:eastAsia="Times New Roman"/>
              </w:rPr>
            </w:pPr>
            <w:hyperlink w:anchor="if07fd8a5a4294970a048ac5c5178b1ea_178" w:history="1">
              <w:r>
                <w:rPr>
                  <w:rStyle w:val="a3"/>
                  <w:rFonts w:eastAsia="Times New Roman"/>
                  <w:sz w:val="20"/>
                  <w:szCs w:val="20"/>
                </w:rPr>
                <w:t xml:space="preserve">Note </w:t>
              </w:r>
            </w:hyperlink>
            <w:hyperlink w:anchor="if07fd8a5a4294970a048ac5c5178b1ea_178" w:history="1">
              <w:r>
                <w:rPr>
                  <w:rStyle w:val="a3"/>
                  <w:rFonts w:eastAsia="Times New Roman"/>
                  <w:sz w:val="20"/>
                  <w:szCs w:val="20"/>
                </w:rPr>
                <w:t>9</w:t>
              </w:r>
            </w:hyperlink>
            <w:hyperlink w:anchor="if07fd8a5a4294970a048ac5c5178b1ea_178" w:history="1">
              <w:r>
                <w:rPr>
                  <w:rStyle w:val="a3"/>
                  <w:rFonts w:eastAsia="Times New Roman"/>
                  <w:sz w:val="20"/>
                  <w:szCs w:val="20"/>
                </w:rPr>
                <w:t>. Em</w:t>
              </w:r>
              <w:r>
                <w:rPr>
                  <w:rStyle w:val="a3"/>
                  <w:rFonts w:eastAsia="Times New Roman"/>
                  <w:sz w:val="20"/>
                  <w:szCs w:val="20"/>
                </w:rPr>
                <w:t>ployee Benefit Plans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78" w:history="1">
              <w:r>
                <w:rPr>
                  <w:rStyle w:val="a3"/>
                  <w:rFonts w:eastAsia="Times New Roman"/>
                  <w:sz w:val="20"/>
                  <w:szCs w:val="20"/>
                </w:rPr>
                <w:t>96</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1570075797"/>
              <w:rPr>
                <w:rFonts w:eastAsia="Times New Roman"/>
              </w:rPr>
            </w:pPr>
            <w:hyperlink w:anchor="if07fd8a5a4294970a048ac5c5178b1ea_181" w:history="1">
              <w:r>
                <w:rPr>
                  <w:rStyle w:val="a3"/>
                  <w:rFonts w:eastAsia="Times New Roman"/>
                  <w:sz w:val="20"/>
                  <w:szCs w:val="20"/>
                </w:rPr>
                <w:t xml:space="preserve">Note </w:t>
              </w:r>
            </w:hyperlink>
            <w:hyperlink w:anchor="if07fd8a5a4294970a048ac5c5178b1ea_181" w:history="1">
              <w:r>
                <w:rPr>
                  <w:rStyle w:val="a3"/>
                  <w:rFonts w:eastAsia="Times New Roman"/>
                  <w:sz w:val="20"/>
                  <w:szCs w:val="20"/>
                </w:rPr>
                <w:t>10</w:t>
              </w:r>
            </w:hyperlink>
            <w:hyperlink w:anchor="if07fd8a5a4294970a048ac5c5178b1ea_181" w:history="1">
              <w:r>
                <w:rPr>
                  <w:rStyle w:val="a3"/>
                  <w:rFonts w:eastAsia="Times New Roman"/>
                  <w:sz w:val="20"/>
                  <w:szCs w:val="20"/>
                </w:rPr>
                <w:t>. Commitments and Contingencies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81" w:history="1">
              <w:r>
                <w:rPr>
                  <w:rStyle w:val="a3"/>
                  <w:rFonts w:eastAsia="Times New Roman"/>
                  <w:sz w:val="20"/>
                  <w:szCs w:val="20"/>
                </w:rPr>
                <w:t>106</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795830618"/>
              <w:rPr>
                <w:rFonts w:eastAsia="Times New Roman"/>
              </w:rPr>
            </w:pPr>
            <w:hyperlink w:anchor="if07fd8a5a4294970a048ac5c5178b1ea_184" w:history="1">
              <w:r>
                <w:rPr>
                  <w:rStyle w:val="a3"/>
                  <w:rFonts w:eastAsia="Times New Roman"/>
                  <w:sz w:val="20"/>
                  <w:szCs w:val="20"/>
                </w:rPr>
                <w:t>Note 1</w:t>
              </w:r>
            </w:hyperlink>
            <w:hyperlink w:anchor="if07fd8a5a4294970a048ac5c5178b1ea_184" w:history="1">
              <w:r>
                <w:rPr>
                  <w:rStyle w:val="a3"/>
                  <w:rFonts w:eastAsia="Times New Roman"/>
                  <w:sz w:val="20"/>
                  <w:szCs w:val="20"/>
                </w:rPr>
                <w:t>1</w:t>
              </w:r>
            </w:hyperlink>
            <w:hyperlink w:anchor="if07fd8a5a4294970a048ac5c5178b1ea_184" w:history="1">
              <w:r>
                <w:rPr>
                  <w:rStyle w:val="a3"/>
                  <w:rFonts w:eastAsia="Times New Roman"/>
                  <w:sz w:val="20"/>
                  <w:szCs w:val="20"/>
                </w:rPr>
                <w:t>. Leasing</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84" w:history="1">
              <w:r>
                <w:rPr>
                  <w:rStyle w:val="a3"/>
                  <w:rFonts w:eastAsia="Times New Roman"/>
                  <w:sz w:val="20"/>
                  <w:szCs w:val="20"/>
                </w:rPr>
                <w:t>111</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932471732"/>
              <w:rPr>
                <w:rFonts w:eastAsia="Times New Roman"/>
              </w:rPr>
            </w:pPr>
            <w:hyperlink w:anchor="if07fd8a5a4294970a048ac5c5178b1ea_187" w:history="1">
              <w:r>
                <w:rPr>
                  <w:rStyle w:val="a3"/>
                  <w:rFonts w:eastAsia="Times New Roman"/>
                  <w:sz w:val="20"/>
                  <w:szCs w:val="20"/>
                </w:rPr>
                <w:t>Note 1</w:t>
              </w:r>
            </w:hyperlink>
            <w:hyperlink w:anchor="if07fd8a5a4294970a048ac5c5178b1ea_187" w:history="1">
              <w:r>
                <w:rPr>
                  <w:rStyle w:val="a3"/>
                  <w:rFonts w:eastAsia="Times New Roman"/>
                  <w:sz w:val="20"/>
                  <w:szCs w:val="20"/>
                </w:rPr>
                <w:t>2</w:t>
              </w:r>
            </w:hyperlink>
            <w:hyperlink w:anchor="if07fd8a5a4294970a048ac5c5178b1ea_187" w:history="1">
              <w:r>
                <w:rPr>
                  <w:rStyle w:val="a3"/>
                  <w:rFonts w:eastAsia="Times New Roman"/>
                  <w:sz w:val="20"/>
                  <w:szCs w:val="20"/>
                </w:rPr>
                <w:t>. Series A Preferred Stock</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87" w:history="1">
              <w:r>
                <w:rPr>
                  <w:rStyle w:val="a3"/>
                  <w:rFonts w:eastAsia="Times New Roman"/>
                  <w:sz w:val="20"/>
                  <w:szCs w:val="20"/>
                </w:rPr>
                <w:t>112</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381829319"/>
              <w:rPr>
                <w:rFonts w:eastAsia="Times New Roman"/>
              </w:rPr>
            </w:pPr>
            <w:hyperlink w:anchor="if07fd8a5a4294970a048ac5c5178b1ea_1896" w:history="1">
              <w:r>
                <w:rPr>
                  <w:rStyle w:val="a3"/>
                  <w:rFonts w:eastAsia="Times New Roman"/>
                  <w:sz w:val="20"/>
                  <w:szCs w:val="20"/>
                </w:rPr>
                <w:t>N</w:t>
              </w:r>
            </w:hyperlink>
            <w:hyperlink w:anchor="if07fd8a5a4294970a048ac5c5178b1ea_1896" w:history="1">
              <w:r>
                <w:rPr>
                  <w:rStyle w:val="a3"/>
                  <w:rFonts w:eastAsia="Times New Roman"/>
                  <w:sz w:val="20"/>
                  <w:szCs w:val="20"/>
                </w:rPr>
                <w:t>ote 13. Earnings Per Share</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896" w:history="1">
              <w:r>
                <w:rPr>
                  <w:rStyle w:val="a3"/>
                  <w:rFonts w:eastAsia="Times New Roman"/>
                  <w:sz w:val="20"/>
                  <w:szCs w:val="20"/>
                </w:rPr>
                <w:t>114</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647055926"/>
              <w:rPr>
                <w:rFonts w:eastAsia="Times New Roman"/>
              </w:rPr>
            </w:pPr>
            <w:hyperlink w:anchor="if07fd8a5a4294970a048ac5c5178b1ea_190" w:history="1">
              <w:r>
                <w:rPr>
                  <w:rStyle w:val="a3"/>
                  <w:rFonts w:eastAsia="Times New Roman"/>
                  <w:sz w:val="20"/>
                  <w:szCs w:val="20"/>
                </w:rPr>
                <w:t>Note 1</w:t>
              </w:r>
            </w:hyperlink>
            <w:hyperlink w:anchor="if07fd8a5a4294970a048ac5c5178b1ea_190" w:history="1">
              <w:r>
                <w:rPr>
                  <w:rStyle w:val="a3"/>
                  <w:rFonts w:eastAsia="Times New Roman"/>
                  <w:sz w:val="20"/>
                  <w:szCs w:val="20"/>
                </w:rPr>
                <w:t>4</w:t>
              </w:r>
            </w:hyperlink>
            <w:hyperlink w:anchor="if07fd8a5a4294970a048ac5c5178b1ea_190" w:history="1">
              <w:r>
                <w:rPr>
                  <w:rStyle w:val="a3"/>
                  <w:rFonts w:eastAsia="Times New Roman"/>
                  <w:sz w:val="20"/>
                  <w:szCs w:val="20"/>
                </w:rPr>
                <w:t>. Derivatives and Hedging Instruments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90" w:history="1">
              <w:r>
                <w:rPr>
                  <w:rStyle w:val="a3"/>
                  <w:rFonts w:eastAsia="Times New Roman"/>
                  <w:sz w:val="20"/>
                  <w:szCs w:val="20"/>
                </w:rPr>
                <w:t>116</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94644034"/>
              <w:rPr>
                <w:rFonts w:eastAsia="Times New Roman"/>
              </w:rPr>
            </w:pPr>
            <w:hyperlink w:anchor="if07fd8a5a4294970a048ac5c5178b1ea_193" w:history="1">
              <w:r>
                <w:rPr>
                  <w:rStyle w:val="a3"/>
                  <w:rFonts w:eastAsia="Times New Roman"/>
                  <w:sz w:val="20"/>
                  <w:szCs w:val="20"/>
                </w:rPr>
                <w:t>Note 1</w:t>
              </w:r>
            </w:hyperlink>
            <w:hyperlink w:anchor="if07fd8a5a4294970a048ac5c5178b1ea_193" w:history="1">
              <w:r>
                <w:rPr>
                  <w:rStyle w:val="a3"/>
                  <w:rFonts w:eastAsia="Times New Roman"/>
                  <w:sz w:val="20"/>
                  <w:szCs w:val="20"/>
                </w:rPr>
                <w:t>5</w:t>
              </w:r>
            </w:hyperlink>
            <w:hyperlink w:anchor="if07fd8a5a4294970a048ac5c5178b1ea_193" w:history="1">
              <w:r>
                <w:rPr>
                  <w:rStyle w:val="a3"/>
                  <w:rFonts w:eastAsia="Times New Roman"/>
                  <w:sz w:val="20"/>
                  <w:szCs w:val="20"/>
                </w:rPr>
                <w:t>. Fair Value of Assets and Liabilities</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93" w:history="1">
              <w:r>
                <w:rPr>
                  <w:rStyle w:val="a3"/>
                  <w:rFonts w:eastAsia="Times New Roman"/>
                  <w:sz w:val="20"/>
                  <w:szCs w:val="20"/>
                </w:rPr>
                <w:t>120</w:t>
              </w:r>
            </w:hyperlink>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453409049"/>
              <w:rPr>
                <w:rFonts w:eastAsia="Times New Roman"/>
              </w:rPr>
            </w:pPr>
            <w:hyperlink w:anchor="if07fd8a5a4294970a048ac5c5178b1ea_196" w:history="1">
              <w:r>
                <w:rPr>
                  <w:rStyle w:val="a3"/>
                  <w:rFonts w:eastAsia="Times New Roman"/>
                  <w:sz w:val="20"/>
                  <w:szCs w:val="20"/>
                </w:rPr>
                <w:t>Note 1</w:t>
              </w:r>
            </w:hyperlink>
            <w:hyperlink w:anchor="if07fd8a5a4294970a048ac5c5178b1ea_196" w:history="1">
              <w:r>
                <w:rPr>
                  <w:rStyle w:val="a3"/>
                  <w:rFonts w:eastAsia="Times New Roman"/>
                  <w:sz w:val="20"/>
                  <w:szCs w:val="20"/>
                </w:rPr>
                <w:t>6</w:t>
              </w:r>
            </w:hyperlink>
            <w:hyperlink w:anchor="if07fd8a5a4294970a048ac5c5178b1ea_196" w:history="1">
              <w:r>
                <w:rPr>
                  <w:rStyle w:val="a3"/>
                  <w:rFonts w:eastAsia="Times New Roman"/>
                  <w:sz w:val="20"/>
                  <w:szCs w:val="20"/>
                </w:rPr>
                <w:t>. Accumulated Other Comprehensive Income</w:t>
              </w:r>
            </w:hyperlink>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196" w:history="1">
              <w:r>
                <w:rPr>
                  <w:rStyle w:val="a3"/>
                  <w:rFonts w:eastAsia="Times New Roman"/>
                  <w:sz w:val="20"/>
                  <w:szCs w:val="20"/>
                </w:rPr>
                <w:t>121</w:t>
              </w:r>
            </w:hyperlink>
          </w:p>
        </w:tc>
      </w:tr>
      <w:tr w:rsidR="00000000">
        <w:trPr>
          <w:divId w:val="1615870451"/>
        </w:trPr>
        <w:tc>
          <w:tcPr>
            <w:tcW w:w="0" w:type="auto"/>
            <w:gridSpan w:val="3"/>
            <w:vAlign w:val="center"/>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615870451"/>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615870451"/>
        </w:trPr>
        <w:tc>
          <w:tcPr>
            <w:tcW w:w="0" w:type="auto"/>
            <w:gridSpan w:val="3"/>
            <w:tcMar>
              <w:top w:w="30" w:type="dxa"/>
              <w:left w:w="20" w:type="dxa"/>
              <w:bottom w:w="30" w:type="dxa"/>
              <w:right w:w="20" w:type="dxa"/>
            </w:tcMar>
            <w:vAlign w:val="bottom"/>
            <w:hideMark/>
          </w:tcPr>
          <w:p w:rsidR="00000000" w:rsidRDefault="0040289C">
            <w:pPr>
              <w:spacing w:after="100"/>
              <w:divId w:val="1293633974"/>
              <w:rPr>
                <w:rFonts w:eastAsia="Times New Roman"/>
              </w:rPr>
            </w:pPr>
            <w:hyperlink w:anchor="if07fd8a5a4294970a048ac5c5178b1ea_205" w:history="1">
              <w:r>
                <w:rPr>
                  <w:rStyle w:val="a3"/>
                  <w:rFonts w:eastAsia="Times New Roman"/>
                  <w:sz w:val="20"/>
                  <w:szCs w:val="20"/>
                </w:rPr>
                <w:t>Note 1</w:t>
              </w:r>
            </w:hyperlink>
            <w:hyperlink w:anchor="if07fd8a5a4294970a048ac5c5178b1ea_205" w:history="1">
              <w:r>
                <w:rPr>
                  <w:rStyle w:val="a3"/>
                  <w:rFonts w:eastAsia="Times New Roman"/>
                  <w:sz w:val="20"/>
                  <w:szCs w:val="20"/>
                </w:rPr>
                <w:t>7</w:t>
              </w:r>
            </w:hyperlink>
            <w:hyperlink w:anchor="if07fd8a5a4294970a048ac5c5178b1ea_205" w:history="1">
              <w:r>
                <w:rPr>
                  <w:rStyle w:val="a3"/>
                  <w:rFonts w:eastAsia="Times New Roman"/>
                  <w:sz w:val="20"/>
                  <w:szCs w:val="20"/>
                </w:rPr>
                <w:t>. Supplemental Financial Information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hyperlink w:anchor="if07fd8a5a4294970a048ac5c5178b1ea_205" w:history="1">
              <w:r>
                <w:rPr>
                  <w:rStyle w:val="a3"/>
                  <w:rFonts w:eastAsia="Times New Roman"/>
                  <w:sz w:val="20"/>
                  <w:szCs w:val="20"/>
                </w:rPr>
                <w:t>123</w:t>
              </w:r>
            </w:hyperlink>
          </w:p>
        </w:tc>
      </w:tr>
      <w:tr w:rsidR="00000000">
        <w:trPr>
          <w:divId w:val="1615870451"/>
        </w:trPr>
        <w:tc>
          <w:tcPr>
            <w:tcW w:w="0" w:type="auto"/>
            <w:gridSpan w:val="3"/>
            <w:vAlign w:val="center"/>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r>
    </w:tbl>
    <w:p w:rsidR="00000000" w:rsidRDefault="0040289C">
      <w:pPr>
        <w:divId w:val="1161316334"/>
        <w:rPr>
          <w:rFonts w:eastAsia="Times New Roman"/>
        </w:rPr>
      </w:pPr>
    </w:p>
    <w:p w:rsidR="00000000" w:rsidRDefault="0040289C">
      <w:pPr>
        <w:divId w:val="221909009"/>
        <w:rPr>
          <w:rFonts w:eastAsia="Times New Roman"/>
        </w:rPr>
      </w:pPr>
    </w:p>
    <w:p w:rsidR="00000000" w:rsidRDefault="0040289C">
      <w:pPr>
        <w:divId w:val="1554582797"/>
        <w:rPr>
          <w:rFonts w:eastAsia="Times New Roman"/>
        </w:rPr>
      </w:pPr>
    </w:p>
    <w:p w:rsidR="00000000" w:rsidRDefault="0040289C">
      <w:pPr>
        <w:jc w:val="center"/>
        <w:divId w:val="675889711"/>
        <w:rPr>
          <w:rFonts w:eastAsia="Times New Roman"/>
        </w:rPr>
      </w:pPr>
      <w:r>
        <w:rPr>
          <w:rFonts w:eastAsia="Times New Roman"/>
          <w:color w:val="000000"/>
          <w:sz w:val="20"/>
          <w:szCs w:val="20"/>
        </w:rPr>
        <w:t>55</w:t>
      </w:r>
    </w:p>
    <w:p w:rsidR="00000000" w:rsidRDefault="0040289C">
      <w:pPr>
        <w:rPr>
          <w:rFonts w:eastAsia="Times New Roman"/>
        </w:rPr>
      </w:pPr>
      <w:r>
        <w:rPr>
          <w:rFonts w:eastAsia="Times New Roman"/>
        </w:rPr>
        <w:pict>
          <v:rect id="_x0000_i1085" style="width:0;height:1.5pt" o:hralign="center" o:hrstd="t" o:hr="t" fillcolor="#a0a0a0" stroked="f"/>
        </w:pict>
      </w:r>
    </w:p>
    <w:p w:rsidR="00000000" w:rsidRDefault="0040289C">
      <w:pPr>
        <w:divId w:val="50379044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17076446"/>
        <w:rPr>
          <w:rFonts w:eastAsia="Times New Roman"/>
        </w:rPr>
      </w:pPr>
    </w:p>
    <w:p w:rsidR="00000000" w:rsidRDefault="0040289C">
      <w:pPr>
        <w:divId w:val="648094365"/>
        <w:rPr>
          <w:rFonts w:eastAsia="Times New Roman"/>
        </w:rPr>
      </w:pPr>
      <w:r>
        <w:rPr>
          <w:rFonts w:eastAsia="Times New Roman"/>
          <w:b/>
          <w:bCs/>
          <w:color w:val="000000"/>
          <w:sz w:val="20"/>
          <w:szCs w:val="20"/>
        </w:rPr>
        <w:t>Item 8.        FINANCIAL STATEMENTS AND SUPPLEMENTAL DATA</w:t>
      </w:r>
    </w:p>
    <w:p w:rsidR="00000000" w:rsidRDefault="0040289C">
      <w:pPr>
        <w:jc w:val="center"/>
        <w:rPr>
          <w:rFonts w:eastAsia="Times New Roman"/>
        </w:rPr>
      </w:pPr>
    </w:p>
    <w:p w:rsidR="00000000" w:rsidRDefault="0040289C">
      <w:pPr>
        <w:jc w:val="center"/>
        <w:rPr>
          <w:rFonts w:eastAsia="Times New Roman"/>
        </w:rPr>
      </w:pPr>
      <w:r>
        <w:rPr>
          <w:rFonts w:eastAsia="Times New Roman"/>
          <w:b/>
          <w:bCs/>
          <w:color w:val="000000"/>
          <w:sz w:val="20"/>
          <w:szCs w:val="20"/>
        </w:rPr>
        <w:t>Report of Independent Registered Public Accounting Firm</w:t>
      </w:r>
    </w:p>
    <w:p w:rsidR="00000000" w:rsidRDefault="0040289C">
      <w:pPr>
        <w:jc w:val="center"/>
        <w:rPr>
          <w:rFonts w:eastAsia="Times New Roman"/>
        </w:rPr>
      </w:pPr>
    </w:p>
    <w:p w:rsidR="00000000" w:rsidRDefault="0040289C">
      <w:pPr>
        <w:jc w:val="both"/>
        <w:rPr>
          <w:rFonts w:eastAsia="Times New Roman"/>
        </w:rPr>
      </w:pPr>
      <w:r>
        <w:rPr>
          <w:rFonts w:eastAsia="Times New Roman"/>
          <w:color w:val="000000"/>
          <w:sz w:val="20"/>
          <w:szCs w:val="20"/>
        </w:rPr>
        <w:t>To the</w:t>
      </w:r>
      <w:r>
        <w:rPr>
          <w:rFonts w:eastAsia="Times New Roman"/>
          <w:b/>
          <w:bCs/>
          <w:color w:val="FF0000"/>
          <w:sz w:val="20"/>
          <w:szCs w:val="20"/>
        </w:rPr>
        <w:t xml:space="preserve"> </w:t>
      </w:r>
      <w:r>
        <w:rPr>
          <w:rFonts w:eastAsia="Times New Roman"/>
          <w:color w:val="000000"/>
          <w:sz w:val="20"/>
          <w:szCs w:val="20"/>
        </w:rPr>
        <w:t>Board of Directors and Stockholders of NCR Corporation</w:t>
      </w:r>
      <w:r>
        <w:rPr>
          <w:rFonts w:eastAsia="Times New Roman"/>
          <w:b/>
          <w:bCs/>
          <w:color w:val="FF0000"/>
          <w:sz w:val="20"/>
          <w:szCs w:val="20"/>
        </w:rPr>
        <w:t xml:space="preserve"> </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Opinions on the Financial Statements and Internal Control over Financial Reporting</w:t>
      </w:r>
    </w:p>
    <w:p w:rsidR="00000000" w:rsidRDefault="0040289C">
      <w:pPr>
        <w:divId w:val="1905987394"/>
        <w:rPr>
          <w:rFonts w:eastAsia="Times New Roman"/>
        </w:rPr>
      </w:pPr>
    </w:p>
    <w:p w:rsidR="00000000" w:rsidRDefault="0040289C">
      <w:pPr>
        <w:jc w:val="both"/>
        <w:rPr>
          <w:rFonts w:eastAsia="Times New Roman"/>
        </w:rPr>
      </w:pPr>
      <w:r>
        <w:rPr>
          <w:rFonts w:eastAsia="Times New Roman"/>
          <w:color w:val="000000"/>
          <w:sz w:val="20"/>
          <w:szCs w:val="20"/>
        </w:rPr>
        <w:t>We have audited the accompanying consolidated balance sheets of NCR Corporation and its subsidiaries (the “Company”) as of December 31, 2022 and 2021, and the related cons</w:t>
      </w:r>
      <w:r>
        <w:rPr>
          <w:rFonts w:eastAsia="Times New Roman"/>
          <w:color w:val="000000"/>
          <w:sz w:val="20"/>
          <w:szCs w:val="20"/>
        </w:rPr>
        <w:t>olidated statements of operations, of comprehensive income (loss), of stockholders’ equity and of cash flows for each of the three years in the period ended December 31, 2022, including the related notes and financial statement schedule listed in the index</w:t>
      </w:r>
      <w:r>
        <w:rPr>
          <w:rFonts w:eastAsia="Times New Roman"/>
          <w:color w:val="000000"/>
          <w:sz w:val="20"/>
          <w:szCs w:val="20"/>
        </w:rPr>
        <w:t xml:space="preserve"> appearing under Item 15(a)(2) (collectively referred to as the “consolidated financial statements”). We also have audited the Company's internal control over financial reporting as of December 31, 2022, based on criteria established in </w:t>
      </w:r>
      <w:r>
        <w:rPr>
          <w:rFonts w:eastAsia="Times New Roman"/>
          <w:i/>
          <w:iCs/>
          <w:color w:val="000000"/>
          <w:sz w:val="20"/>
          <w:szCs w:val="20"/>
        </w:rPr>
        <w:t xml:space="preserve">Internal Control - </w:t>
      </w:r>
      <w:r>
        <w:rPr>
          <w:rFonts w:eastAsia="Times New Roman"/>
          <w:i/>
          <w:iCs/>
          <w:color w:val="000000"/>
          <w:sz w:val="20"/>
          <w:szCs w:val="20"/>
        </w:rPr>
        <w:t>Integrated Framework (2013)</w:t>
      </w:r>
      <w:r>
        <w:rPr>
          <w:rFonts w:eastAsia="Times New Roman"/>
          <w:color w:val="000000"/>
          <w:sz w:val="20"/>
          <w:szCs w:val="20"/>
        </w:rPr>
        <w:t xml:space="preserve"> issued by the Committee of Sponsoring Organizations of the Treadway Commission (COSO).</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our opinion, the consolidated financial statements referred to above present fairly, in all material respects, the financial position of</w:t>
      </w:r>
      <w:r>
        <w:rPr>
          <w:rFonts w:eastAsia="Times New Roman"/>
          <w:color w:val="000000"/>
          <w:sz w:val="20"/>
          <w:szCs w:val="20"/>
        </w:rPr>
        <w:t xml:space="preserve"> the Company as of December 31, 2022 and 2021, and the results of its operations and its cash flows for each of the three years in the period ended December 31, 2022 in conformity with accounting principles generally accepted in the United States of Americ</w:t>
      </w:r>
      <w:r>
        <w:rPr>
          <w:rFonts w:eastAsia="Times New Roman"/>
          <w:color w:val="000000"/>
          <w:sz w:val="20"/>
          <w:szCs w:val="20"/>
        </w:rPr>
        <w:t xml:space="preserve">a. Also in our opinion, the Company maintained, in all material respects, effective internal control over financial reporting as of December 31, 2022,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COSO</w:t>
      </w:r>
      <w:r>
        <w:rPr>
          <w:rFonts w:ascii="Georgia" w:eastAsia="Times New Roman" w:hAnsi="Georgia"/>
          <w:color w:val="000000"/>
        </w:rPr>
        <w:t>.</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Bas</w:t>
      </w:r>
      <w:r>
        <w:rPr>
          <w:rFonts w:eastAsia="Times New Roman"/>
          <w:b/>
          <w:bCs/>
          <w:i/>
          <w:iCs/>
          <w:color w:val="000000"/>
          <w:sz w:val="20"/>
          <w:szCs w:val="20"/>
        </w:rPr>
        <w:t>is for Opinions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Company's management is responsible for these consolidated financial statements, for maintaining effective internal control over financial reporting, and for its assessment of the effectiveness of internal control over financial repor</w:t>
      </w:r>
      <w:r>
        <w:rPr>
          <w:rFonts w:eastAsia="Times New Roman"/>
          <w:color w:val="000000"/>
          <w:sz w:val="20"/>
          <w:szCs w:val="20"/>
        </w:rPr>
        <w:t>ting, included in Management’s Report on Internal Control over Financial Reporting appearing under Item 9A. Our responsibility is to express opinions on the Company’s consolidated financial statements and on the Company's internal control over financial re</w:t>
      </w:r>
      <w:r>
        <w:rPr>
          <w:rFonts w:eastAsia="Times New Roman"/>
          <w:color w:val="000000"/>
          <w:sz w:val="20"/>
          <w:szCs w:val="20"/>
        </w:rPr>
        <w:t>porting based on our audits. We are a public accounting firm registered with the Public Company Accounting Oversight Board (United States) (PCAOB) and are required to be independent with respect to the Company in accordance with the U.S. federal securities</w:t>
      </w:r>
      <w:r>
        <w:rPr>
          <w:rFonts w:eastAsia="Times New Roman"/>
          <w:color w:val="000000"/>
          <w:sz w:val="20"/>
          <w:szCs w:val="20"/>
        </w:rPr>
        <w:t xml:space="preserve"> laws and the applicable rules and regulations of the Securities and Exchange Commission and the PCAOB.</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conducted our audits in accordance with the standards of the PCAOB. Those standards require that we plan and perform the audits to obtain reasonabl</w:t>
      </w:r>
      <w:r>
        <w:rPr>
          <w:rFonts w:eastAsia="Times New Roman"/>
          <w:color w:val="000000"/>
          <w:sz w:val="20"/>
          <w:szCs w:val="20"/>
        </w:rPr>
        <w:t>e assurance about whether the consolidated financial statements are free of material misstatement, whether due to error or fraud, and whether effective internal control over financial reporting was maintained in all material respects.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audits of the c</w:t>
      </w:r>
      <w:r>
        <w:rPr>
          <w:rFonts w:eastAsia="Times New Roman"/>
          <w:color w:val="000000"/>
          <w:sz w:val="20"/>
          <w:szCs w:val="20"/>
        </w:rPr>
        <w:t>onsolidated financial statements included performing procedures to assess the risks of material misstatement of the consolidated financial statements, whether due to error or fraud, and performing procedures that respond to those risks. Such procedures inc</w:t>
      </w:r>
      <w:r>
        <w:rPr>
          <w:rFonts w:eastAsia="Times New Roman"/>
          <w:color w:val="000000"/>
          <w:sz w:val="20"/>
          <w:szCs w:val="20"/>
        </w:rPr>
        <w:t>luded examining, on a test basis, evidence regarding the amounts and disclosures in the consolidated financial statements. Our audits also included evaluating the accounting principles used and significant estimates made by management, as well as evaluatin</w:t>
      </w:r>
      <w:r>
        <w:rPr>
          <w:rFonts w:eastAsia="Times New Roman"/>
          <w:color w:val="000000"/>
          <w:sz w:val="20"/>
          <w:szCs w:val="20"/>
        </w:rPr>
        <w:t>g the overall presentation of the consolidated financial statements. Our audit of internal control over financial reporting included obtaining an understanding of internal control over financial reporting, assessing the risk that a material weakness exists</w:t>
      </w:r>
      <w:r>
        <w:rPr>
          <w:rFonts w:eastAsia="Times New Roman"/>
          <w:color w:val="000000"/>
          <w:sz w:val="20"/>
          <w:szCs w:val="20"/>
        </w:rPr>
        <w:t>, and testing and evaluating the design and operating effectiveness of internal control based on the assessed risk. Our audits also included performing such other procedures as we considered necessary in the circumstances. We believe that our audits provid</w:t>
      </w:r>
      <w:r>
        <w:rPr>
          <w:rFonts w:eastAsia="Times New Roman"/>
          <w:color w:val="000000"/>
          <w:sz w:val="20"/>
          <w:szCs w:val="20"/>
        </w:rPr>
        <w:t>e a reasonable basis for our opinions.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Definition and Limitations of Internal Control over Financial Reporting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w:t>
      </w:r>
      <w:r>
        <w:rPr>
          <w:rFonts w:eastAsia="Times New Roman"/>
          <w:color w:val="000000"/>
          <w:sz w:val="20"/>
          <w:szCs w:val="20"/>
        </w:rPr>
        <w:t xml:space="preserve">ncial reporting and the preparation of financial statements for external purposes in accordance with generally accepted accounting principles. A company’s internal control over financial reporting includes those policies and procedures that (i) pertain to </w:t>
      </w:r>
      <w:r>
        <w:rPr>
          <w:rFonts w:eastAsia="Times New Roman"/>
          <w:color w:val="000000"/>
          <w:sz w:val="20"/>
          <w:szCs w:val="20"/>
        </w:rPr>
        <w:t>the maintenance of records that, in reasonable detail, accurately and fairly reflect the transactions and dispositions of the assets of the company; (ii) provide reasonable assurance that transactions are recorded as necessary to permit preparation of fina</w:t>
      </w:r>
      <w:r>
        <w:rPr>
          <w:rFonts w:eastAsia="Times New Roman"/>
          <w:color w:val="000000"/>
          <w:sz w:val="20"/>
          <w:szCs w:val="20"/>
        </w:rPr>
        <w:t>ncial statements in accordance with generally accepted accounting principles, and that receipts and expenditures of the company are being made only in accordance with authorizations of management and directors of the company; and (iii) provide reasonable a</w:t>
      </w:r>
      <w:r>
        <w:rPr>
          <w:rFonts w:eastAsia="Times New Roman"/>
          <w:color w:val="000000"/>
          <w:sz w:val="20"/>
          <w:szCs w:val="20"/>
        </w:rPr>
        <w:t>ssurance regarding prevention or timely detection of unauthorized acquisition, use or disposition of the company’s assets that could have a material effect on the financial statements.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Because of its inherent limitations, internal control over financial </w:t>
      </w:r>
      <w:r>
        <w:rPr>
          <w:rFonts w:eastAsia="Times New Roman"/>
          <w:color w:val="000000"/>
          <w:sz w:val="20"/>
          <w:szCs w:val="20"/>
        </w:rPr>
        <w:t>reporting may not prevent or detect misstatements. Also, projections of any evaluation of effectiveness to future periods are subject to the risk that controls may become inadequate because of changes in conditions, or that the degree of compliance with th</w:t>
      </w:r>
      <w:r>
        <w:rPr>
          <w:rFonts w:eastAsia="Times New Roman"/>
          <w:color w:val="000000"/>
          <w:sz w:val="20"/>
          <w:szCs w:val="20"/>
        </w:rPr>
        <w:t>e policies or procedures may deteriorate.</w:t>
      </w:r>
    </w:p>
    <w:p w:rsidR="00000000" w:rsidRDefault="0040289C">
      <w:pPr>
        <w:jc w:val="center"/>
        <w:divId w:val="1471094264"/>
        <w:rPr>
          <w:rFonts w:eastAsia="Times New Roman"/>
        </w:rPr>
      </w:pPr>
      <w:r>
        <w:rPr>
          <w:rFonts w:eastAsia="Times New Roman"/>
          <w:color w:val="000000"/>
          <w:sz w:val="20"/>
          <w:szCs w:val="20"/>
        </w:rPr>
        <w:t>56</w:t>
      </w:r>
    </w:p>
    <w:p w:rsidR="00000000" w:rsidRDefault="0040289C">
      <w:pPr>
        <w:rPr>
          <w:rFonts w:eastAsia="Times New Roman"/>
        </w:rPr>
      </w:pPr>
      <w:r>
        <w:rPr>
          <w:rFonts w:eastAsia="Times New Roman"/>
        </w:rPr>
        <w:pict>
          <v:rect id="_x0000_i1086" style="width:0;height:1.5pt" o:hralign="center" o:hrstd="t" o:hr="t" fillcolor="#a0a0a0" stroked="f"/>
        </w:pict>
      </w:r>
    </w:p>
    <w:p w:rsidR="00000000" w:rsidRDefault="0040289C">
      <w:pPr>
        <w:divId w:val="157555377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078016458"/>
        <w:rPr>
          <w:rFonts w:eastAsia="Times New Roman"/>
        </w:rPr>
      </w:pPr>
    </w:p>
    <w:p w:rsidR="00000000" w:rsidRDefault="0040289C">
      <w:pPr>
        <w:divId w:val="1538852684"/>
        <w:rPr>
          <w:rFonts w:eastAsia="Times New Roman"/>
        </w:rPr>
      </w:pPr>
    </w:p>
    <w:p w:rsidR="00000000" w:rsidRDefault="0040289C">
      <w:pPr>
        <w:jc w:val="both"/>
        <w:rPr>
          <w:rFonts w:eastAsia="Times New Roman"/>
        </w:rPr>
      </w:pPr>
      <w:r>
        <w:rPr>
          <w:rFonts w:eastAsia="Times New Roman"/>
          <w:b/>
          <w:bCs/>
          <w:i/>
          <w:iCs/>
          <w:color w:val="000000"/>
          <w:sz w:val="20"/>
          <w:szCs w:val="20"/>
        </w:rPr>
        <w:t>Critical Audit Matters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critical audit matter communicated below is a matter arising from the current period audit of the consolidated financial statements that was communicated or required to be communicated to the audit committee and that (i) relates to accounts or disclosu</w:t>
      </w:r>
      <w:r>
        <w:rPr>
          <w:rFonts w:eastAsia="Times New Roman"/>
          <w:color w:val="000000"/>
          <w:sz w:val="20"/>
          <w:szCs w:val="20"/>
        </w:rPr>
        <w:t>res that are material to the consolidated financial statements and (ii) involved our especially challenging, subjective or complex judgments. The communication of critical audit matters does not alter in any way our opinion on the consolidated financial st</w:t>
      </w:r>
      <w:r>
        <w:rPr>
          <w:rFonts w:eastAsia="Times New Roman"/>
          <w:color w:val="000000"/>
          <w:sz w:val="20"/>
          <w:szCs w:val="20"/>
        </w:rPr>
        <w:t>atements, taken as a whole, and we are not, by communicating the critical audit matter below, providing a separate opinion on the critical audit matter or on the accounts or disclosures to which it relates.</w:t>
      </w:r>
      <w:r>
        <w:rPr>
          <w:rFonts w:ascii="Georgia" w:eastAsia="Times New Roman" w:hAnsi="Georgia"/>
          <w:color w:val="000000"/>
          <w:sz w:val="20"/>
          <w:szCs w:val="20"/>
        </w:rPr>
        <w:t xml:space="preserve"> </w:t>
      </w:r>
    </w:p>
    <w:p w:rsidR="00000000" w:rsidRDefault="0040289C">
      <w:pPr>
        <w:divId w:val="2117864861"/>
        <w:rPr>
          <w:rFonts w:eastAsia="Times New Roman"/>
        </w:rPr>
      </w:pPr>
    </w:p>
    <w:p w:rsidR="00000000" w:rsidRDefault="0040289C">
      <w:pPr>
        <w:divId w:val="1074549033"/>
        <w:rPr>
          <w:rFonts w:eastAsia="Times New Roman"/>
        </w:rPr>
      </w:pPr>
      <w:r>
        <w:rPr>
          <w:rFonts w:eastAsia="Times New Roman"/>
          <w:i/>
          <w:iCs/>
          <w:color w:val="000000"/>
          <w:sz w:val="20"/>
          <w:szCs w:val="20"/>
        </w:rPr>
        <w:t xml:space="preserve">Change in Reportable Segments and Assignment of Goodwill </w:t>
      </w:r>
    </w:p>
    <w:p w:rsidR="00000000" w:rsidRDefault="0040289C">
      <w:pPr>
        <w:divId w:val="801728218"/>
        <w:rPr>
          <w:rFonts w:eastAsia="Times New Roman"/>
        </w:rPr>
      </w:pPr>
    </w:p>
    <w:p w:rsidR="00000000" w:rsidRDefault="0040289C">
      <w:pPr>
        <w:jc w:val="both"/>
        <w:rPr>
          <w:rFonts w:eastAsia="Times New Roman"/>
        </w:rPr>
      </w:pPr>
      <w:r>
        <w:rPr>
          <w:rFonts w:eastAsia="Times New Roman"/>
          <w:color w:val="000000"/>
          <w:sz w:val="20"/>
          <w:szCs w:val="20"/>
        </w:rPr>
        <w:t xml:space="preserve">As described in Notes 1, 3, and 4 to the consolidated financial statements, during 2022 the Company realigned its reportable segments to correspond with changes to its operating model, management </w:t>
      </w:r>
      <w:r>
        <w:rPr>
          <w:rFonts w:eastAsia="Times New Roman"/>
          <w:color w:val="000000"/>
          <w:sz w:val="20"/>
          <w:szCs w:val="20"/>
        </w:rPr>
        <w:t>structure and organizational responsibilities. In connection with the change in reportable segments, management determined the Company’s reporting units and then reassigned the goodwill balance of $4,519 million to the new reporting units. Due to the chang</w:t>
      </w:r>
      <w:r>
        <w:rPr>
          <w:rFonts w:eastAsia="Times New Roman"/>
          <w:color w:val="000000"/>
          <w:sz w:val="20"/>
          <w:szCs w:val="20"/>
        </w:rPr>
        <w:t>e in reportable segments, management performed an interim goodwill impairment analysis immediately before and as of the effective date of January 1, 2022. As of January 1, 2022, goodwill assigned to each of the segments amounted to $988 million to Payments</w:t>
      </w:r>
      <w:r>
        <w:rPr>
          <w:rFonts w:eastAsia="Times New Roman"/>
          <w:color w:val="000000"/>
          <w:sz w:val="20"/>
          <w:szCs w:val="20"/>
        </w:rPr>
        <w:t xml:space="preserve"> &amp; Network, $595 million to Digital Banking, $1,534 million to Self-Service Banking, $981 million to Retail, $269 million to Hospitality, and $152 million to Other. Fair value was estimated using a weighted methodology considering the output from both the </w:t>
      </w:r>
      <w:r>
        <w:rPr>
          <w:rFonts w:eastAsia="Times New Roman"/>
          <w:color w:val="000000"/>
          <w:sz w:val="20"/>
          <w:szCs w:val="20"/>
        </w:rPr>
        <w:t xml:space="preserve">income and market approaches. The income approach incorporates the use of a discounted cash flow (DCF) analysis. A number of significant assumptions and estimates are involved in the application of the discounted cash flow model to forecast operating cash </w:t>
      </w:r>
      <w:r>
        <w:rPr>
          <w:rFonts w:eastAsia="Times New Roman"/>
          <w:color w:val="000000"/>
          <w:sz w:val="20"/>
          <w:szCs w:val="20"/>
        </w:rPr>
        <w:t>flows, including revenue growth rates, EBITDA margins and discount rates. The market approach is performed using the Guideline Public Companies (GPC) method which is based on earnings multiple data of peer companies.</w:t>
      </w:r>
    </w:p>
    <w:p w:rsidR="00000000" w:rsidRDefault="0040289C">
      <w:pPr>
        <w:divId w:val="1673533907"/>
        <w:rPr>
          <w:rFonts w:eastAsia="Times New Roman"/>
        </w:rPr>
      </w:pPr>
    </w:p>
    <w:p w:rsidR="00000000" w:rsidRDefault="0040289C">
      <w:pPr>
        <w:jc w:val="both"/>
        <w:rPr>
          <w:rFonts w:eastAsia="Times New Roman"/>
        </w:rPr>
      </w:pPr>
      <w:r>
        <w:rPr>
          <w:rFonts w:eastAsia="Times New Roman"/>
          <w:color w:val="000000"/>
          <w:sz w:val="20"/>
          <w:szCs w:val="20"/>
        </w:rPr>
        <w:t xml:space="preserve">The principal considerations for our </w:t>
      </w:r>
      <w:r>
        <w:rPr>
          <w:rFonts w:eastAsia="Times New Roman"/>
          <w:color w:val="000000"/>
          <w:sz w:val="20"/>
          <w:szCs w:val="20"/>
        </w:rPr>
        <w:t>determination that performing procedures relating to the change in reportable segments and assignment of goodwill is a critical audit matter are (i) the significant judgment by management when developing the fair value of estimate the reporting units; (ii)</w:t>
      </w:r>
      <w:r>
        <w:rPr>
          <w:rFonts w:eastAsia="Times New Roman"/>
          <w:color w:val="000000"/>
          <w:sz w:val="20"/>
          <w:szCs w:val="20"/>
        </w:rPr>
        <w:t xml:space="preserve"> a high degree of auditor judgment, subjectivity and effort in performing procedures and evaluating management’s significant assumptions related to revenue growth rates, EBITDA margins and discount rates; and (iii) the audit effort involved the use of prof</w:t>
      </w:r>
      <w:r>
        <w:rPr>
          <w:rFonts w:eastAsia="Times New Roman"/>
          <w:color w:val="000000"/>
          <w:sz w:val="20"/>
          <w:szCs w:val="20"/>
        </w:rPr>
        <w:t>essionals with specialized skill and knowledge.</w:t>
      </w:r>
      <w:r>
        <w:rPr>
          <w:rFonts w:eastAsia="Times New Roman"/>
          <w:b/>
          <w:bCs/>
          <w:i/>
          <w:iCs/>
          <w:color w:val="FF0000"/>
          <w:sz w:val="20"/>
          <w:szCs w:val="20"/>
        </w:rPr>
        <w:t xml:space="preserv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Addressing the matter involved performing procedures and evaluating audit evidence in connection with forming our overall opinion on the consolidated financial statements. These procedures included testing</w:t>
      </w:r>
      <w:r>
        <w:rPr>
          <w:rFonts w:eastAsia="Times New Roman"/>
          <w:color w:val="000000"/>
          <w:sz w:val="20"/>
          <w:szCs w:val="20"/>
        </w:rPr>
        <w:t xml:space="preserve"> the effectiveness of controls relating to management’s goodwill impairment assessment, including controls over the valuation of the Company’s reporting units. These procedures also included, among others, (i) testing management’s process for developing th</w:t>
      </w:r>
      <w:r>
        <w:rPr>
          <w:rFonts w:eastAsia="Times New Roman"/>
          <w:color w:val="000000"/>
          <w:sz w:val="20"/>
          <w:szCs w:val="20"/>
        </w:rPr>
        <w:t>e fair value estimates; (ii) evaluating the appropriateness of the discounted cash flow model; (iii) testing the completeness and accuracy of underlying data used in the model; and (iv) evaluating the significant assumptions used by management related to r</w:t>
      </w:r>
      <w:r>
        <w:rPr>
          <w:rFonts w:eastAsia="Times New Roman"/>
          <w:color w:val="000000"/>
          <w:sz w:val="20"/>
          <w:szCs w:val="20"/>
        </w:rPr>
        <w:t>evenue growth rates, EBITDA margins and discount rates. Evaluating management’s assumptions related to revenue growth rates and EBITDA margins involved evaluating whether the assumptions used were reasonable considering (i) the current and past performance</w:t>
      </w:r>
      <w:r>
        <w:rPr>
          <w:rFonts w:eastAsia="Times New Roman"/>
          <w:color w:val="000000"/>
          <w:sz w:val="20"/>
          <w:szCs w:val="20"/>
        </w:rPr>
        <w:t xml:space="preserve"> of the reporting units, (ii) the consistency with external market data, and (iii) whether these assumptions were consistent with evidence obtained in other areas of the audit. Professionals with specialized skill and knowledge were used to assist in evalu</w:t>
      </w:r>
      <w:r>
        <w:rPr>
          <w:rFonts w:eastAsia="Times New Roman"/>
          <w:color w:val="000000"/>
          <w:sz w:val="20"/>
          <w:szCs w:val="20"/>
        </w:rPr>
        <w:t xml:space="preserve">ating the appropriateness of the Company's discounted cash flow model, and the reasonableness of management's significant assumption related to the discount rates. </w:t>
      </w:r>
    </w:p>
    <w:p w:rsidR="00000000" w:rsidRDefault="0040289C">
      <w:pPr>
        <w:divId w:val="1106147127"/>
        <w:rPr>
          <w:rFonts w:eastAsia="Times New Roman"/>
        </w:rPr>
      </w:pPr>
    </w:p>
    <w:p w:rsidR="00000000" w:rsidRDefault="0040289C">
      <w:pPr>
        <w:divId w:val="294917475"/>
        <w:rPr>
          <w:rFonts w:eastAsia="Times New Roman"/>
        </w:rPr>
      </w:pPr>
    </w:p>
    <w:p w:rsidR="00000000" w:rsidRDefault="0040289C">
      <w:pPr>
        <w:divId w:val="378089665"/>
        <w:rPr>
          <w:rFonts w:eastAsia="Times New Roman"/>
        </w:rPr>
      </w:pPr>
      <w:r>
        <w:rPr>
          <w:rFonts w:eastAsia="Times New Roman"/>
          <w:color w:val="000000"/>
          <w:sz w:val="20"/>
          <w:szCs w:val="20"/>
        </w:rPr>
        <w:t>/s/ PricewaterhouseCoopers LLP</w:t>
      </w:r>
    </w:p>
    <w:p w:rsidR="00000000" w:rsidRDefault="0040289C">
      <w:pPr>
        <w:divId w:val="2027751684"/>
        <w:rPr>
          <w:rFonts w:eastAsia="Times New Roman"/>
        </w:rPr>
      </w:pPr>
      <w:r>
        <w:rPr>
          <w:rFonts w:eastAsia="Times New Roman"/>
          <w:color w:val="000000"/>
          <w:sz w:val="20"/>
          <w:szCs w:val="20"/>
        </w:rPr>
        <w:t>Atlanta, Georgia</w:t>
      </w:r>
    </w:p>
    <w:p w:rsidR="00000000" w:rsidRDefault="0040289C">
      <w:pPr>
        <w:divId w:val="1507407385"/>
        <w:rPr>
          <w:rFonts w:eastAsia="Times New Roman"/>
        </w:rPr>
      </w:pPr>
      <w:r>
        <w:rPr>
          <w:rFonts w:eastAsia="Times New Roman"/>
          <w:color w:val="000000"/>
          <w:sz w:val="20"/>
          <w:szCs w:val="20"/>
        </w:rPr>
        <w:t xml:space="preserve">February 27, 2023 </w:t>
      </w:r>
    </w:p>
    <w:p w:rsidR="00000000" w:rsidRDefault="0040289C">
      <w:pPr>
        <w:jc w:val="both"/>
        <w:rPr>
          <w:rFonts w:eastAsia="Times New Roman"/>
        </w:rPr>
      </w:pPr>
      <w:r>
        <w:rPr>
          <w:rFonts w:eastAsia="Times New Roman"/>
          <w:color w:val="000000"/>
          <w:sz w:val="20"/>
          <w:szCs w:val="20"/>
        </w:rPr>
        <w:t>We have served as th</w:t>
      </w:r>
      <w:r>
        <w:rPr>
          <w:rFonts w:eastAsia="Times New Roman"/>
          <w:color w:val="000000"/>
          <w:sz w:val="20"/>
          <w:szCs w:val="20"/>
        </w:rPr>
        <w:t>e Company’s auditor since 1993</w:t>
      </w:r>
      <w:r>
        <w:rPr>
          <w:rFonts w:eastAsia="Times New Roman"/>
          <w:color w:val="000000"/>
          <w:sz w:val="20"/>
          <w:szCs w:val="20"/>
        </w:rPr>
        <w:t>.</w:t>
      </w:r>
      <w:r>
        <w:rPr>
          <w:rFonts w:eastAsia="Times New Roman"/>
          <w:color w:val="000000"/>
          <w:sz w:val="13"/>
          <w:szCs w:val="13"/>
        </w:rPr>
        <w:t xml:space="preserve"> </w:t>
      </w:r>
    </w:p>
    <w:p w:rsidR="00000000" w:rsidRDefault="0040289C">
      <w:pPr>
        <w:divId w:val="1786919227"/>
        <w:rPr>
          <w:rFonts w:eastAsia="Times New Roman"/>
        </w:rPr>
      </w:pPr>
    </w:p>
    <w:p w:rsidR="00000000" w:rsidRDefault="0040289C">
      <w:pPr>
        <w:jc w:val="center"/>
        <w:divId w:val="438451229"/>
        <w:rPr>
          <w:rFonts w:eastAsia="Times New Roman"/>
        </w:rPr>
      </w:pPr>
      <w:r>
        <w:rPr>
          <w:rFonts w:eastAsia="Times New Roman"/>
          <w:color w:val="000000"/>
          <w:sz w:val="20"/>
          <w:szCs w:val="20"/>
        </w:rPr>
        <w:t>57</w:t>
      </w:r>
    </w:p>
    <w:p w:rsidR="00000000" w:rsidRDefault="0040289C">
      <w:pPr>
        <w:rPr>
          <w:rFonts w:eastAsia="Times New Roman"/>
        </w:rPr>
      </w:pPr>
      <w:r>
        <w:rPr>
          <w:rFonts w:eastAsia="Times New Roman"/>
        </w:rPr>
        <w:pict>
          <v:rect id="_x0000_i1087" style="width:0;height:1.5pt" o:hralign="center" o:hrstd="t" o:hr="t" fillcolor="#a0a0a0" stroked="f"/>
        </w:pict>
      </w:r>
    </w:p>
    <w:p w:rsidR="00000000" w:rsidRDefault="0040289C">
      <w:pPr>
        <w:divId w:val="142464773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848058671"/>
        <w:rPr>
          <w:rFonts w:eastAsia="Times New Roman"/>
        </w:rPr>
      </w:pPr>
    </w:p>
    <w:p w:rsidR="00000000" w:rsidRDefault="0040289C">
      <w:pPr>
        <w:jc w:val="center"/>
        <w:divId w:val="312947946"/>
        <w:rPr>
          <w:rFonts w:eastAsia="Times New Roman"/>
        </w:rPr>
      </w:pPr>
      <w:r>
        <w:rPr>
          <w:rFonts w:eastAsia="Times New Roman"/>
          <w:b/>
          <w:bCs/>
          <w:color w:val="000000"/>
          <w:sz w:val="20"/>
          <w:szCs w:val="20"/>
        </w:rPr>
        <w:t>NCR Corporation</w:t>
      </w:r>
    </w:p>
    <w:p w:rsidR="00000000" w:rsidRDefault="0040289C">
      <w:pPr>
        <w:jc w:val="center"/>
        <w:divId w:val="2114007031"/>
        <w:rPr>
          <w:rFonts w:eastAsia="Times New Roman"/>
        </w:rPr>
      </w:pPr>
      <w:r>
        <w:rPr>
          <w:rFonts w:eastAsia="Times New Roman"/>
          <w:b/>
          <w:bCs/>
          <w:color w:val="000000"/>
          <w:sz w:val="20"/>
          <w:szCs w:val="20"/>
        </w:rPr>
        <w:t>Consolidated Statements of Operations</w:t>
      </w:r>
    </w:p>
    <w:p w:rsidR="00000000" w:rsidRDefault="0040289C">
      <w:pPr>
        <w:divId w:val="892278816"/>
        <w:rPr>
          <w:rFonts w:eastAsia="Times New Roman"/>
        </w:rPr>
      </w:pPr>
      <w:r>
        <w:rPr>
          <w:rFonts w:eastAsia="Times New Roman"/>
          <w:color w:val="000000"/>
          <w:sz w:val="18"/>
          <w:szCs w:val="18"/>
        </w:rPr>
        <w:t> </w:t>
      </w:r>
    </w:p>
    <w:tbl>
      <w:tblPr>
        <w:tblW w:w="4957" w:type="pct"/>
        <w:jc w:val="center"/>
        <w:tblCellMar>
          <w:top w:w="15" w:type="dxa"/>
          <w:left w:w="15" w:type="dxa"/>
          <w:bottom w:w="15" w:type="dxa"/>
          <w:right w:w="15" w:type="dxa"/>
        </w:tblCellMar>
        <w:tblLook w:val="04A0" w:firstRow="1" w:lastRow="0" w:firstColumn="1" w:lastColumn="0" w:noHBand="0" w:noVBand="1"/>
      </w:tblPr>
      <w:tblGrid>
        <w:gridCol w:w="40"/>
        <w:gridCol w:w="5725"/>
        <w:gridCol w:w="39"/>
        <w:gridCol w:w="120"/>
        <w:gridCol w:w="611"/>
        <w:gridCol w:w="36"/>
        <w:gridCol w:w="36"/>
        <w:gridCol w:w="36"/>
        <w:gridCol w:w="36"/>
        <w:gridCol w:w="120"/>
        <w:gridCol w:w="568"/>
        <w:gridCol w:w="36"/>
        <w:gridCol w:w="36"/>
        <w:gridCol w:w="36"/>
        <w:gridCol w:w="36"/>
        <w:gridCol w:w="120"/>
        <w:gridCol w:w="568"/>
        <w:gridCol w:w="36"/>
      </w:tblGrid>
      <w:tr w:rsidR="00000000">
        <w:trPr>
          <w:divId w:val="962350679"/>
          <w:jc w:val="center"/>
        </w:trPr>
        <w:tc>
          <w:tcPr>
            <w:tcW w:w="50" w:type="pct"/>
            <w:vAlign w:val="center"/>
            <w:hideMark/>
          </w:tcPr>
          <w:p w:rsidR="00000000" w:rsidRDefault="0040289C">
            <w:pPr>
              <w:rPr>
                <w:rFonts w:eastAsia="Times New Roman"/>
              </w:rPr>
            </w:pPr>
          </w:p>
        </w:tc>
        <w:tc>
          <w:tcPr>
            <w:tcW w:w="350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0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0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0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96235067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For the years ended December 31, (in millions, except per share amounts)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2,351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4,963 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4,202 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Cost of products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2,097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3,889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3,413 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2,950 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1,151 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1,069 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7,355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5,986 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Income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Income (loss)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Income (loss)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(loss) from discontinued operations, net of tax</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Net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Net income (loss) attributable to NCR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Amounts attributable to NCR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(loss) from continuing operations</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(loss) from continuing operations attributable to NCR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(loss) from discontinued operations, net of tax</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Net income (loss) attributable to NCR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Income (loss) per share attributable to NCR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Income (loss) per common share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962350679"/>
          <w:jc w:val="center"/>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0.62 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(0.30)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0.34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0.58 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(0.30)</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Net income (loss)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962350679"/>
          <w:jc w:val="center"/>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0.62 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(0.86)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0.31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(0.86)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Weighted average common shares outstanding</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962350679"/>
          <w:jc w:val="center"/>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131.2 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128.4 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62350679"/>
          <w:jc w:val="center"/>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139.0 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262884541"/>
        <w:rPr>
          <w:rFonts w:eastAsia="Times New Roman"/>
        </w:rPr>
      </w:pPr>
      <w:r>
        <w:rPr>
          <w:rFonts w:eastAsia="Times New Roman"/>
          <w:color w:val="000000"/>
          <w:sz w:val="20"/>
          <w:szCs w:val="20"/>
        </w:rPr>
        <w:t>The accompanying notes are an integral part of the Consolidated Financial Statements.</w:t>
      </w:r>
    </w:p>
    <w:p w:rsidR="00000000" w:rsidRDefault="0040289C">
      <w:pPr>
        <w:jc w:val="center"/>
        <w:divId w:val="474295322"/>
        <w:rPr>
          <w:rFonts w:eastAsia="Times New Roman"/>
        </w:rPr>
      </w:pPr>
      <w:r>
        <w:rPr>
          <w:rFonts w:eastAsia="Times New Roman"/>
          <w:color w:val="000000"/>
          <w:sz w:val="20"/>
          <w:szCs w:val="20"/>
        </w:rPr>
        <w:t>58</w:t>
      </w:r>
    </w:p>
    <w:p w:rsidR="00000000" w:rsidRDefault="0040289C">
      <w:pPr>
        <w:rPr>
          <w:rFonts w:eastAsia="Times New Roman"/>
        </w:rPr>
      </w:pPr>
      <w:r>
        <w:rPr>
          <w:rFonts w:eastAsia="Times New Roman"/>
        </w:rPr>
        <w:pict>
          <v:rect id="_x0000_i1088" style="width:0;height:1.5pt" o:hralign="center" o:hrstd="t" o:hr="t" fillcolor="#a0a0a0" stroked="f"/>
        </w:pict>
      </w:r>
    </w:p>
    <w:p w:rsidR="00000000" w:rsidRDefault="0040289C">
      <w:pPr>
        <w:divId w:val="78134243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897125942"/>
        <w:rPr>
          <w:rFonts w:eastAsia="Times New Roman"/>
        </w:rPr>
      </w:pPr>
    </w:p>
    <w:p w:rsidR="00000000" w:rsidRDefault="0040289C">
      <w:pPr>
        <w:jc w:val="center"/>
        <w:rPr>
          <w:rFonts w:eastAsia="Times New Roman"/>
        </w:rPr>
      </w:pPr>
      <w:r>
        <w:rPr>
          <w:rFonts w:eastAsia="Times New Roman"/>
          <w:b/>
          <w:bCs/>
          <w:color w:val="000000"/>
          <w:sz w:val="20"/>
          <w:szCs w:val="20"/>
        </w:rPr>
        <w:t>NCR Corporation</w:t>
      </w:r>
    </w:p>
    <w:p w:rsidR="00000000" w:rsidRDefault="0040289C">
      <w:pPr>
        <w:jc w:val="center"/>
        <w:divId w:val="1043090796"/>
        <w:rPr>
          <w:rFonts w:eastAsia="Times New Roman"/>
        </w:rPr>
      </w:pPr>
      <w:r>
        <w:rPr>
          <w:rFonts w:eastAsia="Times New Roman"/>
          <w:b/>
          <w:bCs/>
          <w:color w:val="000000"/>
          <w:sz w:val="20"/>
          <w:szCs w:val="20"/>
        </w:rPr>
        <w:t>Consolidated Statements of Comprehensive Income (Loss)</w:t>
      </w:r>
    </w:p>
    <w:p w:rsidR="00000000" w:rsidRDefault="0040289C">
      <w:pPr>
        <w:divId w:val="1415206221"/>
        <w:rPr>
          <w:rFonts w:eastAsia="Times New Roman"/>
        </w:rPr>
      </w:pPr>
      <w:r>
        <w:rPr>
          <w:rFonts w:eastAsia="Times New Roman"/>
          <w:color w:val="000000"/>
          <w:sz w:val="18"/>
          <w:szCs w:val="18"/>
        </w:rPr>
        <w:t> </w:t>
      </w:r>
    </w:p>
    <w:tbl>
      <w:tblPr>
        <w:tblW w:w="4964" w:type="pct"/>
        <w:jc w:val="center"/>
        <w:tblCellMar>
          <w:top w:w="15" w:type="dxa"/>
          <w:left w:w="15" w:type="dxa"/>
          <w:bottom w:w="15" w:type="dxa"/>
          <w:right w:w="15" w:type="dxa"/>
        </w:tblCellMar>
        <w:tblLook w:val="04A0" w:firstRow="1" w:lastRow="0" w:firstColumn="1" w:lastColumn="0" w:noHBand="0" w:noVBand="1"/>
      </w:tblPr>
      <w:tblGrid>
        <w:gridCol w:w="40"/>
        <w:gridCol w:w="5207"/>
        <w:gridCol w:w="39"/>
        <w:gridCol w:w="121"/>
        <w:gridCol w:w="786"/>
        <w:gridCol w:w="36"/>
        <w:gridCol w:w="36"/>
        <w:gridCol w:w="36"/>
        <w:gridCol w:w="36"/>
        <w:gridCol w:w="120"/>
        <w:gridCol w:w="743"/>
        <w:gridCol w:w="36"/>
        <w:gridCol w:w="36"/>
        <w:gridCol w:w="36"/>
        <w:gridCol w:w="36"/>
        <w:gridCol w:w="120"/>
        <w:gridCol w:w="746"/>
        <w:gridCol w:w="36"/>
      </w:tblGrid>
      <w:tr w:rsidR="00000000">
        <w:trPr>
          <w:jc w:val="center"/>
        </w:trPr>
        <w:tc>
          <w:tcPr>
            <w:tcW w:w="50" w:type="pct"/>
            <w:vAlign w:val="center"/>
            <w:hideMark/>
          </w:tcPr>
          <w:p w:rsidR="00000000" w:rsidRDefault="0040289C">
            <w:pPr>
              <w:rPr>
                <w:rFonts w:eastAsia="Times New Roman"/>
              </w:rPr>
            </w:pPr>
          </w:p>
        </w:tc>
        <w:tc>
          <w:tcPr>
            <w:tcW w:w="31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0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0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0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For the years ended December 31 (in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Currency translation adjustments gain (loss)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Unrealized gain (loss) on derivatives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w:t>
            </w:r>
            <w:r>
              <w:rPr>
                <w:rFonts w:eastAsia="Times New Roman"/>
                <w:color w:val="000000"/>
                <w:sz w:val="20"/>
                <w:szCs w:val="20"/>
              </w:rPr>
              <w:t>Loss (gain) on derivatives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Less 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Employee benefit plans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Amortization of prior service cost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Net (loss) gain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w:t>
            </w:r>
            <w:r>
              <w:rPr>
                <w:rFonts w:eastAsia="Times New Roman"/>
                <w:color w:val="000000"/>
                <w:sz w:val="20"/>
                <w:szCs w:val="20"/>
              </w:rPr>
              <w:t>Amortization of actuarial (loss) gain</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Less 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Less comprehensive income attributable to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Net income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Amounts attributable to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Comprehensive income (loss) attributable to NCR common stockholders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384253925"/>
        <w:rPr>
          <w:rFonts w:eastAsia="Times New Roman"/>
        </w:rPr>
      </w:pPr>
      <w:r>
        <w:rPr>
          <w:rFonts w:eastAsia="Times New Roman"/>
          <w:color w:val="000000"/>
          <w:sz w:val="20"/>
          <w:szCs w:val="20"/>
        </w:rPr>
        <w:t>The accompanying notes are an integral part of the Consolidated Financial Statements.</w:t>
      </w:r>
    </w:p>
    <w:p w:rsidR="00000000" w:rsidRDefault="0040289C">
      <w:pPr>
        <w:jc w:val="center"/>
        <w:divId w:val="1419791570"/>
        <w:rPr>
          <w:rFonts w:eastAsia="Times New Roman"/>
        </w:rPr>
      </w:pPr>
      <w:r>
        <w:rPr>
          <w:rFonts w:eastAsia="Times New Roman"/>
          <w:color w:val="000000"/>
          <w:sz w:val="20"/>
          <w:szCs w:val="20"/>
        </w:rPr>
        <w:t>59</w:t>
      </w:r>
    </w:p>
    <w:p w:rsidR="00000000" w:rsidRDefault="0040289C">
      <w:pPr>
        <w:rPr>
          <w:rFonts w:eastAsia="Times New Roman"/>
        </w:rPr>
      </w:pPr>
      <w:r>
        <w:rPr>
          <w:rFonts w:eastAsia="Times New Roman"/>
        </w:rPr>
        <w:pict>
          <v:rect id="_x0000_i1089" style="width:0;height:1.5pt" o:hralign="center" o:hrstd="t" o:hr="t" fillcolor="#a0a0a0" stroked="f"/>
        </w:pict>
      </w:r>
    </w:p>
    <w:p w:rsidR="00000000" w:rsidRDefault="0040289C">
      <w:pPr>
        <w:divId w:val="26241784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525484558"/>
        <w:rPr>
          <w:rFonts w:eastAsia="Times New Roman"/>
        </w:rPr>
      </w:pPr>
    </w:p>
    <w:p w:rsidR="00000000" w:rsidRDefault="0040289C">
      <w:pPr>
        <w:jc w:val="center"/>
        <w:rPr>
          <w:rFonts w:eastAsia="Times New Roman"/>
        </w:rPr>
      </w:pPr>
      <w:r>
        <w:rPr>
          <w:rFonts w:eastAsia="Times New Roman"/>
          <w:b/>
          <w:bCs/>
          <w:color w:val="000000"/>
          <w:sz w:val="20"/>
          <w:szCs w:val="20"/>
        </w:rPr>
        <w:t>NCR Corporation</w:t>
      </w:r>
    </w:p>
    <w:p w:rsidR="00000000" w:rsidRDefault="0040289C">
      <w:pPr>
        <w:jc w:val="center"/>
        <w:divId w:val="796341282"/>
        <w:rPr>
          <w:rFonts w:eastAsia="Times New Roman"/>
        </w:rPr>
      </w:pPr>
      <w:r>
        <w:rPr>
          <w:rFonts w:eastAsia="Times New Roman"/>
          <w:b/>
          <w:bCs/>
          <w:color w:val="000000"/>
          <w:sz w:val="20"/>
          <w:szCs w:val="20"/>
        </w:rPr>
        <w:t>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0"/>
        <w:gridCol w:w="5759"/>
        <w:gridCol w:w="39"/>
        <w:gridCol w:w="120"/>
        <w:gridCol w:w="1072"/>
        <w:gridCol w:w="36"/>
        <w:gridCol w:w="36"/>
        <w:gridCol w:w="36"/>
        <w:gridCol w:w="36"/>
        <w:gridCol w:w="120"/>
        <w:gridCol w:w="976"/>
        <w:gridCol w:w="36"/>
      </w:tblGrid>
      <w:tr w:rsidR="00000000">
        <w:trPr>
          <w:divId w:val="2049336149"/>
        </w:trPr>
        <w:tc>
          <w:tcPr>
            <w:tcW w:w="50" w:type="pct"/>
            <w:vAlign w:val="center"/>
            <w:hideMark/>
          </w:tcPr>
          <w:p w:rsidR="00000000" w:rsidRDefault="0040289C">
            <w:pPr>
              <w:jc w:val="center"/>
              <w:rPr>
                <w:rFonts w:eastAsia="Times New Roman"/>
              </w:rPr>
            </w:pPr>
          </w:p>
        </w:tc>
        <w:tc>
          <w:tcPr>
            <w:tcW w:w="349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1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As of December 31 (in millions except per share amounts)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20153265"/>
              <w:rPr>
                <w:rFonts w:eastAsia="Times New Roman"/>
              </w:rPr>
            </w:pPr>
            <w:r>
              <w:rPr>
                <w:rFonts w:eastAsia="Times New Roman"/>
                <w:color w:val="000000"/>
                <w:sz w:val="20"/>
                <w:szCs w:val="20"/>
              </w:rPr>
              <w:t>Accounts receivable, net of allowances of $34 and $24 as of December 31, 2022 and 2021, respectively</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1,083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772</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754 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Restricted cash</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228</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Prepaid and other current assets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494</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Total current assets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3,082</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Property, plant and equipment, net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663</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Goodwill</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4,540</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4,519 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Intangibles, net</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1,145</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1,316 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Operating lease assets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371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Prepaid pension cost</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212</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Deferred income taxes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598</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896</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776 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11,507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Short-term borrowings</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942</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826 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Payroll and benefits liabilities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207</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Contract liabilities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537</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Settlement liabilities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250</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Other current liabilities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673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757 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Total 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2,713</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Long-term debt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5,561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Pension and indemnity plan liabilities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614</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789 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Postretirement and postemployment benefits liabilities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91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tax accruals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97</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Operating lease liabilities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353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324</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9,753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Commitments and Contingencies (Note 10)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divId w:val="1899971729"/>
              <w:rPr>
                <w:rFonts w:eastAsia="Times New Roman"/>
              </w:rPr>
            </w:pPr>
            <w:r>
              <w:rPr>
                <w:rFonts w:eastAsia="Times New Roman"/>
                <w:color w:val="000000"/>
                <w:sz w:val="20"/>
                <w:szCs w:val="20"/>
              </w:rPr>
              <w:t xml:space="preserve">Series A convertible preferred stock: par value $0.01 per share, 3.0 shares authorized, 0.3 shares issued and outstanding as of December 31, 2022 </w:t>
            </w:r>
            <w:r>
              <w:rPr>
                <w:rFonts w:eastAsia="Times New Roman"/>
                <w:color w:val="000000"/>
                <w:sz w:val="20"/>
                <w:szCs w:val="20"/>
              </w:rPr>
              <w:t>and 2021; redemption amount and liquidation preference of $276 as of December 31, 2022 and 2021</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275</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NCR stockholders’ equity</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 xml:space="preserve">Preferred stock: par value $0.01 per share, 100.0 </w:t>
            </w:r>
            <w:r>
              <w:rPr>
                <w:rFonts w:eastAsia="Times New Roman"/>
                <w:color w:val="000000"/>
                <w:sz w:val="20"/>
                <w:szCs w:val="20"/>
              </w:rPr>
              <w:t>shares authorized, no shares issued and outstanding as of December 31, 2022 and 2021, respectively</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 xml:space="preserve">Common stock: par value $0.01 per share, 500.0 shares authorized, 138.0 and 132.2 </w:t>
            </w:r>
            <w:r>
              <w:rPr>
                <w:rFonts w:eastAsia="Times New Roman"/>
                <w:color w:val="000000"/>
                <w:sz w:val="20"/>
                <w:szCs w:val="20"/>
              </w:rPr>
              <w:t>shares issued and outstanding as of December 31, 2022 and 2021, respectively</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Paid-in capital</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1,031 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NCR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Noncontrolling interests in subsidiaries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49336149"/>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11,507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11,641 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699700116"/>
        <w:rPr>
          <w:rFonts w:eastAsia="Times New Roman"/>
        </w:rPr>
      </w:pPr>
    </w:p>
    <w:p w:rsidR="00000000" w:rsidRDefault="0040289C">
      <w:pPr>
        <w:jc w:val="center"/>
        <w:divId w:val="452676174"/>
        <w:rPr>
          <w:rFonts w:eastAsia="Times New Roman"/>
        </w:rPr>
      </w:pPr>
      <w:r>
        <w:rPr>
          <w:rFonts w:eastAsia="Times New Roman"/>
          <w:color w:val="000000"/>
          <w:sz w:val="20"/>
          <w:szCs w:val="20"/>
        </w:rPr>
        <w:t>The accompanying notes are an integral part of the Consolidated Financial Statements.</w:t>
      </w:r>
    </w:p>
    <w:p w:rsidR="00000000" w:rsidRDefault="0040289C">
      <w:pPr>
        <w:jc w:val="center"/>
        <w:divId w:val="912661365"/>
        <w:rPr>
          <w:rFonts w:eastAsia="Times New Roman"/>
        </w:rPr>
      </w:pPr>
      <w:r>
        <w:rPr>
          <w:rFonts w:eastAsia="Times New Roman"/>
          <w:color w:val="000000"/>
          <w:sz w:val="20"/>
          <w:szCs w:val="20"/>
        </w:rPr>
        <w:t>60</w:t>
      </w:r>
    </w:p>
    <w:p w:rsidR="00000000" w:rsidRDefault="0040289C">
      <w:pPr>
        <w:rPr>
          <w:rFonts w:eastAsia="Times New Roman"/>
        </w:rPr>
      </w:pPr>
      <w:r>
        <w:rPr>
          <w:rFonts w:eastAsia="Times New Roman"/>
        </w:rPr>
        <w:pict>
          <v:rect id="_x0000_i1090" style="width:0;height:1.5pt" o:hralign="center" o:hrstd="t" o:hr="t" fillcolor="#a0a0a0" stroked="f"/>
        </w:pict>
      </w:r>
    </w:p>
    <w:p w:rsidR="00000000" w:rsidRDefault="0040289C">
      <w:pPr>
        <w:divId w:val="56780703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72703360"/>
        <w:rPr>
          <w:rFonts w:eastAsia="Times New Roman"/>
        </w:rPr>
      </w:pPr>
    </w:p>
    <w:p w:rsidR="00000000" w:rsidRDefault="0040289C">
      <w:pPr>
        <w:jc w:val="center"/>
        <w:rPr>
          <w:rFonts w:eastAsia="Times New Roman"/>
        </w:rPr>
      </w:pPr>
      <w:r>
        <w:rPr>
          <w:rFonts w:eastAsia="Times New Roman"/>
          <w:b/>
          <w:bCs/>
          <w:color w:val="000000"/>
          <w:sz w:val="20"/>
          <w:szCs w:val="20"/>
        </w:rPr>
        <w:t>NCR Corporation</w:t>
      </w:r>
    </w:p>
    <w:p w:rsidR="00000000" w:rsidRDefault="0040289C">
      <w:pPr>
        <w:jc w:val="center"/>
        <w:rPr>
          <w:rFonts w:eastAsia="Times New Roman"/>
        </w:rPr>
      </w:pPr>
      <w:r>
        <w:rPr>
          <w:rFonts w:eastAsia="Times New Roman"/>
          <w:b/>
          <w:bCs/>
          <w:color w:val="000000"/>
          <w:sz w:val="20"/>
          <w:szCs w:val="20"/>
        </w:rPr>
        <w:t>Consolidated Statements of Cash Flows</w:t>
      </w:r>
    </w:p>
    <w:tbl>
      <w:tblPr>
        <w:tblW w:w="4858" w:type="pct"/>
        <w:jc w:val="center"/>
        <w:tblCellMar>
          <w:top w:w="15" w:type="dxa"/>
          <w:left w:w="15" w:type="dxa"/>
          <w:bottom w:w="15" w:type="dxa"/>
          <w:right w:w="15" w:type="dxa"/>
        </w:tblCellMar>
        <w:tblLook w:val="04A0" w:firstRow="1" w:lastRow="0" w:firstColumn="1" w:lastColumn="0" w:noHBand="0" w:noVBand="1"/>
      </w:tblPr>
      <w:tblGrid>
        <w:gridCol w:w="41"/>
        <w:gridCol w:w="4761"/>
        <w:gridCol w:w="40"/>
        <w:gridCol w:w="101"/>
        <w:gridCol w:w="890"/>
        <w:gridCol w:w="36"/>
        <w:gridCol w:w="36"/>
        <w:gridCol w:w="36"/>
        <w:gridCol w:w="36"/>
        <w:gridCol w:w="100"/>
        <w:gridCol w:w="855"/>
        <w:gridCol w:w="36"/>
        <w:gridCol w:w="36"/>
        <w:gridCol w:w="36"/>
        <w:gridCol w:w="36"/>
        <w:gridCol w:w="101"/>
        <w:gridCol w:w="857"/>
        <w:gridCol w:w="36"/>
      </w:tblGrid>
      <w:tr w:rsidR="00000000">
        <w:trPr>
          <w:divId w:val="1903978148"/>
          <w:jc w:val="center"/>
        </w:trPr>
        <w:tc>
          <w:tcPr>
            <w:tcW w:w="50" w:type="pct"/>
            <w:vAlign w:val="center"/>
            <w:hideMark/>
          </w:tcPr>
          <w:p w:rsidR="00000000" w:rsidRDefault="0040289C">
            <w:pPr>
              <w:jc w:val="center"/>
              <w:rPr>
                <w:rFonts w:eastAsia="Times New Roman"/>
              </w:rPr>
            </w:pPr>
          </w:p>
        </w:tc>
        <w:tc>
          <w:tcPr>
            <w:tcW w:w="297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03978148"/>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For the years ended December 31 (in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9039781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16"/>
                <w:szCs w:val="16"/>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0397814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59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16"/>
                <w:szCs w:val="16"/>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Loss (income)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Loss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610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364 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108 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89 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(112)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Loss (gain) on disposal of property, plant and equipment and other assets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Loss on divestiture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Impairment of other assets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Bargain purchase gain on acquisition</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Changes in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03978148"/>
          <w:jc w:val="center"/>
        </w:trPr>
        <w:tc>
          <w:tcPr>
            <w:tcW w:w="0" w:type="auto"/>
            <w:gridSpan w:val="3"/>
            <w:shd w:val="clear" w:color="auto" w:fill="FFFFFF"/>
            <w:tcMar>
              <w:top w:w="30" w:type="dxa"/>
              <w:left w:w="605" w:type="dxa"/>
              <w:bottom w:w="30" w:type="dxa"/>
              <w:right w:w="20" w:type="dxa"/>
            </w:tcMar>
            <w:hideMark/>
          </w:tcPr>
          <w:p w:rsidR="00000000" w:rsidRDefault="0040289C">
            <w:pPr>
              <w:spacing w:after="100"/>
              <w:rPr>
                <w:rFonts w:eastAsia="Times New Roman"/>
              </w:rPr>
            </w:pPr>
            <w:r>
              <w:rPr>
                <w:rFonts w:eastAsia="Times New Roman"/>
                <w:color w:val="000000"/>
                <w:sz w:val="16"/>
                <w:szCs w:val="16"/>
              </w:rPr>
              <w:t>Receivables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(216)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420 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605" w:type="dxa"/>
              <w:bottom w:w="30" w:type="dxa"/>
              <w:right w:w="20" w:type="dxa"/>
            </w:tcMar>
            <w:hideMark/>
          </w:tcPr>
          <w:p w:rsidR="00000000" w:rsidRDefault="0040289C">
            <w:pPr>
              <w:spacing w:after="100"/>
              <w:rPr>
                <w:rFonts w:eastAsia="Times New Roman"/>
              </w:rPr>
            </w:pPr>
            <w:r>
              <w:rPr>
                <w:rFonts w:eastAsia="Times New Roman"/>
                <w:color w:val="000000"/>
                <w:sz w:val="16"/>
                <w:szCs w:val="16"/>
              </w:rPr>
              <w:t>Inventories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(188)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168 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605" w:type="dxa"/>
              <w:bottom w:w="30" w:type="dxa"/>
              <w:right w:w="20" w:type="dxa"/>
            </w:tcMar>
            <w:hideMark/>
          </w:tcPr>
          <w:p w:rsidR="00000000" w:rsidRDefault="0040289C">
            <w:pPr>
              <w:spacing w:after="100"/>
              <w:rPr>
                <w:rFonts w:eastAsia="Times New Roman"/>
              </w:rPr>
            </w:pPr>
            <w:r>
              <w:rPr>
                <w:rFonts w:eastAsia="Times New Roman"/>
                <w:color w:val="000000"/>
                <w:sz w:val="16"/>
                <w:szCs w:val="16"/>
              </w:rPr>
              <w:t>Current payables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255 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(295)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605" w:type="dxa"/>
              <w:bottom w:w="30" w:type="dxa"/>
              <w:right w:w="20" w:type="dxa"/>
            </w:tcMar>
            <w:hideMark/>
          </w:tcPr>
          <w:p w:rsidR="00000000" w:rsidRDefault="0040289C">
            <w:pPr>
              <w:spacing w:after="100"/>
              <w:rPr>
                <w:rFonts w:eastAsia="Times New Roman"/>
              </w:rPr>
            </w:pPr>
            <w:r>
              <w:rPr>
                <w:rFonts w:eastAsia="Times New Roman"/>
                <w:color w:val="000000"/>
                <w:sz w:val="16"/>
                <w:szCs w:val="16"/>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605" w:type="dxa"/>
              <w:bottom w:w="30" w:type="dxa"/>
              <w:right w:w="20" w:type="dxa"/>
            </w:tcMar>
            <w:hideMark/>
          </w:tcPr>
          <w:p w:rsidR="00000000" w:rsidRDefault="0040289C">
            <w:pPr>
              <w:spacing w:after="100"/>
              <w:rPr>
                <w:rFonts w:eastAsia="Times New Roman"/>
              </w:rPr>
            </w:pPr>
            <w:r>
              <w:rPr>
                <w:rFonts w:eastAsia="Times New Roman"/>
                <w:color w:val="000000"/>
                <w:sz w:val="16"/>
                <w:szCs w:val="16"/>
              </w:rPr>
              <w:t>Employee benefit plans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(61)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(147)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605" w:type="dxa"/>
              <w:bottom w:w="30" w:type="dxa"/>
              <w:right w:w="20" w:type="dxa"/>
            </w:tcMar>
            <w:hideMark/>
          </w:tcPr>
          <w:p w:rsidR="00000000" w:rsidRDefault="0040289C">
            <w:pPr>
              <w:spacing w:after="100"/>
              <w:rPr>
                <w:rFonts w:eastAsia="Times New Roman"/>
              </w:rPr>
            </w:pPr>
            <w:r>
              <w:rPr>
                <w:rFonts w:eastAsia="Times New Roman"/>
                <w:color w:val="000000"/>
                <w:sz w:val="16"/>
                <w:szCs w:val="16"/>
              </w:rPr>
              <w:t>Other assets and liabilities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16"/>
                <w:szCs w:val="16"/>
              </w:rPr>
              <w:t>Net cash provided by operating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447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1,077 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16"/>
                <w:szCs w:val="16"/>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Expenditures for property, plant and equipment</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(92)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(106)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Proceeds from sales of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Additions to capitalized software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(285)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(242)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(232)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Business acquisitions, net of cash acquired</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(2,473)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Proceeds from divestiture, net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Purchases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Proceeds from sale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Other investing activities, net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16"/>
                <w:szCs w:val="16"/>
              </w:rPr>
              <w:t>Net cash used in investing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(387)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(2,826)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16"/>
                <w:szCs w:val="16"/>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Short term borrowings, net</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Payments on term credit facilities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(63)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(107)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Borrowings on term credit facilities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1,505 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Payments on revolving credit facilities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(1,192)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(1,650)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(1,998)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Borrowings on revolving credit facilities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1,333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1,756 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1,535 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Payments of senior unsecured notes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(400)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(1,300)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Proceeds from issuance of senior unsecured and other notes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1,200 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1,500 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Debt issuance costs and bridge commitment fees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Call premium paid on debt extinguishment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Cash paid for 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Tax withholding payments on behalf of employees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(59)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Proceeds from employee stock plans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Net change in client funds obligations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Repurchase of Series A Preferred shares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(144)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Principal payments for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903978148"/>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Other financing activities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2,178 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Cash flows from discontinued operations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03978148"/>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16"/>
                <w:szCs w:val="16"/>
              </w:rPr>
              <w:t>Net cash provided by (used in) operating activities of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(68)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16"/>
                <w:szCs w:val="16"/>
              </w:rPr>
              <w:t>Effect of exchange rate changes on cash, cash equivalents and restricted cash</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16"/>
                <w:szCs w:val="16"/>
              </w:rPr>
              <w:t>Increase (decrease)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16"/>
                <w:szCs w:val="16"/>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749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406 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563 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16"/>
                <w:szCs w:val="16"/>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740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03978148"/>
          <w:trHeight w:val="120"/>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jc w:val="center"/>
        <w:rPr>
          <w:rFonts w:eastAsia="Times New Roman"/>
        </w:rPr>
      </w:pPr>
      <w:r>
        <w:rPr>
          <w:rFonts w:eastAsia="Times New Roman"/>
          <w:color w:val="000000"/>
          <w:sz w:val="20"/>
          <w:szCs w:val="20"/>
        </w:rPr>
        <w:t>The accompanying notes are an integral part of the Consolidated Financial Statements.</w:t>
      </w:r>
    </w:p>
    <w:p w:rsidR="00000000" w:rsidRDefault="0040289C">
      <w:pPr>
        <w:jc w:val="center"/>
        <w:divId w:val="1146581700"/>
        <w:rPr>
          <w:rFonts w:eastAsia="Times New Roman"/>
        </w:rPr>
      </w:pPr>
      <w:r>
        <w:rPr>
          <w:rFonts w:eastAsia="Times New Roman"/>
          <w:color w:val="000000"/>
          <w:sz w:val="20"/>
          <w:szCs w:val="20"/>
        </w:rPr>
        <w:t>61</w:t>
      </w:r>
    </w:p>
    <w:p w:rsidR="00000000" w:rsidRDefault="0040289C">
      <w:pPr>
        <w:rPr>
          <w:rFonts w:eastAsia="Times New Roman"/>
        </w:rPr>
      </w:pPr>
      <w:r>
        <w:rPr>
          <w:rFonts w:eastAsia="Times New Roman"/>
        </w:rPr>
        <w:pict>
          <v:rect id="_x0000_i1091" style="width:0;height:1.5pt" o:hralign="center" o:hrstd="t" o:hr="t" fillcolor="#a0a0a0" stroked="f"/>
        </w:pict>
      </w:r>
    </w:p>
    <w:p w:rsidR="00000000" w:rsidRDefault="0040289C">
      <w:pPr>
        <w:divId w:val="8913281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424957088"/>
        <w:rPr>
          <w:rFonts w:eastAsia="Times New Roman"/>
        </w:rPr>
      </w:pPr>
    </w:p>
    <w:p w:rsidR="00000000" w:rsidRDefault="0040289C">
      <w:pPr>
        <w:jc w:val="center"/>
        <w:rPr>
          <w:rFonts w:eastAsia="Times New Roman"/>
        </w:rPr>
      </w:pPr>
      <w:r>
        <w:rPr>
          <w:rFonts w:eastAsia="Times New Roman"/>
          <w:b/>
          <w:bCs/>
          <w:color w:val="000000"/>
          <w:sz w:val="20"/>
          <w:szCs w:val="20"/>
        </w:rPr>
        <w:t>NCR Corporation</w:t>
      </w:r>
    </w:p>
    <w:p w:rsidR="00000000" w:rsidRDefault="0040289C">
      <w:pPr>
        <w:jc w:val="center"/>
        <w:rPr>
          <w:rFonts w:eastAsia="Times New Roman"/>
        </w:rPr>
      </w:pPr>
      <w:r>
        <w:rPr>
          <w:rFonts w:eastAsia="Times New Roman"/>
          <w:b/>
          <w:bCs/>
          <w:color w:val="000000"/>
          <w:sz w:val="20"/>
          <w:szCs w:val="20"/>
        </w:rPr>
        <w:t>Consolidated Statements of Changes in Stockholders' Equity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201"/>
        <w:gridCol w:w="39"/>
        <w:gridCol w:w="36"/>
        <w:gridCol w:w="36"/>
        <w:gridCol w:w="36"/>
        <w:gridCol w:w="70"/>
        <w:gridCol w:w="427"/>
        <w:gridCol w:w="37"/>
        <w:gridCol w:w="37"/>
        <w:gridCol w:w="36"/>
        <w:gridCol w:w="36"/>
        <w:gridCol w:w="101"/>
        <w:gridCol w:w="509"/>
        <w:gridCol w:w="36"/>
        <w:gridCol w:w="36"/>
        <w:gridCol w:w="36"/>
        <w:gridCol w:w="36"/>
        <w:gridCol w:w="101"/>
        <w:gridCol w:w="456"/>
        <w:gridCol w:w="36"/>
        <w:gridCol w:w="36"/>
        <w:gridCol w:w="36"/>
        <w:gridCol w:w="36"/>
        <w:gridCol w:w="101"/>
        <w:gridCol w:w="561"/>
        <w:gridCol w:w="36"/>
        <w:gridCol w:w="36"/>
        <w:gridCol w:w="36"/>
        <w:gridCol w:w="36"/>
        <w:gridCol w:w="101"/>
        <w:gridCol w:w="1001"/>
        <w:gridCol w:w="36"/>
        <w:gridCol w:w="36"/>
        <w:gridCol w:w="36"/>
        <w:gridCol w:w="36"/>
        <w:gridCol w:w="101"/>
        <w:gridCol w:w="974"/>
        <w:gridCol w:w="36"/>
        <w:gridCol w:w="36"/>
        <w:gridCol w:w="36"/>
        <w:gridCol w:w="36"/>
        <w:gridCol w:w="100"/>
        <w:gridCol w:w="400"/>
        <w:gridCol w:w="36"/>
      </w:tblGrid>
      <w:tr w:rsidR="00000000">
        <w:trPr>
          <w:divId w:val="731776427"/>
          <w:jc w:val="center"/>
        </w:trPr>
        <w:tc>
          <w:tcPr>
            <w:tcW w:w="50" w:type="pct"/>
            <w:vAlign w:val="center"/>
            <w:hideMark/>
          </w:tcPr>
          <w:p w:rsidR="00000000" w:rsidRDefault="0040289C">
            <w:pPr>
              <w:jc w:val="center"/>
              <w:rPr>
                <w:rFonts w:eastAsia="Times New Roman"/>
              </w:rPr>
            </w:pPr>
          </w:p>
        </w:tc>
        <w:tc>
          <w:tcPr>
            <w:tcW w:w="17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0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0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7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0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1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4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0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731776427"/>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731776427"/>
          <w:trHeight w:val="24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Noncontrolling Interests in Subsidiaries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731776427"/>
          <w:trHeight w:val="660"/>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Merge/>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r>
      <w:tr w:rsidR="0040289C">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127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312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1,060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1,107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731776427"/>
          <w:jc w:val="center"/>
        </w:trPr>
        <w:tc>
          <w:tcPr>
            <w:tcW w:w="0" w:type="auto"/>
            <w:gridSpan w:val="3"/>
            <w:shd w:val="clear" w:color="auto" w:fill="CCEE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Deemed dividend from redemption of Series A preferred stock</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Repurchase of Company common stock</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Dividends paid to minority shareholder</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368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950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1,051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731776427"/>
          <w:jc w:val="center"/>
        </w:trPr>
        <w:tc>
          <w:tcPr>
            <w:tcW w:w="0" w:type="auto"/>
            <w:gridSpan w:val="3"/>
            <w:shd w:val="clear" w:color="auto" w:fill="CCEE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Fair value of converted Cardtronics awards attributable to pre-combination services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Dividends paid to minority shareholder</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132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515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1,031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1,259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731776427"/>
          <w:jc w:val="center"/>
        </w:trPr>
        <w:tc>
          <w:tcPr>
            <w:tcW w:w="0" w:type="auto"/>
            <w:gridSpan w:val="3"/>
            <w:shd w:val="clear" w:color="auto" w:fill="FFFF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Total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121 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Stock issued in acquisition of LibertyX</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68 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68 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40289C">
        <w:trPr>
          <w:divId w:val="73177642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December 31, 2022</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138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704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1,075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1,479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731776427"/>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bl>
    <w:p w:rsidR="00000000" w:rsidRDefault="0040289C">
      <w:pPr>
        <w:jc w:val="center"/>
        <w:rPr>
          <w:rFonts w:eastAsia="Times New Roman"/>
        </w:rPr>
      </w:pPr>
    </w:p>
    <w:p w:rsidR="00000000" w:rsidRDefault="0040289C">
      <w:pPr>
        <w:jc w:val="center"/>
        <w:rPr>
          <w:rFonts w:eastAsia="Times New Roman"/>
        </w:rPr>
      </w:pPr>
      <w:r>
        <w:rPr>
          <w:rFonts w:eastAsia="Times New Roman"/>
          <w:color w:val="000000"/>
          <w:sz w:val="20"/>
          <w:szCs w:val="20"/>
        </w:rPr>
        <w:t>The accompanying notes are an integral part of the Consolidated Financial Statements.</w:t>
      </w:r>
    </w:p>
    <w:p w:rsidR="00000000" w:rsidRDefault="0040289C">
      <w:pPr>
        <w:jc w:val="center"/>
        <w:divId w:val="135495019"/>
        <w:rPr>
          <w:rFonts w:eastAsia="Times New Roman"/>
        </w:rPr>
      </w:pPr>
      <w:r>
        <w:rPr>
          <w:rFonts w:eastAsia="Times New Roman"/>
          <w:color w:val="000000"/>
          <w:sz w:val="20"/>
          <w:szCs w:val="20"/>
        </w:rPr>
        <w:t>62</w:t>
      </w:r>
    </w:p>
    <w:p w:rsidR="00000000" w:rsidRDefault="0040289C">
      <w:pPr>
        <w:rPr>
          <w:rFonts w:eastAsia="Times New Roman"/>
        </w:rPr>
      </w:pPr>
      <w:r>
        <w:rPr>
          <w:rFonts w:eastAsia="Times New Roman"/>
        </w:rPr>
        <w:pict>
          <v:rect id="_x0000_i1092" style="width:0;height:1.5pt" o:hralign="center" o:hrstd="t" o:hr="t" fillcolor="#a0a0a0" stroked="f"/>
        </w:pict>
      </w:r>
    </w:p>
    <w:p w:rsidR="00000000" w:rsidRDefault="0040289C">
      <w:pPr>
        <w:divId w:val="1828785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785148160"/>
        <w:rPr>
          <w:rFonts w:eastAsia="Times New Roman"/>
        </w:rPr>
      </w:pPr>
    </w:p>
    <w:p w:rsidR="00000000" w:rsidRDefault="0040289C">
      <w:pPr>
        <w:jc w:val="center"/>
        <w:rPr>
          <w:rFonts w:eastAsia="Times New Roman"/>
        </w:rPr>
      </w:pPr>
      <w:r>
        <w:rPr>
          <w:rFonts w:eastAsia="Times New Roman"/>
          <w:b/>
          <w:bCs/>
          <w:color w:val="000000"/>
          <w:sz w:val="20"/>
          <w:szCs w:val="20"/>
        </w:rPr>
        <w:t>NCR Corporation</w:t>
      </w:r>
    </w:p>
    <w:p w:rsidR="00000000" w:rsidRDefault="0040289C">
      <w:pPr>
        <w:jc w:val="center"/>
        <w:divId w:val="446236128"/>
        <w:rPr>
          <w:rFonts w:eastAsia="Times New Roman"/>
        </w:rPr>
      </w:pPr>
      <w:r>
        <w:rPr>
          <w:rFonts w:eastAsia="Times New Roman"/>
          <w:b/>
          <w:bCs/>
          <w:color w:val="000000"/>
          <w:sz w:val="20"/>
          <w:szCs w:val="20"/>
        </w:rPr>
        <w:t>Notes to Consolidated Financial Statements</w:t>
      </w:r>
    </w:p>
    <w:p w:rsidR="00000000" w:rsidRDefault="0040289C">
      <w:pPr>
        <w:jc w:val="both"/>
        <w:divId w:val="1899048897"/>
        <w:rPr>
          <w:rFonts w:eastAsia="Times New Roman"/>
        </w:rPr>
      </w:pPr>
      <w:r>
        <w:rPr>
          <w:rFonts w:eastAsia="Times New Roman"/>
          <w:b/>
          <w:bCs/>
          <w:color w:val="7ACE05"/>
          <w:sz w:val="20"/>
          <w:szCs w:val="20"/>
        </w:rPr>
        <w:t>1. BASIS OF PRESENTATION AND SIGNIFICANT ACCOUNTING POLICIES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Description of Business</w:t>
      </w:r>
      <w:r>
        <w:rPr>
          <w:rFonts w:eastAsia="Times New Roman"/>
          <w:color w:val="000000"/>
          <w:sz w:val="20"/>
          <w:szCs w:val="20"/>
        </w:rPr>
        <w:t xml:space="preserve"> NCR Corporation (“NCR”, the “Company”, “we” or “us”) was originally incorporated in 1884 and is a software- an</w:t>
      </w:r>
      <w:r>
        <w:rPr>
          <w:rFonts w:eastAsia="Times New Roman"/>
          <w:color w:val="000000"/>
          <w:sz w:val="20"/>
          <w:szCs w:val="20"/>
        </w:rPr>
        <w:t>d services-led enterprise technology provider that runs stores, restaurants and self-directed banking for our customers, which includes businesses of all sizes. Our software platform, which runs in the cloud and includes microservices and APIs that integra</w:t>
      </w:r>
      <w:r>
        <w:rPr>
          <w:rFonts w:eastAsia="Times New Roman"/>
          <w:color w:val="000000"/>
          <w:sz w:val="20"/>
          <w:szCs w:val="20"/>
        </w:rPr>
        <w:t>te with our customers' systems, and our NCR-as-a-Service solutions bring together all of the capabilities and competencies of NCR to power the technology to run our customers’ operations. Our portfolio includes digital first software and services offerings</w:t>
      </w:r>
      <w:r>
        <w:rPr>
          <w:rFonts w:eastAsia="Times New Roman"/>
          <w:color w:val="000000"/>
          <w:sz w:val="20"/>
          <w:szCs w:val="20"/>
        </w:rPr>
        <w:t xml:space="preserve"> for banking, retailers and restaurants, as well as payments processing and networks, multi-vendor connected device services, automated teller machines (“ATMs”), self-checkout (“SCO”), point of sale (“POS”) terminals and other self-service technologies. We</w:t>
      </w:r>
      <w:r>
        <w:rPr>
          <w:rFonts w:eastAsia="Times New Roman"/>
          <w:color w:val="000000"/>
          <w:sz w:val="20"/>
          <w:szCs w:val="20"/>
        </w:rPr>
        <w:t xml:space="preserve"> also resell third-party networking products and provide related service offerings in the telecommunications and technology sector. Our solutions are designed to support our transition to becoming a software platform and payments company.</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Change in repor</w:t>
      </w:r>
      <w:r>
        <w:rPr>
          <w:rFonts w:eastAsia="Times New Roman"/>
          <w:i/>
          <w:iCs/>
          <w:color w:val="000000"/>
          <w:sz w:val="20"/>
          <w:szCs w:val="20"/>
        </w:rPr>
        <w:t>table segments</w:t>
      </w:r>
      <w:r>
        <w:rPr>
          <w:rFonts w:eastAsia="Times New Roman"/>
          <w:color w:val="000000"/>
          <w:sz w:val="20"/>
          <w:szCs w:val="20"/>
        </w:rPr>
        <w:t xml:space="preserve"> Effective January 1, 2022, the Company realigned its reportable segments to correspond with changes to its operating model, management structure and organizational responsibilities. The reportable segments effective January 1, 2022 include: </w:t>
      </w:r>
      <w:r>
        <w:rPr>
          <w:rFonts w:eastAsia="Times New Roman"/>
          <w:color w:val="000000"/>
          <w:sz w:val="20"/>
          <w:szCs w:val="20"/>
        </w:rPr>
        <w:t>Retail, Hospitality, Digital Banking, Payments &amp; Network, and Self-Service Banking. Additionally, effective January 1, 2022, the Company manages Corporate &amp; Other, which includes income and expenses that are not specifically attributable to an individual r</w:t>
      </w:r>
      <w:r>
        <w:rPr>
          <w:rFonts w:eastAsia="Times New Roman"/>
          <w:color w:val="000000"/>
          <w:sz w:val="20"/>
          <w:szCs w:val="20"/>
        </w:rPr>
        <w:t>eportable segment and thus will be reflected only in consolidated results, as well as our telecommunications and technology business, an immaterial operating segment. We have reclassified prior period segment disclosures to conform to current period presen</w:t>
      </w:r>
      <w:r>
        <w:rPr>
          <w:rFonts w:eastAsia="Times New Roman"/>
          <w:color w:val="000000"/>
          <w:sz w:val="20"/>
          <w:szCs w:val="20"/>
        </w:rPr>
        <w:t>tation. Refer to Note 4, “Segment Information and Concentrations”, for additional information on our reportable segments.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Conflict in Eastern Europe</w:t>
      </w:r>
      <w:r>
        <w:rPr>
          <w:rFonts w:eastAsia="Times New Roman"/>
          <w:color w:val="000000"/>
          <w:sz w:val="20"/>
          <w:szCs w:val="20"/>
        </w:rPr>
        <w:t xml:space="preserve"> The war in Eastern Europe and related sanctions imposed on Russia and related actors by the United States</w:t>
      </w:r>
      <w:r>
        <w:rPr>
          <w:rFonts w:eastAsia="Times New Roman"/>
          <w:color w:val="000000"/>
          <w:sz w:val="20"/>
          <w:szCs w:val="20"/>
        </w:rPr>
        <w:t xml:space="preserve"> and other jurisdictions required us to commence the orderly wind down of our operations in Russia beginning in the first quarter of 2022. As of December 31, 2022, we have ceased operations in Russia and are in the process of dissolving our only subsidiary</w:t>
      </w:r>
      <w:r>
        <w:rPr>
          <w:rFonts w:eastAsia="Times New Roman"/>
          <w:color w:val="000000"/>
          <w:sz w:val="20"/>
          <w:szCs w:val="20"/>
        </w:rPr>
        <w:t xml:space="preserve"> in Russia. As a result of these actions, our results for the year ended December 31, 2022 reflect the impact of the impairment and write down of the assets and liabilities of the entity, severance charges, the assessment of collectability on revenue recog</w:t>
      </w:r>
      <w:r>
        <w:rPr>
          <w:rFonts w:eastAsia="Times New Roman"/>
          <w:color w:val="000000"/>
          <w:sz w:val="20"/>
          <w:szCs w:val="20"/>
        </w:rPr>
        <w:t>nition, and the residual operations of the entity. We recognized a pre-tax net loss of $22 million for the year ended December 31, 2022 related to these actions, recognized primarily in Cost of products, Cost of services and Selling, general and administra</w:t>
      </w:r>
      <w:r>
        <w:rPr>
          <w:rFonts w:eastAsia="Times New Roman"/>
          <w:color w:val="000000"/>
          <w:sz w:val="20"/>
          <w:szCs w:val="20"/>
        </w:rPr>
        <w:t xml:space="preserve">tive expenses on the Consolidated Statements of Operations. </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Announcement of Planned Separation </w:t>
      </w:r>
      <w:r>
        <w:rPr>
          <w:rFonts w:eastAsia="Times New Roman"/>
          <w:color w:val="000000"/>
          <w:sz w:val="20"/>
          <w:szCs w:val="20"/>
        </w:rPr>
        <w:t xml:space="preserve">On September 15, 2022, NCR announced a plan to separate into two independent, publicly traded companies – one focused on digital commerce, the other on ATMs. </w:t>
      </w:r>
      <w:r>
        <w:rPr>
          <w:rFonts w:eastAsia="Times New Roman"/>
          <w:color w:val="000000"/>
          <w:sz w:val="20"/>
          <w:szCs w:val="20"/>
        </w:rPr>
        <w:t>The separation is intended to be structured in a tax-free manner. The separation transaction will follow the satisfaction of customary conditions, including effectiveness of appropriate filings with the U.S. Securities and Exchange Commission, and the comp</w:t>
      </w:r>
      <w:r>
        <w:rPr>
          <w:rFonts w:eastAsia="Times New Roman"/>
          <w:color w:val="000000"/>
          <w:sz w:val="20"/>
          <w:szCs w:val="20"/>
        </w:rPr>
        <w:t>letion of audited financial statements. The current target is to complete the separation by the end of 2023. Should alternative options become available in the future that could deliver superior value to our shareholders than the planned separation, such a</w:t>
      </w:r>
      <w:r>
        <w:rPr>
          <w:rFonts w:eastAsia="Times New Roman"/>
          <w:color w:val="000000"/>
          <w:sz w:val="20"/>
          <w:szCs w:val="20"/>
        </w:rPr>
        <w:t>s a whole or partial company sale of NCR, the Board of Directors remains open to considering alternative scenarios.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Use of Estimates</w:t>
      </w:r>
      <w:r>
        <w:rPr>
          <w:rFonts w:eastAsia="Times New Roman"/>
          <w:color w:val="000000"/>
          <w:sz w:val="20"/>
          <w:szCs w:val="20"/>
        </w:rPr>
        <w:t xml:space="preserve"> The preparation of financial statements in accordance with generally accepted accounting principles in the United States </w:t>
      </w:r>
      <w:r>
        <w:rPr>
          <w:rFonts w:eastAsia="Times New Roman"/>
          <w:color w:val="000000"/>
          <w:sz w:val="20"/>
          <w:szCs w:val="20"/>
        </w:rPr>
        <w:t>(“GAAP”) requires management to make estimates and judgments that affect the reported amounts of assets and liabilities, the disclosure of contingent assets and liabilities at the date of the financial statements, and revenue and expenses during the period</w:t>
      </w:r>
      <w:r>
        <w:rPr>
          <w:rFonts w:eastAsia="Times New Roman"/>
          <w:color w:val="000000"/>
          <w:sz w:val="20"/>
          <w:szCs w:val="20"/>
        </w:rPr>
        <w:t xml:space="preserve">s reported.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Although our estimates contemplate current and expected future conditions, as applicable, it is reasonably possible that actual conditions could differ from our expectations, which could materially affect our results of operations and financ</w:t>
      </w:r>
      <w:r>
        <w:rPr>
          <w:rFonts w:eastAsia="Times New Roman"/>
          <w:color w:val="000000"/>
          <w:sz w:val="20"/>
          <w:szCs w:val="20"/>
        </w:rPr>
        <w:t>ial position. In particular, a number of estimates have been and will continue to be affected by the ongoing variants of the coronavirus (“COVID-19”) pandemic, macroeconomic pressures and geopolitical challenges. The ultimate impact on our overall financia</w:t>
      </w:r>
      <w:r>
        <w:rPr>
          <w:rFonts w:eastAsia="Times New Roman"/>
          <w:color w:val="000000"/>
          <w:sz w:val="20"/>
          <w:szCs w:val="20"/>
        </w:rPr>
        <w:t>l condition and operating results will depend on the duration and severity of the pandemic, supply chain challenges and cost escalations including materials, interest, labor and freight, and any additional governmental and public actions taken in response.</w:t>
      </w:r>
      <w:r>
        <w:rPr>
          <w:rFonts w:eastAsia="Times New Roman"/>
          <w:color w:val="000000"/>
          <w:sz w:val="20"/>
          <w:szCs w:val="20"/>
        </w:rPr>
        <w:t xml:space="preserve"> As a result, our accounting estimates and assumptions may change over time as a consequence of the effects these external factors. Such changes could result in future impairments of goodwill, intangible assets, long-lived assets, incremental credit losses</w:t>
      </w:r>
      <w:r>
        <w:rPr>
          <w:rFonts w:eastAsia="Times New Roman"/>
          <w:color w:val="000000"/>
          <w:sz w:val="20"/>
          <w:szCs w:val="20"/>
        </w:rPr>
        <w:t xml:space="preserve"> on accounts receivable and decreases in the carrying amount of our tax assets.</w:t>
      </w:r>
    </w:p>
    <w:p w:rsidR="00000000" w:rsidRDefault="0040289C">
      <w:pPr>
        <w:jc w:val="both"/>
        <w:rPr>
          <w:rFonts w:eastAsia="Times New Roman"/>
        </w:rPr>
      </w:pPr>
    </w:p>
    <w:p w:rsidR="00000000" w:rsidRDefault="0040289C">
      <w:pPr>
        <w:jc w:val="center"/>
        <w:divId w:val="52824809"/>
        <w:rPr>
          <w:rFonts w:eastAsia="Times New Roman"/>
        </w:rPr>
      </w:pPr>
      <w:r>
        <w:rPr>
          <w:rFonts w:eastAsia="Times New Roman"/>
          <w:color w:val="000000"/>
          <w:sz w:val="20"/>
          <w:szCs w:val="20"/>
        </w:rPr>
        <w:t>63</w:t>
      </w:r>
    </w:p>
    <w:p w:rsidR="00000000" w:rsidRDefault="0040289C">
      <w:pPr>
        <w:rPr>
          <w:rFonts w:eastAsia="Times New Roman"/>
        </w:rPr>
      </w:pPr>
      <w:r>
        <w:rPr>
          <w:rFonts w:eastAsia="Times New Roman"/>
        </w:rPr>
        <w:pict>
          <v:rect id="_x0000_i1093" style="width:0;height:1.5pt" o:hralign="center" o:hrstd="t" o:hr="t" fillcolor="#a0a0a0" stroked="f"/>
        </w:pict>
      </w:r>
    </w:p>
    <w:p w:rsidR="00000000" w:rsidRDefault="0040289C">
      <w:pPr>
        <w:divId w:val="135387274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28343714"/>
        <w:rPr>
          <w:rFonts w:eastAsia="Times New Roman"/>
        </w:rPr>
      </w:pPr>
    </w:p>
    <w:p w:rsidR="00000000" w:rsidRDefault="0040289C">
      <w:pPr>
        <w:jc w:val="both"/>
        <w:rPr>
          <w:rFonts w:eastAsia="Times New Roman"/>
        </w:rPr>
      </w:pPr>
      <w:r>
        <w:rPr>
          <w:rFonts w:eastAsia="Times New Roman"/>
          <w:b/>
          <w:bCs/>
          <w:color w:val="000000"/>
          <w:sz w:val="20"/>
          <w:szCs w:val="20"/>
        </w:rPr>
        <w:t xml:space="preserve">Evaluation of Subsequent Events </w:t>
      </w:r>
      <w:r>
        <w:rPr>
          <w:rFonts w:eastAsia="Times New Roman"/>
          <w:color w:val="000000"/>
          <w:sz w:val="20"/>
          <w:szCs w:val="20"/>
        </w:rPr>
        <w:t>The Company evaluated s</w:t>
      </w:r>
      <w:r>
        <w:rPr>
          <w:rFonts w:eastAsia="Times New Roman"/>
          <w:color w:val="000000"/>
          <w:sz w:val="20"/>
          <w:szCs w:val="20"/>
        </w:rPr>
        <w:t>ubsequent events through the date that our Consolidated Financial Statements were issued. Other than the items discussed within the Notes to Consolidated Financial Statements, no matters were identified that required adjustment of the Consolidated Financia</w:t>
      </w:r>
      <w:r>
        <w:rPr>
          <w:rFonts w:eastAsia="Times New Roman"/>
          <w:color w:val="000000"/>
          <w:sz w:val="20"/>
          <w:szCs w:val="20"/>
        </w:rPr>
        <w:t>l Statements or additional disclosure.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Basis of Consolidation</w:t>
      </w:r>
      <w:r>
        <w:rPr>
          <w:rFonts w:eastAsia="Times New Roman"/>
          <w:color w:val="000000"/>
          <w:sz w:val="20"/>
          <w:szCs w:val="20"/>
        </w:rPr>
        <w:t xml:space="preserve"> The consolidated financial statements include the accounts of NCR and its majority-owned subsidiaries. Long-term investments in affiliated companies in which NCR owns between 20% and 50%, and </w:t>
      </w:r>
      <w:r>
        <w:rPr>
          <w:rFonts w:eastAsia="Times New Roman"/>
          <w:color w:val="000000"/>
          <w:sz w:val="20"/>
          <w:szCs w:val="20"/>
        </w:rPr>
        <w:t>therefore, exercises significant influence, but which it does not control, are accounted for using the equity method. Investments in which NCR does not exercise significant influence (generally, when NCR has an investment of less than 20% and no significan</w:t>
      </w:r>
      <w:r>
        <w:rPr>
          <w:rFonts w:eastAsia="Times New Roman"/>
          <w:color w:val="000000"/>
          <w:sz w:val="20"/>
          <w:szCs w:val="20"/>
        </w:rPr>
        <w:t>t influence, such as representation on the investee’s board of directors) are accounted for using the cost method. All significant inter-company transactions and accounts have been eliminated. In addition, the Company is required to determine whether it is</w:t>
      </w:r>
      <w:r>
        <w:rPr>
          <w:rFonts w:eastAsia="Times New Roman"/>
          <w:color w:val="000000"/>
          <w:sz w:val="20"/>
          <w:szCs w:val="20"/>
        </w:rPr>
        <w:t xml:space="preserve"> the primary beneficiary of economic income or losses that may be generated by variable interest entities in which the Company has such an interest. In circumstances where the Company determined it is the primary beneficiary, consolidation of that entity w</w:t>
      </w:r>
      <w:r>
        <w:rPr>
          <w:rFonts w:eastAsia="Times New Roman"/>
          <w:color w:val="000000"/>
          <w:sz w:val="20"/>
          <w:szCs w:val="20"/>
        </w:rPr>
        <w:t xml:space="preserve">ould be required. For the periods presented, no variable interest entities have been consolidated.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On June 21, 2021, we completed the acquisition of Cardtronics plc (“Cardtronics”). The December 31, 2021 year-to-date results include the operations of Ca</w:t>
      </w:r>
      <w:r>
        <w:rPr>
          <w:rFonts w:eastAsia="Times New Roman"/>
          <w:color w:val="000000"/>
          <w:sz w:val="20"/>
          <w:szCs w:val="20"/>
        </w:rPr>
        <w:t>rdtronics from June 21, 2021 to December 31, 2021. Refer to Note 2, “Business Combinations”, for additional disclosure.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Reclassifications</w:t>
      </w:r>
      <w:r>
        <w:rPr>
          <w:rFonts w:eastAsia="Times New Roman"/>
          <w:color w:val="000000"/>
          <w:sz w:val="20"/>
          <w:szCs w:val="20"/>
        </w:rPr>
        <w:t xml:space="preserve"> Certain prior-period amounts have been reclassified in the accompanying Consolidated Financial Statements and Notes </w:t>
      </w:r>
      <w:r>
        <w:rPr>
          <w:rFonts w:eastAsia="Times New Roman"/>
          <w:color w:val="000000"/>
          <w:sz w:val="20"/>
          <w:szCs w:val="20"/>
        </w:rPr>
        <w:t xml:space="preserve">thereto in order to conform to the current period presentation.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Revenue Recognition </w:t>
      </w:r>
      <w:r>
        <w:rPr>
          <w:rFonts w:eastAsia="Times New Roman"/>
          <w:color w:val="000000"/>
          <w:sz w:val="20"/>
          <w:szCs w:val="20"/>
        </w:rPr>
        <w:t>The Company records revenue, net of sales tax, when the following five steps have been completed:</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•Identification of the contract(s) with a customer</w:t>
      </w:r>
    </w:p>
    <w:p w:rsidR="00000000" w:rsidRDefault="0040289C">
      <w:pPr>
        <w:ind w:hanging="360"/>
        <w:jc w:val="both"/>
        <w:rPr>
          <w:rFonts w:eastAsia="Times New Roman"/>
        </w:rPr>
      </w:pPr>
      <w:r>
        <w:rPr>
          <w:rFonts w:eastAsia="Times New Roman"/>
          <w:color w:val="000000"/>
          <w:sz w:val="20"/>
          <w:szCs w:val="20"/>
        </w:rPr>
        <w:t>•Identification of the performance obligation(s) in the contract</w:t>
      </w:r>
    </w:p>
    <w:p w:rsidR="00000000" w:rsidRDefault="0040289C">
      <w:pPr>
        <w:ind w:hanging="360"/>
        <w:jc w:val="both"/>
        <w:rPr>
          <w:rFonts w:eastAsia="Times New Roman"/>
        </w:rPr>
      </w:pPr>
      <w:r>
        <w:rPr>
          <w:rFonts w:eastAsia="Times New Roman"/>
          <w:color w:val="000000"/>
          <w:sz w:val="20"/>
          <w:szCs w:val="20"/>
        </w:rPr>
        <w:t>•Determination of the transaction price</w:t>
      </w:r>
    </w:p>
    <w:p w:rsidR="00000000" w:rsidRDefault="0040289C">
      <w:pPr>
        <w:ind w:hanging="360"/>
        <w:jc w:val="both"/>
        <w:rPr>
          <w:rFonts w:eastAsia="Times New Roman"/>
        </w:rPr>
      </w:pPr>
      <w:r>
        <w:rPr>
          <w:rFonts w:eastAsia="Times New Roman"/>
          <w:color w:val="000000"/>
          <w:sz w:val="20"/>
          <w:szCs w:val="20"/>
        </w:rPr>
        <w:t>•Allocation of the transaction price to the performance obligations in the contract</w:t>
      </w:r>
    </w:p>
    <w:p w:rsidR="00000000" w:rsidRDefault="0040289C">
      <w:pPr>
        <w:ind w:hanging="360"/>
        <w:jc w:val="both"/>
        <w:rPr>
          <w:rFonts w:eastAsia="Times New Roman"/>
        </w:rPr>
      </w:pPr>
      <w:r>
        <w:rPr>
          <w:rFonts w:eastAsia="Times New Roman"/>
          <w:color w:val="000000"/>
          <w:sz w:val="20"/>
          <w:szCs w:val="20"/>
        </w:rPr>
        <w:t>•Recognition of revenue when, or as, we satisfy performance obligations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records revenue when, or as, performance obligations are satisfied by transferring control of a promised good or service to the customer, in an amount that reflects the consideration we expect to be entitled to in exchange for products and serv</w:t>
      </w:r>
      <w:r>
        <w:rPr>
          <w:rFonts w:eastAsia="Times New Roman"/>
          <w:color w:val="000000"/>
          <w:sz w:val="20"/>
          <w:szCs w:val="20"/>
        </w:rPr>
        <w:t>ices. The Company evaluates the transfer of control primarily from the customer’s perspective where the customer has the ability to direct the use of and obtain substantially all of the remaining benefits from that good or service. The Company does not adj</w:t>
      </w:r>
      <w:r>
        <w:rPr>
          <w:rFonts w:eastAsia="Times New Roman"/>
          <w:color w:val="000000"/>
          <w:sz w:val="20"/>
          <w:szCs w:val="20"/>
        </w:rPr>
        <w:t xml:space="preserve">ust the transaction price for taxes collected from customers, as those amounts are netted against amounts remitted to government authorities.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enters contracts that include multiple distinct performance obligations, including hardware, software, prof</w:t>
      </w:r>
      <w:r>
        <w:rPr>
          <w:rFonts w:eastAsia="Times New Roman"/>
          <w:color w:val="000000"/>
          <w:sz w:val="20"/>
          <w:szCs w:val="20"/>
        </w:rPr>
        <w:t>essional consulting and managed services, payment processing services, installation services and maintenance support services. A promise to a customer is considered distinct when the product or service is both capable of being distinct, and distinct in the</w:t>
      </w:r>
      <w:r>
        <w:rPr>
          <w:rFonts w:eastAsia="Times New Roman"/>
          <w:color w:val="000000"/>
          <w:sz w:val="20"/>
          <w:szCs w:val="20"/>
        </w:rPr>
        <w:t xml:space="preserve"> context of the contract. For these arrangements, the Company allocates the transaction price, at contract inception, to each distinct performance obligation on a relative standalone selling price basis. The primary method used to estimate standalone selli</w:t>
      </w:r>
      <w:r>
        <w:rPr>
          <w:rFonts w:eastAsia="Times New Roman"/>
          <w:color w:val="000000"/>
          <w:sz w:val="20"/>
          <w:szCs w:val="20"/>
        </w:rPr>
        <w:t>ng price is the price that the Company charges for that good or service when the Company sells it separately in similar circumstances to similar customers.</w:t>
      </w:r>
    </w:p>
    <w:p w:rsidR="00000000" w:rsidRDefault="0040289C">
      <w:pPr>
        <w:divId w:val="124354000"/>
        <w:rPr>
          <w:rFonts w:eastAsia="Times New Roman"/>
        </w:rPr>
      </w:pPr>
    </w:p>
    <w:p w:rsidR="00000000" w:rsidRDefault="0040289C">
      <w:pPr>
        <w:jc w:val="both"/>
        <w:rPr>
          <w:rFonts w:eastAsia="Times New Roman"/>
        </w:rPr>
      </w:pPr>
      <w:r>
        <w:rPr>
          <w:rFonts w:eastAsia="Times New Roman"/>
          <w:color w:val="000000"/>
          <w:sz w:val="20"/>
          <w:szCs w:val="20"/>
        </w:rPr>
        <w:t>For hardware products, control is generally transferred when the customer has the ability to direc</w:t>
      </w:r>
      <w:r>
        <w:rPr>
          <w:rFonts w:eastAsia="Times New Roman"/>
          <w:color w:val="000000"/>
          <w:sz w:val="20"/>
          <w:szCs w:val="20"/>
        </w:rPr>
        <w:t>t the use of and obtain substantially all of the remaining benefits of the products, which generally coincides with when the customer has assumed title and risk of loss of the goods sold. In certain instances, customer acceptance is required prior to the p</w:t>
      </w:r>
      <w:r>
        <w:rPr>
          <w:rFonts w:eastAsia="Times New Roman"/>
          <w:color w:val="000000"/>
          <w:sz w:val="20"/>
          <w:szCs w:val="20"/>
        </w:rPr>
        <w:t>assage of title and risk of loss of the delivered products. In such cases, revenue is not recognized until the customer acceptance is obtained. Delivery, acceptance, and transfer of title and risk of loss generally occur in the same reporting period. NCR's</w:t>
      </w:r>
      <w:r>
        <w:rPr>
          <w:rFonts w:eastAsia="Times New Roman"/>
          <w:color w:val="000000"/>
          <w:sz w:val="20"/>
          <w:szCs w:val="20"/>
        </w:rPr>
        <w:t xml:space="preserve"> customers may request that delivery and passage of title and risk of loss occur on a bill and hold basis. For the periods ending December 31, 2022, 2021, and 2020, the revenue recognized from bill and hold transactions approximated 1% of total revenue, re</w:t>
      </w:r>
      <w:r>
        <w:rPr>
          <w:rFonts w:eastAsia="Times New Roman"/>
          <w:color w:val="000000"/>
          <w:sz w:val="20"/>
          <w:szCs w:val="20"/>
        </w:rPr>
        <w:t>spectively. Hardware products may also be included in an As-a-service package and sold in a bundle with managed services. In these packages, title to the hardware is not transferred to the customer and revenue is recognized in consideration of lease accoun</w:t>
      </w:r>
      <w:r>
        <w:rPr>
          <w:rFonts w:eastAsia="Times New Roman"/>
          <w:color w:val="000000"/>
          <w:sz w:val="20"/>
          <w:szCs w:val="20"/>
        </w:rPr>
        <w:t>ting standards, depending on the terms and conditions in the contract. Most hardware leases embedded in our As-a-service contracts qualify for classification as operating leases. Revenue from the hardware operating leases in an As-a-service package is reco</w:t>
      </w:r>
      <w:r>
        <w:rPr>
          <w:rFonts w:eastAsia="Times New Roman"/>
          <w:color w:val="000000"/>
          <w:sz w:val="20"/>
          <w:szCs w:val="20"/>
        </w:rPr>
        <w:t>gnized over the term of the contract, which is the same pattern and timing as the services in the contract.</w:t>
      </w:r>
    </w:p>
    <w:p w:rsidR="00000000" w:rsidRDefault="0040289C">
      <w:pPr>
        <w:jc w:val="both"/>
        <w:rPr>
          <w:rFonts w:eastAsia="Times New Roman"/>
        </w:rPr>
      </w:pPr>
    </w:p>
    <w:p w:rsidR="00000000" w:rsidRDefault="0040289C">
      <w:pPr>
        <w:jc w:val="center"/>
        <w:divId w:val="940137848"/>
        <w:rPr>
          <w:rFonts w:eastAsia="Times New Roman"/>
        </w:rPr>
      </w:pPr>
      <w:r>
        <w:rPr>
          <w:rFonts w:eastAsia="Times New Roman"/>
          <w:color w:val="000000"/>
          <w:sz w:val="20"/>
          <w:szCs w:val="20"/>
        </w:rPr>
        <w:t>64</w:t>
      </w:r>
    </w:p>
    <w:p w:rsidR="00000000" w:rsidRDefault="0040289C">
      <w:pPr>
        <w:rPr>
          <w:rFonts w:eastAsia="Times New Roman"/>
        </w:rPr>
      </w:pPr>
      <w:r>
        <w:rPr>
          <w:rFonts w:eastAsia="Times New Roman"/>
        </w:rPr>
        <w:pict>
          <v:rect id="_x0000_i1094" style="width:0;height:1.5pt" o:hralign="center" o:hrstd="t" o:hr="t" fillcolor="#a0a0a0" stroked="f"/>
        </w:pict>
      </w:r>
    </w:p>
    <w:p w:rsidR="00000000" w:rsidRDefault="0040289C">
      <w:pPr>
        <w:divId w:val="76935633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609624199"/>
        <w:rPr>
          <w:rFonts w:eastAsia="Times New Roman"/>
        </w:rPr>
      </w:pPr>
    </w:p>
    <w:p w:rsidR="00000000" w:rsidRDefault="0040289C">
      <w:pPr>
        <w:jc w:val="both"/>
        <w:rPr>
          <w:rFonts w:eastAsia="Times New Roman"/>
        </w:rPr>
      </w:pPr>
      <w:r>
        <w:rPr>
          <w:rFonts w:eastAsia="Times New Roman"/>
          <w:color w:val="000000"/>
          <w:sz w:val="20"/>
          <w:szCs w:val="20"/>
        </w:rPr>
        <w:t>Software products may be so</w:t>
      </w:r>
      <w:r>
        <w:rPr>
          <w:rFonts w:eastAsia="Times New Roman"/>
          <w:color w:val="000000"/>
          <w:sz w:val="20"/>
          <w:szCs w:val="20"/>
        </w:rPr>
        <w:t xml:space="preserve">ld as perpetual licenses, term-based licenses, cloud-enabled and software as a service (“SaaS”). Perpetual license revenue is recognized at a point in time when control transfers to the customer and is reported within product revenue. Control is typically </w:t>
      </w:r>
      <w:r>
        <w:rPr>
          <w:rFonts w:eastAsia="Times New Roman"/>
          <w:color w:val="000000"/>
          <w:sz w:val="20"/>
          <w:szCs w:val="20"/>
        </w:rPr>
        <w:t>transferred when the customer takes possession of, or has access to, the software. Term-based license revenue is recognized at a point in time upon the commencement of the committed term of the contract, concurrent with the possession of the license, and r</w:t>
      </w:r>
      <w:r>
        <w:rPr>
          <w:rFonts w:eastAsia="Times New Roman"/>
          <w:color w:val="000000"/>
          <w:sz w:val="20"/>
          <w:szCs w:val="20"/>
        </w:rPr>
        <w:t xml:space="preserve">eported within product revenue. The committed term of the contract is typically one month to one year due to customer termination rights. If the amount of consideration the Company expects to be paid in exchange for the licenses depends on customer usage, </w:t>
      </w:r>
      <w:r>
        <w:rPr>
          <w:rFonts w:eastAsia="Times New Roman"/>
          <w:color w:val="000000"/>
          <w:sz w:val="20"/>
          <w:szCs w:val="20"/>
        </w:rPr>
        <w:t xml:space="preserve">revenue is recognized when the usage occurs.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Software as a service (SaaS) primarily consists of fees to provide our customers access to our platform and cloud-based applications for a specified contract term. Revenue from SaaS contracts is recognized as</w:t>
      </w:r>
      <w:r>
        <w:rPr>
          <w:rFonts w:eastAsia="Times New Roman"/>
          <w:color w:val="000000"/>
          <w:sz w:val="20"/>
          <w:szCs w:val="20"/>
        </w:rPr>
        <w:t xml:space="preserve"> variable consideration directly allocated based on customer usage or on a ratable basis over the contract term beginning on the date that our service is made available to the customer. SaaS is reported as part of our services revenue.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Company sells </w:t>
      </w:r>
      <w:r>
        <w:rPr>
          <w:rFonts w:eastAsia="Times New Roman"/>
          <w:color w:val="000000"/>
          <w:sz w:val="20"/>
          <w:szCs w:val="20"/>
        </w:rPr>
        <w:t>some product solutions that include a combination of cloud-enabled and on-premise term-based software licenses for a specified contract term. Significant judgment is required to determine if the products and services represent distinct promises to the cust</w:t>
      </w:r>
      <w:r>
        <w:rPr>
          <w:rFonts w:eastAsia="Times New Roman"/>
          <w:color w:val="000000"/>
          <w:sz w:val="20"/>
          <w:szCs w:val="20"/>
        </w:rPr>
        <w:t>omer or if they should be combined into one performance obligation. When they are combined into one performance obligation, revenue is recognized ratably over the contract term for which the service is provided.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In addition to SaaS, our services revenue </w:t>
      </w:r>
      <w:r>
        <w:rPr>
          <w:rFonts w:eastAsia="Times New Roman"/>
          <w:color w:val="000000"/>
          <w:sz w:val="20"/>
          <w:szCs w:val="20"/>
        </w:rPr>
        <w:t xml:space="preserve">includes professional consulting, payment processing revenue, managed services, installation and maintenance support. Professional consulting primarily consists of software implementation, integration, customization and optimization services. Revenue from </w:t>
      </w:r>
      <w:r>
        <w:rPr>
          <w:rFonts w:eastAsia="Times New Roman"/>
          <w:color w:val="000000"/>
          <w:sz w:val="20"/>
          <w:szCs w:val="20"/>
        </w:rPr>
        <w:t>professional consulting contracts is recognized when the services are completed or customer acceptance of the service is received, if required. For installation and maintenance, control is transferred as the services are provided or ratably over the servic</w:t>
      </w:r>
      <w:r>
        <w:rPr>
          <w:rFonts w:eastAsia="Times New Roman"/>
          <w:color w:val="000000"/>
          <w:sz w:val="20"/>
          <w:szCs w:val="20"/>
        </w:rPr>
        <w:t>e period, or, if applicable, after customer acceptance of the service. For recurring services that we perform over a contract term, we analyze if the services are performed evenly throughout the term for fixed consideration. If so, we ratably recognize the</w:t>
      </w:r>
      <w:r>
        <w:rPr>
          <w:rFonts w:eastAsia="Times New Roman"/>
          <w:color w:val="000000"/>
          <w:sz w:val="20"/>
          <w:szCs w:val="20"/>
        </w:rPr>
        <w:t xml:space="preserve"> corresponding consideration over the committed term. Otherwise, we apply the ‘as invoiced’ practical expedient, for performance obligations satisfied over time, if the amount we may invoice corresponds directly with the value to the customer of the Compan</w:t>
      </w:r>
      <w:r>
        <w:rPr>
          <w:rFonts w:eastAsia="Times New Roman"/>
          <w:color w:val="000000"/>
          <w:sz w:val="20"/>
          <w:szCs w:val="20"/>
        </w:rPr>
        <w:t>y’s performance to date. This expedient permits us to recognize revenue in the amount we invoice the customer.</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Payment processing revenue includes surcharge and other fees paid by cardholders and/or the cardholder’s financial institutions for the use of processing services. Surcharge revenues are recognized daily as the associated transactions are processed. In add</w:t>
      </w:r>
      <w:r>
        <w:rPr>
          <w:rFonts w:eastAsia="Times New Roman"/>
          <w:color w:val="000000"/>
          <w:sz w:val="20"/>
          <w:szCs w:val="20"/>
        </w:rPr>
        <w:t>ition, relative to ATM transactions, the Company typically receives a majority of the interchange fee paid by the cardholder’s financial institution, net of the amount retained by the payment network, and recognizes the net amount received from the network</w:t>
      </w:r>
      <w:r>
        <w:rPr>
          <w:rFonts w:eastAsia="Times New Roman"/>
          <w:color w:val="000000"/>
          <w:sz w:val="20"/>
          <w:szCs w:val="20"/>
        </w:rPr>
        <w:t xml:space="preserve"> as revenue. Relative to credit card processing, revenue is comprised of fees charged to the Company's customers, net of interchange fees and assessments charged by the credit card associations and payment networks, which are pass-through charges collected</w:t>
      </w:r>
      <w:r>
        <w:rPr>
          <w:rFonts w:eastAsia="Times New Roman"/>
          <w:color w:val="000000"/>
          <w:sz w:val="20"/>
          <w:szCs w:val="20"/>
        </w:rPr>
        <w:t xml:space="preserve"> on behalf of the card issuers and payment networks.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Under our managed service agreements, the Company provides various forms of services, including monitoring, cash management, cash delivery, customer service, on-screen advertising, processing and other</w:t>
      </w:r>
      <w:r>
        <w:rPr>
          <w:rFonts w:eastAsia="Times New Roman"/>
          <w:color w:val="000000"/>
          <w:sz w:val="20"/>
          <w:szCs w:val="20"/>
        </w:rPr>
        <w:t xml:space="preserve"> services, under one contract package. The Company typically receives a monthly service fee, fee per transaction, or fee per service provided in return for providing the agreed-upon services. The managed services fees are recognized as the related services</w:t>
      </w:r>
      <w:r>
        <w:rPr>
          <w:rFonts w:eastAsia="Times New Roman"/>
          <w:color w:val="000000"/>
          <w:sz w:val="20"/>
          <w:szCs w:val="20"/>
        </w:rPr>
        <w:t xml:space="preserve"> are provided to the customers.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also recognizes revenue related to branding arrangements and providing access to the Company’s surcharge-free network and equipment. Customers may be charged on a per transaction basis or a fixed monthly fee. U</w:t>
      </w:r>
      <w:r>
        <w:rPr>
          <w:rFonts w:eastAsia="Times New Roman"/>
          <w:color w:val="000000"/>
          <w:sz w:val="20"/>
          <w:szCs w:val="20"/>
        </w:rPr>
        <w:t>nder these arrangements, the Company is providing a series of distinct services with similar patterns of transfer to the customer. As a result, these arrangements create performance obligations that are satisfied over-time for which the Company has a right</w:t>
      </w:r>
      <w:r>
        <w:rPr>
          <w:rFonts w:eastAsia="Times New Roman"/>
          <w:color w:val="000000"/>
          <w:sz w:val="20"/>
          <w:szCs w:val="20"/>
        </w:rPr>
        <w:t xml:space="preserve"> to consideration that corresponds directly with the value of the Company’s performance completed to date. In conjunction with these arrangements, the Company recognizes revenue in the amount that it has a right to receive using the ‘as invoiced’ practical</w:t>
      </w:r>
      <w:r>
        <w:rPr>
          <w:rFonts w:eastAsia="Times New Roman"/>
          <w:color w:val="000000"/>
          <w:sz w:val="20"/>
          <w:szCs w:val="20"/>
        </w:rPr>
        <w:t xml:space="preserve"> expedient described above. Revenues are generally recognized on a ratable basis over the contract term beginning on the date that our service is made available to the customer, except for transaction-based fee arrangements which are recognized daily as th</w:t>
      </w:r>
      <w:r>
        <w:rPr>
          <w:rFonts w:eastAsia="Times New Roman"/>
          <w:color w:val="000000"/>
          <w:sz w:val="20"/>
          <w:szCs w:val="20"/>
        </w:rPr>
        <w:t>e transactions are processed. Any up-front fees associated with these arrangements are recognized ratably over the life of the arrangement.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nature of our arrangements gives rise to several types of variable consideration including service level agree</w:t>
      </w:r>
      <w:r>
        <w:rPr>
          <w:rFonts w:eastAsia="Times New Roman"/>
          <w:color w:val="000000"/>
          <w:sz w:val="20"/>
          <w:szCs w:val="20"/>
        </w:rPr>
        <w:t>ment credits, stock rotation rights, trade-in credits and volume-based rebates. At contract inception, we include this variable consideration in our transaction price when there is a basis to reasonably estimate the amount of the fee and it is probable the</w:t>
      </w:r>
      <w:r>
        <w:rPr>
          <w:rFonts w:eastAsia="Times New Roman"/>
          <w:color w:val="000000"/>
          <w:sz w:val="20"/>
          <w:szCs w:val="20"/>
        </w:rPr>
        <w:t xml:space="preserve">re will not be a significant reversal. These estimates are generally made using the expected value method and a portfolio approach, based on </w:t>
      </w:r>
    </w:p>
    <w:p w:rsidR="00000000" w:rsidRDefault="0040289C">
      <w:pPr>
        <w:jc w:val="center"/>
        <w:divId w:val="1529677561"/>
        <w:rPr>
          <w:rFonts w:eastAsia="Times New Roman"/>
        </w:rPr>
      </w:pPr>
      <w:r>
        <w:rPr>
          <w:rFonts w:eastAsia="Times New Roman"/>
          <w:color w:val="000000"/>
          <w:sz w:val="20"/>
          <w:szCs w:val="20"/>
        </w:rPr>
        <w:t>65</w:t>
      </w:r>
    </w:p>
    <w:p w:rsidR="00000000" w:rsidRDefault="0040289C">
      <w:pPr>
        <w:rPr>
          <w:rFonts w:eastAsia="Times New Roman"/>
        </w:rPr>
      </w:pPr>
      <w:r>
        <w:rPr>
          <w:rFonts w:eastAsia="Times New Roman"/>
        </w:rPr>
        <w:pict>
          <v:rect id="_x0000_i1095" style="width:0;height:1.5pt" o:hralign="center" o:hrstd="t" o:hr="t" fillcolor="#a0a0a0" stroked="f"/>
        </w:pict>
      </w:r>
    </w:p>
    <w:p w:rsidR="00000000" w:rsidRDefault="0040289C">
      <w:pPr>
        <w:divId w:val="1200439670"/>
        <w:rPr>
          <w:rFonts w:eastAsia="Times New Roman"/>
        </w:rPr>
      </w:pPr>
      <w:hyperlink w:anchor="if07fd8a5a4294970a048ac5c5178b1ea_10" w:history="1">
        <w:r>
          <w:rPr>
            <w:rStyle w:val="a3"/>
            <w:rFonts w:eastAsia="Times New Roman"/>
            <w:sz w:val="16"/>
            <w:szCs w:val="16"/>
          </w:rPr>
          <w:t>Table of Conten</w:t>
        </w:r>
        <w:r>
          <w:rPr>
            <w:rStyle w:val="a3"/>
            <w:rFonts w:eastAsia="Times New Roman"/>
            <w:sz w:val="16"/>
            <w:szCs w:val="16"/>
          </w:rPr>
          <w:t>ts</w:t>
        </w:r>
      </w:hyperlink>
    </w:p>
    <w:p w:rsidR="00000000" w:rsidRDefault="0040289C">
      <w:pPr>
        <w:jc w:val="right"/>
        <w:divId w:val="2027054365"/>
        <w:rPr>
          <w:rFonts w:eastAsia="Times New Roman"/>
        </w:rPr>
      </w:pPr>
    </w:p>
    <w:p w:rsidR="00000000" w:rsidRDefault="0040289C">
      <w:pPr>
        <w:jc w:val="both"/>
        <w:rPr>
          <w:rFonts w:eastAsia="Times New Roman"/>
        </w:rPr>
      </w:pPr>
      <w:r>
        <w:rPr>
          <w:rFonts w:eastAsia="Times New Roman"/>
          <w:color w:val="000000"/>
          <w:sz w:val="20"/>
          <w:szCs w:val="20"/>
        </w:rPr>
        <w:t>historical experience, anticipated performance and our best judgment at the time. These estimates are reassessed at each reporting date. Because of our confidence in estimating these amounts, they are included in the transaction price of our contracts</w:t>
      </w:r>
      <w:r>
        <w:rPr>
          <w:rFonts w:eastAsia="Times New Roman"/>
          <w:color w:val="000000"/>
          <w:sz w:val="20"/>
          <w:szCs w:val="20"/>
        </w:rPr>
        <w:t xml:space="preserve"> and the associated remaining performance obligations.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Payment terms with our customers are established based on industry and regional practices and generally do not exceed 30 days. We do not typically include extended payment terms in our contracts with</w:t>
      </w:r>
      <w:r>
        <w:rPr>
          <w:rFonts w:eastAsia="Times New Roman"/>
          <w:color w:val="000000"/>
          <w:sz w:val="20"/>
          <w:szCs w:val="20"/>
        </w:rPr>
        <w:t xml:space="preserve"> customers. As a practical expedient, we do not adjust the promised amount of consideration for the effects of a significant financing component when we expect, at contract inception, that the period between our transfer of a promised product or service to</w:t>
      </w:r>
      <w:r>
        <w:rPr>
          <w:rFonts w:eastAsia="Times New Roman"/>
          <w:color w:val="000000"/>
          <w:sz w:val="20"/>
          <w:szCs w:val="20"/>
        </w:rPr>
        <w:t xml:space="preserve"> a customer and when the customer pays for that product or service will be one year or less. If the period between transfer of the promised product or service and payment is more than one year, the Company analyzes whether a significant financing component</w:t>
      </w:r>
      <w:r>
        <w:rPr>
          <w:rFonts w:eastAsia="Times New Roman"/>
          <w:color w:val="000000"/>
          <w:sz w:val="20"/>
          <w:szCs w:val="20"/>
        </w:rPr>
        <w:t xml:space="preserve"> is present. If so, the Company adjusts the total consideration to reflect the significant financing component.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account for shipping and handling activities related to contracts with customers as costs to fulfill our promise to transfer the associated</w:t>
      </w:r>
      <w:r>
        <w:rPr>
          <w:rFonts w:eastAsia="Times New Roman"/>
          <w:color w:val="000000"/>
          <w:sz w:val="20"/>
          <w:szCs w:val="20"/>
        </w:rPr>
        <w:t xml:space="preserve"> products, rather than as a separate performance obligation. Accordingly, we record amounts billed for shipping and handling costs as a component of net product sales, and classify such costs as a component of cost of products.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addition to the standar</w:t>
      </w:r>
      <w:r>
        <w:rPr>
          <w:rFonts w:eastAsia="Times New Roman"/>
          <w:color w:val="000000"/>
          <w:sz w:val="20"/>
          <w:szCs w:val="20"/>
        </w:rPr>
        <w:t>d product warranty, the Company periodically offers extended warranties to its customers in the form of product maintenance services. For maintenance contracts that have been combined with product contracts under the revenue guidance, the Company defers re</w:t>
      </w:r>
      <w:r>
        <w:rPr>
          <w:rFonts w:eastAsia="Times New Roman"/>
          <w:color w:val="000000"/>
          <w:sz w:val="20"/>
          <w:szCs w:val="20"/>
        </w:rPr>
        <w:t>venue at an amount based on the relative standalone selling price allocation, and recognizes the deferred revenue over the service term. For non-combined maintenance contracts, NCR defers the stated amount of the separately priced service and recognizes th</w:t>
      </w:r>
      <w:r>
        <w:rPr>
          <w:rFonts w:eastAsia="Times New Roman"/>
          <w:color w:val="000000"/>
          <w:sz w:val="20"/>
          <w:szCs w:val="20"/>
        </w:rPr>
        <w:t>e deferred revenue over the service term.</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Remaining Performance Obligations</w:t>
      </w:r>
      <w:r>
        <w:rPr>
          <w:rFonts w:eastAsia="Times New Roman"/>
          <w:color w:val="000000"/>
          <w:sz w:val="20"/>
          <w:szCs w:val="20"/>
        </w:rPr>
        <w:t xml:space="preserve"> Remaining performance obligations represent the transaction price of contracts for which products have not been delivered or services have not been performed. As of December 31, </w:t>
      </w:r>
      <w:r>
        <w:rPr>
          <w:rFonts w:eastAsia="Times New Roman"/>
          <w:color w:val="000000"/>
          <w:sz w:val="20"/>
          <w:szCs w:val="20"/>
        </w:rPr>
        <w:t>2022, the aggregate amount of the transaction price allocated to remaining performance obligations was approximately $3.8 billion. The Company expects to recognize revenue on approximately three-quarters of the remaining performance obligations over the ne</w:t>
      </w:r>
      <w:r>
        <w:rPr>
          <w:rFonts w:eastAsia="Times New Roman"/>
          <w:color w:val="000000"/>
          <w:sz w:val="20"/>
          <w:szCs w:val="20"/>
        </w:rPr>
        <w:t>xt 12 months, with the remainder recognized thereafter. The majority of our professional services are expected to be recognized over the next 12 months but this is contingent upon a number of factors, including customers’ needs and schedules.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 has made three elections which affect the value of remaining performance obligations described above. We do not disclose remaining performance obligations for contracts where variable consideration is directly allocated based on usage or when the original</w:t>
      </w:r>
      <w:r>
        <w:rPr>
          <w:rFonts w:eastAsia="Times New Roman"/>
          <w:color w:val="000000"/>
          <w:sz w:val="20"/>
          <w:szCs w:val="20"/>
        </w:rPr>
        <w:t xml:space="preserve"> expected duration is one year or less. Additionally, we do not disclose remaining performance obligations for contracts where we recognize revenue from the satisfaction of the performance obligation in accordance with the ‘right to invoice’ practical expe</w:t>
      </w:r>
      <w:r>
        <w:rPr>
          <w:rFonts w:eastAsia="Times New Roman"/>
          <w:color w:val="000000"/>
          <w:sz w:val="20"/>
          <w:szCs w:val="20"/>
        </w:rPr>
        <w:t>dient.</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Warranty and Sales Returns</w:t>
      </w:r>
      <w:r>
        <w:rPr>
          <w:rFonts w:eastAsia="Times New Roman"/>
          <w:color w:val="000000"/>
          <w:sz w:val="20"/>
          <w:szCs w:val="20"/>
        </w:rPr>
        <w:t xml:space="preserve"> Provisions for product warranties and sales returns and allowances are recorded in the period in which NCR becomes obligated to honor the related right, which generally is the period in which the related product revenue </w:t>
      </w:r>
      <w:r>
        <w:rPr>
          <w:rFonts w:eastAsia="Times New Roman"/>
          <w:color w:val="000000"/>
          <w:sz w:val="20"/>
          <w:szCs w:val="20"/>
        </w:rPr>
        <w:t>is recognized. The Company accrues warranty reserves based upon historical factors such as labor rates, average repair time, travel time, number of service calls per machine and cost of replacement parts. When a sale is consummated, a warranty reserve is r</w:t>
      </w:r>
      <w:r>
        <w:rPr>
          <w:rFonts w:eastAsia="Times New Roman"/>
          <w:color w:val="000000"/>
          <w:sz w:val="20"/>
          <w:szCs w:val="20"/>
        </w:rPr>
        <w:t xml:space="preserve">ecorded based upon the estimated cost to provide the service over the warranty period. The Company accrues sales returns and allowances using percentages of revenue to reflect the Company’s historical average of sales return claims.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Research and Develop</w:t>
      </w:r>
      <w:r>
        <w:rPr>
          <w:rFonts w:eastAsia="Times New Roman"/>
          <w:b/>
          <w:bCs/>
          <w:color w:val="000000"/>
          <w:sz w:val="20"/>
          <w:szCs w:val="20"/>
        </w:rPr>
        <w:t>ment Costs</w:t>
      </w:r>
      <w:r>
        <w:rPr>
          <w:rFonts w:eastAsia="Times New Roman"/>
          <w:color w:val="000000"/>
          <w:sz w:val="20"/>
          <w:szCs w:val="20"/>
        </w:rPr>
        <w:t xml:space="preserve"> Research and development costs primarily include payroll and benefit-related costs, contractor fees, facilities costs, infrastructure costs, and administrative expenses directly related to research and development support and are expensed as inc</w:t>
      </w:r>
      <w:r>
        <w:rPr>
          <w:rFonts w:eastAsia="Times New Roman"/>
          <w:color w:val="000000"/>
          <w:sz w:val="20"/>
          <w:szCs w:val="20"/>
        </w:rPr>
        <w:t xml:space="preserve">urred, except certain software development costs are capitalized after technological feasibility of the software is established.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Advertising</w:t>
      </w:r>
      <w:r>
        <w:rPr>
          <w:rFonts w:eastAsia="Times New Roman"/>
          <w:color w:val="000000"/>
          <w:sz w:val="20"/>
          <w:szCs w:val="20"/>
        </w:rPr>
        <w:t xml:space="preserve"> </w:t>
      </w:r>
      <w:r>
        <w:rPr>
          <w:rFonts w:eastAsia="Times New Roman"/>
          <w:color w:val="000000"/>
          <w:sz w:val="20"/>
          <w:szCs w:val="20"/>
        </w:rPr>
        <w:t xml:space="preserve">Advertising costs are recognized in selling, general and administrative expenses when incurred.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Stock-based Compensation</w:t>
      </w:r>
      <w:r>
        <w:rPr>
          <w:rFonts w:eastAsia="Times New Roman"/>
          <w:color w:val="000000"/>
          <w:sz w:val="20"/>
          <w:szCs w:val="20"/>
        </w:rPr>
        <w:t xml:space="preserve"> Stock-based compensation represents the costs related to share-based awards granted to employees and non-employee directors. The Com</w:t>
      </w:r>
      <w:r>
        <w:rPr>
          <w:rFonts w:eastAsia="Times New Roman"/>
          <w:color w:val="000000"/>
          <w:sz w:val="20"/>
          <w:szCs w:val="20"/>
        </w:rPr>
        <w:t>pany’s outstanding stock-based compensation awards are classified as equity. The Company measures stock-based compensation cost at the grant date, based on the estimated fair value of the award and recognizes the cost over the requisite service period. For</w:t>
      </w:r>
      <w:r>
        <w:rPr>
          <w:rFonts w:eastAsia="Times New Roman"/>
          <w:color w:val="000000"/>
          <w:sz w:val="20"/>
          <w:szCs w:val="20"/>
        </w:rPr>
        <w:t>feitures are recognized as they occur. See Note 8, “Stock Compensation Plans”, for further information on NCR’s stock-based compensation plans.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Income Taxes</w:t>
      </w:r>
      <w:r>
        <w:rPr>
          <w:rFonts w:eastAsia="Times New Roman"/>
          <w:color w:val="000000"/>
          <w:sz w:val="20"/>
          <w:szCs w:val="20"/>
        </w:rPr>
        <w:t xml:space="preserve"> </w:t>
      </w:r>
      <w:r>
        <w:rPr>
          <w:rFonts w:eastAsia="Times New Roman"/>
          <w:color w:val="000000"/>
          <w:sz w:val="20"/>
          <w:szCs w:val="20"/>
        </w:rPr>
        <w:t xml:space="preserve">Income tax expense is provided based on income before income taxes. Deferred income taxes reflect the impact of temporary differences between assets and liabilities recognized for financial reporting purposes and such amounts recognized </w:t>
      </w:r>
    </w:p>
    <w:p w:rsidR="00000000" w:rsidRDefault="0040289C">
      <w:pPr>
        <w:jc w:val="center"/>
        <w:divId w:val="631178507"/>
        <w:rPr>
          <w:rFonts w:eastAsia="Times New Roman"/>
        </w:rPr>
      </w:pPr>
      <w:r>
        <w:rPr>
          <w:rFonts w:eastAsia="Times New Roman"/>
          <w:color w:val="000000"/>
          <w:sz w:val="20"/>
          <w:szCs w:val="20"/>
        </w:rPr>
        <w:t>66</w:t>
      </w:r>
    </w:p>
    <w:p w:rsidR="00000000" w:rsidRDefault="0040289C">
      <w:pPr>
        <w:rPr>
          <w:rFonts w:eastAsia="Times New Roman"/>
        </w:rPr>
      </w:pPr>
      <w:r>
        <w:rPr>
          <w:rFonts w:eastAsia="Times New Roman"/>
        </w:rPr>
        <w:pict>
          <v:rect id="_x0000_i1096" style="width:0;height:1.5pt" o:hralign="center" o:hrstd="t" o:hr="t" fillcolor="#a0a0a0" stroked="f"/>
        </w:pict>
      </w:r>
    </w:p>
    <w:p w:rsidR="00000000" w:rsidRDefault="0040289C">
      <w:pPr>
        <w:divId w:val="209115043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484862340"/>
        <w:rPr>
          <w:rFonts w:eastAsia="Times New Roman"/>
        </w:rPr>
      </w:pPr>
    </w:p>
    <w:p w:rsidR="00000000" w:rsidRDefault="0040289C">
      <w:pPr>
        <w:jc w:val="both"/>
        <w:rPr>
          <w:rFonts w:eastAsia="Times New Roman"/>
        </w:rPr>
      </w:pPr>
      <w:r>
        <w:rPr>
          <w:rFonts w:eastAsia="Times New Roman"/>
          <w:color w:val="000000"/>
          <w:sz w:val="20"/>
          <w:szCs w:val="20"/>
        </w:rPr>
        <w:t>for tax purposes. These deferred taxes are determined based on the enacted tax rates expected to apply in the periods in which the deferred assets or liabi</w:t>
      </w:r>
      <w:r>
        <w:rPr>
          <w:rFonts w:eastAsia="Times New Roman"/>
          <w:color w:val="000000"/>
          <w:sz w:val="20"/>
          <w:szCs w:val="20"/>
        </w:rPr>
        <w:t xml:space="preserve">lities are expected to be settled or realized. NCR records valuation allowances related to its deferred income tax assets when it is more likely than not that some portion or all of the deferred income tax assets will not be realized.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recogn</w:t>
      </w:r>
      <w:r>
        <w:rPr>
          <w:rFonts w:eastAsia="Times New Roman"/>
          <w:color w:val="000000"/>
          <w:sz w:val="20"/>
          <w:szCs w:val="20"/>
        </w:rPr>
        <w:t>izes the tax benefit from an uncertain tax position only if it is more likely than not that the tax position will be sustained on examination by the taxing authorities, based on the technical merits of the position. The tax benefits recognized in the conso</w:t>
      </w:r>
      <w:r>
        <w:rPr>
          <w:rFonts w:eastAsia="Times New Roman"/>
          <w:color w:val="000000"/>
          <w:sz w:val="20"/>
          <w:szCs w:val="20"/>
        </w:rPr>
        <w:t>lidated financial statements from such a position are measured based on the largest benefit that has a greater than fifty percent likelihood of being sustained upon examination by authorities. Interest and penalties related to uncertain tax positions are r</w:t>
      </w:r>
      <w:r>
        <w:rPr>
          <w:rFonts w:eastAsia="Times New Roman"/>
          <w:color w:val="000000"/>
          <w:sz w:val="20"/>
          <w:szCs w:val="20"/>
        </w:rPr>
        <w:t>ecognized as part of the provision for income taxes and are accrued beginning in the period that such interest and penalties would be applicable under relevant tax law and until such time that the related tax benefits are recognized.</w:t>
      </w:r>
    </w:p>
    <w:p w:rsidR="00000000" w:rsidRDefault="0040289C">
      <w:pPr>
        <w:jc w:val="both"/>
        <w:rPr>
          <w:rFonts w:eastAsia="Times New Roman"/>
        </w:rPr>
      </w:pPr>
      <w:r>
        <w:rPr>
          <w:rFonts w:eastAsia="Times New Roman"/>
          <w:b/>
          <w:bCs/>
          <w:color w:val="000000"/>
          <w:sz w:val="20"/>
          <w:szCs w:val="20"/>
        </w:rPr>
        <w:t>Cash, Cash Equivalents</w:t>
      </w:r>
      <w:r>
        <w:rPr>
          <w:rFonts w:eastAsia="Times New Roman"/>
          <w:b/>
          <w:bCs/>
          <w:color w:val="000000"/>
          <w:sz w:val="20"/>
          <w:szCs w:val="20"/>
        </w:rPr>
        <w:t>, and Restricted Cash</w:t>
      </w:r>
      <w:r>
        <w:rPr>
          <w:rFonts w:eastAsia="Times New Roman"/>
          <w:color w:val="000000"/>
          <w:sz w:val="20"/>
          <w:szCs w:val="20"/>
        </w:rPr>
        <w:t xml:space="preserve"> All short-term, highly liquid investments having original maturities of three months or less, including time deposits, are considered to be cash equivalents. As of December 31, 2022, the Company has restricted cash on deposit with a b</w:t>
      </w:r>
      <w:r>
        <w:rPr>
          <w:rFonts w:eastAsia="Times New Roman"/>
          <w:color w:val="000000"/>
          <w:sz w:val="20"/>
          <w:szCs w:val="20"/>
        </w:rPr>
        <w:t xml:space="preserve">ank as collateral for letters of credit, funds held in escrow as well as cash included in settlement processing assets.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reconciliation of cash, cash equivalents and restricted cash in the Consolidated Statements of Cash Flows is as follows:</w:t>
      </w:r>
    </w:p>
    <w:p w:rsidR="00000000" w:rsidRDefault="0040289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333"/>
        <w:gridCol w:w="36"/>
        <w:gridCol w:w="36"/>
        <w:gridCol w:w="36"/>
        <w:gridCol w:w="36"/>
        <w:gridCol w:w="47"/>
        <w:gridCol w:w="1497"/>
        <w:gridCol w:w="37"/>
        <w:gridCol w:w="36"/>
        <w:gridCol w:w="36"/>
        <w:gridCol w:w="36"/>
        <w:gridCol w:w="121"/>
        <w:gridCol w:w="831"/>
        <w:gridCol w:w="36"/>
        <w:gridCol w:w="36"/>
        <w:gridCol w:w="36"/>
        <w:gridCol w:w="36"/>
        <w:gridCol w:w="121"/>
        <w:gridCol w:w="791"/>
        <w:gridCol w:w="36"/>
        <w:gridCol w:w="36"/>
        <w:gridCol w:w="36"/>
        <w:gridCol w:w="36"/>
        <w:gridCol w:w="121"/>
        <w:gridCol w:w="793"/>
        <w:gridCol w:w="36"/>
      </w:tblGrid>
      <w:tr w:rsidR="00000000">
        <w:tc>
          <w:tcPr>
            <w:tcW w:w="50" w:type="pct"/>
            <w:vAlign w:val="center"/>
            <w:hideMark/>
          </w:tcPr>
          <w:p w:rsidR="00000000" w:rsidRDefault="0040289C">
            <w:pPr>
              <w:jc w:val="both"/>
              <w:rPr>
                <w:rFonts w:eastAsia="Times New Roman"/>
              </w:rPr>
            </w:pPr>
          </w:p>
        </w:tc>
        <w:tc>
          <w:tcPr>
            <w:tcW w:w="203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96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Balance Sheet Location</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2020</w:t>
            </w:r>
          </w:p>
        </w:tc>
      </w:tr>
      <w:tr w:rsidR="00000000">
        <w:tc>
          <w:tcPr>
            <w:tcW w:w="0" w:type="auto"/>
            <w:gridSpan w:val="3"/>
            <w:shd w:val="clear" w:color="auto" w:fill="CCEEFF"/>
            <w:tcMar>
              <w:top w:w="30" w:type="dxa"/>
              <w:left w:w="26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6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Short term restricted cash</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6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Long term restricted cash</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6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Funds held for client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6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Cash included in settlement processing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Restricted cash</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Supplemental cash flow information</w:t>
      </w:r>
      <w:r>
        <w:rPr>
          <w:rFonts w:eastAsia="Times New Roman"/>
          <w:color w:val="000000"/>
          <w:sz w:val="20"/>
          <w:szCs w:val="20"/>
        </w:rPr>
        <w:t xml:space="preserve"> Interest paid in cash was $268 million, $215 </w:t>
      </w:r>
      <w:r>
        <w:rPr>
          <w:rFonts w:eastAsia="Times New Roman"/>
          <w:color w:val="000000"/>
          <w:sz w:val="20"/>
          <w:szCs w:val="20"/>
        </w:rPr>
        <w:t>million, and $196 million for fiscal years 2022, 2021, and 2020, respectively. Income taxes paid in cash were $88 million, $84 million and $82 million for fiscal years 2022, 2021, and 2020, respectively.</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Supplemental disclosures of noncash investing and </w:t>
      </w:r>
      <w:r>
        <w:rPr>
          <w:rFonts w:eastAsia="Times New Roman"/>
          <w:i/>
          <w:iCs/>
          <w:color w:val="000000"/>
          <w:sz w:val="20"/>
          <w:szCs w:val="20"/>
        </w:rPr>
        <w:t>financing activities</w:t>
      </w:r>
      <w:r>
        <w:rPr>
          <w:rFonts w:eastAsia="Times New Roman"/>
          <w:color w:val="000000"/>
          <w:sz w:val="20"/>
          <w:szCs w:val="20"/>
        </w:rPr>
        <w:t xml:space="preserve"> During the twelve months ended December 31, 2022, we issued shares of the Company's common stock and assumed unvested outstanding option awards in the acquisition of Moon Inc., dba LibertyX, for total non-cash consideration of $68 mill</w:t>
      </w:r>
      <w:r>
        <w:rPr>
          <w:rFonts w:eastAsia="Times New Roman"/>
          <w:color w:val="000000"/>
          <w:sz w:val="20"/>
          <w:szCs w:val="20"/>
        </w:rPr>
        <w:t>ion. In connection with the acquisition, we also assumed debt of $2 million. Refer to Note 2, “Business Combinations”, for additional information on the LibertyX acquisition.</w:t>
      </w:r>
    </w:p>
    <w:p w:rsidR="00000000" w:rsidRDefault="0040289C">
      <w:pPr>
        <w:jc w:val="both"/>
        <w:rPr>
          <w:rFonts w:eastAsia="Times New Roman"/>
        </w:rPr>
      </w:pPr>
    </w:p>
    <w:p w:rsidR="00000000" w:rsidRDefault="0040289C">
      <w:pPr>
        <w:jc w:val="both"/>
        <w:divId w:val="2124415756"/>
        <w:rPr>
          <w:rFonts w:eastAsia="Times New Roman"/>
        </w:rPr>
      </w:pPr>
      <w:r>
        <w:rPr>
          <w:rFonts w:eastAsia="Times New Roman"/>
          <w:b/>
          <w:bCs/>
          <w:color w:val="000000"/>
          <w:sz w:val="20"/>
          <w:szCs w:val="20"/>
        </w:rPr>
        <w:t xml:space="preserve">ATM Cash Management Program </w:t>
      </w:r>
      <w:r>
        <w:rPr>
          <w:rFonts w:eastAsia="Times New Roman"/>
          <w:color w:val="000000"/>
          <w:sz w:val="20"/>
          <w:szCs w:val="20"/>
        </w:rPr>
        <w:t>Our business includes the operation of ATMs under C</w:t>
      </w:r>
      <w:r>
        <w:rPr>
          <w:rFonts w:eastAsia="Times New Roman"/>
          <w:color w:val="000000"/>
          <w:sz w:val="20"/>
          <w:szCs w:val="20"/>
        </w:rPr>
        <w:t xml:space="preserve">ompany-owned ATM placements, merchant-owned ATM placements, and managed services. The Company relies on arrangements with various banks to provide the cash that it uses to fill its Company-owned, and in some cases merchant-owned and managed services ATMs. </w:t>
      </w:r>
      <w:r>
        <w:rPr>
          <w:rFonts w:eastAsia="Times New Roman"/>
          <w:color w:val="000000"/>
          <w:sz w:val="20"/>
          <w:szCs w:val="20"/>
        </w:rPr>
        <w:t>The Company refers to such cash as “vault cash”. The Company pays a monthly rental fee based on the average outstanding vault cash balance, as well as fees related to the bundling and preparation of such cash prior to it being loaded in the ATMs. At all ti</w:t>
      </w:r>
      <w:r>
        <w:rPr>
          <w:rFonts w:eastAsia="Times New Roman"/>
          <w:color w:val="000000"/>
          <w:sz w:val="20"/>
          <w:szCs w:val="20"/>
        </w:rPr>
        <w:t>mes, beneficial ownership of the cash is retained by the vault cash providers and the Company has no right or access to the cash except for the ATMs that are serviced by the Company's wholly-owned cash-in-transit operations in the United Kingdom. While the</w:t>
      </w:r>
      <w:r>
        <w:rPr>
          <w:rFonts w:eastAsia="Times New Roman"/>
          <w:color w:val="000000"/>
          <w:sz w:val="20"/>
          <w:szCs w:val="20"/>
        </w:rPr>
        <w:t xml:space="preserve"> United Kingdom cash-in-transit operations have physical access to the cash loaded in the ATMs, beneficial ownership of that cash remains with the vault cash provider at all times. The Company's vault cash arrangements expire at various times through Decem</w:t>
      </w:r>
      <w:r>
        <w:rPr>
          <w:rFonts w:eastAsia="Times New Roman"/>
          <w:color w:val="000000"/>
          <w:sz w:val="20"/>
          <w:szCs w:val="20"/>
        </w:rPr>
        <w:t>ber 2027. Based on the foregoing, the ATM vault cash, and the related obligations, are not reflected in the consolidated financial statements. The average outstanding vault cash balance in the Company's ATMs for the year ended December 31, 2022 was approxi</w:t>
      </w:r>
      <w:r>
        <w:rPr>
          <w:rFonts w:eastAsia="Times New Roman"/>
          <w:color w:val="000000"/>
          <w:sz w:val="20"/>
          <w:szCs w:val="20"/>
        </w:rPr>
        <w:t>mately $4.1 billion.</w:t>
      </w:r>
    </w:p>
    <w:p w:rsidR="00000000" w:rsidRDefault="0040289C">
      <w:pPr>
        <w:jc w:val="both"/>
        <w:divId w:val="1985432136"/>
        <w:rPr>
          <w:rFonts w:eastAsia="Times New Roman"/>
        </w:rPr>
      </w:pPr>
      <w:r>
        <w:rPr>
          <w:rFonts w:eastAsia="Times New Roman"/>
          <w:b/>
          <w:bCs/>
          <w:color w:val="000000"/>
          <w:sz w:val="20"/>
          <w:szCs w:val="20"/>
        </w:rPr>
        <w:t xml:space="preserve">Accounts Receivable, net </w:t>
      </w:r>
      <w:r>
        <w:rPr>
          <w:rFonts w:eastAsia="Times New Roman"/>
          <w:color w:val="000000"/>
          <w:sz w:val="20"/>
          <w:szCs w:val="20"/>
        </w:rPr>
        <w:t xml:space="preserve">Accounts receivable, net includes amounts billed and currently due from customers as well as amounts unbilled that typically result from sales under contracts where revenue recognized exceeds the amount billed </w:t>
      </w:r>
      <w:r>
        <w:rPr>
          <w:rFonts w:eastAsia="Times New Roman"/>
          <w:color w:val="000000"/>
          <w:sz w:val="20"/>
          <w:szCs w:val="20"/>
        </w:rPr>
        <w:t xml:space="preserve">to the customer and where the Company has an unconditional right to consideration. The amounts due are stated at their net estimated realizable value. </w:t>
      </w:r>
    </w:p>
    <w:p w:rsidR="00000000" w:rsidRDefault="0040289C">
      <w:pPr>
        <w:jc w:val="both"/>
        <w:divId w:val="1385563289"/>
        <w:rPr>
          <w:rFonts w:eastAsia="Times New Roman"/>
        </w:rPr>
      </w:pPr>
    </w:p>
    <w:p w:rsidR="00000000" w:rsidRDefault="0040289C">
      <w:pPr>
        <w:jc w:val="center"/>
        <w:divId w:val="1686403924"/>
        <w:rPr>
          <w:rFonts w:eastAsia="Times New Roman"/>
        </w:rPr>
      </w:pPr>
      <w:r>
        <w:rPr>
          <w:rFonts w:eastAsia="Times New Roman"/>
          <w:color w:val="000000"/>
          <w:sz w:val="20"/>
          <w:szCs w:val="20"/>
        </w:rPr>
        <w:t>67</w:t>
      </w:r>
    </w:p>
    <w:p w:rsidR="00000000" w:rsidRDefault="0040289C">
      <w:pPr>
        <w:rPr>
          <w:rFonts w:eastAsia="Times New Roman"/>
        </w:rPr>
      </w:pPr>
      <w:r>
        <w:rPr>
          <w:rFonts w:eastAsia="Times New Roman"/>
        </w:rPr>
        <w:pict>
          <v:rect id="_x0000_i1097" style="width:0;height:1.5pt" o:hralign="center" o:hrstd="t" o:hr="t" fillcolor="#a0a0a0" stroked="f"/>
        </w:pict>
      </w:r>
    </w:p>
    <w:p w:rsidR="00000000" w:rsidRDefault="0040289C">
      <w:pPr>
        <w:divId w:val="1162434286"/>
        <w:rPr>
          <w:rFonts w:eastAsia="Times New Roman"/>
        </w:rPr>
      </w:pPr>
      <w:hyperlink w:anchor="if07fd8a5a4294970a048ac5c5178b1ea_10" w:history="1">
        <w:r>
          <w:rPr>
            <w:rStyle w:val="a3"/>
            <w:rFonts w:eastAsia="Times New Roman"/>
            <w:sz w:val="16"/>
            <w:szCs w:val="16"/>
          </w:rPr>
          <w:t>Tab</w:t>
        </w:r>
        <w:r>
          <w:rPr>
            <w:rStyle w:val="a3"/>
            <w:rFonts w:eastAsia="Times New Roman"/>
            <w:sz w:val="16"/>
            <w:szCs w:val="16"/>
          </w:rPr>
          <w:t>le of Contents</w:t>
        </w:r>
      </w:hyperlink>
    </w:p>
    <w:p w:rsidR="00000000" w:rsidRDefault="0040289C">
      <w:pPr>
        <w:jc w:val="right"/>
        <w:divId w:val="473956365"/>
        <w:rPr>
          <w:rFonts w:eastAsia="Times New Roman"/>
        </w:rPr>
      </w:pPr>
    </w:p>
    <w:p w:rsidR="00000000" w:rsidRDefault="0040289C">
      <w:pPr>
        <w:jc w:val="both"/>
        <w:divId w:val="64425726"/>
        <w:rPr>
          <w:rFonts w:eastAsia="Times New Roman"/>
        </w:rPr>
      </w:pPr>
      <w:r>
        <w:rPr>
          <w:rFonts w:eastAsia="Times New Roman"/>
          <w:color w:val="000000"/>
          <w:sz w:val="20"/>
          <w:szCs w:val="20"/>
        </w:rPr>
        <w:t>The components of accounts receivable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35"/>
        <w:gridCol w:w="36"/>
        <w:gridCol w:w="121"/>
        <w:gridCol w:w="1092"/>
        <w:gridCol w:w="36"/>
        <w:gridCol w:w="36"/>
        <w:gridCol w:w="36"/>
        <w:gridCol w:w="36"/>
        <w:gridCol w:w="121"/>
        <w:gridCol w:w="1081"/>
        <w:gridCol w:w="36"/>
      </w:tblGrid>
      <w:tr w:rsidR="00000000">
        <w:trPr>
          <w:divId w:val="1215045890"/>
        </w:trPr>
        <w:tc>
          <w:tcPr>
            <w:tcW w:w="50" w:type="pct"/>
            <w:vAlign w:val="center"/>
            <w:hideMark/>
          </w:tcPr>
          <w:p w:rsidR="00000000" w:rsidRDefault="0040289C">
            <w:pPr>
              <w:jc w:val="both"/>
              <w:rPr>
                <w:rFonts w:eastAsia="Times New Roman"/>
              </w:rPr>
            </w:pPr>
          </w:p>
        </w:tc>
        <w:tc>
          <w:tcPr>
            <w:tcW w:w="341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8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9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215045890"/>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r>
      <w:tr w:rsidR="00000000">
        <w:trPr>
          <w:divId w:val="1215045890"/>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Accounts receivable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215045890"/>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Trade</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939 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15045890"/>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15045890"/>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Accounts receivable,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15045890"/>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Less: allowance for credit losses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15045890"/>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accounts receivable,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r>
        <w:rPr>
          <w:rFonts w:eastAsia="Times New Roman"/>
          <w:b/>
          <w:bCs/>
          <w:color w:val="000000"/>
          <w:sz w:val="20"/>
          <w:szCs w:val="20"/>
        </w:rPr>
        <w:t>Allowance for Credit Losses on Accounts Receivable</w:t>
      </w:r>
      <w:r>
        <w:rPr>
          <w:rFonts w:eastAsia="Times New Roman"/>
          <w:color w:val="000000"/>
          <w:sz w:val="20"/>
          <w:szCs w:val="20"/>
        </w:rPr>
        <w:t xml:space="preserve"> Allowances for credit losses on accounts receivable are recognized when reasonable and supportable forecasts affect the expected collectability. This requires us to make our best estimate of the current ex</w:t>
      </w:r>
      <w:r>
        <w:rPr>
          <w:rFonts w:eastAsia="Times New Roman"/>
          <w:color w:val="000000"/>
          <w:sz w:val="20"/>
          <w:szCs w:val="20"/>
        </w:rPr>
        <w:t>pected losses inherent in our accounts receivable at each balance sheet date. These estimates require consideration of historical loss experience, adjusted for current conditions, forward looking indicators, trends in customer payment frequency and judgmen</w:t>
      </w:r>
      <w:r>
        <w:rPr>
          <w:rFonts w:eastAsia="Times New Roman"/>
          <w:color w:val="000000"/>
          <w:sz w:val="20"/>
          <w:szCs w:val="20"/>
        </w:rPr>
        <w:t>ts about the probable effects of relevant observable data, including present and future economic conditions and the financial health of specific customers and market sectors. This policy is applied consistently among all of our operating segments. We conti</w:t>
      </w:r>
      <w:r>
        <w:rPr>
          <w:rFonts w:eastAsia="Times New Roman"/>
          <w:color w:val="000000"/>
          <w:sz w:val="20"/>
          <w:szCs w:val="20"/>
        </w:rPr>
        <w:t xml:space="preserve">nue to evaluate our reserves in light of the age and quality of our outstanding accounts receivable, risks to specific industries or countries, as well as the COVID-19 pandemic, and adjust the reserves accordingly. </w:t>
      </w:r>
    </w:p>
    <w:p w:rsidR="00000000" w:rsidRDefault="0040289C">
      <w:pPr>
        <w:jc w:val="both"/>
        <w:divId w:val="1784111422"/>
        <w:rPr>
          <w:rFonts w:eastAsia="Times New Roman"/>
        </w:rPr>
      </w:pPr>
      <w:r>
        <w:rPr>
          <w:rFonts w:eastAsia="Times New Roman"/>
          <w:color w:val="000000"/>
          <w:sz w:val="20"/>
          <w:szCs w:val="20"/>
        </w:rPr>
        <w:t>Our allowance for credit losses as of De</w:t>
      </w:r>
      <w:r>
        <w:rPr>
          <w:rFonts w:eastAsia="Times New Roman"/>
          <w:color w:val="000000"/>
          <w:sz w:val="20"/>
          <w:szCs w:val="20"/>
        </w:rPr>
        <w:t>cember 31, 2022 and December 31, 2021 was $34 million and $24 million, respectively. For the year ended December 31, 2022, our allowance for credit losses charged to expense was $23 million. The Company recorded $13 million of write-offs against the reserv</w:t>
      </w:r>
      <w:r>
        <w:rPr>
          <w:rFonts w:eastAsia="Times New Roman"/>
          <w:color w:val="000000"/>
          <w:sz w:val="20"/>
          <w:szCs w:val="20"/>
        </w:rPr>
        <w:t>e for the year ended December 31, 2022. For the year ending, December 31, 2021 our allowance for credit losses charged to expense was $2 million and the Company recorded $29 million of write-offs against the reserve.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Inventories</w:t>
      </w:r>
      <w:r>
        <w:rPr>
          <w:rFonts w:eastAsia="Times New Roman"/>
          <w:color w:val="000000"/>
          <w:sz w:val="20"/>
          <w:szCs w:val="20"/>
        </w:rPr>
        <w:t xml:space="preserve"> </w:t>
      </w:r>
      <w:r>
        <w:rPr>
          <w:rFonts w:eastAsia="Times New Roman"/>
          <w:color w:val="000000"/>
          <w:sz w:val="20"/>
          <w:szCs w:val="20"/>
        </w:rPr>
        <w:t>Inventories are stated at the lower of cost or net realizable value, using the average cost method. Cost includes materials, labor and manufacturing overhead related to the purchase and production of inventories. Service parts are included in inventories a</w:t>
      </w:r>
      <w:r>
        <w:rPr>
          <w:rFonts w:eastAsia="Times New Roman"/>
          <w:color w:val="000000"/>
          <w:sz w:val="20"/>
          <w:szCs w:val="20"/>
        </w:rPr>
        <w:t>nd include reworkable and non-reworkable service parts. The Company regularly reviews inventory quantities on hand, future purchase commitments with suppliers and the estimated utility of inventory. If the review indicates a reduction in utility below carr</w:t>
      </w:r>
      <w:r>
        <w:rPr>
          <w:rFonts w:eastAsia="Times New Roman"/>
          <w:color w:val="000000"/>
          <w:sz w:val="20"/>
          <w:szCs w:val="20"/>
        </w:rPr>
        <w:t xml:space="preserve">ying value, inventory is reduced to a new cost basis. Excess and obsolete write-offs are established based on forecasted usage, orders, technological obsolescence and inventory aging.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Contract assets include unbilled amou</w:t>
      </w:r>
      <w:r>
        <w:rPr>
          <w:rFonts w:eastAsia="Times New Roman"/>
          <w:color w:val="000000"/>
          <w:sz w:val="20"/>
          <w:szCs w:val="20"/>
        </w:rPr>
        <w:t xml:space="preserve">nts where the right to payment is not solely subject to the passage of time. Amounts may not exceed their net realizable value. Contract liabilities consist of advance payments, billings in excess of revenue recognized and deferred revenue.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contract</w:t>
      </w:r>
      <w:r>
        <w:rPr>
          <w:rFonts w:eastAsia="Times New Roman"/>
          <w:color w:val="000000"/>
          <w:sz w:val="20"/>
          <w:szCs w:val="20"/>
        </w:rPr>
        <w:t xml:space="preserve"> assets and liabilities are reported in a net position on a contract-by-contract basis at the end of each reporting period. If the net position is a contract asset, the current portion is included in Prepaid and other current assets and the non-current por</w:t>
      </w:r>
      <w:r>
        <w:rPr>
          <w:rFonts w:eastAsia="Times New Roman"/>
          <w:color w:val="000000"/>
          <w:sz w:val="20"/>
          <w:szCs w:val="20"/>
        </w:rPr>
        <w:t>tion is included in Other assets in the Consolidated Balance Sheet. If the net position is a contract liability, the current portion is included in Contract liabilities and the non-current portion is included in Other liabilities in the Consolidated Balanc</w:t>
      </w:r>
      <w:r>
        <w:rPr>
          <w:rFonts w:eastAsia="Times New Roman"/>
          <w:color w:val="000000"/>
          <w:sz w:val="20"/>
          <w:szCs w:val="20"/>
        </w:rPr>
        <w:t>e Sheet. As of December 31, 2022, no contracts were in a net asset position.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following table presents the net contract asset and contract liability balances: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4234"/>
        <w:gridCol w:w="36"/>
        <w:gridCol w:w="46"/>
        <w:gridCol w:w="1633"/>
        <w:gridCol w:w="36"/>
        <w:gridCol w:w="36"/>
        <w:gridCol w:w="36"/>
        <w:gridCol w:w="36"/>
        <w:gridCol w:w="121"/>
        <w:gridCol w:w="873"/>
        <w:gridCol w:w="36"/>
        <w:gridCol w:w="36"/>
        <w:gridCol w:w="36"/>
        <w:gridCol w:w="36"/>
        <w:gridCol w:w="121"/>
        <w:gridCol w:w="873"/>
        <w:gridCol w:w="36"/>
      </w:tblGrid>
      <w:tr w:rsidR="00000000">
        <w:trPr>
          <w:divId w:val="1956056053"/>
          <w:jc w:val="center"/>
        </w:trPr>
        <w:tc>
          <w:tcPr>
            <w:tcW w:w="50" w:type="pct"/>
            <w:vAlign w:val="center"/>
            <w:hideMark/>
          </w:tcPr>
          <w:p w:rsidR="00000000" w:rsidRDefault="0040289C">
            <w:pPr>
              <w:jc w:val="both"/>
              <w:rPr>
                <w:rFonts w:eastAsia="Times New Roman"/>
              </w:rPr>
            </w:pPr>
          </w:p>
        </w:tc>
        <w:tc>
          <w:tcPr>
            <w:tcW w:w="256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0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6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6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56056053"/>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Location in the Consolidated Balance Sheet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r>
      <w:tr w:rsidR="00000000">
        <w:trPr>
          <w:divId w:val="1956056053"/>
          <w:jc w:val="center"/>
        </w:trPr>
        <w:tc>
          <w:tcPr>
            <w:tcW w:w="0" w:type="auto"/>
            <w:gridSpan w:val="3"/>
            <w:vAlign w:val="center"/>
            <w:hideMark/>
          </w:tcPr>
          <w:p w:rsidR="00000000" w:rsidRDefault="0040289C">
            <w:pPr>
              <w:spacing w:after="100"/>
              <w:jc w:val="center"/>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956056053"/>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Current portion of contract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Contract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56056053"/>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Non-current portion of contract liabilities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During the twelve months ended December 31, 2022, 2021, and 2020 the Company recognized $403 million, $447 million, and $407 </w:t>
      </w:r>
      <w:r>
        <w:rPr>
          <w:rFonts w:eastAsia="Times New Roman"/>
          <w:color w:val="000000"/>
          <w:sz w:val="20"/>
          <w:szCs w:val="20"/>
        </w:rPr>
        <w:t>million, respectively, in revenue that was included in contract liabilities as of December 31, 2021, 2020, and 2019, respectively.</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Deferred Commissions </w:t>
      </w:r>
      <w:r>
        <w:rPr>
          <w:rFonts w:eastAsia="Times New Roman"/>
          <w:color w:val="000000"/>
          <w:sz w:val="20"/>
          <w:szCs w:val="20"/>
        </w:rPr>
        <w:t>Our incremental costs of obtaining a contract, which consist of certain sales commissions, primarily f</w:t>
      </w:r>
      <w:r>
        <w:rPr>
          <w:rFonts w:eastAsia="Times New Roman"/>
          <w:color w:val="000000"/>
          <w:sz w:val="20"/>
          <w:szCs w:val="20"/>
        </w:rPr>
        <w:t xml:space="preserve">or our SaaS revenue, are deferred and amortized on a straight-line basis over the period of expected benefit. We determined the period of expected benefit by taking into consideration customer contracts, the estimated life of the customer relationship, </w:t>
      </w:r>
    </w:p>
    <w:p w:rsidR="00000000" w:rsidRDefault="0040289C">
      <w:pPr>
        <w:jc w:val="center"/>
        <w:divId w:val="1207525534"/>
        <w:rPr>
          <w:rFonts w:eastAsia="Times New Roman"/>
        </w:rPr>
      </w:pPr>
      <w:r>
        <w:rPr>
          <w:rFonts w:eastAsia="Times New Roman"/>
          <w:color w:val="000000"/>
          <w:sz w:val="20"/>
          <w:szCs w:val="20"/>
        </w:rPr>
        <w:t>68</w:t>
      </w:r>
    </w:p>
    <w:p w:rsidR="00000000" w:rsidRDefault="0040289C">
      <w:pPr>
        <w:rPr>
          <w:rFonts w:eastAsia="Times New Roman"/>
        </w:rPr>
      </w:pPr>
      <w:r>
        <w:rPr>
          <w:rFonts w:eastAsia="Times New Roman"/>
        </w:rPr>
        <w:pict>
          <v:rect id="_x0000_i1098" style="width:0;height:1.5pt" o:hralign="center" o:hrstd="t" o:hr="t" fillcolor="#a0a0a0" stroked="f"/>
        </w:pict>
      </w:r>
    </w:p>
    <w:p w:rsidR="00000000" w:rsidRDefault="0040289C">
      <w:pPr>
        <w:divId w:val="184300742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750930084"/>
        <w:rPr>
          <w:rFonts w:eastAsia="Times New Roman"/>
        </w:rPr>
      </w:pPr>
    </w:p>
    <w:p w:rsidR="00000000" w:rsidRDefault="0040289C">
      <w:pPr>
        <w:jc w:val="both"/>
        <w:rPr>
          <w:rFonts w:eastAsia="Times New Roman"/>
        </w:rPr>
      </w:pPr>
      <w:r>
        <w:rPr>
          <w:rFonts w:eastAsia="Times New Roman"/>
          <w:color w:val="000000"/>
          <w:sz w:val="20"/>
          <w:szCs w:val="20"/>
        </w:rPr>
        <w:t>including renewals when the renewal commission is not commensurate with the initial commission, the expected life of the underlying technol</w:t>
      </w:r>
      <w:r>
        <w:rPr>
          <w:rFonts w:eastAsia="Times New Roman"/>
          <w:color w:val="000000"/>
          <w:sz w:val="20"/>
          <w:szCs w:val="20"/>
        </w:rPr>
        <w:t xml:space="preserve">ogy and other factors. We classify deferred commissions as current or non-current based on the timing of when we expect to recognize the expense. The current and non-current portions of deferred commissions are included in Prepaid and other current assets </w:t>
      </w:r>
      <w:r>
        <w:rPr>
          <w:rFonts w:eastAsia="Times New Roman"/>
          <w:color w:val="000000"/>
          <w:sz w:val="20"/>
          <w:szCs w:val="20"/>
        </w:rPr>
        <w:t>and Other assets, respectively, in the Consolidated Balance Sheets. Amortization of deferred commissions is included in Selling, general and administrative expenses in the Consolidated Statements of Operations.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Set-up Fees and Costs </w:t>
      </w:r>
      <w:r>
        <w:rPr>
          <w:rFonts w:eastAsia="Times New Roman"/>
          <w:color w:val="000000"/>
          <w:sz w:val="20"/>
          <w:szCs w:val="20"/>
        </w:rPr>
        <w:t xml:space="preserve">Fees for the design, </w:t>
      </w:r>
      <w:r>
        <w:rPr>
          <w:rFonts w:eastAsia="Times New Roman"/>
          <w:color w:val="000000"/>
          <w:sz w:val="20"/>
          <w:szCs w:val="20"/>
        </w:rPr>
        <w:t>configuration, implementation and installation related to the software applications that are provided as a service are recognized over the contract term, which is generally 5 years. The related costs incurred that are determined to be incremental and recov</w:t>
      </w:r>
      <w:r>
        <w:rPr>
          <w:rFonts w:eastAsia="Times New Roman"/>
          <w:color w:val="000000"/>
          <w:sz w:val="20"/>
          <w:szCs w:val="20"/>
        </w:rPr>
        <w:t xml:space="preserve">erable contract-specific costs are deferred and amortized over the period of benefit, which is generally 7 years.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Settlement Processing Assets and Obligations</w:t>
      </w:r>
      <w:r>
        <w:rPr>
          <w:rFonts w:eastAsia="Times New Roman"/>
          <w:color w:val="000000"/>
          <w:sz w:val="20"/>
          <w:szCs w:val="20"/>
        </w:rPr>
        <w:t xml:space="preserve"> Funds settlement refers to the process of transferring funds for sales and credits between car</w:t>
      </w:r>
      <w:r>
        <w:rPr>
          <w:rFonts w:eastAsia="Times New Roman"/>
          <w:color w:val="000000"/>
          <w:sz w:val="20"/>
          <w:szCs w:val="20"/>
        </w:rPr>
        <w:t>d issuers and merchants and, for ATM transactions, between card issuers and merchants or financial institutions. Depending on the type of transaction, either the credit card interchange system or the debit network is used to transfer the information and fu</w:t>
      </w:r>
      <w:r>
        <w:rPr>
          <w:rFonts w:eastAsia="Times New Roman"/>
          <w:color w:val="000000"/>
          <w:sz w:val="20"/>
          <w:szCs w:val="20"/>
        </w:rPr>
        <w:t>nds in either direction between the sponsoring bank and card issuing bank to complete the link between merchants or financial institutions and card issuers. In certain of our processing arrangements, merchant funding occurs after the sponsoring bank or the</w:t>
      </w:r>
      <w:r>
        <w:rPr>
          <w:rFonts w:eastAsia="Times New Roman"/>
          <w:color w:val="000000"/>
          <w:sz w:val="20"/>
          <w:szCs w:val="20"/>
        </w:rPr>
        <w:t xml:space="preserve"> Company receives the funds from the card issuer through the card networks, creating a settlement obligation to the merchant or financial institution on the Company’s Consolidated Balance Sheet. In a limited number of other arrangements, the sponsoring ban</w:t>
      </w:r>
      <w:r>
        <w:rPr>
          <w:rFonts w:eastAsia="Times New Roman"/>
          <w:color w:val="000000"/>
          <w:sz w:val="20"/>
          <w:szCs w:val="20"/>
        </w:rPr>
        <w:t>k funds the merchants before it receives the net settlement funds from the card networks, creating a settlement asset on the Company’s Consolidated Balance Sheet. Additionally, relative to credit card transactions, certain of the Company’s sponsoring banks</w:t>
      </w:r>
      <w:r>
        <w:rPr>
          <w:rFonts w:eastAsia="Times New Roman"/>
          <w:color w:val="000000"/>
          <w:sz w:val="20"/>
          <w:szCs w:val="20"/>
        </w:rPr>
        <w:t xml:space="preserve"> collect the gross revenue from the merchants, pay the interchange fees and assessments to the credit card associations, collect their fees for processing and pay the Company a net residual payment representing the Company’s fees for the services. In these</w:t>
      </w:r>
      <w:r>
        <w:rPr>
          <w:rFonts w:eastAsia="Times New Roman"/>
          <w:color w:val="000000"/>
          <w:sz w:val="20"/>
          <w:szCs w:val="20"/>
        </w:rPr>
        <w:t xml:space="preserve"> instances, the Company does not reflect the related settlement processing assets and obligations in its Consolidated Balance Sheet.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Settlement processing assets consist of settlement assets due from customers and receivables from merchants corresponding</w:t>
      </w:r>
      <w:r>
        <w:rPr>
          <w:rFonts w:eastAsia="Times New Roman"/>
          <w:color w:val="000000"/>
          <w:sz w:val="20"/>
          <w:szCs w:val="20"/>
        </w:rPr>
        <w:t xml:space="preserve"> to the discount fee related to reimbursement of the interchange expense, our receivables from the processing bank or Electronic Funds Transfer (“EFT”) network for transactions that have occurred and have been funded to merchants or financial institutions </w:t>
      </w:r>
      <w:r>
        <w:rPr>
          <w:rFonts w:eastAsia="Times New Roman"/>
          <w:color w:val="000000"/>
          <w:sz w:val="20"/>
          <w:szCs w:val="20"/>
        </w:rPr>
        <w:t>in advance of receipt of card association funding, restricted cash balances that are not yet due to merchants or financial institutions, merchant reserves held, sponsoring bank reserves and exception items, such as customer chargeback amounts receivable fr</w:t>
      </w:r>
      <w:r>
        <w:rPr>
          <w:rFonts w:eastAsia="Times New Roman"/>
          <w:color w:val="000000"/>
          <w:sz w:val="20"/>
          <w:szCs w:val="20"/>
        </w:rPr>
        <w:t>om merchants. Settlement processing obligations consist primarily of merchant reserves, our liability to the processing bank or merchant for transactions for which we have received funding from the members or networks but have not funded merchants or finan</w:t>
      </w:r>
      <w:r>
        <w:rPr>
          <w:rFonts w:eastAsia="Times New Roman"/>
          <w:color w:val="000000"/>
          <w:sz w:val="20"/>
          <w:szCs w:val="20"/>
        </w:rPr>
        <w:t>cial institutions as well as certain exception items. Settlement processing assets other than restricted cash are recorded within Prepaid and other current assets and settlement processing liabilities are recorded within Settlement liabilities in the Conso</w:t>
      </w:r>
      <w:r>
        <w:rPr>
          <w:rFonts w:eastAsia="Times New Roman"/>
          <w:color w:val="000000"/>
          <w:sz w:val="20"/>
          <w:szCs w:val="20"/>
        </w:rPr>
        <w:t>lidated Balance Sheet. Cash related to settlement processing is recorded within Restricted cash in the Consolidated Balance Sheet. As of December 31, 2022 and 2021, settlement processing assets were $275 million and $287 million, respectively, and settleme</w:t>
      </w:r>
      <w:r>
        <w:rPr>
          <w:rFonts w:eastAsia="Times New Roman"/>
          <w:color w:val="000000"/>
          <w:sz w:val="20"/>
          <w:szCs w:val="20"/>
        </w:rPr>
        <w:t>nt processing liabilities were $250 million and $263 million, respectively. Settlement receivables are generally collected within four business days. Settlement obligations are generally paid within three business days, regardless of when the related settl</w:t>
      </w:r>
      <w:r>
        <w:rPr>
          <w:rFonts w:eastAsia="Times New Roman"/>
          <w:color w:val="000000"/>
          <w:sz w:val="20"/>
          <w:szCs w:val="20"/>
        </w:rPr>
        <w:t>ement receivables are collected.</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Capitalized Software</w:t>
      </w:r>
      <w:r>
        <w:rPr>
          <w:rFonts w:eastAsia="Times New Roman"/>
          <w:color w:val="000000"/>
          <w:sz w:val="20"/>
          <w:szCs w:val="20"/>
        </w:rPr>
        <w:t xml:space="preserve"> Certain direct development costs associated with internal-use software are capitalized within Other assets and amortized over the estimated useful lives of the resulting software. NCR typically amorti</w:t>
      </w:r>
      <w:r>
        <w:rPr>
          <w:rFonts w:eastAsia="Times New Roman"/>
          <w:color w:val="000000"/>
          <w:sz w:val="20"/>
          <w:szCs w:val="20"/>
        </w:rPr>
        <w:t>zes capitalized internal-use software on a straight-line basis over</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to seven years beginning when the asset is substantially ready for use, as this is considered to approximate the usage pattern of the software. When it becomes probable that internal-</w:t>
      </w:r>
      <w:r>
        <w:rPr>
          <w:rFonts w:eastAsia="Times New Roman"/>
          <w:color w:val="000000"/>
          <w:sz w:val="20"/>
          <w:szCs w:val="20"/>
        </w:rPr>
        <w:t>use software being developed will not be completed or placed into service, the internal-use software is reported at the lower of the carrying amount or fair value.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Costs incurred for the development of software that will be sold, leased or otherwise mark</w:t>
      </w:r>
      <w:r>
        <w:rPr>
          <w:rFonts w:eastAsia="Times New Roman"/>
          <w:color w:val="000000"/>
          <w:sz w:val="20"/>
          <w:szCs w:val="20"/>
        </w:rPr>
        <w:t>eted are capitalized when technological feasibility has been established. These costs are included within Other assets and are amortized on a sum-of-the-years' digits or straight-line basis over the estimated useful lives ranging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five years, </w:t>
      </w:r>
      <w:r>
        <w:rPr>
          <w:rFonts w:eastAsia="Times New Roman"/>
          <w:color w:val="000000"/>
          <w:sz w:val="20"/>
          <w:szCs w:val="20"/>
        </w:rPr>
        <w:t>using the method that most closely approximates the sales pattern of the software. Amortization begins when the product is available for general release. Costs capitalized include direct labor and related overhead costs. Costs incurred prior to technologic</w:t>
      </w:r>
      <w:r>
        <w:rPr>
          <w:rFonts w:eastAsia="Times New Roman"/>
          <w:color w:val="000000"/>
          <w:sz w:val="20"/>
          <w:szCs w:val="20"/>
        </w:rPr>
        <w:t>al feasibility or after general release are expensed as incurred. NCR performs periodic reviews to ensure that unamortized program costs remain recoverable from future revenue. If future revenue does not support the unamortized program costs, the amount by</w:t>
      </w:r>
      <w:r>
        <w:rPr>
          <w:rFonts w:eastAsia="Times New Roman"/>
          <w:color w:val="000000"/>
          <w:sz w:val="20"/>
          <w:szCs w:val="20"/>
        </w:rPr>
        <w:t xml:space="preserve"> which the unamortized capitalized cost of a software product exceeds the net realizable value is written off. </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798378845"/>
        <w:rPr>
          <w:rFonts w:eastAsia="Times New Roman"/>
        </w:rPr>
      </w:pPr>
      <w:r>
        <w:rPr>
          <w:rFonts w:eastAsia="Times New Roman"/>
          <w:color w:val="000000"/>
          <w:sz w:val="20"/>
          <w:szCs w:val="20"/>
        </w:rPr>
        <w:t>69</w:t>
      </w:r>
    </w:p>
    <w:p w:rsidR="00000000" w:rsidRDefault="0040289C">
      <w:pPr>
        <w:rPr>
          <w:rFonts w:eastAsia="Times New Roman"/>
        </w:rPr>
      </w:pPr>
      <w:r>
        <w:rPr>
          <w:rFonts w:eastAsia="Times New Roman"/>
        </w:rPr>
        <w:pict>
          <v:rect id="_x0000_i1099" style="width:0;height:1.5pt" o:hralign="center" o:hrstd="t" o:hr="t" fillcolor="#a0a0a0" stroked="f"/>
        </w:pict>
      </w:r>
    </w:p>
    <w:p w:rsidR="00000000" w:rsidRDefault="0040289C">
      <w:pPr>
        <w:divId w:val="140699693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535657286"/>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following table</w:t>
      </w:r>
      <w:r>
        <w:rPr>
          <w:rFonts w:eastAsia="Times New Roman"/>
          <w:color w:val="000000"/>
          <w:sz w:val="20"/>
          <w:szCs w:val="20"/>
        </w:rPr>
        <w:t xml:space="preserve"> identifies the activity relating to total capitalized software:</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668"/>
        <w:gridCol w:w="37"/>
        <w:gridCol w:w="120"/>
        <w:gridCol w:w="977"/>
        <w:gridCol w:w="36"/>
        <w:gridCol w:w="36"/>
        <w:gridCol w:w="36"/>
        <w:gridCol w:w="36"/>
        <w:gridCol w:w="120"/>
        <w:gridCol w:w="938"/>
        <w:gridCol w:w="36"/>
        <w:gridCol w:w="36"/>
        <w:gridCol w:w="36"/>
        <w:gridCol w:w="36"/>
        <w:gridCol w:w="120"/>
        <w:gridCol w:w="938"/>
        <w:gridCol w:w="36"/>
      </w:tblGrid>
      <w:tr w:rsidR="00000000">
        <w:trPr>
          <w:divId w:val="1753577104"/>
          <w:jc w:val="center"/>
        </w:trPr>
        <w:tc>
          <w:tcPr>
            <w:tcW w:w="50" w:type="pct"/>
            <w:vAlign w:val="center"/>
            <w:hideMark/>
          </w:tcPr>
          <w:p w:rsidR="00000000" w:rsidRDefault="0040289C">
            <w:pPr>
              <w:jc w:val="both"/>
              <w:rPr>
                <w:rFonts w:eastAsia="Times New Roman"/>
              </w:rPr>
            </w:pPr>
          </w:p>
        </w:tc>
        <w:tc>
          <w:tcPr>
            <w:tcW w:w="28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753577104"/>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753577104"/>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Beginning balance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53577104"/>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Capitalization</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53577104"/>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Amortization</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53577104"/>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Impairment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53577104"/>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Capitalized software acquired and other adjustments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53577104"/>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Ending balance as of December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263000372"/>
        <w:rPr>
          <w:rFonts w:eastAsia="Times New Roman"/>
        </w:rPr>
      </w:pPr>
    </w:p>
    <w:p w:rsidR="00000000" w:rsidRDefault="0040289C">
      <w:pPr>
        <w:jc w:val="both"/>
        <w:rPr>
          <w:rFonts w:eastAsia="Times New Roman"/>
        </w:rPr>
      </w:pPr>
      <w:r>
        <w:rPr>
          <w:rFonts w:eastAsia="Times New Roman"/>
          <w:color w:val="000000"/>
          <w:sz w:val="20"/>
          <w:szCs w:val="20"/>
        </w:rPr>
        <w:t>During the year ended December 31, 2021 and 2020, we recorded the write-off of certain internal and external-use software capitalization projects that are no longer considered strategic and as a result, the projects have been abandoned.</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Goodwill and Othe</w:t>
      </w:r>
      <w:r>
        <w:rPr>
          <w:rFonts w:eastAsia="Times New Roman"/>
          <w:b/>
          <w:bCs/>
          <w:color w:val="000000"/>
          <w:sz w:val="20"/>
          <w:szCs w:val="20"/>
        </w:rPr>
        <w:t>r Intangible Assets</w:t>
      </w:r>
      <w:r>
        <w:rPr>
          <w:rFonts w:eastAsia="Times New Roman"/>
          <w:color w:val="000000"/>
          <w:sz w:val="20"/>
          <w:szCs w:val="20"/>
        </w:rPr>
        <w:t xml:space="preserve"> Goodwill represents the excess of purchase price over the fair value of the net tangible and identifiable intangible assets of businesses acquired. Goodwill is tested at the reporting unit level for impairment on an annual basis during </w:t>
      </w:r>
      <w:r>
        <w:rPr>
          <w:rFonts w:eastAsia="Times New Roman"/>
          <w:color w:val="000000"/>
          <w:sz w:val="20"/>
          <w:szCs w:val="20"/>
        </w:rPr>
        <w:t>the fourth quarter or more frequently if certain events occur indicating that the carrying value of goodwill may be impaired. A significant amount of judgment is involved in determining if an indicator of impairment has occurred. Such indicators may includ</w:t>
      </w:r>
      <w:r>
        <w:rPr>
          <w:rFonts w:eastAsia="Times New Roman"/>
          <w:color w:val="000000"/>
          <w:sz w:val="20"/>
          <w:szCs w:val="20"/>
        </w:rPr>
        <w:t>e a decline in expected cash flows, a significant adverse change in legal factors or in the business climate, a decision to sell a business, unanticipated competition, or slower growth rates, among others. Consistent with the examples of such events and ci</w:t>
      </w:r>
      <w:r>
        <w:rPr>
          <w:rFonts w:eastAsia="Times New Roman"/>
          <w:color w:val="000000"/>
          <w:sz w:val="20"/>
          <w:szCs w:val="20"/>
        </w:rPr>
        <w:t>rcumstances given in the accounting guidance, we believe that a goodwill impairment test should be performed immediately before and after a reorganization of our reporting structure when the reorganization would affect the composition of one or more of our</w:t>
      </w:r>
      <w:r>
        <w:rPr>
          <w:rFonts w:eastAsia="Times New Roman"/>
          <w:color w:val="000000"/>
          <w:sz w:val="20"/>
          <w:szCs w:val="20"/>
        </w:rPr>
        <w:t xml:space="preserve"> reporting units. In this circumstance, performing the impairment test immediately before and after the reorganization would help to confirm that the reorganization is not potentially masking a goodwill impairment charge.</w:t>
      </w:r>
    </w:p>
    <w:p w:rsidR="00000000" w:rsidRDefault="0040289C">
      <w:pPr>
        <w:divId w:val="2108501930"/>
        <w:rPr>
          <w:rFonts w:eastAsia="Times New Roman"/>
        </w:rPr>
      </w:pPr>
    </w:p>
    <w:p w:rsidR="00000000" w:rsidRDefault="0040289C">
      <w:pPr>
        <w:jc w:val="both"/>
        <w:rPr>
          <w:rFonts w:eastAsia="Times New Roman"/>
        </w:rPr>
      </w:pPr>
      <w:r>
        <w:rPr>
          <w:rFonts w:eastAsia="Times New Roman"/>
          <w:color w:val="000000"/>
          <w:sz w:val="20"/>
          <w:szCs w:val="20"/>
        </w:rPr>
        <w:t>In the evaluation of goodwill fo</w:t>
      </w:r>
      <w:r>
        <w:rPr>
          <w:rFonts w:eastAsia="Times New Roman"/>
          <w:color w:val="000000"/>
          <w:sz w:val="20"/>
          <w:szCs w:val="20"/>
        </w:rPr>
        <w:t>r impairment, we have the option to perform a qualitative assessment to determine whether further impairment testing is necessary or to perform a quantitative assessment by comparing the fair value of a reporting unit to its carrying amount, including good</w:t>
      </w:r>
      <w:r>
        <w:rPr>
          <w:rFonts w:eastAsia="Times New Roman"/>
          <w:color w:val="000000"/>
          <w:sz w:val="20"/>
          <w:szCs w:val="20"/>
        </w:rPr>
        <w:t xml:space="preserve">will. Under the qualitative assessment, an entity is not required to calculate the fair value of a reporting unit unless the entity determines that it is more likely than not that its fair value is less than its carrying amount. If, under the quantitative </w:t>
      </w:r>
      <w:r>
        <w:rPr>
          <w:rFonts w:eastAsia="Times New Roman"/>
          <w:color w:val="000000"/>
          <w:sz w:val="20"/>
          <w:szCs w:val="20"/>
        </w:rPr>
        <w:t>assessment, the fair value of a reporting unit is less than its carrying amount, then the amount of the impairment loss, if any, is determined based on the amount by which the carrying amount exceeds the fair value up to the total value of goodwill assigne</w:t>
      </w:r>
      <w:r>
        <w:rPr>
          <w:rFonts w:eastAsia="Times New Roman"/>
          <w:color w:val="000000"/>
          <w:sz w:val="20"/>
          <w:szCs w:val="20"/>
        </w:rPr>
        <w:t>d to the reporting unit. Fair values of the reporting units are estimated using a weighted methodology considering the output from both the income and market approaches. The income approach incorporates the use of discounted cash flow (“DCF”) analysis. A n</w:t>
      </w:r>
      <w:r>
        <w:rPr>
          <w:rFonts w:eastAsia="Times New Roman"/>
          <w:color w:val="000000"/>
          <w:sz w:val="20"/>
          <w:szCs w:val="20"/>
        </w:rPr>
        <w:t>umber of significant assumptions and estimates are involved in the application of the DCF model to forecast operating cash flows, including revenue growth rates, EBITDA margins and discount rates. Several of these assumptions vary among reporting units. Th</w:t>
      </w:r>
      <w:r>
        <w:rPr>
          <w:rFonts w:eastAsia="Times New Roman"/>
          <w:color w:val="000000"/>
          <w:sz w:val="20"/>
          <w:szCs w:val="20"/>
        </w:rPr>
        <w:t>e cash flow forecasts are generally based on approved strategic operating plans. The market approach is performed using the Guideline Public Companies (“GPC”) method which is based on earnings multiple data. We perform a reconciliation between our market c</w:t>
      </w:r>
      <w:r>
        <w:rPr>
          <w:rFonts w:eastAsia="Times New Roman"/>
          <w:color w:val="000000"/>
          <w:sz w:val="20"/>
          <w:szCs w:val="20"/>
        </w:rPr>
        <w:t>apitalization and our estimate of the aggregate fair value of the reporting units, including consideration of a control premium. Refer to Note 3, “Goodwill and Purchased Intangible Assets”, for further discussion.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Acquired intangible assets other than go</w:t>
      </w:r>
      <w:r>
        <w:rPr>
          <w:rFonts w:eastAsia="Times New Roman"/>
          <w:color w:val="000000"/>
          <w:sz w:val="20"/>
          <w:szCs w:val="20"/>
        </w:rPr>
        <w:t xml:space="preserve">odwill are amortized over their weighted average amortization period unless they are determined to be indefinite. Acquired intangible assets are carried at cost, less accumulated amortization. For intangible assets purchased in a business combination, the </w:t>
      </w:r>
      <w:r>
        <w:rPr>
          <w:rFonts w:eastAsia="Times New Roman"/>
          <w:color w:val="000000"/>
          <w:sz w:val="20"/>
          <w:szCs w:val="20"/>
        </w:rPr>
        <w:t>estimated fair values of the assets received are used to establish the carrying value. The fair value of acquired intangible assets is determined using common techniques, and the Company employs assumptions developed using the perspective of a market parti</w:t>
      </w:r>
      <w:r>
        <w:rPr>
          <w:rFonts w:eastAsia="Times New Roman"/>
          <w:color w:val="000000"/>
          <w:sz w:val="20"/>
          <w:szCs w:val="20"/>
        </w:rPr>
        <w:t xml:space="preserve">cipant.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Property, Plant and Equipment</w:t>
      </w:r>
      <w:r>
        <w:rPr>
          <w:rFonts w:eastAsia="Times New Roman"/>
          <w:color w:val="000000"/>
          <w:sz w:val="20"/>
          <w:szCs w:val="20"/>
        </w:rPr>
        <w:t xml:space="preserve"> Property, plant and equipment and leasehold improvements are stated at cost less accumulated depreciation. Depreciation is computed over the estimated useful lives of the related assets primarily on a straight-line </w:t>
      </w:r>
      <w:r>
        <w:rPr>
          <w:rFonts w:eastAsia="Times New Roman"/>
          <w:color w:val="000000"/>
          <w:sz w:val="20"/>
          <w:szCs w:val="20"/>
        </w:rPr>
        <w:t>basis. Machinery and other equipment are depreciated over 3 to 20 years and buildings over 25 to 45 years. Leasehold improvements are depreciated over the life of the lease or the asset, whichever is shorter. Assets classified as held for sale are not depr</w:t>
      </w:r>
      <w:r>
        <w:rPr>
          <w:rFonts w:eastAsia="Times New Roman"/>
          <w:color w:val="000000"/>
          <w:sz w:val="20"/>
          <w:szCs w:val="20"/>
        </w:rPr>
        <w:t>eciated. Upon retirement or disposition of property, plant and equipment, the related cost and accumulated depreciation or amortization are removed from the Company’s accounts, and a gain or loss is recorded. Depreciation expense related to property, plant</w:t>
      </w:r>
      <w:r>
        <w:rPr>
          <w:rFonts w:eastAsia="Times New Roman"/>
          <w:color w:val="000000"/>
          <w:sz w:val="20"/>
          <w:szCs w:val="20"/>
        </w:rPr>
        <w:t xml:space="preserve"> and equipment was $193 million, $140 million, and $88 million for the years ended December 31, 2022, 2021, and 2020, respectively. </w:t>
      </w:r>
    </w:p>
    <w:p w:rsidR="00000000" w:rsidRDefault="0040289C">
      <w:pPr>
        <w:jc w:val="both"/>
        <w:rPr>
          <w:rFonts w:eastAsia="Times New Roman"/>
        </w:rPr>
      </w:pPr>
    </w:p>
    <w:p w:rsidR="00000000" w:rsidRDefault="0040289C">
      <w:pPr>
        <w:jc w:val="center"/>
        <w:divId w:val="817459484"/>
        <w:rPr>
          <w:rFonts w:eastAsia="Times New Roman"/>
        </w:rPr>
      </w:pPr>
      <w:r>
        <w:rPr>
          <w:rFonts w:eastAsia="Times New Roman"/>
          <w:color w:val="000000"/>
          <w:sz w:val="20"/>
          <w:szCs w:val="20"/>
        </w:rPr>
        <w:t>70</w:t>
      </w:r>
    </w:p>
    <w:p w:rsidR="00000000" w:rsidRDefault="0040289C">
      <w:pPr>
        <w:rPr>
          <w:rFonts w:eastAsia="Times New Roman"/>
        </w:rPr>
      </w:pPr>
      <w:r>
        <w:rPr>
          <w:rFonts w:eastAsia="Times New Roman"/>
        </w:rPr>
        <w:pict>
          <v:rect id="_x0000_i1100" style="width:0;height:1.5pt" o:hralign="center" o:hrstd="t" o:hr="t" fillcolor="#a0a0a0" stroked="f"/>
        </w:pict>
      </w:r>
    </w:p>
    <w:p w:rsidR="00000000" w:rsidRDefault="0040289C">
      <w:pPr>
        <w:divId w:val="198450345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29571203"/>
        <w:rPr>
          <w:rFonts w:eastAsia="Times New Roman"/>
        </w:rPr>
      </w:pPr>
    </w:p>
    <w:p w:rsidR="00000000" w:rsidRDefault="0040289C">
      <w:pPr>
        <w:jc w:val="both"/>
        <w:rPr>
          <w:rFonts w:eastAsia="Times New Roman"/>
        </w:rPr>
      </w:pPr>
      <w:r>
        <w:rPr>
          <w:rFonts w:eastAsia="Times New Roman"/>
          <w:color w:val="000000"/>
          <w:sz w:val="20"/>
          <w:szCs w:val="20"/>
        </w:rPr>
        <w:t>Als</w:t>
      </w:r>
      <w:r>
        <w:rPr>
          <w:rFonts w:eastAsia="Times New Roman"/>
          <w:color w:val="000000"/>
          <w:sz w:val="20"/>
          <w:szCs w:val="20"/>
        </w:rPr>
        <w:t>o reported in property and equipment are ATMs and the associated equipment the Company has acquired for future installation or has temporarily removed from service and plans to re-deploy. Significant refurbishment costs that extend the useful life of an as</w:t>
      </w:r>
      <w:r>
        <w:rPr>
          <w:rFonts w:eastAsia="Times New Roman"/>
          <w:color w:val="000000"/>
          <w:sz w:val="20"/>
          <w:szCs w:val="20"/>
        </w:rPr>
        <w:t>set, or enhance its functionality, are capitalized and depreciated over the estimated remaining life of the improved asset. Maintenance costs are expensed as incurred.</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Valuation of Long-Lived Assets</w:t>
      </w:r>
      <w:r>
        <w:rPr>
          <w:rFonts w:eastAsia="Times New Roman"/>
          <w:color w:val="000000"/>
          <w:sz w:val="20"/>
          <w:szCs w:val="20"/>
        </w:rPr>
        <w:t xml:space="preserve"> Long-lived assets such as property, plant and equipment</w:t>
      </w:r>
      <w:r>
        <w:rPr>
          <w:rFonts w:eastAsia="Times New Roman"/>
          <w:color w:val="000000"/>
          <w:sz w:val="20"/>
          <w:szCs w:val="20"/>
        </w:rPr>
        <w:t xml:space="preserve"> and finite-lived intangible assets are reviewed for impairment when events or changes in circumstances indicate that the carrying amount of the assets may not be recoverable or in the period in which the held for sale criteria are met. For assets held and</w:t>
      </w:r>
      <w:r>
        <w:rPr>
          <w:rFonts w:eastAsia="Times New Roman"/>
          <w:color w:val="000000"/>
          <w:sz w:val="20"/>
          <w:szCs w:val="20"/>
        </w:rPr>
        <w:t xml:space="preserve"> used, this analysis consists of comparing the asset’s carrying value to the expected future cash flows to be generated from the asset on an undiscounted basis. If the carrying amount of the asset is determined not to be recoverable, a write-down to fair v</w:t>
      </w:r>
      <w:r>
        <w:rPr>
          <w:rFonts w:eastAsia="Times New Roman"/>
          <w:color w:val="000000"/>
          <w:sz w:val="20"/>
          <w:szCs w:val="20"/>
        </w:rPr>
        <w:t>alue is recorded. Fair values are determined based on quoted market values, discounted cash flows, or external appraisals, as applicable. Long-lived assets are reviewed for impairment at the individual asset or the asset group level for which the lowest le</w:t>
      </w:r>
      <w:r>
        <w:rPr>
          <w:rFonts w:eastAsia="Times New Roman"/>
          <w:color w:val="000000"/>
          <w:sz w:val="20"/>
          <w:szCs w:val="20"/>
        </w:rPr>
        <w:t>vel of independent cash flows can be identified. Refer to Note 3, “Goodwill and Purchased Intangible Assets”, for further discussion.</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Leasing</w:t>
      </w:r>
      <w:r>
        <w:rPr>
          <w:rFonts w:eastAsia="Times New Roman"/>
          <w:color w:val="000000"/>
          <w:sz w:val="20"/>
          <w:szCs w:val="20"/>
        </w:rPr>
        <w:t xml:space="preserve"> The Company determines whether an arrangement is a lease at the inception of the arrangement based on the terms </w:t>
      </w:r>
      <w:r>
        <w:rPr>
          <w:rFonts w:eastAsia="Times New Roman"/>
          <w:color w:val="000000"/>
          <w:sz w:val="20"/>
          <w:szCs w:val="20"/>
        </w:rPr>
        <w:t>and conditions in the contract. A contract contains a lease if there is an identified asset and the Company has the right to control the asset.</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Lessee</w:t>
      </w:r>
      <w:r>
        <w:rPr>
          <w:rFonts w:eastAsia="Times New Roman"/>
          <w:color w:val="000000"/>
          <w:sz w:val="20"/>
          <w:szCs w:val="20"/>
        </w:rPr>
        <w:t xml:space="preserve"> We lease property, vehicles and equipment under operating and financing leases. For leases with terms g</w:t>
      </w:r>
      <w:r>
        <w:rPr>
          <w:rFonts w:eastAsia="Times New Roman"/>
          <w:color w:val="000000"/>
          <w:sz w:val="20"/>
          <w:szCs w:val="20"/>
        </w:rPr>
        <w:t>reater than 12 months, we record the related asset and obligation at the present value of lease payments over the term. We determine the lease term by assuming the exercise of renewal options that are reasonably certain. Leases with a lease term of 12 mont</w:t>
      </w:r>
      <w:r>
        <w:rPr>
          <w:rFonts w:eastAsia="Times New Roman"/>
          <w:color w:val="000000"/>
          <w:sz w:val="20"/>
          <w:szCs w:val="20"/>
        </w:rPr>
        <w:t>hs or less at inception are not recorded on our Consolidated Balance Sheet and are expensed on a straight-line basis over the lease term in our Consolidated Statement of Operations. Our leases may include rental escalation clauses, renewal options and/or t</w:t>
      </w:r>
      <w:r>
        <w:rPr>
          <w:rFonts w:eastAsia="Times New Roman"/>
          <w:color w:val="000000"/>
          <w:sz w:val="20"/>
          <w:szCs w:val="20"/>
        </w:rPr>
        <w:t>ermination options that are factored into our determination of lease payments when appropriate. When available, we use the rate implicit in the lease to discount lease payments to present value; however, most of our leases do not provide a readily determin</w:t>
      </w:r>
      <w:r>
        <w:rPr>
          <w:rFonts w:eastAsia="Times New Roman"/>
          <w:color w:val="000000"/>
          <w:sz w:val="20"/>
          <w:szCs w:val="20"/>
        </w:rPr>
        <w:t xml:space="preserve">able implicit rate. Therefore, we must estimate our incremental borrowing rate to discount the lease payments based on information available at lease commencement. Our incremental borrowing rate is based on a credit-adjusted risk-free rate at commencement </w:t>
      </w:r>
      <w:r>
        <w:rPr>
          <w:rFonts w:eastAsia="Times New Roman"/>
          <w:color w:val="000000"/>
          <w:sz w:val="20"/>
          <w:szCs w:val="20"/>
        </w:rPr>
        <w:t>date, which best approximates a secured rate over a similar term of lease. Additionally, we do not separate lease and non-lease components for any asset classes, except for those leases embedded in certain service arrangements. Fixed and in-substance fixed</w:t>
      </w:r>
      <w:r>
        <w:rPr>
          <w:rFonts w:eastAsia="Times New Roman"/>
          <w:color w:val="000000"/>
          <w:sz w:val="20"/>
          <w:szCs w:val="20"/>
        </w:rPr>
        <w:t xml:space="preserve"> payments are included in the recognition of the operating and financing assets and lease liabilities, however, variable lease payments, other than those based on a rate or index, are recognized in the Consolidated Statements of Operations in the period in</w:t>
      </w:r>
      <w:r>
        <w:rPr>
          <w:rFonts w:eastAsia="Times New Roman"/>
          <w:color w:val="000000"/>
          <w:sz w:val="20"/>
          <w:szCs w:val="20"/>
        </w:rPr>
        <w:t xml:space="preserve"> which the obligation for those payments is incurred. The Company’s variable lease payments generally relate to payments tied to various indices, non-lease components and payments above a contractual minimum fixed payment.</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Lessor</w:t>
      </w:r>
      <w:r>
        <w:rPr>
          <w:rFonts w:eastAsia="Times New Roman"/>
          <w:color w:val="000000"/>
          <w:sz w:val="20"/>
          <w:szCs w:val="20"/>
        </w:rPr>
        <w:t xml:space="preserve"> We have various arrangem</w:t>
      </w:r>
      <w:r>
        <w:rPr>
          <w:rFonts w:eastAsia="Times New Roman"/>
          <w:color w:val="000000"/>
          <w:sz w:val="20"/>
          <w:szCs w:val="20"/>
        </w:rPr>
        <w:t>ents for certain point-of-sale equipment under which we are the lessor. These leases meet the criteria for operating lease classification. Lease income associated with these leases is not material.</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Pension, Postretirement and Postemployment Benefits</w:t>
      </w:r>
      <w:r>
        <w:rPr>
          <w:rFonts w:eastAsia="Times New Roman"/>
          <w:color w:val="000000"/>
          <w:sz w:val="20"/>
          <w:szCs w:val="20"/>
        </w:rPr>
        <w:t xml:space="preserve"> NCR </w:t>
      </w:r>
      <w:r>
        <w:rPr>
          <w:rFonts w:eastAsia="Times New Roman"/>
          <w:color w:val="000000"/>
          <w:sz w:val="20"/>
          <w:szCs w:val="20"/>
        </w:rPr>
        <w:t>has significant pension, postretirement and postemployment benefit costs, which are developed from actuarial valuations. Actuarial assumptions are established to anticipate future events and are used in calculating the expense and liabilities relating to t</w:t>
      </w:r>
      <w:r>
        <w:rPr>
          <w:rFonts w:eastAsia="Times New Roman"/>
          <w:color w:val="000000"/>
          <w:sz w:val="20"/>
          <w:szCs w:val="20"/>
        </w:rPr>
        <w:t xml:space="preserve">hese plans. These factors include assumptions the Company makes about interest rates, expected investment return on plan assets, rate of increase in healthcare costs, involuntary turnover rates, and rates of future compensation increases. In addition, NCR </w:t>
      </w:r>
      <w:r>
        <w:rPr>
          <w:rFonts w:eastAsia="Times New Roman"/>
          <w:color w:val="000000"/>
          <w:sz w:val="20"/>
          <w:szCs w:val="20"/>
        </w:rPr>
        <w:t>also uses subjective factors, such as withdrawal rates and mortality rates to develop the Company’s valuations. NCR generally reviews and updates these assumptions on an annual basis. NCR is required to consider current market conditions, including changes</w:t>
      </w:r>
      <w:r>
        <w:rPr>
          <w:rFonts w:eastAsia="Times New Roman"/>
          <w:color w:val="000000"/>
          <w:sz w:val="20"/>
          <w:szCs w:val="20"/>
        </w:rPr>
        <w:t xml:space="preserve"> in interest rates, in making these assumptions. The actuarial assumptions that NCR uses may differ materially from actual results due to changing market and economic conditions, higher or lower withdrawal rates, or longer or shorter life spans of particip</w:t>
      </w:r>
      <w:r>
        <w:rPr>
          <w:rFonts w:eastAsia="Times New Roman"/>
          <w:color w:val="000000"/>
          <w:sz w:val="20"/>
          <w:szCs w:val="20"/>
        </w:rPr>
        <w:t xml:space="preserve">ants. These differences may result in a significant impact to the amount of pension, postretirement or postemployment benefits expense, and the related assets and liabilities, the Company has recorded or may record.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Environmental and Legal Contingencies</w:t>
      </w:r>
      <w:r>
        <w:rPr>
          <w:rFonts w:eastAsia="Times New Roman"/>
          <w:color w:val="000000"/>
          <w:sz w:val="20"/>
          <w:szCs w:val="20"/>
        </w:rPr>
        <w:t xml:space="preserve"> In the normal course of business, NCR is subject to various proceedings, lawsuits, claims and other matters, including, for example, those that relate to the environment and health and safety, labor and employment, emp</w:t>
      </w:r>
      <w:r>
        <w:rPr>
          <w:rFonts w:eastAsia="Times New Roman"/>
          <w:color w:val="000000"/>
          <w:sz w:val="20"/>
          <w:szCs w:val="20"/>
        </w:rPr>
        <w:t>loyee benefits, import/export compliance, intellectual property, data privacy and security, product liability, commercial disputes and regulatory compliance, among others. Additionally, NCR is subject to diverse and complex laws, regulations, and standards</w:t>
      </w:r>
      <w:r>
        <w:rPr>
          <w:rFonts w:eastAsia="Times New Roman"/>
          <w:color w:val="000000"/>
          <w:sz w:val="20"/>
          <w:szCs w:val="20"/>
        </w:rPr>
        <w:t xml:space="preserve"> including those relating to corporate governance, public disclosure and reporting, environmental safety and the discharge of materials into the environment, product safety, import and export compliance, data privacy and security, antitrust and competition</w:t>
      </w:r>
      <w:r>
        <w:rPr>
          <w:rFonts w:eastAsia="Times New Roman"/>
          <w:color w:val="000000"/>
          <w:sz w:val="20"/>
          <w:szCs w:val="20"/>
        </w:rPr>
        <w:t xml:space="preserve">, government contracting, anti-corruption, and labor and human resources, which are rapidly changing and subject to many possible changes in the future. Compliance with these laws and regulations, including changes in </w:t>
      </w:r>
    </w:p>
    <w:p w:rsidR="00000000" w:rsidRDefault="0040289C">
      <w:pPr>
        <w:jc w:val="center"/>
        <w:divId w:val="1490441966"/>
        <w:rPr>
          <w:rFonts w:eastAsia="Times New Roman"/>
        </w:rPr>
      </w:pPr>
      <w:r>
        <w:rPr>
          <w:rFonts w:eastAsia="Times New Roman"/>
          <w:color w:val="000000"/>
          <w:sz w:val="20"/>
          <w:szCs w:val="20"/>
        </w:rPr>
        <w:t>71</w:t>
      </w:r>
    </w:p>
    <w:p w:rsidR="00000000" w:rsidRDefault="0040289C">
      <w:pPr>
        <w:rPr>
          <w:rFonts w:eastAsia="Times New Roman"/>
        </w:rPr>
      </w:pPr>
      <w:r>
        <w:rPr>
          <w:rFonts w:eastAsia="Times New Roman"/>
        </w:rPr>
        <w:pict>
          <v:rect id="_x0000_i1101" style="width:0;height:1.5pt" o:hralign="center" o:hrstd="t" o:hr="t" fillcolor="#a0a0a0" stroked="f"/>
        </w:pict>
      </w:r>
    </w:p>
    <w:p w:rsidR="00000000" w:rsidRDefault="0040289C">
      <w:pPr>
        <w:divId w:val="83041179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789326865"/>
        <w:rPr>
          <w:rFonts w:eastAsia="Times New Roman"/>
        </w:rPr>
      </w:pPr>
    </w:p>
    <w:p w:rsidR="00000000" w:rsidRDefault="0040289C">
      <w:pPr>
        <w:jc w:val="both"/>
        <w:rPr>
          <w:rFonts w:eastAsia="Times New Roman"/>
        </w:rPr>
      </w:pPr>
      <w:r>
        <w:rPr>
          <w:rFonts w:eastAsia="Times New Roman"/>
          <w:color w:val="000000"/>
          <w:sz w:val="20"/>
          <w:szCs w:val="20"/>
        </w:rPr>
        <w:t>accounting standards, taxation requirements, and federal securities laws, among others, may create a substantial burden on, and substantially increase the costs to NCR or coul</w:t>
      </w:r>
      <w:r>
        <w:rPr>
          <w:rFonts w:eastAsia="Times New Roman"/>
          <w:color w:val="000000"/>
          <w:sz w:val="20"/>
          <w:szCs w:val="20"/>
        </w:rPr>
        <w:t>d have an impact on NCR’s future operating results. NCR believes that the amounts provided in its Consolidated Financial Statements are adequate in light of the probable and estimable liabilities. However, there can be no assurances that the actual amounts</w:t>
      </w:r>
      <w:r>
        <w:rPr>
          <w:rFonts w:eastAsia="Times New Roman"/>
          <w:color w:val="000000"/>
          <w:sz w:val="20"/>
          <w:szCs w:val="20"/>
        </w:rPr>
        <w:t xml:space="preserve"> required to satisfy alleged liabilities from various lawsuits, claims, legal proceedings and other matters, including the Fox River and Kalamazoo River environmental matters discussed in Note 10, “Commitments and Contingencies”, and to comply with applica</w:t>
      </w:r>
      <w:r>
        <w:rPr>
          <w:rFonts w:eastAsia="Times New Roman"/>
          <w:color w:val="000000"/>
          <w:sz w:val="20"/>
          <w:szCs w:val="20"/>
        </w:rPr>
        <w:t>ble laws and regulations, will not exceed the amounts reflected in NCR’s Consolidated Financial Statements or will not have a material adverse effect on the Company’s consolidated results of operations, financial condition or cash flows. Any costs that may</w:t>
      </w:r>
      <w:r>
        <w:rPr>
          <w:rFonts w:eastAsia="Times New Roman"/>
          <w:color w:val="000000"/>
          <w:sz w:val="20"/>
          <w:szCs w:val="20"/>
        </w:rPr>
        <w:t xml:space="preserve"> be incurred in excess of those amounts provided as of December 31, 2022 cannot currently be reasonably determined or are not currently considered probable. The costs and insurance recoveries relating to certain environmental obligations associated with di</w:t>
      </w:r>
      <w:r>
        <w:rPr>
          <w:rFonts w:eastAsia="Times New Roman"/>
          <w:color w:val="000000"/>
          <w:sz w:val="20"/>
          <w:szCs w:val="20"/>
        </w:rPr>
        <w:t>scontinued operations, including those relating to the Fox River, Kalamazoo River and Ebina matters, are presented in Income (loss) from discontinued operations, net of tax, in the Consolidated Statements of Operations.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Legal fees and expenses related to</w:t>
      </w:r>
      <w:r>
        <w:rPr>
          <w:rFonts w:eastAsia="Times New Roman"/>
          <w:color w:val="000000"/>
          <w:sz w:val="20"/>
          <w:szCs w:val="20"/>
        </w:rPr>
        <w:t xml:space="preserve"> loss contingencies are typically expensed as incurred, except for certain costs associated with NCR’s environmental remediation obligations. Costs and fees associated with litigating the extent and type of required remedial actions and the allocation of r</w:t>
      </w:r>
      <w:r>
        <w:rPr>
          <w:rFonts w:eastAsia="Times New Roman"/>
          <w:color w:val="000000"/>
          <w:sz w:val="20"/>
          <w:szCs w:val="20"/>
        </w:rPr>
        <w:t xml:space="preserve">emediation costs among potentially responsible parties are typically included in the measurement of the environmental remediation liabilities.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Foreign Currency</w:t>
      </w:r>
      <w:r>
        <w:rPr>
          <w:rFonts w:eastAsia="Times New Roman"/>
          <w:color w:val="000000"/>
          <w:sz w:val="20"/>
          <w:szCs w:val="20"/>
        </w:rPr>
        <w:t xml:space="preserve"> For many NCR international operations, the local currency is designated as the functional cur</w:t>
      </w:r>
      <w:r>
        <w:rPr>
          <w:rFonts w:eastAsia="Times New Roman"/>
          <w:color w:val="000000"/>
          <w:sz w:val="20"/>
          <w:szCs w:val="20"/>
        </w:rPr>
        <w:t>rency. Accordingly, assets and liabilities are translated into U.S. Dollars at year-end exchange rates, and revenue and expenses are translated at average exchange rates prevailing during the year. Currency translation adjustments from local functional cur</w:t>
      </w:r>
      <w:r>
        <w:rPr>
          <w:rFonts w:eastAsia="Times New Roman"/>
          <w:color w:val="000000"/>
          <w:sz w:val="20"/>
          <w:szCs w:val="20"/>
        </w:rPr>
        <w:t xml:space="preserve">rency countries resulting from fluctuations in exchange rates are recorded in Other comprehensive income. Remeasurement adjustments are recorded in Other income (expense), net.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Derivative Instruments</w:t>
      </w:r>
      <w:r>
        <w:rPr>
          <w:rFonts w:eastAsia="Times New Roman"/>
          <w:color w:val="000000"/>
          <w:sz w:val="20"/>
          <w:szCs w:val="20"/>
        </w:rPr>
        <w:t xml:space="preserve"> In the normal course of business, NCR enters into var</w:t>
      </w:r>
      <w:r>
        <w:rPr>
          <w:rFonts w:eastAsia="Times New Roman"/>
          <w:color w:val="000000"/>
          <w:sz w:val="20"/>
          <w:szCs w:val="20"/>
        </w:rPr>
        <w:t>ious financial instruments, including derivative financial instruments. The Company accounts for derivatives as either assets or liabilities in the Consolidated Balance Sheets at fair value and recognizes the resulting gains or losses as adjustments to ear</w:t>
      </w:r>
      <w:r>
        <w:rPr>
          <w:rFonts w:eastAsia="Times New Roman"/>
          <w:color w:val="000000"/>
          <w:sz w:val="20"/>
          <w:szCs w:val="20"/>
        </w:rPr>
        <w:t>nings or other comprehensive income. For derivative instruments that are designated and qualify as hedging instruments, the Company formally documents the relationship between hedging instruments and hedged items, as well as the risk management objective a</w:t>
      </w:r>
      <w:r>
        <w:rPr>
          <w:rFonts w:eastAsia="Times New Roman"/>
          <w:color w:val="000000"/>
          <w:sz w:val="20"/>
          <w:szCs w:val="20"/>
        </w:rPr>
        <w:t>nd strategy for undertaking various hedge transactions. Hedging activities are transacted only with highly rated institutions, reducing exposure to credit risk in the event of nonperformance. Additionally, the Company completes assessments related to the r</w:t>
      </w:r>
      <w:r>
        <w:rPr>
          <w:rFonts w:eastAsia="Times New Roman"/>
          <w:color w:val="000000"/>
          <w:sz w:val="20"/>
          <w:szCs w:val="20"/>
        </w:rPr>
        <w:t>isk of counterparty nonperformance on a regular basis.</w:t>
      </w:r>
    </w:p>
    <w:p w:rsidR="00000000" w:rsidRDefault="0040289C">
      <w:pPr>
        <w:divId w:val="766734064"/>
        <w:rPr>
          <w:rFonts w:eastAsia="Times New Roman"/>
        </w:rPr>
      </w:pPr>
    </w:p>
    <w:p w:rsidR="00000000" w:rsidRDefault="0040289C">
      <w:pPr>
        <w:jc w:val="both"/>
        <w:rPr>
          <w:rFonts w:eastAsia="Times New Roman"/>
        </w:rPr>
      </w:pPr>
      <w:r>
        <w:rPr>
          <w:rFonts w:eastAsia="Times New Roman"/>
          <w:color w:val="000000"/>
          <w:sz w:val="20"/>
          <w:szCs w:val="20"/>
        </w:rPr>
        <w:t>The accounting for changes in fair value of a derivative instrument depends on whether it has been designated and qualifies as part of a hedging relationship, and further, on the type of hedging rela</w:t>
      </w:r>
      <w:r>
        <w:rPr>
          <w:rFonts w:eastAsia="Times New Roman"/>
          <w:color w:val="000000"/>
          <w:sz w:val="20"/>
          <w:szCs w:val="20"/>
        </w:rPr>
        <w:t>tionship. For those derivative instruments that are designated and qualify as hedging instruments, the Company has designated the hedging instrument, based on the exposure being hedged, as a fair value hedge, a cash flow hedge or a hedge of a net investmen</w:t>
      </w:r>
      <w:r>
        <w:rPr>
          <w:rFonts w:eastAsia="Times New Roman"/>
          <w:color w:val="000000"/>
          <w:sz w:val="20"/>
          <w:szCs w:val="20"/>
        </w:rPr>
        <w:t>t in a foreign operation. For derivative instruments designated as fair value hedges, the effective portion of the hedge is recorded as an offset to the change in the fair value of the hedged item, and the ineffective portion of the hedge, if any, is recor</w:t>
      </w:r>
      <w:r>
        <w:rPr>
          <w:rFonts w:eastAsia="Times New Roman"/>
          <w:color w:val="000000"/>
          <w:sz w:val="20"/>
          <w:szCs w:val="20"/>
        </w:rPr>
        <w:t>ded in the Consolidated Statement of Operations. For derivative instruments designated as cash flow hedges and determined to be highly effective, the gains or losses are deferred in Accumulated other comprehensive loss and recognized in the determination o</w:t>
      </w:r>
      <w:r>
        <w:rPr>
          <w:rFonts w:eastAsia="Times New Roman"/>
          <w:color w:val="000000"/>
          <w:sz w:val="20"/>
          <w:szCs w:val="20"/>
        </w:rPr>
        <w:t>f income as adjustments of carrying amounts when the underlying hedged transaction is realized, canceled or otherwise terminated. When hedging certain foreign currency transactions of a long-term investment nature (net investments in foreign operations), g</w:t>
      </w:r>
      <w:r>
        <w:rPr>
          <w:rFonts w:eastAsia="Times New Roman"/>
          <w:color w:val="000000"/>
          <w:sz w:val="20"/>
          <w:szCs w:val="20"/>
        </w:rPr>
        <w:t>ains and losses are recorded in the currency translation adjustment component of Accumulated other comprehensive loss. Gains and losses on foreign exchange contracts that are not used to hedge currency transactions of a long-term investment nature, or that</w:t>
      </w:r>
      <w:r>
        <w:rPr>
          <w:rFonts w:eastAsia="Times New Roman"/>
          <w:color w:val="000000"/>
          <w:sz w:val="20"/>
          <w:szCs w:val="20"/>
        </w:rPr>
        <w:t xml:space="preserve"> are not designated as cash flow or fair value hedges, are recognized in Other income (expense), net as exchange rates change.</w:t>
      </w:r>
    </w:p>
    <w:p w:rsidR="00000000" w:rsidRDefault="0040289C">
      <w:pPr>
        <w:divId w:val="653723301"/>
        <w:rPr>
          <w:rFonts w:eastAsia="Times New Roman"/>
        </w:rPr>
      </w:pPr>
    </w:p>
    <w:p w:rsidR="00000000" w:rsidRDefault="0040289C">
      <w:pPr>
        <w:jc w:val="both"/>
        <w:rPr>
          <w:rFonts w:eastAsia="Times New Roman"/>
        </w:rPr>
      </w:pPr>
      <w:r>
        <w:rPr>
          <w:rFonts w:eastAsia="Times New Roman"/>
          <w:b/>
          <w:bCs/>
          <w:color w:val="000000"/>
          <w:sz w:val="20"/>
          <w:szCs w:val="20"/>
        </w:rPr>
        <w:t>Fair Value of Assets and Liabilities</w:t>
      </w:r>
      <w:r>
        <w:rPr>
          <w:rFonts w:eastAsia="Times New Roman"/>
          <w:color w:val="000000"/>
          <w:sz w:val="20"/>
          <w:szCs w:val="20"/>
        </w:rPr>
        <w:t xml:space="preserve"> Fair value is defined as an exit price, representing an amount that would be received to s</w:t>
      </w:r>
      <w:r>
        <w:rPr>
          <w:rFonts w:eastAsia="Times New Roman"/>
          <w:color w:val="000000"/>
          <w:sz w:val="20"/>
          <w:szCs w:val="20"/>
        </w:rPr>
        <w:t>ell an asset or the amount paid to transfer a liability in an orderly transaction between market participants at the measurement date. As such, fair value is a market-based measurement determined based on assumptions that market participants would use in p</w:t>
      </w:r>
      <w:r>
        <w:rPr>
          <w:rFonts w:eastAsia="Times New Roman"/>
          <w:color w:val="000000"/>
          <w:sz w:val="20"/>
          <w:szCs w:val="20"/>
        </w:rPr>
        <w:t xml:space="preserve">ricing an asset or liability. As a basis for considering such assumptions, the accounting guidance prioritizes the inputs used to measure fair value into the following three-tier fair value hierarchy: </w:t>
      </w:r>
    </w:p>
    <w:p w:rsidR="00000000" w:rsidRDefault="0040289C">
      <w:pPr>
        <w:jc w:val="both"/>
        <w:rPr>
          <w:rFonts w:eastAsia="Times New Roman"/>
        </w:rPr>
      </w:pPr>
    </w:p>
    <w:p w:rsidR="00000000" w:rsidRDefault="0040289C">
      <w:pPr>
        <w:ind w:hanging="360"/>
        <w:jc w:val="both"/>
        <w:divId w:val="2130473081"/>
        <w:rPr>
          <w:rFonts w:eastAsia="Times New Roman"/>
        </w:rPr>
      </w:pPr>
      <w:r>
        <w:rPr>
          <w:rFonts w:eastAsia="Times New Roman"/>
          <w:color w:val="000000"/>
          <w:sz w:val="20"/>
          <w:szCs w:val="20"/>
        </w:rPr>
        <w:t>•Level 1: Unadjusted quoted prices in active markets</w:t>
      </w:r>
      <w:r>
        <w:rPr>
          <w:rFonts w:eastAsia="Times New Roman"/>
          <w:color w:val="000000"/>
          <w:sz w:val="20"/>
          <w:szCs w:val="20"/>
        </w:rPr>
        <w:t xml:space="preserve"> for identical assets or liabilities</w:t>
      </w:r>
    </w:p>
    <w:p w:rsidR="00000000" w:rsidRDefault="0040289C">
      <w:pPr>
        <w:ind w:hanging="360"/>
        <w:jc w:val="both"/>
        <w:divId w:val="128862659"/>
        <w:rPr>
          <w:rFonts w:eastAsia="Times New Roman"/>
        </w:rPr>
      </w:pPr>
      <w:r>
        <w:rPr>
          <w:rFonts w:eastAsia="Times New Roman"/>
          <w:color w:val="000000"/>
          <w:sz w:val="20"/>
          <w:szCs w:val="20"/>
        </w:rPr>
        <w:t>•Level 2: Unadjusted quoted prices in active markets for similar assets or liabilities, unadjusted quoted prices for identical or similar assets or liabilities in markets that are not active or inputs, other than quoted</w:t>
      </w:r>
      <w:r>
        <w:rPr>
          <w:rFonts w:eastAsia="Times New Roman"/>
          <w:color w:val="000000"/>
          <w:sz w:val="20"/>
          <w:szCs w:val="20"/>
        </w:rPr>
        <w:t xml:space="preserve"> prices in active markets, that are observable either directly or indirectly</w:t>
      </w:r>
    </w:p>
    <w:p w:rsidR="00000000" w:rsidRDefault="0040289C">
      <w:pPr>
        <w:jc w:val="center"/>
        <w:divId w:val="1507279774"/>
        <w:rPr>
          <w:rFonts w:eastAsia="Times New Roman"/>
        </w:rPr>
      </w:pPr>
      <w:r>
        <w:rPr>
          <w:rFonts w:eastAsia="Times New Roman"/>
          <w:color w:val="000000"/>
          <w:sz w:val="20"/>
          <w:szCs w:val="20"/>
        </w:rPr>
        <w:t>72</w:t>
      </w:r>
    </w:p>
    <w:p w:rsidR="00000000" w:rsidRDefault="0040289C">
      <w:pPr>
        <w:rPr>
          <w:rFonts w:eastAsia="Times New Roman"/>
        </w:rPr>
      </w:pPr>
      <w:r>
        <w:rPr>
          <w:rFonts w:eastAsia="Times New Roman"/>
        </w:rPr>
        <w:pict>
          <v:rect id="_x0000_i1102" style="width:0;height:1.5pt" o:hralign="center" o:hrstd="t" o:hr="t" fillcolor="#a0a0a0" stroked="f"/>
        </w:pict>
      </w:r>
    </w:p>
    <w:p w:rsidR="00000000" w:rsidRDefault="0040289C">
      <w:pPr>
        <w:divId w:val="168736454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312176760"/>
        <w:rPr>
          <w:rFonts w:eastAsia="Times New Roman"/>
        </w:rPr>
      </w:pPr>
    </w:p>
    <w:p w:rsidR="00000000" w:rsidRDefault="0040289C">
      <w:pPr>
        <w:ind w:hanging="360"/>
        <w:jc w:val="both"/>
        <w:divId w:val="1588883698"/>
        <w:rPr>
          <w:rFonts w:eastAsia="Times New Roman"/>
        </w:rPr>
      </w:pPr>
      <w:r>
        <w:rPr>
          <w:rFonts w:eastAsia="Times New Roman"/>
          <w:color w:val="000000"/>
          <w:sz w:val="20"/>
          <w:szCs w:val="20"/>
        </w:rPr>
        <w:t>•Level 3: Unobservable inputs for which there is little or no</w:t>
      </w:r>
      <w:r>
        <w:rPr>
          <w:rFonts w:eastAsia="Times New Roman"/>
          <w:color w:val="000000"/>
          <w:sz w:val="20"/>
          <w:szCs w:val="20"/>
        </w:rPr>
        <w:t xml:space="preserve"> market data</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Assets and liabilities are classified based on the lowest level of input that is significant to the fair value measurements. The Company reviews the fair value hierarchy classification on a quarterly basis. Changes to the observability of va</w:t>
      </w:r>
      <w:r>
        <w:rPr>
          <w:rFonts w:eastAsia="Times New Roman"/>
          <w:color w:val="000000"/>
          <w:sz w:val="20"/>
          <w:szCs w:val="20"/>
        </w:rPr>
        <w:t xml:space="preserve">luation inputs may result in a reclassification of levels for certain securities within the fair value hierarchy.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NCR measures its financial assets and financial liabilities at fair value based on one or more of the following three valuation techniques: </w:t>
      </w:r>
    </w:p>
    <w:p w:rsidR="00000000" w:rsidRDefault="0040289C">
      <w:pPr>
        <w:jc w:val="both"/>
        <w:divId w:val="335041890"/>
        <w:rPr>
          <w:rFonts w:eastAsia="Times New Roman"/>
        </w:rPr>
      </w:pPr>
    </w:p>
    <w:p w:rsidR="00000000" w:rsidRDefault="0040289C">
      <w:pPr>
        <w:ind w:hanging="360"/>
        <w:jc w:val="both"/>
        <w:divId w:val="657148458"/>
        <w:rPr>
          <w:rFonts w:eastAsia="Times New Roman"/>
        </w:rPr>
      </w:pPr>
      <w:r>
        <w:rPr>
          <w:rFonts w:eastAsia="Times New Roman"/>
          <w:color w:val="000000"/>
          <w:sz w:val="20"/>
          <w:szCs w:val="20"/>
        </w:rPr>
        <w:t>•Market approach: Prices and other relevant information generated by market transactions involving identical or c</w:t>
      </w:r>
      <w:r>
        <w:rPr>
          <w:rFonts w:eastAsia="Times New Roman"/>
          <w:color w:val="000000"/>
          <w:sz w:val="20"/>
          <w:szCs w:val="20"/>
        </w:rPr>
        <w:t>omparable assets or liabilities.</w:t>
      </w:r>
    </w:p>
    <w:p w:rsidR="00000000" w:rsidRDefault="0040289C">
      <w:pPr>
        <w:ind w:hanging="360"/>
        <w:jc w:val="both"/>
        <w:divId w:val="1115634288"/>
        <w:rPr>
          <w:rFonts w:eastAsia="Times New Roman"/>
        </w:rPr>
      </w:pPr>
      <w:r>
        <w:rPr>
          <w:rFonts w:eastAsia="Times New Roman"/>
          <w:color w:val="000000"/>
          <w:sz w:val="20"/>
          <w:szCs w:val="20"/>
        </w:rPr>
        <w:t>•Cost approach: Amount that would be required to replace the service capacity of an asset (replacement cost).</w:t>
      </w:r>
    </w:p>
    <w:p w:rsidR="00000000" w:rsidRDefault="0040289C">
      <w:pPr>
        <w:ind w:hanging="360"/>
        <w:jc w:val="both"/>
        <w:divId w:val="1944989854"/>
        <w:rPr>
          <w:rFonts w:eastAsia="Times New Roman"/>
        </w:rPr>
      </w:pPr>
      <w:r>
        <w:rPr>
          <w:rFonts w:eastAsia="Times New Roman"/>
          <w:color w:val="000000"/>
          <w:sz w:val="20"/>
          <w:szCs w:val="20"/>
        </w:rPr>
        <w:t xml:space="preserve">•Income approach: Techniques to convert future amounts to a single present amount based upon market expectations </w:t>
      </w:r>
      <w:r>
        <w:rPr>
          <w:rFonts w:eastAsia="Times New Roman"/>
          <w:color w:val="000000"/>
          <w:sz w:val="20"/>
          <w:szCs w:val="20"/>
        </w:rPr>
        <w:t>(including present value techniques, option pricing and excess earnings models).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regularly review our investments to determine whether a decline in fair value, if any, below the cost basis is other than temporary. If the decline in the fair value is d</w:t>
      </w:r>
      <w:r>
        <w:rPr>
          <w:rFonts w:eastAsia="Times New Roman"/>
          <w:color w:val="000000"/>
          <w:sz w:val="20"/>
          <w:szCs w:val="20"/>
        </w:rPr>
        <w:t>etermined to be other than temporary, the cost basis of the security is written down to fair value and the amount of the write-down is included in the Consolidated Statement of Operations. For qualifying investments in debt or equity securities, a temporar</w:t>
      </w:r>
      <w:r>
        <w:rPr>
          <w:rFonts w:eastAsia="Times New Roman"/>
          <w:color w:val="000000"/>
          <w:sz w:val="20"/>
          <w:szCs w:val="20"/>
        </w:rPr>
        <w:t xml:space="preserve">y impairment charge would be recognized in Other comprehensive income (loss).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Recent Accounting Pronouncements </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Adoption of New Accounting Pronouncements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March 2020, the Financial Accounting Standards Board (“FASB”) issued accounting standards up</w:t>
      </w:r>
      <w:r>
        <w:rPr>
          <w:rFonts w:eastAsia="Times New Roman"/>
          <w:color w:val="000000"/>
          <w:sz w:val="20"/>
          <w:szCs w:val="20"/>
        </w:rPr>
        <w:t xml:space="preserve">date (“ASU”) 2020-04, </w:t>
      </w:r>
      <w:r>
        <w:rPr>
          <w:rFonts w:eastAsia="Times New Roman"/>
          <w:i/>
          <w:iCs/>
          <w:color w:val="000000"/>
          <w:sz w:val="20"/>
          <w:szCs w:val="20"/>
        </w:rPr>
        <w:t>Reference Rate Reform (Topic 848), Facilitation of the Effects of Reference Rate Reform on Financial Reporting</w:t>
      </w:r>
      <w:r>
        <w:rPr>
          <w:rFonts w:eastAsia="Times New Roman"/>
          <w:color w:val="000000"/>
          <w:sz w:val="20"/>
          <w:szCs w:val="20"/>
        </w:rPr>
        <w:t>, which provides optional expedients and exceptions for applying GAAP to contracts, hedging relationships and other transact</w:t>
      </w:r>
      <w:r>
        <w:rPr>
          <w:rFonts w:eastAsia="Times New Roman"/>
          <w:color w:val="000000"/>
          <w:sz w:val="20"/>
          <w:szCs w:val="20"/>
        </w:rPr>
        <w:t>ions affected by reference rate reform if certain criteria are met. The optional guidance is provided to ease the financial reporting burden of the expected market transition from the London Interbank Offered Rate (“LIBOR”) and other interbank offered rate</w:t>
      </w:r>
      <w:r>
        <w:rPr>
          <w:rFonts w:eastAsia="Times New Roman"/>
          <w:color w:val="000000"/>
          <w:sz w:val="20"/>
          <w:szCs w:val="20"/>
        </w:rPr>
        <w:t>s to alternative reference rates, such as the Secured Overnight Financing Rate. The standard was effective upon issuance and had an original sunset date of December 31, 2022 to any new or amended contracts, hedging relationships and other transactions that</w:t>
      </w:r>
      <w:r>
        <w:rPr>
          <w:rFonts w:eastAsia="Times New Roman"/>
          <w:color w:val="000000"/>
          <w:sz w:val="20"/>
          <w:szCs w:val="20"/>
        </w:rPr>
        <w:t xml:space="preserve"> reference LIBOR. In December 2022, ASC 2022-06, </w:t>
      </w:r>
      <w:r>
        <w:rPr>
          <w:rFonts w:eastAsia="Times New Roman"/>
          <w:i/>
          <w:iCs/>
          <w:color w:val="000000"/>
          <w:sz w:val="20"/>
          <w:szCs w:val="20"/>
        </w:rPr>
        <w:t>Reference Rate Reform (Topic 848): Deferral of the Sunset Date of Topic 848,</w:t>
      </w:r>
      <w:r>
        <w:rPr>
          <w:rFonts w:eastAsia="Times New Roman"/>
          <w:color w:val="000000"/>
          <w:sz w:val="20"/>
          <w:szCs w:val="20"/>
        </w:rPr>
        <w:t xml:space="preserve"> was issued which deferred the sunset date to December 31, 2024, after which entities will no longer be permitted to apply the reli</w:t>
      </w:r>
      <w:r>
        <w:rPr>
          <w:rFonts w:eastAsia="Times New Roman"/>
          <w:color w:val="000000"/>
          <w:sz w:val="20"/>
          <w:szCs w:val="20"/>
        </w:rPr>
        <w:t>ef in Topic 848.</w:t>
      </w:r>
      <w:r>
        <w:rPr>
          <w:rFonts w:eastAsia="Times New Roman"/>
          <w:i/>
          <w:iCs/>
          <w:color w:val="000000"/>
          <w:sz w:val="20"/>
          <w:szCs w:val="20"/>
        </w:rPr>
        <w:t xml:space="preserve"> </w:t>
      </w:r>
      <w:r>
        <w:rPr>
          <w:rFonts w:eastAsia="Times New Roman"/>
          <w:color w:val="000000"/>
          <w:sz w:val="20"/>
          <w:szCs w:val="20"/>
        </w:rPr>
        <w:t>The adoption of this accounting standards update did not have a material effect on the Company's net income, cash flows, earnings per share or financial condition. We continue to evaluate our contractual arrangements and hedging relationsh</w:t>
      </w:r>
      <w:r>
        <w:rPr>
          <w:rFonts w:eastAsia="Times New Roman"/>
          <w:color w:val="000000"/>
          <w:sz w:val="20"/>
          <w:szCs w:val="20"/>
        </w:rPr>
        <w:t>ips that reference LIBOR.</w:t>
      </w:r>
    </w:p>
    <w:p w:rsidR="00000000" w:rsidRDefault="0040289C">
      <w:pPr>
        <w:divId w:val="1107429984"/>
        <w:rPr>
          <w:rFonts w:eastAsia="Times New Roman"/>
        </w:rPr>
      </w:pPr>
    </w:p>
    <w:p w:rsidR="00000000" w:rsidRDefault="0040289C">
      <w:pPr>
        <w:jc w:val="both"/>
        <w:rPr>
          <w:rFonts w:eastAsia="Times New Roman"/>
        </w:rPr>
      </w:pPr>
      <w:r>
        <w:rPr>
          <w:rFonts w:eastAsia="Times New Roman"/>
          <w:color w:val="000000"/>
          <w:sz w:val="20"/>
          <w:szCs w:val="20"/>
        </w:rPr>
        <w:t xml:space="preserve">In August 2020, the FASB issued ASU 2020-06, </w:t>
      </w:r>
      <w:r>
        <w:rPr>
          <w:rFonts w:eastAsia="Times New Roman"/>
          <w:i/>
          <w:iCs/>
          <w:color w:val="000000"/>
          <w:sz w:val="20"/>
          <w:szCs w:val="20"/>
        </w:rPr>
        <w:t>Debt—Debt with Conversion and Other Options (Subtopic 470-20) and Derivatives and Hedging—Contracts in Entity’</w:t>
      </w:r>
      <w:r>
        <w:rPr>
          <w:rFonts w:eastAsia="Times New Roman"/>
          <w:i/>
          <w:iCs/>
          <w:color w:val="000000"/>
          <w:sz w:val="20"/>
          <w:szCs w:val="20"/>
        </w:rPr>
        <w:t>s Own Equity (Subtopic 815-40): Accounting for Convertible Instruments and Contracts in an Entity’s Own Equity</w:t>
      </w:r>
      <w:r>
        <w:rPr>
          <w:rFonts w:eastAsia="Times New Roman"/>
          <w:color w:val="000000"/>
          <w:sz w:val="20"/>
          <w:szCs w:val="20"/>
        </w:rPr>
        <w:t>, with new guidance for convertible preferred stock, which eliminates considerations related to the beneficial conversion feature model. The stand</w:t>
      </w:r>
      <w:r>
        <w:rPr>
          <w:rFonts w:eastAsia="Times New Roman"/>
          <w:color w:val="000000"/>
          <w:sz w:val="20"/>
          <w:szCs w:val="20"/>
        </w:rPr>
        <w:t>ard also requires entities to use an average stock price when calculating the denominator for diluted earnings per share for stock units where the settlement of the number of shares is based on the stock price. The new standard is effective for fiscal year</w:t>
      </w:r>
      <w:r>
        <w:rPr>
          <w:rFonts w:eastAsia="Times New Roman"/>
          <w:color w:val="000000"/>
          <w:sz w:val="20"/>
          <w:szCs w:val="20"/>
        </w:rPr>
        <w:t xml:space="preserve">s, and interim periods within those fiscal years, beginning after December 15, 2021. Early adoption was permitted no earlier than fiscal years beginning after December 15, 2020 and interim periods within those fiscal years. The adoption of this accounting </w:t>
      </w:r>
      <w:r>
        <w:rPr>
          <w:rFonts w:eastAsia="Times New Roman"/>
          <w:color w:val="000000"/>
          <w:sz w:val="20"/>
          <w:szCs w:val="20"/>
        </w:rPr>
        <w:t>standards update did not have a material effect on the Company's net income, cash flows, earnings per share or financial condition.</w:t>
      </w:r>
    </w:p>
    <w:p w:rsidR="00000000" w:rsidRDefault="0040289C">
      <w:pPr>
        <w:divId w:val="552232426"/>
        <w:rPr>
          <w:rFonts w:eastAsia="Times New Roman"/>
        </w:rPr>
      </w:pPr>
    </w:p>
    <w:p w:rsidR="00000000" w:rsidRDefault="0040289C">
      <w:pPr>
        <w:jc w:val="both"/>
        <w:rPr>
          <w:rFonts w:eastAsia="Times New Roman"/>
        </w:rPr>
      </w:pPr>
      <w:r>
        <w:rPr>
          <w:rFonts w:eastAsia="Times New Roman"/>
          <w:color w:val="000000"/>
          <w:sz w:val="20"/>
          <w:szCs w:val="20"/>
        </w:rPr>
        <w:t xml:space="preserve">In May 2021, the FASB issued ASU 2021-04, </w:t>
      </w:r>
      <w:r>
        <w:rPr>
          <w:rFonts w:eastAsia="Times New Roman"/>
          <w:i/>
          <w:iCs/>
          <w:color w:val="000000"/>
          <w:sz w:val="20"/>
          <w:szCs w:val="20"/>
        </w:rPr>
        <w:t>Earnings Per Share (Topic 260), Debt—Modifications and Extinguishments (Subtopic</w:t>
      </w:r>
      <w:r>
        <w:rPr>
          <w:rFonts w:eastAsia="Times New Roman"/>
          <w:i/>
          <w:iCs/>
          <w:color w:val="000000"/>
          <w:sz w:val="20"/>
          <w:szCs w:val="20"/>
        </w:rPr>
        <w:t xml:space="preserve"> 470-50), Compensation—Stock Compensation (Topic 718), and Derivatives and Hedging—Contracts in Entity’s Own Equity (Subtopic 815-40): Issuer’s Accounting for Certain Modifications or Exchanges of Freestanding Equity-Classified Written Call Options</w:t>
      </w:r>
      <w:r>
        <w:rPr>
          <w:rFonts w:eastAsia="Times New Roman"/>
          <w:color w:val="000000"/>
          <w:sz w:val="20"/>
          <w:szCs w:val="20"/>
        </w:rPr>
        <w:t>, with n</w:t>
      </w:r>
      <w:r>
        <w:rPr>
          <w:rFonts w:eastAsia="Times New Roman"/>
          <w:color w:val="000000"/>
          <w:sz w:val="20"/>
          <w:szCs w:val="20"/>
        </w:rPr>
        <w:t xml:space="preserve">ew guidance for freestanding equity-classified written call options. The new guidance requires issuers to account for modifications or exchanges of freestanding equity-classified written call options that remain equity classified after the modification or </w:t>
      </w:r>
      <w:r>
        <w:rPr>
          <w:rFonts w:eastAsia="Times New Roman"/>
          <w:color w:val="000000"/>
          <w:sz w:val="20"/>
          <w:szCs w:val="20"/>
        </w:rPr>
        <w:t xml:space="preserve">exchange based on the economic substance of the modification or exchange. The new standard is effective for fiscal years, and interim periods within those fiscal years, beginning after December 15, 2021, with </w:t>
      </w:r>
    </w:p>
    <w:p w:rsidR="00000000" w:rsidRDefault="0040289C">
      <w:pPr>
        <w:jc w:val="center"/>
        <w:divId w:val="1736775437"/>
        <w:rPr>
          <w:rFonts w:eastAsia="Times New Roman"/>
        </w:rPr>
      </w:pPr>
      <w:r>
        <w:rPr>
          <w:rFonts w:eastAsia="Times New Roman"/>
          <w:color w:val="000000"/>
          <w:sz w:val="20"/>
          <w:szCs w:val="20"/>
        </w:rPr>
        <w:t>73</w:t>
      </w:r>
    </w:p>
    <w:p w:rsidR="00000000" w:rsidRDefault="0040289C">
      <w:pPr>
        <w:rPr>
          <w:rFonts w:eastAsia="Times New Roman"/>
        </w:rPr>
      </w:pPr>
      <w:r>
        <w:rPr>
          <w:rFonts w:eastAsia="Times New Roman"/>
        </w:rPr>
        <w:pict>
          <v:rect id="_x0000_i1103" style="width:0;height:1.5pt" o:hralign="center" o:hrstd="t" o:hr="t" fillcolor="#a0a0a0" stroked="f"/>
        </w:pict>
      </w:r>
    </w:p>
    <w:p w:rsidR="00000000" w:rsidRDefault="0040289C">
      <w:pPr>
        <w:divId w:val="35719463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648046004"/>
        <w:rPr>
          <w:rFonts w:eastAsia="Times New Roman"/>
        </w:rPr>
      </w:pPr>
    </w:p>
    <w:p w:rsidR="00000000" w:rsidRDefault="0040289C">
      <w:pPr>
        <w:jc w:val="both"/>
        <w:rPr>
          <w:rFonts w:eastAsia="Times New Roman"/>
        </w:rPr>
      </w:pPr>
      <w:r>
        <w:rPr>
          <w:rFonts w:eastAsia="Times New Roman"/>
          <w:color w:val="000000"/>
          <w:sz w:val="20"/>
          <w:szCs w:val="20"/>
        </w:rPr>
        <w:t>early adoption permitted. The adoption of this accounting standards update did not have a material effect on the Company's net income, cash flows, earnings per share or financial cond</w:t>
      </w:r>
      <w:r>
        <w:rPr>
          <w:rFonts w:eastAsia="Times New Roman"/>
          <w:color w:val="000000"/>
          <w:sz w:val="20"/>
          <w:szCs w:val="20"/>
        </w:rPr>
        <w:t xml:space="preserve">ition.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July 2021, the FASB issued ASU 2021-05,</w:t>
      </w:r>
      <w:r>
        <w:rPr>
          <w:rFonts w:eastAsia="Times New Roman"/>
          <w:i/>
          <w:iCs/>
          <w:color w:val="000000"/>
          <w:sz w:val="20"/>
          <w:szCs w:val="20"/>
        </w:rPr>
        <w:t xml:space="preserve"> Leases (Topic 842), Lessors-Certain Leases with Variable Lease Payments</w:t>
      </w:r>
      <w:r>
        <w:rPr>
          <w:rFonts w:eastAsia="Times New Roman"/>
          <w:color w:val="000000"/>
          <w:sz w:val="20"/>
          <w:szCs w:val="20"/>
        </w:rPr>
        <w:t>, with new guidance for lessors with lease contracts that have variable lease payments. Under the new guidance, a lease which includ</w:t>
      </w:r>
      <w:r>
        <w:rPr>
          <w:rFonts w:eastAsia="Times New Roman"/>
          <w:color w:val="000000"/>
          <w:sz w:val="20"/>
          <w:szCs w:val="20"/>
        </w:rPr>
        <w:t>es variable lease payments which do not depend on a reference index or rate and would have resulted in the recognition of a selling loss at lease commencement if classified as sales-type or direct financing are now to be classified as operating. The new st</w:t>
      </w:r>
      <w:r>
        <w:rPr>
          <w:rFonts w:eastAsia="Times New Roman"/>
          <w:color w:val="000000"/>
          <w:sz w:val="20"/>
          <w:szCs w:val="20"/>
        </w:rPr>
        <w:t>andard is effective for fiscal years, and interim periods within those fiscal years, beginning after December 15, 2021, with early adoption permitted. The accounting standards update was adopted using the transition guidance of early application and we wil</w:t>
      </w:r>
      <w:r>
        <w:rPr>
          <w:rFonts w:eastAsia="Times New Roman"/>
          <w:color w:val="000000"/>
          <w:sz w:val="20"/>
          <w:szCs w:val="20"/>
        </w:rPr>
        <w:t xml:space="preserve">l apply the standard prospectively to all new hardware arrangements where NCR is the lessor. The adoption of the accounting standard did not have a material effect on the Company's net income, cash flows, earnings per share or financial condition.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March 2022, the SEC staff released Staff Accounting Bulletin No. 121 (“SAB 121”), which expressed the views of the SEC staff regarding the accounting for obligations to safeguard crypto-assets an entity holds for users of its crypto platform. This guida</w:t>
      </w:r>
      <w:r>
        <w:rPr>
          <w:rFonts w:eastAsia="Times New Roman"/>
          <w:color w:val="000000"/>
          <w:sz w:val="20"/>
          <w:szCs w:val="20"/>
        </w:rPr>
        <w:t>nce requires entities that hold crypto-assets on behalf of platform users to recognize a liability to reflect the entity’s obligation to safeguard the crypto-assets held for its platform users. The liability should be measured at initial recognition and ea</w:t>
      </w:r>
      <w:r>
        <w:rPr>
          <w:rFonts w:eastAsia="Times New Roman"/>
          <w:color w:val="000000"/>
          <w:sz w:val="20"/>
          <w:szCs w:val="20"/>
        </w:rPr>
        <w:t>ch reporting date at the fair value of the crypto-assets that the entity is responsible for holding for its platform users. The entity should also recognize an asset at the same time that it recognizes the safeguarding liability, measured at initial recogn</w:t>
      </w:r>
      <w:r>
        <w:rPr>
          <w:rFonts w:eastAsia="Times New Roman"/>
          <w:color w:val="000000"/>
          <w:sz w:val="20"/>
          <w:szCs w:val="20"/>
        </w:rPr>
        <w:t>ition and each reporting date at the fair value of the crypto-assets held for its platform users. SAB 121 also includes guidance on disclosures related to the Company’s safeguarding of crypto-assets. This guidance is effective from the first interim or ann</w:t>
      </w:r>
      <w:r>
        <w:rPr>
          <w:rFonts w:eastAsia="Times New Roman"/>
          <w:color w:val="000000"/>
          <w:sz w:val="20"/>
          <w:szCs w:val="20"/>
        </w:rPr>
        <w:t>ual period after June 15, 2022 and should be applied retrospectively to the beginning of the fiscal year to which the interim or annual period relates. The Company adopted this guidance in the interim period ending June 30, 2022; however, as the Company is</w:t>
      </w:r>
      <w:r>
        <w:rPr>
          <w:rFonts w:eastAsia="Times New Roman"/>
          <w:color w:val="000000"/>
          <w:sz w:val="20"/>
          <w:szCs w:val="20"/>
        </w:rPr>
        <w:t xml:space="preserve"> not currently offering digital asset safeguarding services to its customers, the adoption of this guidance did not have an impact on the Company’s net income, cash flows, earnings per share or financial condition.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Although there are several other new ac</w:t>
      </w:r>
      <w:r>
        <w:rPr>
          <w:rFonts w:eastAsia="Times New Roman"/>
          <w:color w:val="000000"/>
          <w:sz w:val="20"/>
          <w:szCs w:val="20"/>
        </w:rPr>
        <w:t>counting pronouncements issued by the FASB and adopted by or effective for the Company, the Company does not believe any of these accounting pronouncements had a material impact on its consolidated financial statements.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Accounting Pronouncements Issued B</w:t>
      </w:r>
      <w:r>
        <w:rPr>
          <w:rFonts w:eastAsia="Times New Roman"/>
          <w:i/>
          <w:iCs/>
          <w:color w:val="000000"/>
          <w:sz w:val="20"/>
          <w:szCs w:val="20"/>
        </w:rPr>
        <w:t>ut Not Yet Adopted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In October 2021, the FASB issued ASU 2021-08, </w:t>
      </w:r>
      <w:r>
        <w:rPr>
          <w:rFonts w:eastAsia="Times New Roman"/>
          <w:i/>
          <w:iCs/>
          <w:color w:val="000000"/>
          <w:sz w:val="20"/>
          <w:szCs w:val="20"/>
        </w:rPr>
        <w:t>Business Combinations (Topic 805): Accounting for Contract Assets and Contract Liabilities from Contracts with Customers</w:t>
      </w:r>
      <w:r>
        <w:rPr>
          <w:rFonts w:eastAsia="Times New Roman"/>
          <w:color w:val="000000"/>
          <w:sz w:val="20"/>
          <w:szCs w:val="20"/>
        </w:rPr>
        <w:t>, with new guidance for contract assets and contract liabilities acqu</w:t>
      </w:r>
      <w:r>
        <w:rPr>
          <w:rFonts w:eastAsia="Times New Roman"/>
          <w:color w:val="000000"/>
          <w:sz w:val="20"/>
          <w:szCs w:val="20"/>
        </w:rPr>
        <w:t>ired in a business combination. The new guidance requires contract assets and contract liabilities, such as deferred revenue, acquired in a business combination to be recognized and measured by the acquirer on the acquisition date in accordance with Accoun</w:t>
      </w:r>
      <w:r>
        <w:rPr>
          <w:rFonts w:eastAsia="Times New Roman"/>
          <w:color w:val="000000"/>
          <w:sz w:val="20"/>
          <w:szCs w:val="20"/>
        </w:rPr>
        <w:t xml:space="preserve">ting Standard Codification (“ASC”) 606, </w:t>
      </w:r>
      <w:r>
        <w:rPr>
          <w:rFonts w:eastAsia="Times New Roman"/>
          <w:i/>
          <w:iCs/>
          <w:color w:val="000000"/>
          <w:sz w:val="20"/>
          <w:szCs w:val="20"/>
        </w:rPr>
        <w:t>Revenue from Contracts with Customers</w:t>
      </w:r>
      <w:r>
        <w:rPr>
          <w:rFonts w:eastAsia="Times New Roman"/>
          <w:color w:val="000000"/>
          <w:sz w:val="20"/>
          <w:szCs w:val="20"/>
        </w:rPr>
        <w:t xml:space="preserve">. Prior to the issuance of this guidance, contract assets and contract liabilities were recognized by the acquirer at fair value on the acquisition date. The accounting standards </w:t>
      </w:r>
      <w:r>
        <w:rPr>
          <w:rFonts w:eastAsia="Times New Roman"/>
          <w:color w:val="000000"/>
          <w:sz w:val="20"/>
          <w:szCs w:val="20"/>
        </w:rPr>
        <w:t xml:space="preserve">update is effective for fiscal years, and interim periods within those fiscal years, beginning after December 15, 2022, with early adoption permitted and should be applied prospectively to acquisitions occurring on or after the effective date. The Company </w:t>
      </w:r>
      <w:r>
        <w:rPr>
          <w:rFonts w:eastAsia="Times New Roman"/>
          <w:color w:val="000000"/>
          <w:sz w:val="20"/>
          <w:szCs w:val="20"/>
        </w:rPr>
        <w:t>does not expect to early adopt the new accounting standards update. The adoption of this accounting standards update is not expected to have a material effect on the Company's net income, cash flows, earnings per share or financial condition.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Although th</w:t>
      </w:r>
      <w:r>
        <w:rPr>
          <w:rFonts w:eastAsia="Times New Roman"/>
          <w:color w:val="000000"/>
          <w:sz w:val="20"/>
          <w:szCs w:val="20"/>
        </w:rPr>
        <w:t>ere are several other new accounting pronouncements issued by the FASB and not yet adopted by or effective for the Company, the Company does not believe any of these accounting pronouncements will have a material impact on its consolidated financial statem</w:t>
      </w:r>
      <w:r>
        <w:rPr>
          <w:rFonts w:eastAsia="Times New Roman"/>
          <w:color w:val="000000"/>
          <w:sz w:val="20"/>
          <w:szCs w:val="20"/>
        </w:rPr>
        <w:t>ents.</w:t>
      </w:r>
    </w:p>
    <w:p w:rsidR="00000000" w:rsidRDefault="0040289C">
      <w:pPr>
        <w:jc w:val="center"/>
        <w:divId w:val="673534039"/>
        <w:rPr>
          <w:rFonts w:eastAsia="Times New Roman"/>
        </w:rPr>
      </w:pPr>
      <w:r>
        <w:rPr>
          <w:rFonts w:eastAsia="Times New Roman"/>
          <w:color w:val="000000"/>
          <w:sz w:val="20"/>
          <w:szCs w:val="20"/>
        </w:rPr>
        <w:t>74</w:t>
      </w:r>
    </w:p>
    <w:p w:rsidR="00000000" w:rsidRDefault="0040289C">
      <w:pPr>
        <w:rPr>
          <w:rFonts w:eastAsia="Times New Roman"/>
        </w:rPr>
      </w:pPr>
      <w:r>
        <w:rPr>
          <w:rFonts w:eastAsia="Times New Roman"/>
        </w:rPr>
        <w:pict>
          <v:rect id="_x0000_i1104" style="width:0;height:1.5pt" o:hralign="center" o:hrstd="t" o:hr="t" fillcolor="#a0a0a0" stroked="f"/>
        </w:pict>
      </w:r>
    </w:p>
    <w:p w:rsidR="00000000" w:rsidRDefault="0040289C">
      <w:pPr>
        <w:divId w:val="167896826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45062876"/>
        <w:rPr>
          <w:rFonts w:eastAsia="Times New Roman"/>
        </w:rPr>
      </w:pPr>
    </w:p>
    <w:p w:rsidR="00000000" w:rsidRDefault="0040289C">
      <w:pPr>
        <w:divId w:val="1997874567"/>
        <w:rPr>
          <w:rFonts w:eastAsia="Times New Roman"/>
        </w:rPr>
      </w:pPr>
      <w:r>
        <w:rPr>
          <w:rFonts w:eastAsia="Times New Roman"/>
          <w:b/>
          <w:bCs/>
          <w:color w:val="7ACE05"/>
          <w:sz w:val="20"/>
          <w:szCs w:val="20"/>
        </w:rPr>
        <w:t xml:space="preserve">2. BUSINESS COMBINATIONS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Acquisition of LibertyX (2022)</w:t>
      </w:r>
    </w:p>
    <w:p w:rsidR="00000000" w:rsidRDefault="0040289C">
      <w:pPr>
        <w:divId w:val="1016004644"/>
        <w:rPr>
          <w:rFonts w:eastAsia="Times New Roman"/>
        </w:rPr>
      </w:pPr>
    </w:p>
    <w:p w:rsidR="00000000" w:rsidRDefault="0040289C">
      <w:pPr>
        <w:jc w:val="both"/>
        <w:rPr>
          <w:rFonts w:eastAsia="Times New Roman"/>
        </w:rPr>
      </w:pPr>
      <w:r>
        <w:rPr>
          <w:rFonts w:eastAsia="Times New Roman"/>
          <w:color w:val="000000"/>
          <w:sz w:val="20"/>
          <w:szCs w:val="20"/>
        </w:rPr>
        <w:t>On January 5, 2022, NCR completed its acquisition of Moon Inc., dba Li</w:t>
      </w:r>
      <w:r>
        <w:rPr>
          <w:rFonts w:eastAsia="Times New Roman"/>
          <w:color w:val="000000"/>
          <w:sz w:val="20"/>
          <w:szCs w:val="20"/>
        </w:rPr>
        <w:t>bertyX, a leading cryptocurrency software provider, with the goal of enabling NCR to provide a complete digital currency solution, including the ability to buy and sell cryptocurrency, conduct cross-border remittance, and accept digital currency payments a</w:t>
      </w:r>
      <w:r>
        <w:rPr>
          <w:rFonts w:eastAsia="Times New Roman"/>
          <w:color w:val="000000"/>
          <w:sz w:val="20"/>
          <w:szCs w:val="20"/>
        </w:rPr>
        <w:t>cross digital and physical channels. The Company purchased all outstanding shares of LibertyX for $1 million cash consideration and approximately 1.4 million shares of the Company's common stock at a price of $42.13 per share. The Company also converted ap</w:t>
      </w:r>
      <w:r>
        <w:rPr>
          <w:rFonts w:eastAsia="Times New Roman"/>
          <w:color w:val="000000"/>
          <w:sz w:val="20"/>
          <w:szCs w:val="20"/>
        </w:rPr>
        <w:t>proximately 0.2 million outstanding unvested LibertyX option awards into NCR awards pursuant to an exchange ratio as defined in the acquisition agreement. LibertyX stock option awards were converted into NCR stock option awards with an exercise price per s</w:t>
      </w:r>
      <w:r>
        <w:rPr>
          <w:rFonts w:eastAsia="Times New Roman"/>
          <w:color w:val="000000"/>
          <w:sz w:val="20"/>
          <w:szCs w:val="20"/>
        </w:rPr>
        <w:t xml:space="preserve">hare for option awards equal to the exercise price per share of such stock option award immediately prior to the completion of the acquisition divided by the exchange ratio, and vested immediately. The value of the option awards was deemed attributable to </w:t>
      </w:r>
      <w:r>
        <w:rPr>
          <w:rFonts w:eastAsia="Times New Roman"/>
          <w:color w:val="000000"/>
          <w:sz w:val="20"/>
          <w:szCs w:val="20"/>
        </w:rPr>
        <w:t xml:space="preserve">services already rendered and was included as a portion of the purchase price. Total purchase consideration for the LibertyX acquisition was approximately $69 million. As a result of the acquisition, LibertyX became a wholly-owned subsidiary of NCR. </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Rec</w:t>
      </w:r>
      <w:r>
        <w:rPr>
          <w:rFonts w:eastAsia="Times New Roman"/>
          <w:i/>
          <w:iCs/>
          <w:color w:val="000000"/>
          <w:sz w:val="20"/>
          <w:szCs w:val="20"/>
        </w:rPr>
        <w:t>ording of Assets Acquired and Liabilities Assumed</w:t>
      </w:r>
      <w:r>
        <w:rPr>
          <w:rFonts w:eastAsia="Times New Roman"/>
          <w:color w:val="000000"/>
          <w:sz w:val="20"/>
          <w:szCs w:val="20"/>
        </w:rPr>
        <w:t xml:space="preserve"> The fair value of consideration transferred was allocated to the identifiable assets acquired and liabilities assumed based upon their estimated fair values as of the date of the acquisition as set forth be</w:t>
      </w:r>
      <w:r>
        <w:rPr>
          <w:rFonts w:eastAsia="Times New Roman"/>
          <w:color w:val="000000"/>
          <w:sz w:val="20"/>
          <w:szCs w:val="20"/>
        </w:rPr>
        <w:t>low. The amounts for intangible assets are based on third-party valuations performed. The final allocation of the purchase price is as follows:</w:t>
      </w:r>
    </w:p>
    <w:p w:rsidR="00000000" w:rsidRDefault="0040289C">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6"/>
        <w:gridCol w:w="39"/>
        <w:gridCol w:w="121"/>
        <w:gridCol w:w="1054"/>
        <w:gridCol w:w="36"/>
      </w:tblGrid>
      <w:tr w:rsidR="00000000">
        <w:tc>
          <w:tcPr>
            <w:tcW w:w="50" w:type="pct"/>
            <w:vAlign w:val="center"/>
            <w:hideMark/>
          </w:tcPr>
          <w:p w:rsidR="00000000" w:rsidRDefault="0040289C">
            <w:pPr>
              <w:jc w:val="both"/>
              <w:rPr>
                <w:rFonts w:eastAsia="Times New Roman"/>
              </w:rPr>
            </w:pPr>
          </w:p>
        </w:tc>
        <w:tc>
          <w:tcPr>
            <w:tcW w:w="423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5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Tangible assets acquired</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Acquired intangible assets other than goodwill</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38</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Acquired goodwill</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40</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(10)</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Liabilities assumed</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Goodwill represents the future economic benefits arising from other assets acquired that could not be individually separately recognized. The goodwill arising from the acquisition consists of revenue and cost synergies expected from combining the operation</w:t>
      </w:r>
      <w:r>
        <w:rPr>
          <w:rFonts w:eastAsia="Times New Roman"/>
          <w:color w:val="000000"/>
          <w:sz w:val="20"/>
          <w:szCs w:val="20"/>
        </w:rPr>
        <w:t xml:space="preserve">s of NCR and LibertyX and is not deductible for tax purposes. The goodwill arising from the LibertyX acquisition has been allocated to our Payments &amp; Network segment. Refer to Note 3, “Goodwill and Purchased Intangible Assets”, for the carrying amounts of </w:t>
      </w:r>
      <w:r>
        <w:rPr>
          <w:rFonts w:eastAsia="Times New Roman"/>
          <w:color w:val="000000"/>
          <w:sz w:val="20"/>
          <w:szCs w:val="20"/>
        </w:rPr>
        <w:t xml:space="preserve">goodwill by segment.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following table sets forth the components of the intangible assets acquired as of the acquisition date: </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1771702810"/>
          <w:jc w:val="center"/>
        </w:trPr>
        <w:tc>
          <w:tcPr>
            <w:tcW w:w="50" w:type="pct"/>
            <w:vAlign w:val="center"/>
            <w:hideMark/>
          </w:tcPr>
          <w:p w:rsidR="00000000" w:rsidRDefault="0040289C">
            <w:pPr>
              <w:jc w:val="both"/>
              <w:rPr>
                <w:rFonts w:eastAsia="Times New Roman"/>
              </w:rPr>
            </w:pPr>
          </w:p>
        </w:tc>
        <w:tc>
          <w:tcPr>
            <w:tcW w:w="306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5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6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77170281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1771702810"/>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 years)</w:t>
            </w:r>
          </w:p>
        </w:tc>
      </w:tr>
      <w:tr w:rsidR="00000000">
        <w:trPr>
          <w:divId w:val="177170281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center"/>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40289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10</w:t>
            </w:r>
          </w:p>
        </w:tc>
      </w:tr>
      <w:tr w:rsidR="00000000">
        <w:trPr>
          <w:divId w:val="177170281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13</w:t>
            </w:r>
          </w:p>
        </w:tc>
      </w:tr>
      <w:tr w:rsidR="00000000">
        <w:trPr>
          <w:divId w:val="177170281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xml:space="preserve">Non-compete </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r>
      <w:tr w:rsidR="00000000">
        <w:trPr>
          <w:divId w:val="177170281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r>
      <w:tr w:rsidR="00000000">
        <w:trPr>
          <w:divId w:val="1771702810"/>
          <w:jc w:val="center"/>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b/>
                <w:bCs/>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eastAsia="Times New Roman"/>
          <w:color w:val="000000"/>
          <w:sz w:val="18"/>
          <w:szCs w:val="18"/>
        </w:rPr>
        <w:t>ets with definite lives is recognized over the period of time the assets are expected to contribute to future cash flows.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operating results of LibertyX have been included within NCR's results since the closing date of the acquisition. Supplemental pr</w:t>
      </w:r>
      <w:r>
        <w:rPr>
          <w:rFonts w:eastAsia="Times New Roman"/>
          <w:color w:val="000000"/>
          <w:sz w:val="20"/>
          <w:szCs w:val="20"/>
        </w:rPr>
        <w:t xml:space="preserve">o forma information and actual revenue and earnings since the acquisition date have not been provided as the acquisition did not have a material impact on the Company's Consolidated Statements of Operations. </w:t>
      </w:r>
    </w:p>
    <w:p w:rsidR="00000000" w:rsidRDefault="0040289C">
      <w:pPr>
        <w:divId w:val="311641866"/>
        <w:rPr>
          <w:rFonts w:eastAsia="Times New Roman"/>
        </w:rPr>
      </w:pPr>
    </w:p>
    <w:p w:rsidR="00000000" w:rsidRDefault="0040289C">
      <w:pPr>
        <w:divId w:val="1592398349"/>
        <w:rPr>
          <w:rFonts w:eastAsia="Times New Roman"/>
        </w:rPr>
      </w:pPr>
    </w:p>
    <w:p w:rsidR="00000000" w:rsidRDefault="0040289C">
      <w:pPr>
        <w:jc w:val="center"/>
        <w:divId w:val="324011558"/>
        <w:rPr>
          <w:rFonts w:eastAsia="Times New Roman"/>
        </w:rPr>
      </w:pPr>
      <w:r>
        <w:rPr>
          <w:rFonts w:eastAsia="Times New Roman"/>
          <w:color w:val="000000"/>
          <w:sz w:val="20"/>
          <w:szCs w:val="20"/>
        </w:rPr>
        <w:t>75</w:t>
      </w:r>
    </w:p>
    <w:p w:rsidR="00000000" w:rsidRDefault="0040289C">
      <w:pPr>
        <w:rPr>
          <w:rFonts w:eastAsia="Times New Roman"/>
        </w:rPr>
      </w:pPr>
      <w:r>
        <w:rPr>
          <w:rFonts w:eastAsia="Times New Roman"/>
        </w:rPr>
        <w:pict>
          <v:rect id="_x0000_i1105" style="width:0;height:1.5pt" o:hralign="center" o:hrstd="t" o:hr="t" fillcolor="#a0a0a0" stroked="f"/>
        </w:pict>
      </w:r>
    </w:p>
    <w:p w:rsidR="00000000" w:rsidRDefault="0040289C">
      <w:pPr>
        <w:divId w:val="17835068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955409177"/>
        <w:rPr>
          <w:rFonts w:eastAsia="Times New Roman"/>
        </w:rPr>
      </w:pPr>
    </w:p>
    <w:p w:rsidR="00000000" w:rsidRDefault="0040289C">
      <w:pPr>
        <w:divId w:val="1331366389"/>
        <w:rPr>
          <w:rFonts w:eastAsia="Times New Roman"/>
        </w:rPr>
      </w:pPr>
      <w:r>
        <w:rPr>
          <w:rFonts w:eastAsia="Times New Roman"/>
          <w:b/>
          <w:bCs/>
          <w:color w:val="000000"/>
          <w:sz w:val="20"/>
          <w:szCs w:val="20"/>
        </w:rPr>
        <w:t>Other Acquisitions (2022)</w:t>
      </w:r>
    </w:p>
    <w:p w:rsidR="00000000" w:rsidRDefault="0040289C">
      <w:pPr>
        <w:jc w:val="both"/>
        <w:rPr>
          <w:rFonts w:eastAsia="Times New Roman"/>
        </w:rPr>
      </w:pPr>
      <w:r>
        <w:rPr>
          <w:rFonts w:eastAsia="Times New Roman"/>
          <w:color w:val="000000"/>
          <w:sz w:val="20"/>
          <w:szCs w:val="20"/>
        </w:rPr>
        <w:t>On July 1, 2022, NCR completed its acquisition of the India ATM business of FIS Payment Solutions &amp; Services Private Limited for consideration of $19 million, of which $12 million has been paid in cash as of December 31, 2022. The India ATM business acquis</w:t>
      </w:r>
      <w:r>
        <w:rPr>
          <w:rFonts w:eastAsia="Times New Roman"/>
          <w:color w:val="000000"/>
          <w:sz w:val="20"/>
          <w:szCs w:val="20"/>
        </w:rPr>
        <w:t>ition did not have a material impact on the consolidated financial statements.</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2021 Acquisitions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Acquisition of Cardtronics plc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On January 25, 2021, NCR entered into a definitive agreement to acquire all outstanding shares of Cardtronics for $39.00 </w:t>
      </w:r>
      <w:r>
        <w:rPr>
          <w:rFonts w:eastAsia="Times New Roman"/>
          <w:color w:val="000000"/>
          <w:sz w:val="20"/>
          <w:szCs w:val="20"/>
        </w:rPr>
        <w:t xml:space="preserve">per share (the “Cardtronics Transaction”). The legal closing of the Cardtronics Transaction occurred on June 21, 2021.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Cardtronics was the world's largest non-bank ATM operator and service provider, enabling cash transactions by converting digital curre</w:t>
      </w:r>
      <w:r>
        <w:rPr>
          <w:rFonts w:eastAsia="Times New Roman"/>
          <w:color w:val="000000"/>
          <w:sz w:val="20"/>
          <w:szCs w:val="20"/>
        </w:rPr>
        <w:t xml:space="preserve">ncy into physical cash at over 285,000 ATMs across 10 countries in North America, Europe, Asia-Pacific, and Africa. The Cardtronics Transaction is expected to accelerate our NCR-as-a-service strategy and enhance our ability to provide technology solutions </w:t>
      </w:r>
      <w:r>
        <w:rPr>
          <w:rFonts w:eastAsia="Times New Roman"/>
          <w:color w:val="000000"/>
          <w:sz w:val="20"/>
          <w:szCs w:val="20"/>
        </w:rPr>
        <w:t>and capabilities that run our customers’ businesses.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Purchase Price Consideration </w:t>
      </w:r>
      <w:r>
        <w:rPr>
          <w:rFonts w:eastAsia="Times New Roman"/>
          <w:color w:val="000000"/>
          <w:sz w:val="20"/>
          <w:szCs w:val="20"/>
        </w:rPr>
        <w:t>The purchase consideration transferred consisted of the following:</w:t>
      </w:r>
    </w:p>
    <w:p w:rsidR="00000000" w:rsidRDefault="0040289C">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6569"/>
        <w:gridCol w:w="37"/>
        <w:gridCol w:w="121"/>
        <w:gridCol w:w="1492"/>
        <w:gridCol w:w="36"/>
      </w:tblGrid>
      <w:tr w:rsidR="00000000">
        <w:tc>
          <w:tcPr>
            <w:tcW w:w="50" w:type="pct"/>
            <w:vAlign w:val="center"/>
            <w:hideMark/>
          </w:tcPr>
          <w:p w:rsidR="00000000" w:rsidRDefault="0040289C">
            <w:pPr>
              <w:jc w:val="both"/>
              <w:rPr>
                <w:rFonts w:eastAsia="Times New Roman"/>
              </w:rPr>
            </w:pPr>
          </w:p>
        </w:tc>
        <w:tc>
          <w:tcPr>
            <w:tcW w:w="397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91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Purchase Consideration</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Cash paid to common stockholders and holders of certain restricted stock and stock option awards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40289C">
            <w:pPr>
              <w:spacing w:after="100"/>
              <w:jc w:val="right"/>
              <w:rPr>
                <w:rFonts w:eastAsia="Times New Roman"/>
              </w:rPr>
            </w:pPr>
            <w:r>
              <w:rPr>
                <w:rFonts w:eastAsia="Times New Roman"/>
                <w:color w:val="000000"/>
                <w:sz w:val="20"/>
                <w:szCs w:val="20"/>
              </w:rPr>
              <w:t>1,775 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Debt repaid by NCR on behalf of Cardtronics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809 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Transaction costs paid by NCR on behalf of Cardtronics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Fair value of converted Cardtronics awards attributable to pre-combination services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Settlement of pre-existing relationships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Other than certain outstanding restricted stock and stock option awards issued to directors which were paid out in cash at closing, the Company converted outstanding unvested Cardtronics awards into NCR awards pursuant to an exchange ratio as defined in th</w:t>
      </w:r>
      <w:r>
        <w:rPr>
          <w:rFonts w:eastAsia="Times New Roman"/>
          <w:color w:val="000000"/>
          <w:sz w:val="20"/>
          <w:szCs w:val="20"/>
        </w:rPr>
        <w:t>e acquisition agreement. Each restricted stock award that was outstanding, whether performance-based or time-based, was converted into time-based awards, and will continue to be governed by the same vesting terms as the original Cardtronics awards. Cardtro</w:t>
      </w:r>
      <w:r>
        <w:rPr>
          <w:rFonts w:eastAsia="Times New Roman"/>
          <w:color w:val="000000"/>
          <w:sz w:val="20"/>
          <w:szCs w:val="20"/>
        </w:rPr>
        <w:t>nics stock option awards were converted into NCR stock option awards with an exercise price per share for option awards equal to the exercise price per share of such stock option award immediately prior to the completion of the acquisition divided by the e</w:t>
      </w:r>
      <w:r>
        <w:rPr>
          <w:rFonts w:eastAsia="Times New Roman"/>
          <w:color w:val="000000"/>
          <w:sz w:val="20"/>
          <w:szCs w:val="20"/>
        </w:rPr>
        <w:t>xchange ratio, and will continue to be governed generally by the same terms and conditions as were applicable prior to the acquisition. The amounts attributable to services already rendered were included as an adjustment to the purchase price and the amoun</w:t>
      </w:r>
      <w:r>
        <w:rPr>
          <w:rFonts w:eastAsia="Times New Roman"/>
          <w:color w:val="000000"/>
          <w:sz w:val="20"/>
          <w:szCs w:val="20"/>
        </w:rPr>
        <w:t>ts attributable to future services will be expensed over the remaining vesting period, net of estimated forfeitures. The fair value of options that the Company assumed in connection with the acquisition of Cardtronics were estimated using the Black-Scholes</w:t>
      </w:r>
      <w:r>
        <w:rPr>
          <w:rFonts w:eastAsia="Times New Roman"/>
          <w:color w:val="000000"/>
          <w:sz w:val="20"/>
          <w:szCs w:val="20"/>
        </w:rPr>
        <w:t xml:space="preserve"> model.</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Recording of Assets Acquired and Liabilities</w:t>
      </w:r>
      <w:r>
        <w:rPr>
          <w:rFonts w:eastAsia="Times New Roman"/>
          <w:color w:val="000000"/>
          <w:sz w:val="20"/>
          <w:szCs w:val="20"/>
        </w:rPr>
        <w:t xml:space="preserve"> </w:t>
      </w:r>
      <w:r>
        <w:rPr>
          <w:rFonts w:eastAsia="Times New Roman"/>
          <w:i/>
          <w:iCs/>
          <w:color w:val="000000"/>
          <w:sz w:val="20"/>
          <w:szCs w:val="20"/>
        </w:rPr>
        <w:t>Assumed</w:t>
      </w:r>
      <w:r>
        <w:rPr>
          <w:rFonts w:eastAsia="Times New Roman"/>
          <w:color w:val="000000"/>
          <w:sz w:val="20"/>
          <w:szCs w:val="20"/>
        </w:rPr>
        <w:t xml:space="preserve"> The fair value of consideration transferred to acquire Cardtronics was allocated to the identifiable assets acquired and liabilities assumed based upon their estimated fair values as of the dat</w:t>
      </w:r>
      <w:r>
        <w:rPr>
          <w:rFonts w:eastAsia="Times New Roman"/>
          <w:color w:val="000000"/>
          <w:sz w:val="20"/>
          <w:szCs w:val="20"/>
        </w:rPr>
        <w:t xml:space="preserve">e of the acquisition as set forth below. The allocation of the purchase price was finalized in June 2022. </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936211959"/>
        <w:rPr>
          <w:rFonts w:eastAsia="Times New Roman"/>
        </w:rPr>
      </w:pPr>
      <w:r>
        <w:rPr>
          <w:rFonts w:eastAsia="Times New Roman"/>
          <w:color w:val="000000"/>
          <w:sz w:val="20"/>
          <w:szCs w:val="20"/>
        </w:rPr>
        <w:t>76</w:t>
      </w:r>
    </w:p>
    <w:p w:rsidR="00000000" w:rsidRDefault="0040289C">
      <w:pPr>
        <w:rPr>
          <w:rFonts w:eastAsia="Times New Roman"/>
        </w:rPr>
      </w:pPr>
      <w:r>
        <w:rPr>
          <w:rFonts w:eastAsia="Times New Roman"/>
        </w:rPr>
        <w:pict>
          <v:rect id="_x0000_i1106" style="width:0;height:1.5pt" o:hralign="center" o:hrstd="t" o:hr="t" fillcolor="#a0a0a0" stroked="f"/>
        </w:pict>
      </w:r>
    </w:p>
    <w:p w:rsidR="00000000" w:rsidRDefault="0040289C">
      <w:pPr>
        <w:divId w:val="203450152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756827365"/>
        <w:rPr>
          <w:rFonts w:eastAsia="Times New Roman"/>
        </w:rPr>
      </w:pPr>
    </w:p>
    <w:p w:rsidR="00000000" w:rsidRDefault="0040289C">
      <w:pPr>
        <w:jc w:val="both"/>
        <w:rPr>
          <w:rFonts w:eastAsia="Times New Roman"/>
        </w:rPr>
      </w:pPr>
      <w:r>
        <w:rPr>
          <w:rFonts w:eastAsia="Times New Roman"/>
          <w:color w:val="000000"/>
          <w:sz w:val="20"/>
          <w:szCs w:val="20"/>
        </w:rPr>
        <w:t>The final allocation of the purchase price for Cardtronics is as follows:</w:t>
      </w:r>
    </w:p>
    <w:p w:rsidR="00000000" w:rsidRDefault="0040289C">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5"/>
        <w:gridCol w:w="41"/>
        <w:gridCol w:w="120"/>
        <w:gridCol w:w="1054"/>
        <w:gridCol w:w="36"/>
      </w:tblGrid>
      <w:tr w:rsidR="00000000">
        <w:trPr>
          <w:divId w:val="509369570"/>
        </w:trPr>
        <w:tc>
          <w:tcPr>
            <w:tcW w:w="50" w:type="pct"/>
            <w:vAlign w:val="center"/>
            <w:hideMark/>
          </w:tcPr>
          <w:p w:rsidR="00000000" w:rsidRDefault="0040289C">
            <w:pPr>
              <w:jc w:val="both"/>
              <w:rPr>
                <w:rFonts w:eastAsia="Times New Roman"/>
              </w:rPr>
            </w:pPr>
          </w:p>
        </w:tc>
        <w:tc>
          <w:tcPr>
            <w:tcW w:w="423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5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509369570"/>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w:t>
            </w:r>
          </w:p>
        </w:tc>
      </w:tr>
      <w:tr w:rsidR="00000000">
        <w:trPr>
          <w:divId w:val="509369570"/>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Assets acquired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r>
      <w:tr w:rsidR="00000000">
        <w:trPr>
          <w:divId w:val="509369570"/>
        </w:trPr>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      </w:t>
            </w:r>
            <w:r>
              <w:rPr>
                <w:rFonts w:eastAsia="Times New Roman"/>
                <w:color w:val="000000"/>
                <w:sz w:val="20"/>
                <w:szCs w:val="20"/>
              </w:rPr>
              <w:t>Cash and restricted cash</w:t>
            </w:r>
          </w:p>
        </w:tc>
        <w:tc>
          <w:tcPr>
            <w:tcW w:w="0" w:type="auto"/>
            <w:shd w:val="clear" w:color="auto" w:fill="FFFFFF"/>
            <w:tcMar>
              <w:top w:w="30" w:type="dxa"/>
              <w:left w:w="20" w:type="dxa"/>
              <w:bottom w:w="30" w:type="dxa"/>
              <w:right w:w="0" w:type="dxa"/>
            </w:tcMar>
            <w:vAlign w:val="center"/>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40289C">
            <w:pPr>
              <w:spacing w:after="100"/>
              <w:jc w:val="right"/>
              <w:rPr>
                <w:rFonts w:eastAsia="Times New Roman"/>
              </w:rPr>
            </w:pPr>
            <w:r>
              <w:rPr>
                <w:rFonts w:eastAsia="Times New Roman"/>
                <w:color w:val="000000"/>
                <w:sz w:val="20"/>
                <w:szCs w:val="20"/>
              </w:rPr>
              <w:t>291 </w:t>
            </w:r>
          </w:p>
        </w:tc>
        <w:tc>
          <w:tcPr>
            <w:tcW w:w="0" w:type="auto"/>
            <w:shd w:val="clear" w:color="auto" w:fill="FFFFFF"/>
            <w:tcMar>
              <w:top w:w="30" w:type="dxa"/>
              <w:left w:w="0" w:type="dxa"/>
              <w:bottom w:w="30" w:type="dxa"/>
              <w:right w:w="20" w:type="dxa"/>
            </w:tcMar>
            <w:vAlign w:val="center"/>
            <w:hideMark/>
          </w:tcPr>
          <w:p w:rsidR="00000000" w:rsidRDefault="0040289C">
            <w:pPr>
              <w:spacing w:after="100"/>
              <w:jc w:val="right"/>
              <w:rPr>
                <w:rFonts w:eastAsia="Times New Roman"/>
              </w:rPr>
            </w:pPr>
          </w:p>
        </w:tc>
      </w:tr>
      <w:tr w:rsidR="00000000">
        <w:trPr>
          <w:divId w:val="509369570"/>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      Trade accounts receivable</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9369570"/>
        </w:trPr>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      Prepaid expenses, other current assets and other assets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9369570"/>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9369570"/>
        </w:trPr>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      </w:t>
            </w:r>
            <w:r>
              <w:rPr>
                <w:rFonts w:eastAsia="Times New Roman"/>
                <w:color w:val="000000"/>
                <w:sz w:val="20"/>
                <w:szCs w:val="20"/>
              </w:rPr>
              <w:t>Acquisition-related intangible assets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864 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9369570"/>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Total assets acquired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9369570"/>
          <w:trHeight w:val="300"/>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509369570"/>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Liabilities assumed</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733 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9369570"/>
        </w:trPr>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Net assets acquired, excluding goodwill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9369570"/>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Total purchase consideration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9369570"/>
        </w:trPr>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b/>
                <w:bCs/>
                <w:color w:val="000000"/>
                <w:sz w:val="20"/>
                <w:szCs w:val="20"/>
              </w:rPr>
              <w:t>Estimated goodwill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3579144"/>
        <w:rPr>
          <w:rFonts w:eastAsia="Times New Roman"/>
        </w:rPr>
      </w:pPr>
    </w:p>
    <w:p w:rsidR="00000000" w:rsidRDefault="0040289C">
      <w:pPr>
        <w:jc w:val="both"/>
        <w:rPr>
          <w:rFonts w:eastAsia="Times New Roman"/>
        </w:rPr>
      </w:pPr>
      <w:r>
        <w:rPr>
          <w:rFonts w:eastAsia="Times New Roman"/>
          <w:color w:val="000000"/>
          <w:sz w:val="20"/>
          <w:szCs w:val="20"/>
        </w:rPr>
        <w:t>We recorded an allocation of the purchase price to tangible and identifiable intangible assets acquired and liabilities assumed based on their estimated fair values as of June 21, 2021. In determining the fair value, the Company utilized various methods of</w:t>
      </w:r>
      <w:r>
        <w:rPr>
          <w:rFonts w:eastAsia="Times New Roman"/>
          <w:color w:val="000000"/>
          <w:sz w:val="20"/>
          <w:szCs w:val="20"/>
        </w:rPr>
        <w:t xml:space="preserve"> the income, cost, and market approaches depending on the asset or liability being fair valued. The estimation of fair value required significant judgment related to future net cash flows (including revenue growth rate, EBITDA margins, and customer attriti</w:t>
      </w:r>
      <w:r>
        <w:rPr>
          <w:rFonts w:eastAsia="Times New Roman"/>
          <w:color w:val="000000"/>
          <w:sz w:val="20"/>
          <w:szCs w:val="20"/>
        </w:rPr>
        <w:t>on), discount rates reflecting the risk inherent in each cash flow stream, competitive trends, market comparables, and other factors. Inputs were generally determined by taking into account historical data (supplemented by current and anticipated market co</w:t>
      </w:r>
      <w:r>
        <w:rPr>
          <w:rFonts w:eastAsia="Times New Roman"/>
          <w:color w:val="000000"/>
          <w:sz w:val="20"/>
          <w:szCs w:val="20"/>
        </w:rPr>
        <w:t xml:space="preserve">nditions) and growth rates.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Direct customer relationships and technology - software were valued using an excess earnings method. Significant assumptions used in the discounted cash flow analysis for (i) direct customer relationships were the revenue gro</w:t>
      </w:r>
      <w:r>
        <w:rPr>
          <w:rFonts w:eastAsia="Times New Roman"/>
          <w:color w:val="000000"/>
          <w:sz w:val="20"/>
          <w:szCs w:val="20"/>
        </w:rPr>
        <w:t xml:space="preserve">wth rate, customer attrition rate, and discount rate, and (ii) technology - software were the revenue growth rate, earnings before interest, taxes, depreciation, and amortization (“EBITDA”) margins, and discount rate.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Goodwill represents the future econ</w:t>
      </w:r>
      <w:r>
        <w:rPr>
          <w:rFonts w:eastAsia="Times New Roman"/>
          <w:color w:val="000000"/>
          <w:sz w:val="20"/>
          <w:szCs w:val="20"/>
        </w:rPr>
        <w:t>omic benefits arising from other assets acquired that could not be separately recognized. The goodwill arising from the acquisition consists of revenue and cost synergies expected from combining the operations of NCR and Cardtronics. It is expected that ap</w:t>
      </w:r>
      <w:r>
        <w:rPr>
          <w:rFonts w:eastAsia="Times New Roman"/>
          <w:color w:val="000000"/>
          <w:sz w:val="20"/>
          <w:szCs w:val="20"/>
        </w:rPr>
        <w:t>proximately $139 million of the goodwill recognized in connection with the acquisition will be deductible for tax purposes. The goodwill arising from the acquisition has been allocated to our Payments &amp; Network and Self-Service Banking segments. Refer to N</w:t>
      </w:r>
      <w:r>
        <w:rPr>
          <w:rFonts w:eastAsia="Times New Roman"/>
          <w:color w:val="000000"/>
          <w:sz w:val="20"/>
          <w:szCs w:val="20"/>
        </w:rPr>
        <w:t>ote 3, “Goodwill and Purchased Intangible Assets”, for the carrying amounts of goodwill by segment as of December 31, 2022.</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following table sets forth the components of the intangible assets acquired as of the acquisition date:</w:t>
      </w:r>
    </w:p>
    <w:p w:rsidR="00000000" w:rsidRDefault="0040289C">
      <w:pPr>
        <w:divId w:val="105348861"/>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3"/>
        <w:gridCol w:w="5028"/>
        <w:gridCol w:w="36"/>
        <w:gridCol w:w="121"/>
        <w:gridCol w:w="1383"/>
        <w:gridCol w:w="37"/>
        <w:gridCol w:w="36"/>
        <w:gridCol w:w="38"/>
        <w:gridCol w:w="36"/>
        <w:gridCol w:w="54"/>
        <w:gridCol w:w="1398"/>
        <w:gridCol w:w="36"/>
      </w:tblGrid>
      <w:tr w:rsidR="00000000">
        <w:trPr>
          <w:divId w:val="1351687782"/>
        </w:trPr>
        <w:tc>
          <w:tcPr>
            <w:tcW w:w="50" w:type="pct"/>
            <w:vAlign w:val="center"/>
            <w:hideMark/>
          </w:tcPr>
          <w:p w:rsidR="00000000" w:rsidRDefault="0040289C">
            <w:pPr>
              <w:rPr>
                <w:rFonts w:eastAsia="Times New Roman"/>
              </w:rPr>
            </w:pPr>
          </w:p>
        </w:tc>
        <w:tc>
          <w:tcPr>
            <w:tcW w:w="306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5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6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351687782"/>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1351687782"/>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 years)</w:t>
            </w:r>
          </w:p>
        </w:tc>
      </w:tr>
      <w:tr w:rsidR="00000000">
        <w:trPr>
          <w:divId w:val="1351687782"/>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center"/>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40289C">
            <w:pPr>
              <w:spacing w:after="100"/>
              <w:jc w:val="right"/>
              <w:rPr>
                <w:rFonts w:eastAsia="Times New Roman"/>
              </w:rPr>
            </w:pPr>
            <w:r>
              <w:rPr>
                <w:rFonts w:eastAsia="Times New Roman"/>
                <w:color w:val="000000"/>
                <w:sz w:val="20"/>
                <w:szCs w:val="20"/>
              </w:rPr>
              <w:t>373 </w:t>
            </w:r>
          </w:p>
        </w:tc>
        <w:tc>
          <w:tcPr>
            <w:tcW w:w="0" w:type="auto"/>
            <w:shd w:val="clear" w:color="auto" w:fill="CCEEFF"/>
            <w:tcMar>
              <w:top w:w="30" w:type="dxa"/>
              <w:left w:w="0" w:type="dxa"/>
              <w:bottom w:w="3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15</w:t>
            </w:r>
          </w:p>
        </w:tc>
      </w:tr>
      <w:tr w:rsidR="00000000">
        <w:trPr>
          <w:divId w:val="1351687782"/>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r>
      <w:tr w:rsidR="00000000">
        <w:trPr>
          <w:divId w:val="1351687782"/>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xml:space="preserve">Non-compete </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r>
      <w:tr w:rsidR="00000000">
        <w:trPr>
          <w:divId w:val="1351687782"/>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r>
      <w:tr w:rsidR="00000000">
        <w:trPr>
          <w:divId w:val="1351687782"/>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divId w:val="1188179273"/>
        <w:rPr>
          <w:rFonts w:eastAsia="Times New Roman"/>
        </w:rPr>
      </w:pPr>
    </w:p>
    <w:p w:rsidR="00000000" w:rsidRDefault="0040289C">
      <w:pPr>
        <w:divId w:val="1331907105"/>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Determination of the weighted average period of the individual categories of intangible assets was based on the nature of the applicable intangible asset and the expected future cash flows to be derived from the intangible asset. Amortization of intangible</w:t>
      </w:r>
      <w:r>
        <w:rPr>
          <w:rFonts w:eastAsia="Times New Roman"/>
          <w:color w:val="000000"/>
          <w:sz w:val="18"/>
          <w:szCs w:val="18"/>
        </w:rPr>
        <w:t xml:space="preserve"> assets with definite lives is recognized over the period of time the assets are expected to contribute to future cash flows.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connection with the closing of the acquisition, the Company incurred transaction costs of $46 million for the year ended Dece</w:t>
      </w:r>
      <w:r>
        <w:rPr>
          <w:rFonts w:eastAsia="Times New Roman"/>
          <w:color w:val="000000"/>
          <w:sz w:val="20"/>
          <w:szCs w:val="20"/>
        </w:rPr>
        <w:t xml:space="preserve">mber 31, 2021, which has been included within Selling, general and administrative expenses in the Consolidated </w:t>
      </w:r>
    </w:p>
    <w:p w:rsidR="00000000" w:rsidRDefault="0040289C">
      <w:pPr>
        <w:jc w:val="center"/>
        <w:divId w:val="1844011497"/>
        <w:rPr>
          <w:rFonts w:eastAsia="Times New Roman"/>
        </w:rPr>
      </w:pPr>
      <w:r>
        <w:rPr>
          <w:rFonts w:eastAsia="Times New Roman"/>
          <w:color w:val="000000"/>
          <w:sz w:val="20"/>
          <w:szCs w:val="20"/>
        </w:rPr>
        <w:t>77</w:t>
      </w:r>
    </w:p>
    <w:p w:rsidR="00000000" w:rsidRDefault="0040289C">
      <w:pPr>
        <w:rPr>
          <w:rFonts w:eastAsia="Times New Roman"/>
        </w:rPr>
      </w:pPr>
      <w:r>
        <w:rPr>
          <w:rFonts w:eastAsia="Times New Roman"/>
        </w:rPr>
        <w:pict>
          <v:rect id="_x0000_i1107" style="width:0;height:1.5pt" o:hralign="center" o:hrstd="t" o:hr="t" fillcolor="#a0a0a0" stroked="f"/>
        </w:pict>
      </w:r>
    </w:p>
    <w:p w:rsidR="00000000" w:rsidRDefault="0040289C">
      <w:pPr>
        <w:divId w:val="122691764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779491722"/>
        <w:rPr>
          <w:rFonts w:eastAsia="Times New Roman"/>
        </w:rPr>
      </w:pPr>
    </w:p>
    <w:p w:rsidR="00000000" w:rsidRDefault="0040289C">
      <w:pPr>
        <w:jc w:val="both"/>
        <w:rPr>
          <w:rFonts w:eastAsia="Times New Roman"/>
        </w:rPr>
      </w:pPr>
      <w:r>
        <w:rPr>
          <w:rFonts w:eastAsia="Times New Roman"/>
          <w:color w:val="000000"/>
          <w:sz w:val="20"/>
          <w:szCs w:val="20"/>
        </w:rPr>
        <w:t>Statement of Operations. Refer to Note 5, “Debt Obligations”, for additional discussion on fees incurred related to the financing for the Cardtronics Transaction.</w:t>
      </w:r>
    </w:p>
    <w:p w:rsidR="00000000" w:rsidRDefault="0040289C">
      <w:pPr>
        <w:jc w:val="both"/>
        <w:rPr>
          <w:rFonts w:eastAsia="Times New Roman"/>
        </w:rPr>
      </w:pPr>
      <w:r>
        <w:rPr>
          <w:rFonts w:eastAsia="Times New Roman"/>
          <w:i/>
          <w:iCs/>
          <w:color w:val="000000"/>
          <w:sz w:val="20"/>
          <w:szCs w:val="20"/>
        </w:rPr>
        <w:t>Unaudited Pro forma Information</w:t>
      </w:r>
      <w:r>
        <w:rPr>
          <w:rFonts w:eastAsia="Times New Roman"/>
          <w:color w:val="000000"/>
          <w:sz w:val="20"/>
          <w:szCs w:val="20"/>
        </w:rPr>
        <w:t xml:space="preserve"> The following unaudited pro forma informat</w:t>
      </w:r>
      <w:r>
        <w:rPr>
          <w:rFonts w:eastAsia="Times New Roman"/>
          <w:color w:val="000000"/>
          <w:sz w:val="20"/>
          <w:szCs w:val="20"/>
          <w:shd w:val="clear" w:color="auto" w:fill="FFFFFF"/>
        </w:rPr>
        <w:t>ion presents</w:t>
      </w:r>
      <w:r>
        <w:rPr>
          <w:rFonts w:eastAsia="Times New Roman"/>
          <w:color w:val="000000"/>
          <w:sz w:val="20"/>
          <w:szCs w:val="20"/>
        </w:rPr>
        <w:t xml:space="preserve"> the co</w:t>
      </w:r>
      <w:r>
        <w:rPr>
          <w:rFonts w:eastAsia="Times New Roman"/>
          <w:color w:val="000000"/>
          <w:sz w:val="20"/>
          <w:szCs w:val="20"/>
        </w:rPr>
        <w:t>nsolidated results of NCR and Cardtronics for the year ended December 31, 2021 and for the year ended December 31, 2020 as if the acquisition occurred on January 1, 2020. The unaudited pro forma information is presented for illustrative purposes only. It i</w:t>
      </w:r>
      <w:r>
        <w:rPr>
          <w:rFonts w:eastAsia="Times New Roman"/>
          <w:color w:val="000000"/>
          <w:sz w:val="20"/>
          <w:szCs w:val="20"/>
        </w:rPr>
        <w:t>s not necessarily indicative of the results of operations of future periods, or the results of operations that actually would have been realized had the entities been a single company during the periods presented or the results that the combined company wi</w:t>
      </w:r>
      <w:r>
        <w:rPr>
          <w:rFonts w:eastAsia="Times New Roman"/>
          <w:color w:val="000000"/>
          <w:sz w:val="20"/>
          <w:szCs w:val="20"/>
        </w:rPr>
        <w:t>ll experience after the acquisition. The unaudited pro forma information does not give effect to the potential impact of current financial conditions, regulatory matters or any anticipated synergies, operating efficiencies or cost savings that may be assoc</w:t>
      </w:r>
      <w:r>
        <w:rPr>
          <w:rFonts w:eastAsia="Times New Roman"/>
          <w:color w:val="000000"/>
          <w:sz w:val="20"/>
          <w:szCs w:val="20"/>
        </w:rPr>
        <w:t>iated with the acquisition. The unaudited pro forma information also does not include any integration costs or remaining future transaction costs that the companies may incur related to the acquisition as part of combining the operations of the companies.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Consolidated Statements of Operations includes Cardtronics revenue of $627 million and income from continuing operations before income taxes of $39 million, which includes the impact of purchase accounting adjustments, for the period </w:t>
      </w:r>
      <w:r>
        <w:rPr>
          <w:rFonts w:eastAsia="Times New Roman"/>
          <w:color w:val="000000"/>
          <w:sz w:val="20"/>
          <w:szCs w:val="20"/>
          <w:shd w:val="clear" w:color="auto" w:fill="FFFFFF"/>
        </w:rPr>
        <w:t>from June 21, 20</w:t>
      </w:r>
      <w:r>
        <w:rPr>
          <w:rFonts w:eastAsia="Times New Roman"/>
          <w:color w:val="000000"/>
          <w:sz w:val="20"/>
          <w:szCs w:val="20"/>
          <w:shd w:val="clear" w:color="auto" w:fill="FFFFFF"/>
        </w:rPr>
        <w:t>21 through December 31, 2021.</w:t>
      </w:r>
      <w:r>
        <w:rPr>
          <w:rFonts w:eastAsia="Times New Roman"/>
          <w:color w:val="000000"/>
          <w:sz w:val="20"/>
          <w:szCs w:val="20"/>
        </w:rPr>
        <w:t xml:space="preserv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unaudited pro forma consolidated results of operations, assuming the acquisition had occurred on January 1, 2020, are as follows:</w:t>
      </w:r>
    </w:p>
    <w:p w:rsidR="00000000" w:rsidRDefault="0040289C">
      <w:pPr>
        <w:divId w:val="14873626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746"/>
        <w:gridCol w:w="37"/>
        <w:gridCol w:w="120"/>
        <w:gridCol w:w="1032"/>
        <w:gridCol w:w="36"/>
        <w:gridCol w:w="36"/>
        <w:gridCol w:w="36"/>
        <w:gridCol w:w="36"/>
        <w:gridCol w:w="120"/>
        <w:gridCol w:w="1032"/>
        <w:gridCol w:w="36"/>
      </w:tblGrid>
      <w:tr w:rsidR="00000000">
        <w:trPr>
          <w:divId w:val="1970747732"/>
        </w:trPr>
        <w:tc>
          <w:tcPr>
            <w:tcW w:w="50" w:type="pct"/>
            <w:vAlign w:val="center"/>
            <w:hideMark/>
          </w:tcPr>
          <w:p w:rsidR="00000000" w:rsidRDefault="0040289C">
            <w:pPr>
              <w:rPr>
                <w:rFonts w:eastAsia="Times New Roman"/>
              </w:rPr>
            </w:pPr>
          </w:p>
        </w:tc>
        <w:tc>
          <w:tcPr>
            <w:tcW w:w="349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5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5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70747732"/>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w:t>
            </w:r>
          </w:p>
        </w:tc>
      </w:tr>
      <w:tr w:rsidR="00000000">
        <w:trPr>
          <w:divId w:val="1970747732"/>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970747732"/>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40289C">
            <w:pPr>
              <w:spacing w:after="100"/>
              <w:jc w:val="right"/>
              <w:rPr>
                <w:rFonts w:eastAsia="Times New Roman"/>
              </w:rPr>
            </w:pPr>
            <w:r>
              <w:rPr>
                <w:rFonts w:eastAsia="Times New Roman"/>
                <w:color w:val="000000"/>
                <w:sz w:val="20"/>
                <w:szCs w:val="20"/>
              </w:rPr>
              <w:t>7,634 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40289C">
            <w:pPr>
              <w:spacing w:after="100"/>
              <w:jc w:val="right"/>
              <w:rPr>
                <w:rFonts w:eastAsia="Times New Roman"/>
              </w:rPr>
            </w:pPr>
            <w:r>
              <w:rPr>
                <w:rFonts w:eastAsia="Times New Roman"/>
                <w:color w:val="000000"/>
                <w:sz w:val="20"/>
                <w:szCs w:val="20"/>
              </w:rPr>
              <w:t>7,210 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40289C">
            <w:pPr>
              <w:spacing w:after="100"/>
              <w:jc w:val="right"/>
              <w:rPr>
                <w:rFonts w:eastAsia="Times New Roman"/>
              </w:rPr>
            </w:pPr>
          </w:p>
        </w:tc>
      </w:tr>
      <w:tr w:rsidR="00000000">
        <w:trPr>
          <w:divId w:val="1970747732"/>
        </w:trPr>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Net income (loss) attributable to NCR</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713726569"/>
        <w:rPr>
          <w:rFonts w:eastAsia="Times New Roman"/>
        </w:rPr>
      </w:pPr>
    </w:p>
    <w:p w:rsidR="00000000" w:rsidRDefault="0040289C">
      <w:pPr>
        <w:divId w:val="637492492"/>
        <w:rPr>
          <w:rFonts w:eastAsia="Times New Roman"/>
        </w:rPr>
      </w:pPr>
    </w:p>
    <w:p w:rsidR="00000000" w:rsidRDefault="0040289C">
      <w:pPr>
        <w:jc w:val="both"/>
        <w:rPr>
          <w:rFonts w:eastAsia="Times New Roman"/>
        </w:rPr>
      </w:pPr>
      <w:r>
        <w:rPr>
          <w:rFonts w:eastAsia="Times New Roman"/>
          <w:color w:val="000000"/>
          <w:sz w:val="20"/>
          <w:szCs w:val="20"/>
        </w:rPr>
        <w:t>The unaudited pro forma results for the year ended December 31, 2021 include:</w:t>
      </w:r>
    </w:p>
    <w:p w:rsidR="00000000" w:rsidRDefault="0040289C">
      <w:pPr>
        <w:ind w:hanging="360"/>
        <w:jc w:val="both"/>
        <w:rPr>
          <w:rFonts w:eastAsia="Times New Roman"/>
        </w:rPr>
      </w:pPr>
      <w:r>
        <w:rPr>
          <w:rFonts w:eastAsia="Times New Roman"/>
          <w:color w:val="000000"/>
          <w:sz w:val="20"/>
          <w:szCs w:val="20"/>
        </w:rPr>
        <w:t>•$53 million in eliminated intercompany revenue and cost between NCR and Cardtronics;</w:t>
      </w:r>
    </w:p>
    <w:p w:rsidR="00000000" w:rsidRDefault="0040289C">
      <w:pPr>
        <w:ind w:hanging="360"/>
        <w:jc w:val="both"/>
        <w:rPr>
          <w:rFonts w:eastAsia="Times New Roman"/>
        </w:rPr>
      </w:pPr>
      <w:r>
        <w:rPr>
          <w:rFonts w:eastAsia="Times New Roman"/>
          <w:color w:val="000000"/>
          <w:sz w:val="20"/>
          <w:szCs w:val="20"/>
        </w:rPr>
        <w:t xml:space="preserve">•$25 </w:t>
      </w:r>
      <w:r>
        <w:rPr>
          <w:rFonts w:eastAsia="Times New Roman"/>
          <w:color w:val="000000"/>
          <w:sz w:val="20"/>
          <w:szCs w:val="20"/>
        </w:rPr>
        <w:t>million, net of tax, in additional amortization expense for acquired intangible assets;</w:t>
      </w:r>
    </w:p>
    <w:p w:rsidR="00000000" w:rsidRDefault="0040289C">
      <w:pPr>
        <w:ind w:hanging="360"/>
        <w:jc w:val="both"/>
        <w:rPr>
          <w:rFonts w:eastAsia="Times New Roman"/>
        </w:rPr>
      </w:pPr>
      <w:r>
        <w:rPr>
          <w:rFonts w:eastAsia="Times New Roman"/>
          <w:color w:val="000000"/>
          <w:sz w:val="20"/>
          <w:szCs w:val="20"/>
        </w:rPr>
        <w:t>•$87 million, net of tax, in eliminated transaction costs as if those costs were incurred prior to 2021; and</w:t>
      </w:r>
    </w:p>
    <w:p w:rsidR="00000000" w:rsidRDefault="0040289C">
      <w:pPr>
        <w:ind w:hanging="360"/>
        <w:jc w:val="both"/>
        <w:rPr>
          <w:rFonts w:eastAsia="Times New Roman"/>
        </w:rPr>
      </w:pPr>
      <w:r>
        <w:rPr>
          <w:rFonts w:eastAsia="Times New Roman"/>
          <w:color w:val="000000"/>
          <w:sz w:val="20"/>
          <w:szCs w:val="20"/>
        </w:rPr>
        <w:t>•$35 million, net of tax, in additional interest expense fr</w:t>
      </w:r>
      <w:r>
        <w:rPr>
          <w:rFonts w:eastAsia="Times New Roman"/>
          <w:color w:val="000000"/>
          <w:sz w:val="20"/>
          <w:szCs w:val="20"/>
        </w:rPr>
        <w:t>om the incremental borrowings under the senior secured credit facility as well as the 5.125% senior notes.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unaudited pro forma results for the year ended December 31, 2020 include:</w:t>
      </w:r>
    </w:p>
    <w:p w:rsidR="00000000" w:rsidRDefault="0040289C">
      <w:pPr>
        <w:ind w:hanging="360"/>
        <w:jc w:val="both"/>
        <w:rPr>
          <w:rFonts w:eastAsia="Times New Roman"/>
        </w:rPr>
      </w:pPr>
      <w:r>
        <w:rPr>
          <w:rFonts w:eastAsia="Times New Roman"/>
          <w:color w:val="000000"/>
          <w:sz w:val="20"/>
          <w:szCs w:val="20"/>
        </w:rPr>
        <w:t xml:space="preserve">•$91 million in eliminated intercompany revenue and cost between NCR </w:t>
      </w:r>
      <w:r>
        <w:rPr>
          <w:rFonts w:eastAsia="Times New Roman"/>
          <w:color w:val="000000"/>
          <w:sz w:val="20"/>
          <w:szCs w:val="20"/>
        </w:rPr>
        <w:t>and Cardtronics;</w:t>
      </w:r>
    </w:p>
    <w:p w:rsidR="00000000" w:rsidRDefault="0040289C">
      <w:pPr>
        <w:ind w:hanging="360"/>
        <w:jc w:val="both"/>
        <w:rPr>
          <w:rFonts w:eastAsia="Times New Roman"/>
        </w:rPr>
      </w:pPr>
      <w:r>
        <w:rPr>
          <w:rFonts w:eastAsia="Times New Roman"/>
          <w:color w:val="000000"/>
          <w:sz w:val="20"/>
          <w:szCs w:val="20"/>
        </w:rPr>
        <w:t>•$51 million, net of tax, in additional amortization expense for acquired intangible assets;</w:t>
      </w:r>
    </w:p>
    <w:p w:rsidR="00000000" w:rsidRDefault="0040289C">
      <w:pPr>
        <w:ind w:hanging="360"/>
        <w:jc w:val="both"/>
        <w:rPr>
          <w:rFonts w:eastAsia="Times New Roman"/>
        </w:rPr>
      </w:pPr>
      <w:r>
        <w:rPr>
          <w:rFonts w:eastAsia="Times New Roman"/>
          <w:color w:val="000000"/>
          <w:sz w:val="20"/>
          <w:szCs w:val="20"/>
        </w:rPr>
        <w:t>•$65 million, net of tax, of transaction costs as if those costs were incurred in the period; and</w:t>
      </w:r>
    </w:p>
    <w:p w:rsidR="00000000" w:rsidRDefault="0040289C">
      <w:pPr>
        <w:ind w:hanging="360"/>
        <w:jc w:val="both"/>
        <w:rPr>
          <w:rFonts w:eastAsia="Times New Roman"/>
        </w:rPr>
      </w:pPr>
      <w:r>
        <w:rPr>
          <w:rFonts w:eastAsia="Times New Roman"/>
          <w:color w:val="000000"/>
          <w:sz w:val="20"/>
          <w:szCs w:val="20"/>
        </w:rPr>
        <w:t>•$79 million, net of tax, in additional interest</w:t>
      </w:r>
      <w:r>
        <w:rPr>
          <w:rFonts w:eastAsia="Times New Roman"/>
          <w:color w:val="000000"/>
          <w:sz w:val="20"/>
          <w:szCs w:val="20"/>
        </w:rPr>
        <w:t xml:space="preserve"> expense from the incremental borrowings under the senior secured credit facility as well as the 5.125% senior notes.</w:t>
      </w:r>
    </w:p>
    <w:p w:rsidR="00000000" w:rsidRDefault="0040289C">
      <w:pPr>
        <w:divId w:val="1118914412"/>
        <w:rPr>
          <w:rFonts w:eastAsia="Times New Roman"/>
        </w:rPr>
      </w:pPr>
    </w:p>
    <w:p w:rsidR="00000000" w:rsidRDefault="0040289C">
      <w:pPr>
        <w:divId w:val="660818878"/>
        <w:rPr>
          <w:rFonts w:eastAsia="Times New Roman"/>
        </w:rPr>
      </w:pPr>
    </w:p>
    <w:p w:rsidR="00000000" w:rsidRDefault="0040289C">
      <w:pPr>
        <w:divId w:val="1685401830"/>
        <w:rPr>
          <w:rFonts w:eastAsia="Times New Roman"/>
        </w:rPr>
      </w:pPr>
      <w:r>
        <w:rPr>
          <w:rFonts w:eastAsia="Times New Roman"/>
          <w:b/>
          <w:bCs/>
          <w:color w:val="000000"/>
          <w:sz w:val="20"/>
          <w:szCs w:val="20"/>
        </w:rPr>
        <w:t xml:space="preserve">Acquisition of Freshop, Terafina, &amp; Dumac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In the first quarter of 2021, NCR completed acquisitions for total cash consideration of </w:t>
      </w:r>
      <w:r>
        <w:rPr>
          <w:rFonts w:eastAsia="Times New Roman"/>
          <w:color w:val="000000"/>
          <w:sz w:val="20"/>
          <w:szCs w:val="20"/>
        </w:rPr>
        <w:t xml:space="preserve">$126 million, as outlined below: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•On January 6, 2021, NCR completed its acquisition of Freshop E-Commerce Solution, Inc. (“Freshop”), a leading provider of grocery e-commerce. The Freshop acquisition further expands NCR’s software and services-led offer</w:t>
      </w:r>
      <w:r>
        <w:rPr>
          <w:rFonts w:eastAsia="Times New Roman"/>
          <w:color w:val="000000"/>
          <w:sz w:val="20"/>
          <w:szCs w:val="20"/>
        </w:rPr>
        <w:t xml:space="preserve">ings to our retail platform and creates more value for our customers and new capabilities for NCR to run the store. As a result of the acquisition, Freshop became a wholly owned subsidiary of NCR.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•On February 5, 2021, NCR completed its acquisition of T</w:t>
      </w:r>
      <w:r>
        <w:rPr>
          <w:rFonts w:eastAsia="Times New Roman"/>
          <w:color w:val="000000"/>
          <w:sz w:val="20"/>
          <w:szCs w:val="20"/>
        </w:rPr>
        <w:t>erafina, Inc. (“Terafina”), a leading solution provider for customer account opening and onboarding across digital, branch and call center channels. The Terafina acquisition further expands NCR sales and marketing capabilities in its industry-leading digit</w:t>
      </w:r>
      <w:r>
        <w:rPr>
          <w:rFonts w:eastAsia="Times New Roman"/>
          <w:color w:val="000000"/>
          <w:sz w:val="20"/>
          <w:szCs w:val="20"/>
        </w:rPr>
        <w:t>al-first-banking platform to drive revenue growth across consumer and business market segments. As a result of the acquisition, Terafina became a wholly owned subsidiary of NCR.</w:t>
      </w:r>
    </w:p>
    <w:p w:rsidR="00000000" w:rsidRDefault="0040289C">
      <w:pPr>
        <w:jc w:val="both"/>
        <w:rPr>
          <w:rFonts w:eastAsia="Times New Roman"/>
        </w:rPr>
      </w:pPr>
    </w:p>
    <w:p w:rsidR="00000000" w:rsidRDefault="0040289C">
      <w:pPr>
        <w:jc w:val="center"/>
        <w:divId w:val="271329796"/>
        <w:rPr>
          <w:rFonts w:eastAsia="Times New Roman"/>
        </w:rPr>
      </w:pPr>
      <w:r>
        <w:rPr>
          <w:rFonts w:eastAsia="Times New Roman"/>
          <w:color w:val="000000"/>
          <w:sz w:val="20"/>
          <w:szCs w:val="20"/>
        </w:rPr>
        <w:t>78</w:t>
      </w:r>
    </w:p>
    <w:p w:rsidR="00000000" w:rsidRDefault="0040289C">
      <w:pPr>
        <w:rPr>
          <w:rFonts w:eastAsia="Times New Roman"/>
        </w:rPr>
      </w:pPr>
      <w:r>
        <w:rPr>
          <w:rFonts w:eastAsia="Times New Roman"/>
        </w:rPr>
        <w:pict>
          <v:rect id="_x0000_i1108" style="width:0;height:1.5pt" o:hralign="center" o:hrstd="t" o:hr="t" fillcolor="#a0a0a0" stroked="f"/>
        </w:pict>
      </w:r>
    </w:p>
    <w:p w:rsidR="00000000" w:rsidRDefault="0040289C">
      <w:pPr>
        <w:divId w:val="24330006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54619912"/>
        <w:rPr>
          <w:rFonts w:eastAsia="Times New Roman"/>
        </w:rPr>
      </w:pPr>
    </w:p>
    <w:p w:rsidR="00000000" w:rsidRDefault="0040289C">
      <w:pPr>
        <w:ind w:hanging="360"/>
        <w:jc w:val="both"/>
        <w:rPr>
          <w:rFonts w:eastAsia="Times New Roman"/>
        </w:rPr>
      </w:pPr>
      <w:r>
        <w:rPr>
          <w:rFonts w:eastAsia="Times New Roman"/>
          <w:color w:val="000000"/>
          <w:sz w:val="20"/>
          <w:szCs w:val="20"/>
          <w:shd w:val="clear" w:color="auto" w:fill="FFFFFF"/>
        </w:rPr>
        <w:t>•On March 22, 2021 NCR completed its acquisition of certain assets and liabilities of Dumac Business Systems Inc. (</w:t>
      </w:r>
      <w:r>
        <w:rPr>
          <w:rFonts w:eastAsia="Times New Roman"/>
          <w:color w:val="000000"/>
          <w:sz w:val="20"/>
          <w:szCs w:val="20"/>
        </w:rPr>
        <w:t>“Dumac”</w:t>
      </w:r>
      <w:r>
        <w:rPr>
          <w:rFonts w:eastAsia="Times New Roman"/>
          <w:color w:val="000000"/>
          <w:sz w:val="20"/>
          <w:szCs w:val="20"/>
          <w:shd w:val="clear" w:color="auto" w:fill="FFFFFF"/>
        </w:rPr>
        <w:t>), a leading POS solution provider for the quick service, table service, and convenient sto</w:t>
      </w:r>
      <w:r>
        <w:rPr>
          <w:rFonts w:eastAsia="Times New Roman"/>
          <w:color w:val="000000"/>
          <w:sz w:val="20"/>
          <w:szCs w:val="20"/>
          <w:shd w:val="clear" w:color="auto" w:fill="FFFFFF"/>
        </w:rPr>
        <w:t xml:space="preserve">re markets. The Dumac asset acquisition further expands NCR's software and services-led offerings, creating more value for our customers and driving revenue growth across the Hospitality segment. </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Recording of Assets Acquired and Liabilities Assumed</w:t>
      </w:r>
      <w:r>
        <w:rPr>
          <w:rFonts w:eastAsia="Times New Roman"/>
          <w:color w:val="000000"/>
          <w:sz w:val="20"/>
          <w:szCs w:val="20"/>
        </w:rPr>
        <w:t xml:space="preserve"> The </w:t>
      </w:r>
      <w:r>
        <w:rPr>
          <w:rFonts w:eastAsia="Times New Roman"/>
          <w:color w:val="000000"/>
          <w:sz w:val="20"/>
          <w:szCs w:val="20"/>
        </w:rPr>
        <w:t>fair value of consideration transferred was allocated to the identifiable assets acquired and liabilities assumed based upon their estimated fair values as of the date of the respective acquisitions as set forth below. The allocation of the purchase prices</w:t>
      </w:r>
      <w:r>
        <w:rPr>
          <w:rFonts w:eastAsia="Times New Roman"/>
          <w:color w:val="000000"/>
          <w:sz w:val="20"/>
          <w:szCs w:val="20"/>
        </w:rPr>
        <w:t xml:space="preserve"> is as follows:</w:t>
      </w:r>
    </w:p>
    <w:p w:rsidR="00000000" w:rsidRDefault="0040289C">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1"/>
        <w:gridCol w:w="6956"/>
        <w:gridCol w:w="39"/>
        <w:gridCol w:w="120"/>
        <w:gridCol w:w="1054"/>
        <w:gridCol w:w="36"/>
      </w:tblGrid>
      <w:tr w:rsidR="00000000">
        <w:tc>
          <w:tcPr>
            <w:tcW w:w="50" w:type="pct"/>
            <w:vAlign w:val="center"/>
            <w:hideMark/>
          </w:tcPr>
          <w:p w:rsidR="00000000" w:rsidRDefault="0040289C">
            <w:pPr>
              <w:jc w:val="both"/>
              <w:rPr>
                <w:rFonts w:eastAsia="Times New Roman"/>
              </w:rPr>
            </w:pPr>
          </w:p>
        </w:tc>
        <w:tc>
          <w:tcPr>
            <w:tcW w:w="423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5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Cash acquired</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Tangible assets acquired</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Acquired intangible assets other than goodwill</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Acquired goodwill</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Deferred tax liabilities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Liabilities assumed</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b/>
                <w:bCs/>
                <w:color w:val="000000"/>
                <w:sz w:val="20"/>
                <w:szCs w:val="20"/>
              </w:rPr>
              <w:t>Total purchase consideration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Goodwill represents the future economic benefits arising from other assets acquired that could not be individually separately recognized. The goodwill arising from the acquisitions consists of revenue and cost synergies expected from combining the operatio</w:t>
      </w:r>
      <w:r>
        <w:rPr>
          <w:rFonts w:eastAsia="Times New Roman"/>
          <w:color w:val="000000"/>
          <w:sz w:val="20"/>
          <w:szCs w:val="20"/>
        </w:rPr>
        <w:t>ns of NCR and the respective acquisitions. It is expected that $9 million of the goodwill recognized in connection with the acquisitions will be deductible for tax purposes. The goodwill arising from the Freshop acquisition has been allocated to our Retail</w:t>
      </w:r>
      <w:r>
        <w:rPr>
          <w:rFonts w:eastAsia="Times New Roman"/>
          <w:color w:val="000000"/>
          <w:sz w:val="20"/>
          <w:szCs w:val="20"/>
        </w:rPr>
        <w:t xml:space="preserve"> segment. The goodwill arising from the Terafina acquisition has been allocated to our Digital Banking segment. The goodwill arising from the Dumac acquisition has been allocated to our Hospitality segment. Refer to Note 3, “Goodwill and Purchased Intangib</w:t>
      </w:r>
      <w:r>
        <w:rPr>
          <w:rFonts w:eastAsia="Times New Roman"/>
          <w:color w:val="000000"/>
          <w:sz w:val="20"/>
          <w:szCs w:val="20"/>
        </w:rPr>
        <w:t xml:space="preserve">le Assets”, for the carrying amounts of goodwill by segment.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following table sets forth the components of the intangible assets acquired as of the acquisition dates: </w:t>
      </w:r>
    </w:p>
    <w:tbl>
      <w:tblPr>
        <w:tblW w:w="4970" w:type="pct"/>
        <w:jc w:val="center"/>
        <w:tblCellMar>
          <w:top w:w="15" w:type="dxa"/>
          <w:left w:w="15" w:type="dxa"/>
          <w:bottom w:w="15" w:type="dxa"/>
          <w:right w:w="15" w:type="dxa"/>
        </w:tblCellMar>
        <w:tblLook w:val="04A0" w:firstRow="1" w:lastRow="0" w:firstColumn="1" w:lastColumn="0" w:noHBand="0" w:noVBand="1"/>
      </w:tblPr>
      <w:tblGrid>
        <w:gridCol w:w="53"/>
        <w:gridCol w:w="5028"/>
        <w:gridCol w:w="36"/>
        <w:gridCol w:w="122"/>
        <w:gridCol w:w="1383"/>
        <w:gridCol w:w="37"/>
        <w:gridCol w:w="36"/>
        <w:gridCol w:w="38"/>
        <w:gridCol w:w="36"/>
        <w:gridCol w:w="53"/>
        <w:gridCol w:w="1398"/>
        <w:gridCol w:w="36"/>
      </w:tblGrid>
      <w:tr w:rsidR="00000000">
        <w:trPr>
          <w:divId w:val="549612519"/>
          <w:jc w:val="center"/>
        </w:trPr>
        <w:tc>
          <w:tcPr>
            <w:tcW w:w="50" w:type="pct"/>
            <w:vAlign w:val="center"/>
            <w:hideMark/>
          </w:tcPr>
          <w:p w:rsidR="00000000" w:rsidRDefault="0040289C">
            <w:pPr>
              <w:jc w:val="both"/>
              <w:rPr>
                <w:rFonts w:eastAsia="Times New Roman"/>
              </w:rPr>
            </w:pPr>
          </w:p>
        </w:tc>
        <w:tc>
          <w:tcPr>
            <w:tcW w:w="306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5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6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549612519"/>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 Average Amortization Period</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549612519"/>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 years)</w:t>
            </w:r>
          </w:p>
        </w:tc>
      </w:tr>
      <w:tr w:rsidR="00000000">
        <w:trPr>
          <w:divId w:val="54961251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 customer relationships</w:t>
            </w:r>
          </w:p>
        </w:tc>
        <w:tc>
          <w:tcPr>
            <w:tcW w:w="0" w:type="auto"/>
            <w:shd w:val="clear" w:color="auto" w:fill="CCEEFF"/>
            <w:tcMar>
              <w:top w:w="30" w:type="dxa"/>
              <w:left w:w="20" w:type="dxa"/>
              <w:bottom w:w="30" w:type="dxa"/>
              <w:right w:w="0" w:type="dxa"/>
            </w:tcMar>
            <w:vAlign w:val="center"/>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40289C">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10</w:t>
            </w:r>
          </w:p>
        </w:tc>
      </w:tr>
      <w:tr w:rsidR="00000000">
        <w:trPr>
          <w:divId w:val="54961251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Technology - Software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r>
      <w:tr w:rsidR="00000000">
        <w:trPr>
          <w:divId w:val="54961251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xml:space="preserve">Non-compete </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r>
      <w:tr w:rsidR="00000000">
        <w:trPr>
          <w:divId w:val="54961251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Tradenames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9</w:t>
            </w:r>
          </w:p>
        </w:tc>
      </w:tr>
      <w:tr w:rsidR="00000000">
        <w:trPr>
          <w:divId w:val="549612519"/>
          <w:jc w:val="center"/>
        </w:trPr>
        <w:tc>
          <w:tcPr>
            <w:tcW w:w="0" w:type="auto"/>
            <w:gridSpan w:val="3"/>
            <w:shd w:val="clear" w:color="auto" w:fill="CCEEFF"/>
            <w:tcMar>
              <w:top w:w="30" w:type="dxa"/>
              <w:left w:w="20" w:type="dxa"/>
              <w:bottom w:w="30" w:type="dxa"/>
              <w:right w:w="20" w:type="dxa"/>
            </w:tcMar>
            <w:vAlign w:val="center"/>
            <w:hideMark/>
          </w:tcPr>
          <w:p w:rsidR="00000000" w:rsidRDefault="0040289C">
            <w:pPr>
              <w:spacing w:after="100"/>
              <w:rPr>
                <w:rFonts w:eastAsia="Times New Roman"/>
              </w:rPr>
            </w:pPr>
            <w:r>
              <w:rPr>
                <w:rFonts w:eastAsia="Times New Roman"/>
                <w:color w:val="000000"/>
                <w:sz w:val="20"/>
                <w:szCs w:val="20"/>
              </w:rPr>
              <w:t>Total acquired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divId w:val="663821170"/>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r>
        <w:rPr>
          <w:rFonts w:eastAsia="Times New Roman"/>
          <w:color w:val="000000"/>
          <w:sz w:val="18"/>
          <w:szCs w:val="18"/>
        </w:rPr>
        <w:t>Determination of the weighted average period of the individual categories of intangible assets was based on the nature of the applicable intangible asset and the expected future cash flows to be derived from the intangible asset. Amortization of intangible</w:t>
      </w:r>
      <w:r>
        <w:rPr>
          <w:rFonts w:eastAsia="Times New Roman"/>
          <w:color w:val="000000"/>
          <w:sz w:val="18"/>
          <w:szCs w:val="18"/>
        </w:rPr>
        <w:t xml:space="preserve"> assets with definite lives is recognized over the period of time the assets are expected to contribute to future cash flows.</w:t>
      </w:r>
    </w:p>
    <w:p w:rsidR="00000000" w:rsidRDefault="0040289C">
      <w:pPr>
        <w:divId w:val="1985154628"/>
        <w:rPr>
          <w:rFonts w:eastAsia="Times New Roman"/>
        </w:rPr>
      </w:pPr>
    </w:p>
    <w:p w:rsidR="00000000" w:rsidRDefault="0040289C">
      <w:pPr>
        <w:jc w:val="both"/>
        <w:rPr>
          <w:rFonts w:eastAsia="Times New Roman"/>
        </w:rPr>
      </w:pPr>
      <w:r>
        <w:rPr>
          <w:rFonts w:eastAsia="Times New Roman"/>
          <w:color w:val="000000"/>
          <w:sz w:val="20"/>
          <w:szCs w:val="20"/>
        </w:rPr>
        <w:t>The operating results of Freshop, Terafina, and Dumac have been included within NCR's results as of the closing dates of the res</w:t>
      </w:r>
      <w:r>
        <w:rPr>
          <w:rFonts w:eastAsia="Times New Roman"/>
          <w:color w:val="000000"/>
          <w:sz w:val="20"/>
          <w:szCs w:val="20"/>
        </w:rPr>
        <w:t>pective acquisitions. Supplemental pro forma information and actual revenue and earnings since the acquisition dates have not been provided as the acquisitions did not have a material impact on the Company's Consolidated Statements of Operations.</w:t>
      </w:r>
    </w:p>
    <w:p w:rsidR="00000000" w:rsidRDefault="0040289C">
      <w:pPr>
        <w:jc w:val="both"/>
        <w:rPr>
          <w:rFonts w:eastAsia="Times New Roman"/>
        </w:rPr>
      </w:pPr>
    </w:p>
    <w:p w:rsidR="00000000" w:rsidRDefault="0040289C">
      <w:pPr>
        <w:jc w:val="both"/>
        <w:rPr>
          <w:rFonts w:eastAsia="Times New Roman"/>
        </w:rPr>
      </w:pPr>
    </w:p>
    <w:p w:rsidR="00000000" w:rsidRDefault="0040289C">
      <w:pPr>
        <w:divId w:val="1092630268"/>
        <w:rPr>
          <w:rFonts w:eastAsia="Times New Roman"/>
        </w:rPr>
      </w:pPr>
      <w:r>
        <w:rPr>
          <w:rFonts w:eastAsia="Times New Roman"/>
          <w:b/>
          <w:bCs/>
          <w:color w:val="7ACE05"/>
          <w:sz w:val="20"/>
          <w:szCs w:val="20"/>
        </w:rPr>
        <w:t>3. GO</w:t>
      </w:r>
      <w:r>
        <w:rPr>
          <w:rFonts w:eastAsia="Times New Roman"/>
          <w:b/>
          <w:bCs/>
          <w:color w:val="7ACE05"/>
          <w:sz w:val="20"/>
          <w:szCs w:val="20"/>
        </w:rPr>
        <w:t xml:space="preserve">ODWILL AND PURCHASED INTANGIBLE ASSETS </w:t>
      </w:r>
    </w:p>
    <w:p w:rsidR="00000000" w:rsidRDefault="0040289C">
      <w:pPr>
        <w:divId w:val="1796481703"/>
        <w:rPr>
          <w:rFonts w:eastAsia="Times New Roman"/>
        </w:rPr>
      </w:pPr>
    </w:p>
    <w:p w:rsidR="00000000" w:rsidRDefault="0040289C">
      <w:pPr>
        <w:jc w:val="both"/>
        <w:rPr>
          <w:rFonts w:eastAsia="Times New Roman"/>
        </w:rPr>
      </w:pPr>
      <w:r>
        <w:rPr>
          <w:rFonts w:eastAsia="Times New Roman"/>
          <w:i/>
          <w:iCs/>
          <w:color w:val="000000"/>
          <w:sz w:val="20"/>
          <w:szCs w:val="20"/>
        </w:rPr>
        <w:t>Goodwill by Segment</w:t>
      </w:r>
      <w:r>
        <w:rPr>
          <w:rFonts w:eastAsia="Times New Roman"/>
          <w:color w:val="000000"/>
          <w:sz w:val="20"/>
          <w:szCs w:val="20"/>
        </w:rPr>
        <w:t xml:space="preserve"> As described in Note 1, “Basis of Presentation and Significant Accounting Policies”, effective January 1, 2022, the Company realigned its reportable segments to correspond with changes to its op</w:t>
      </w:r>
      <w:r>
        <w:rPr>
          <w:rFonts w:eastAsia="Times New Roman"/>
          <w:color w:val="000000"/>
          <w:sz w:val="20"/>
          <w:szCs w:val="20"/>
        </w:rPr>
        <w:t>erating model, management structure and organizational responsibilities. In connection with the change in reportable segments, during the first quarter of 2022, the Company determined its reporting units and then assigned goodwill to the new reporting unit</w:t>
      </w:r>
      <w:r>
        <w:rPr>
          <w:rFonts w:eastAsia="Times New Roman"/>
          <w:color w:val="000000"/>
          <w:sz w:val="20"/>
          <w:szCs w:val="20"/>
        </w:rPr>
        <w:t>s based on the relative fair value allocation approach. We have reclassified prior period goodwill disclosures to conform to the current period presentation.</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813133307"/>
        <w:rPr>
          <w:rFonts w:eastAsia="Times New Roman"/>
        </w:rPr>
      </w:pPr>
      <w:r>
        <w:rPr>
          <w:rFonts w:eastAsia="Times New Roman"/>
          <w:color w:val="000000"/>
          <w:sz w:val="20"/>
          <w:szCs w:val="20"/>
        </w:rPr>
        <w:t>79</w:t>
      </w:r>
    </w:p>
    <w:p w:rsidR="00000000" w:rsidRDefault="0040289C">
      <w:pPr>
        <w:rPr>
          <w:rFonts w:eastAsia="Times New Roman"/>
        </w:rPr>
      </w:pPr>
      <w:r>
        <w:rPr>
          <w:rFonts w:eastAsia="Times New Roman"/>
        </w:rPr>
        <w:pict>
          <v:rect id="_x0000_i1109" style="width:0;height:1.5pt" o:hralign="center" o:hrstd="t" o:hr="t" fillcolor="#a0a0a0" stroked="f"/>
        </w:pict>
      </w:r>
    </w:p>
    <w:p w:rsidR="00000000" w:rsidRDefault="0040289C">
      <w:pPr>
        <w:divId w:val="88744817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539780774"/>
        <w:rPr>
          <w:rFonts w:eastAsia="Times New Roman"/>
        </w:rPr>
      </w:pPr>
    </w:p>
    <w:p w:rsidR="00000000" w:rsidRDefault="0040289C">
      <w:pPr>
        <w:jc w:val="both"/>
        <w:rPr>
          <w:rFonts w:eastAsia="Times New Roman"/>
        </w:rPr>
      </w:pPr>
      <w:r>
        <w:rPr>
          <w:rFonts w:eastAsia="Times New Roman"/>
          <w:color w:val="000000"/>
          <w:sz w:val="20"/>
          <w:szCs w:val="20"/>
        </w:rPr>
        <w:t xml:space="preserve">The carrying amounts of goodwill by segment as of December 31, 2022, </w:t>
      </w:r>
      <w:r>
        <w:rPr>
          <w:rFonts w:eastAsia="Times New Roman"/>
          <w:color w:val="000000"/>
          <w:sz w:val="20"/>
          <w:szCs w:val="20"/>
        </w:rPr>
        <w:t>2021, and 2020 are included in the tables below. Foreign currency fluctuations are included within other adjustments</w:t>
      </w:r>
      <w:r>
        <w:rPr>
          <w:rFonts w:eastAsia="Times New Roman"/>
          <w:color w:val="000000"/>
          <w:sz w:val="16"/>
          <w:szCs w:val="16"/>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50"/>
        <w:gridCol w:w="875"/>
        <w:gridCol w:w="36"/>
        <w:gridCol w:w="121"/>
        <w:gridCol w:w="587"/>
        <w:gridCol w:w="36"/>
        <w:gridCol w:w="121"/>
        <w:gridCol w:w="842"/>
        <w:gridCol w:w="36"/>
        <w:gridCol w:w="120"/>
        <w:gridCol w:w="500"/>
        <w:gridCol w:w="36"/>
        <w:gridCol w:w="36"/>
        <w:gridCol w:w="36"/>
        <w:gridCol w:w="36"/>
        <w:gridCol w:w="36"/>
        <w:gridCol w:w="36"/>
        <w:gridCol w:w="121"/>
        <w:gridCol w:w="606"/>
        <w:gridCol w:w="36"/>
        <w:gridCol w:w="36"/>
        <w:gridCol w:w="36"/>
        <w:gridCol w:w="36"/>
        <w:gridCol w:w="121"/>
        <w:gridCol w:w="763"/>
        <w:gridCol w:w="36"/>
        <w:gridCol w:w="36"/>
        <w:gridCol w:w="36"/>
        <w:gridCol w:w="36"/>
        <w:gridCol w:w="120"/>
        <w:gridCol w:w="334"/>
        <w:gridCol w:w="36"/>
        <w:gridCol w:w="36"/>
        <w:gridCol w:w="36"/>
        <w:gridCol w:w="36"/>
        <w:gridCol w:w="121"/>
        <w:gridCol w:w="576"/>
        <w:gridCol w:w="36"/>
        <w:gridCol w:w="121"/>
        <w:gridCol w:w="846"/>
        <w:gridCol w:w="36"/>
        <w:gridCol w:w="120"/>
        <w:gridCol w:w="500"/>
        <w:gridCol w:w="36"/>
      </w:tblGrid>
      <w:tr w:rsidR="00000000">
        <w:trPr>
          <w:divId w:val="685249849"/>
          <w:jc w:val="center"/>
        </w:trPr>
        <w:tc>
          <w:tcPr>
            <w:tcW w:w="50" w:type="pct"/>
            <w:vAlign w:val="center"/>
            <w:hideMark/>
          </w:tcPr>
          <w:p w:rsidR="00000000" w:rsidRDefault="0040289C">
            <w:pPr>
              <w:jc w:val="both"/>
              <w:rPr>
                <w:rFonts w:eastAsia="Times New Roman"/>
              </w:rPr>
            </w:pPr>
          </w:p>
        </w:tc>
        <w:tc>
          <w:tcPr>
            <w:tcW w:w="88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4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0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685249849"/>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r>
      <w:tr w:rsidR="00000000">
        <w:trPr>
          <w:divId w:val="685249849"/>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Impairment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r>
      <w:tr w:rsidR="0040289C">
        <w:trPr>
          <w:divId w:val="68524984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Retail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524984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524984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Digital Banking</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524984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Payments &amp; Network</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524984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Self-Service Banking</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524984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54536880"/>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68524984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4,688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4,519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4,709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4,540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843202716"/>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50"/>
        <w:gridCol w:w="875"/>
        <w:gridCol w:w="36"/>
        <w:gridCol w:w="121"/>
        <w:gridCol w:w="581"/>
        <w:gridCol w:w="36"/>
        <w:gridCol w:w="121"/>
        <w:gridCol w:w="844"/>
        <w:gridCol w:w="36"/>
        <w:gridCol w:w="120"/>
        <w:gridCol w:w="500"/>
        <w:gridCol w:w="36"/>
        <w:gridCol w:w="36"/>
        <w:gridCol w:w="36"/>
        <w:gridCol w:w="36"/>
        <w:gridCol w:w="121"/>
        <w:gridCol w:w="607"/>
        <w:gridCol w:w="36"/>
        <w:gridCol w:w="36"/>
        <w:gridCol w:w="36"/>
        <w:gridCol w:w="36"/>
        <w:gridCol w:w="121"/>
        <w:gridCol w:w="764"/>
        <w:gridCol w:w="36"/>
        <w:gridCol w:w="36"/>
        <w:gridCol w:w="36"/>
        <w:gridCol w:w="36"/>
        <w:gridCol w:w="121"/>
        <w:gridCol w:w="367"/>
        <w:gridCol w:w="36"/>
        <w:gridCol w:w="36"/>
        <w:gridCol w:w="36"/>
        <w:gridCol w:w="36"/>
        <w:gridCol w:w="121"/>
        <w:gridCol w:w="576"/>
        <w:gridCol w:w="36"/>
        <w:gridCol w:w="121"/>
        <w:gridCol w:w="845"/>
        <w:gridCol w:w="36"/>
        <w:gridCol w:w="120"/>
        <w:gridCol w:w="500"/>
        <w:gridCol w:w="36"/>
      </w:tblGrid>
      <w:tr w:rsidR="00000000">
        <w:trPr>
          <w:jc w:val="center"/>
        </w:trPr>
        <w:tc>
          <w:tcPr>
            <w:tcW w:w="50" w:type="pct"/>
            <w:vAlign w:val="center"/>
            <w:hideMark/>
          </w:tcPr>
          <w:p w:rsidR="00000000" w:rsidRDefault="0040289C">
            <w:pPr>
              <w:jc w:val="center"/>
              <w:rPr>
                <w:rFonts w:eastAsia="Times New Roman"/>
              </w:rPr>
            </w:pPr>
          </w:p>
        </w:tc>
        <w:tc>
          <w:tcPr>
            <w:tcW w:w="88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9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0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0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 xml:space="preserve">Accumulated Impairment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Impairment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Accumulated Impairment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r>
      <w:tr w:rsidR="0040289C">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Retail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w:t>
            </w:r>
            <w:r>
              <w:rPr>
                <w:rFonts w:eastAsia="Times New Roman"/>
                <w:color w:val="000000"/>
                <w:sz w:val="20"/>
                <w:szCs w:val="20"/>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Digital Banking</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560 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560 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595 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595 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Payments &amp; Network</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Self-Service Banking</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659 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558 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1,635 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1,534 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130827487"/>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4,688 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4,519 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Other segment includes the goodwill associated with our Technology &amp; Telecommunications reporting unit.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Additions during the year ended December 31, 2022 include immaterial purchase accounting adjustments</w:t>
      </w:r>
      <w:r>
        <w:rPr>
          <w:rFonts w:eastAsia="Times New Roman"/>
          <w:color w:val="000000"/>
          <w:sz w:val="20"/>
          <w:szCs w:val="20"/>
        </w:rPr>
        <w:t xml:space="preserve"> related to the Cardtronics acquisition as well as the goodwill acquired through the LibertyX transaction on January 5, 2022. For additional information on these business combinations, refer to Note 2, “Business Combinations”. Also during the year ended De</w:t>
      </w:r>
      <w:r>
        <w:rPr>
          <w:rFonts w:eastAsia="Times New Roman"/>
          <w:color w:val="000000"/>
          <w:sz w:val="20"/>
          <w:szCs w:val="20"/>
        </w:rPr>
        <w:t xml:space="preserve">cember 31, 2022, the Company divested a non-strategic business and derecognized $12 million of associated goodwill, reflected within other adjustments in the Retail and Hospitality segments.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Due to the change in reportable segments, management performed</w:t>
      </w:r>
      <w:r>
        <w:rPr>
          <w:rFonts w:eastAsia="Times New Roman"/>
          <w:color w:val="000000"/>
          <w:sz w:val="20"/>
          <w:szCs w:val="20"/>
        </w:rPr>
        <w:t xml:space="preserve"> an interim goodwill impairment analysis immediately before and as of the effective date of January 1, 2022. The assessment as of December 31, 2021 was performed based on a qualitative assessment of the historical Banking, Retail, Hospitality and Telecommu</w:t>
      </w:r>
      <w:r>
        <w:rPr>
          <w:rFonts w:eastAsia="Times New Roman"/>
          <w:color w:val="000000"/>
          <w:sz w:val="20"/>
          <w:szCs w:val="20"/>
        </w:rPr>
        <w:t>nications &amp; Technology (“T&amp;T”) reporting units. No impairment was identified. The assessment as of January 1, 2022 was performed using a weighted combination of both guideline public company and discounted cash flow valuation methods. This assessment inclu</w:t>
      </w:r>
      <w:r>
        <w:rPr>
          <w:rFonts w:eastAsia="Times New Roman"/>
          <w:color w:val="000000"/>
          <w:sz w:val="20"/>
          <w:szCs w:val="20"/>
        </w:rPr>
        <w:t xml:space="preserve">ded, but was not limited to, our consideration of the potential impacts of the COVID-19 pandemic to the current and future cash flows, as well as macroeconomic conditions, industry and market considerations, and financial performance, including forecasted </w:t>
      </w:r>
      <w:r>
        <w:rPr>
          <w:rFonts w:eastAsia="Times New Roman"/>
          <w:color w:val="000000"/>
          <w:sz w:val="20"/>
          <w:szCs w:val="20"/>
        </w:rPr>
        <w:t xml:space="preserve">revenue, earnings and capital expenditures of each reporting unit. Based on this analysis, it was determined that the fair value of all reporting units were substantially in excess of the carrying value.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discussed in Note 1, “Basis of Presentation an</w:t>
      </w:r>
      <w:r>
        <w:rPr>
          <w:rFonts w:eastAsia="Times New Roman"/>
          <w:color w:val="000000"/>
          <w:sz w:val="20"/>
          <w:szCs w:val="20"/>
        </w:rPr>
        <w:t>d Significant Accounting Policies”, management completed the annual goodwill impairment test during the fourth quarter of 2022. The Company elected to perform a qualitative assessment for all reporting units. This assessment included, but was not limited t</w:t>
      </w:r>
      <w:r>
        <w:rPr>
          <w:rFonts w:eastAsia="Times New Roman"/>
          <w:color w:val="000000"/>
          <w:sz w:val="20"/>
          <w:szCs w:val="20"/>
        </w:rPr>
        <w:t>o, our consideration of macroeconomic conditions such as the impact of the COVID-19 pandemic, the war in Eastern Europe, foreign currency fluctuations, and significant cost inflation to the current year cash flows, the potential impacts to future cash flow</w:t>
      </w:r>
      <w:r>
        <w:rPr>
          <w:rFonts w:eastAsia="Times New Roman"/>
          <w:color w:val="000000"/>
          <w:sz w:val="20"/>
          <w:szCs w:val="20"/>
        </w:rPr>
        <w:t xml:space="preserve">s as well as the excess of the fair value over the carrying value from the assessment performed as of January 1, 2022. Based on the qualitative assessments completed, it was determined that it was more likely than not that the fair value of each reporting </w:t>
      </w:r>
      <w:r>
        <w:rPr>
          <w:rFonts w:eastAsia="Times New Roman"/>
          <w:color w:val="000000"/>
          <w:sz w:val="20"/>
          <w:szCs w:val="20"/>
        </w:rPr>
        <w:t>unit was in excess of the carrying value. However, if the actual results differ from our expectations for any of our reporting units, there is a possibility we would have to perform an interim impairment test in 2023, which could lead to an impairment of g</w:t>
      </w:r>
      <w:r>
        <w:rPr>
          <w:rFonts w:eastAsia="Times New Roman"/>
          <w:color w:val="000000"/>
          <w:sz w:val="20"/>
          <w:szCs w:val="20"/>
        </w:rPr>
        <w:t>oodwill or other assets.</w:t>
      </w:r>
    </w:p>
    <w:p w:rsidR="00000000" w:rsidRDefault="0040289C">
      <w:pPr>
        <w:jc w:val="center"/>
        <w:divId w:val="821238842"/>
        <w:rPr>
          <w:rFonts w:eastAsia="Times New Roman"/>
        </w:rPr>
      </w:pPr>
      <w:r>
        <w:rPr>
          <w:rFonts w:eastAsia="Times New Roman"/>
          <w:color w:val="000000"/>
          <w:sz w:val="20"/>
          <w:szCs w:val="20"/>
        </w:rPr>
        <w:t>80</w:t>
      </w:r>
    </w:p>
    <w:p w:rsidR="00000000" w:rsidRDefault="0040289C">
      <w:pPr>
        <w:rPr>
          <w:rFonts w:eastAsia="Times New Roman"/>
        </w:rPr>
      </w:pPr>
      <w:r>
        <w:rPr>
          <w:rFonts w:eastAsia="Times New Roman"/>
        </w:rPr>
        <w:pict>
          <v:rect id="_x0000_i1110" style="width:0;height:1.5pt" o:hralign="center" o:hrstd="t" o:hr="t" fillcolor="#a0a0a0" stroked="f"/>
        </w:pict>
      </w:r>
    </w:p>
    <w:p w:rsidR="00000000" w:rsidRDefault="0040289C">
      <w:pPr>
        <w:divId w:val="104576113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833836224"/>
        <w:rPr>
          <w:rFonts w:eastAsia="Times New Roman"/>
        </w:rPr>
      </w:pPr>
    </w:p>
    <w:p w:rsidR="00000000" w:rsidRDefault="0040289C">
      <w:pPr>
        <w:divId w:val="1649285507"/>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Identifiable Intangible Assets </w:t>
      </w:r>
      <w:r>
        <w:rPr>
          <w:rFonts w:eastAsia="Times New Roman"/>
          <w:color w:val="000000"/>
          <w:sz w:val="20"/>
          <w:szCs w:val="20"/>
        </w:rPr>
        <w:t>NCR's purchased intangible assets, reported in Intangibles, net in the Consolidated Balance Sheets, were specifically identified when acquired, and are deemed to have finite lives. The gross carrying amount and accumulated amortization for NCR’s identifiab</w:t>
      </w:r>
      <w:r>
        <w:rPr>
          <w:rFonts w:eastAsia="Times New Roman"/>
          <w:color w:val="000000"/>
          <w:sz w:val="20"/>
          <w:szCs w:val="20"/>
        </w:rPr>
        <w:t xml:space="preserve">le intangible assets were as set forth in the table below.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955"/>
        <w:gridCol w:w="36"/>
        <w:gridCol w:w="81"/>
        <w:gridCol w:w="867"/>
        <w:gridCol w:w="36"/>
        <w:gridCol w:w="36"/>
        <w:gridCol w:w="36"/>
        <w:gridCol w:w="36"/>
        <w:gridCol w:w="121"/>
        <w:gridCol w:w="728"/>
        <w:gridCol w:w="36"/>
        <w:gridCol w:w="36"/>
        <w:gridCol w:w="36"/>
        <w:gridCol w:w="36"/>
        <w:gridCol w:w="121"/>
        <w:gridCol w:w="867"/>
        <w:gridCol w:w="36"/>
        <w:gridCol w:w="36"/>
        <w:gridCol w:w="36"/>
        <w:gridCol w:w="36"/>
        <w:gridCol w:w="121"/>
        <w:gridCol w:w="734"/>
        <w:gridCol w:w="36"/>
        <w:gridCol w:w="36"/>
        <w:gridCol w:w="36"/>
        <w:gridCol w:w="36"/>
        <w:gridCol w:w="121"/>
        <w:gridCol w:w="867"/>
        <w:gridCol w:w="36"/>
      </w:tblGrid>
      <w:tr w:rsidR="00000000">
        <w:trPr>
          <w:divId w:val="191916840"/>
          <w:jc w:val="center"/>
        </w:trPr>
        <w:tc>
          <w:tcPr>
            <w:tcW w:w="50" w:type="pct"/>
            <w:vAlign w:val="center"/>
            <w:hideMark/>
          </w:tcPr>
          <w:p w:rsidR="00000000" w:rsidRDefault="0040289C">
            <w:pPr>
              <w:jc w:val="both"/>
              <w:rPr>
                <w:rFonts w:eastAsia="Times New Roman"/>
              </w:rPr>
            </w:pPr>
          </w:p>
        </w:tc>
        <w:tc>
          <w:tcPr>
            <w:tcW w:w="182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1916840"/>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 xml:space="preserve">Amortization </w:t>
            </w:r>
            <w:r>
              <w:rPr>
                <w:rFonts w:eastAsia="Times New Roman"/>
                <w:b/>
                <w:bCs/>
                <w:color w:val="000000"/>
                <w:sz w:val="16"/>
                <w:szCs w:val="16"/>
              </w:rPr>
              <w:br/>
              <w:t>Period</w:t>
            </w:r>
            <w:r>
              <w:rPr>
                <w:rFonts w:eastAsia="Times New Roman"/>
                <w:b/>
                <w:bCs/>
                <w:color w:val="000000"/>
                <w:sz w:val="16"/>
                <w:szCs w:val="16"/>
              </w:rPr>
              <w:br/>
              <w:t>(in Years)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r>
      <w:tr w:rsidR="00000000">
        <w:trPr>
          <w:divId w:val="191916840"/>
          <w:trHeight w:val="580"/>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vMerge/>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Accumulated Amortization</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Accumulated Amortization</w:t>
            </w:r>
          </w:p>
        </w:tc>
      </w:tr>
      <w:tr w:rsidR="00000000">
        <w:trPr>
          <w:divId w:val="19191684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Identifiable intangible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191684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Reseller &amp; customer relationships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1 - 20</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(463)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1,126 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191684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Intellectual property</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2 - 8</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(558)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(474)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191684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Customer contracts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191684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Tradenames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1 - 10</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191684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2,350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Amortization expense related to identifiable intangible assets was $172 million, $132 million, and $81 </w:t>
      </w:r>
      <w:r>
        <w:rPr>
          <w:rFonts w:eastAsia="Times New Roman"/>
          <w:color w:val="000000"/>
          <w:sz w:val="20"/>
          <w:szCs w:val="20"/>
        </w:rPr>
        <w:t xml:space="preserve">million for the years ended December 31, 2022, 2021, 2020, respectively.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aggregate amortization expense (actual and estimated) for identifiable intangible assets for the following periods is:</w:t>
      </w:r>
    </w:p>
    <w:tbl>
      <w:tblPr>
        <w:tblW w:w="4948" w:type="pct"/>
        <w:jc w:val="center"/>
        <w:tblCellMar>
          <w:top w:w="15" w:type="dxa"/>
          <w:left w:w="15" w:type="dxa"/>
          <w:bottom w:w="15" w:type="dxa"/>
          <w:right w:w="15" w:type="dxa"/>
        </w:tblCellMar>
        <w:tblLook w:val="04A0" w:firstRow="1" w:lastRow="0" w:firstColumn="1" w:lastColumn="0" w:noHBand="0" w:noVBand="1"/>
      </w:tblPr>
      <w:tblGrid>
        <w:gridCol w:w="38"/>
        <w:gridCol w:w="2922"/>
        <w:gridCol w:w="36"/>
        <w:gridCol w:w="36"/>
        <w:gridCol w:w="36"/>
        <w:gridCol w:w="36"/>
        <w:gridCol w:w="36"/>
        <w:gridCol w:w="360"/>
        <w:gridCol w:w="120"/>
        <w:gridCol w:w="350"/>
        <w:gridCol w:w="36"/>
        <w:gridCol w:w="50"/>
        <w:gridCol w:w="260"/>
        <w:gridCol w:w="50"/>
        <w:gridCol w:w="120"/>
        <w:gridCol w:w="529"/>
        <w:gridCol w:w="36"/>
        <w:gridCol w:w="50"/>
        <w:gridCol w:w="260"/>
        <w:gridCol w:w="50"/>
        <w:gridCol w:w="120"/>
        <w:gridCol w:w="540"/>
        <w:gridCol w:w="36"/>
        <w:gridCol w:w="50"/>
        <w:gridCol w:w="260"/>
        <w:gridCol w:w="50"/>
        <w:gridCol w:w="120"/>
        <w:gridCol w:w="540"/>
        <w:gridCol w:w="36"/>
        <w:gridCol w:w="50"/>
        <w:gridCol w:w="260"/>
        <w:gridCol w:w="50"/>
        <w:gridCol w:w="120"/>
        <w:gridCol w:w="541"/>
        <w:gridCol w:w="36"/>
      </w:tblGrid>
      <w:tr w:rsidR="00000000">
        <w:trPr>
          <w:divId w:val="1768385375"/>
          <w:jc w:val="center"/>
        </w:trPr>
        <w:tc>
          <w:tcPr>
            <w:tcW w:w="50" w:type="pct"/>
            <w:vAlign w:val="center"/>
            <w:hideMark/>
          </w:tcPr>
          <w:p w:rsidR="00000000" w:rsidRDefault="0040289C">
            <w:pPr>
              <w:jc w:val="both"/>
              <w:rPr>
                <w:rFonts w:eastAsia="Times New Roman"/>
              </w:rPr>
            </w:pPr>
          </w:p>
        </w:tc>
        <w:tc>
          <w:tcPr>
            <w:tcW w:w="210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768385375"/>
          <w:trHeight w:val="30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years ended December 31 (estimated)</w:t>
            </w:r>
          </w:p>
        </w:tc>
      </w:tr>
      <w:tr w:rsidR="00000000">
        <w:trPr>
          <w:divId w:val="1768385375"/>
          <w:trHeight w:val="280"/>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2027</w:t>
            </w: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176838537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Amortization expense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378243726"/>
        <w:rPr>
          <w:rFonts w:eastAsia="Times New Roman"/>
        </w:rPr>
      </w:pPr>
    </w:p>
    <w:p w:rsidR="00000000" w:rsidRDefault="0040289C">
      <w:pPr>
        <w:divId w:val="1952475841"/>
        <w:rPr>
          <w:rFonts w:eastAsia="Times New Roman"/>
        </w:rPr>
      </w:pPr>
    </w:p>
    <w:p w:rsidR="00000000" w:rsidRDefault="0040289C">
      <w:pPr>
        <w:divId w:val="562835958"/>
        <w:rPr>
          <w:rFonts w:eastAsia="Times New Roman"/>
        </w:rPr>
      </w:pPr>
      <w:r>
        <w:rPr>
          <w:rFonts w:eastAsia="Times New Roman"/>
          <w:b/>
          <w:bCs/>
          <w:color w:val="7ACE05"/>
          <w:sz w:val="20"/>
          <w:szCs w:val="20"/>
        </w:rPr>
        <w:t>4. SEGMENT INFORMATION AND CONCENTRATIONS</w:t>
      </w:r>
      <w:r>
        <w:rPr>
          <w:rFonts w:eastAsia="Times New Roman"/>
          <w:b/>
          <w:bCs/>
          <w:color w:val="000000"/>
          <w:sz w:val="20"/>
          <w:szCs w:val="20"/>
        </w:rPr>
        <w:t xml:space="preserve"> </w:t>
      </w:r>
    </w:p>
    <w:p w:rsidR="00000000" w:rsidRDefault="0040289C">
      <w:pPr>
        <w:divId w:val="1037894788"/>
        <w:rPr>
          <w:rFonts w:eastAsia="Times New Roman"/>
        </w:rPr>
      </w:pPr>
    </w:p>
    <w:p w:rsidR="00000000" w:rsidRDefault="0040289C">
      <w:pPr>
        <w:jc w:val="both"/>
        <w:rPr>
          <w:rFonts w:eastAsia="Times New Roman"/>
        </w:rPr>
      </w:pPr>
      <w:r>
        <w:rPr>
          <w:rFonts w:eastAsia="Times New Roman"/>
          <w:color w:val="000000"/>
          <w:sz w:val="20"/>
          <w:szCs w:val="20"/>
        </w:rPr>
        <w:t>As described in Note 1, “Basis of Presentation and Significant Accounting Policies”</w:t>
      </w:r>
      <w:r>
        <w:rPr>
          <w:rFonts w:eastAsia="Times New Roman"/>
          <w:color w:val="000000"/>
          <w:sz w:val="20"/>
          <w:szCs w:val="20"/>
        </w:rPr>
        <w:t xml:space="preserve">, effective January 1, 2022, the Company realigned its reportable segments to correspond with changes to its operating model, management structure and organizational responsibilities. We have reclassified prior period segment disclosures to conform to the </w:t>
      </w:r>
      <w:r>
        <w:rPr>
          <w:rFonts w:eastAsia="Times New Roman"/>
          <w:color w:val="000000"/>
          <w:sz w:val="20"/>
          <w:szCs w:val="20"/>
        </w:rPr>
        <w:t>current period presentation. As a result of the change, the Company manages and reports the following segments: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i/>
          <w:iCs/>
          <w:color w:val="000000"/>
          <w:sz w:val="20"/>
          <w:szCs w:val="20"/>
        </w:rPr>
        <w:t>•Retail</w:t>
      </w:r>
      <w:r>
        <w:rPr>
          <w:rFonts w:eastAsia="Times New Roman"/>
          <w:color w:val="000000"/>
          <w:sz w:val="20"/>
          <w:szCs w:val="20"/>
        </w:rPr>
        <w:t xml:space="preserve"> - We offer software-led solutions to customers in the retail industry, leading with digital to connect retail operations end to end to</w:t>
      </w:r>
      <w:r>
        <w:rPr>
          <w:rFonts w:eastAsia="Times New Roman"/>
          <w:color w:val="000000"/>
          <w:sz w:val="20"/>
          <w:szCs w:val="20"/>
        </w:rPr>
        <w:t xml:space="preserve"> integrate all aspects of a customer’s operations in indoor and outdoor settings from POS, to payments, inventory management, fraud and loss prevention applications, loyalty and consumer engagement. These solutions include retail-oriented technologies such</w:t>
      </w:r>
      <w:r>
        <w:rPr>
          <w:rFonts w:eastAsia="Times New Roman"/>
          <w:color w:val="000000"/>
          <w:sz w:val="20"/>
          <w:szCs w:val="20"/>
        </w:rPr>
        <w:t xml:space="preserve"> as comprehensive API-point of sale retail software platforms and applications, hardware terminals, self-service kiosks including self-checkout ("SCO"), payment processing and merchant acquiring solutions, and bar-code scanners.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i/>
          <w:iCs/>
          <w:color w:val="000000"/>
          <w:sz w:val="20"/>
          <w:szCs w:val="20"/>
        </w:rPr>
        <w:t>•Hospitality</w:t>
      </w:r>
      <w:r>
        <w:rPr>
          <w:rFonts w:eastAsia="Times New Roman"/>
          <w:color w:val="000000"/>
          <w:sz w:val="20"/>
          <w:szCs w:val="20"/>
        </w:rPr>
        <w:t xml:space="preserve"> - We offer t</w:t>
      </w:r>
      <w:r>
        <w:rPr>
          <w:rFonts w:eastAsia="Times New Roman"/>
          <w:color w:val="000000"/>
          <w:sz w:val="20"/>
          <w:szCs w:val="20"/>
        </w:rPr>
        <w:t>echnology solutions to customers in the hospitality industry, including table-service, quick-service and fast casual restaurants of all sizes, that are designed to improve operational efficiency, increase customer satisfaction, streamline order and transac</w:t>
      </w:r>
      <w:r>
        <w:rPr>
          <w:rFonts w:eastAsia="Times New Roman"/>
          <w:color w:val="000000"/>
          <w:sz w:val="20"/>
          <w:szCs w:val="20"/>
        </w:rPr>
        <w:t>tion processing and reduce operating costs. Our solutions include POS hardware and software solutions, payment processing and merchant acquiring services, installation, maintenance, as well as managed and professional services.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i/>
          <w:iCs/>
          <w:color w:val="000000"/>
          <w:sz w:val="20"/>
          <w:szCs w:val="20"/>
        </w:rPr>
        <w:t>•Digital Banking</w:t>
      </w:r>
      <w:r>
        <w:rPr>
          <w:rFonts w:eastAsia="Times New Roman"/>
          <w:color w:val="000000"/>
          <w:sz w:val="20"/>
          <w:szCs w:val="20"/>
        </w:rPr>
        <w:t xml:space="preserve"> - NCR Dig</w:t>
      </w:r>
      <w:r>
        <w:rPr>
          <w:rFonts w:eastAsia="Times New Roman"/>
          <w:color w:val="000000"/>
          <w:sz w:val="20"/>
          <w:szCs w:val="20"/>
        </w:rPr>
        <w:t>ital Banking helps financial institutions implement their digital-first platform strategy by providing solutions for account opening, account management, transaction processing, imaging, and branch services to enable financial institutions to offer a compe</w:t>
      </w:r>
      <w:r>
        <w:rPr>
          <w:rFonts w:eastAsia="Times New Roman"/>
          <w:color w:val="000000"/>
          <w:sz w:val="20"/>
          <w:szCs w:val="20"/>
        </w:rPr>
        <w:t xml:space="preserve">lling customer experience. </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i/>
          <w:iCs/>
          <w:color w:val="000000"/>
          <w:sz w:val="20"/>
          <w:szCs w:val="20"/>
        </w:rPr>
        <w:t>•Payments &amp; Network</w:t>
      </w:r>
      <w:r>
        <w:rPr>
          <w:rFonts w:eastAsia="Times New Roman"/>
          <w:color w:val="000000"/>
          <w:sz w:val="20"/>
          <w:szCs w:val="20"/>
        </w:rPr>
        <w:t xml:space="preserve"> - </w:t>
      </w:r>
      <w:r>
        <w:rPr>
          <w:rFonts w:eastAsia="Times New Roman"/>
          <w:color w:val="0E101A"/>
          <w:sz w:val="20"/>
          <w:szCs w:val="20"/>
        </w:rPr>
        <w:t>We provide a cost-effective way for financial institutions, fintechs, and neobanks to reach and serve their customers through our network of automated teller machines ("ATMs") and multi-functioning financ</w:t>
      </w:r>
      <w:r>
        <w:rPr>
          <w:rFonts w:eastAsia="Times New Roman"/>
          <w:color w:val="0E101A"/>
          <w:sz w:val="20"/>
          <w:szCs w:val="20"/>
        </w:rPr>
        <w:t xml:space="preserve">ial services kiosks. </w:t>
      </w:r>
      <w:r>
        <w:rPr>
          <w:rFonts w:eastAsia="Times New Roman"/>
          <w:color w:val="000000"/>
          <w:sz w:val="20"/>
          <w:szCs w:val="20"/>
        </w:rPr>
        <w:t>We offer credit unions, banks, digital banks, fintechs, stored-value debit card issuers, and other consumer financial services providers access to our Allpoint retail-based ATM network, providing convenient and fee-free cash withdrawal and deposit access t</w:t>
      </w:r>
      <w:r>
        <w:rPr>
          <w:rFonts w:eastAsia="Times New Roman"/>
          <w:color w:val="000000"/>
          <w:sz w:val="20"/>
          <w:szCs w:val="20"/>
        </w:rPr>
        <w:t>o their customers and cardholders as well as</w:t>
      </w:r>
      <w:r>
        <w:rPr>
          <w:rFonts w:eastAsia="Times New Roman"/>
          <w:color w:val="0E101A"/>
          <w:sz w:val="20"/>
          <w:szCs w:val="20"/>
        </w:rPr>
        <w:t xml:space="preserve"> the ability to convert a digital value to cash, or vice versa, via NCRPay360. We also provide ATM branding solutions to financial institutions, ATM management and services to retailers and other businesses, as w</w:t>
      </w:r>
      <w:r>
        <w:rPr>
          <w:rFonts w:eastAsia="Times New Roman"/>
          <w:color w:val="0E101A"/>
          <w:sz w:val="20"/>
          <w:szCs w:val="20"/>
        </w:rPr>
        <w:t xml:space="preserve">ell as payment processing and merchant acquiring services in the retail, hospitality and other industries. </w:t>
      </w:r>
    </w:p>
    <w:p w:rsidR="00000000" w:rsidRDefault="0040289C">
      <w:pPr>
        <w:jc w:val="center"/>
        <w:divId w:val="912667108"/>
        <w:rPr>
          <w:rFonts w:eastAsia="Times New Roman"/>
        </w:rPr>
      </w:pPr>
      <w:r>
        <w:rPr>
          <w:rFonts w:eastAsia="Times New Roman"/>
          <w:color w:val="000000"/>
          <w:sz w:val="20"/>
          <w:szCs w:val="20"/>
        </w:rPr>
        <w:t>81</w:t>
      </w:r>
    </w:p>
    <w:p w:rsidR="00000000" w:rsidRDefault="0040289C">
      <w:pPr>
        <w:rPr>
          <w:rFonts w:eastAsia="Times New Roman"/>
        </w:rPr>
      </w:pPr>
      <w:r>
        <w:rPr>
          <w:rFonts w:eastAsia="Times New Roman"/>
        </w:rPr>
        <w:pict>
          <v:rect id="_x0000_i1111" style="width:0;height:1.5pt" o:hralign="center" o:hrstd="t" o:hr="t" fillcolor="#a0a0a0" stroked="f"/>
        </w:pict>
      </w:r>
    </w:p>
    <w:p w:rsidR="00000000" w:rsidRDefault="0040289C">
      <w:pPr>
        <w:divId w:val="19982430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453472890"/>
        <w:rPr>
          <w:rFonts w:eastAsia="Times New Roman"/>
        </w:rPr>
      </w:pP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w:t>
      </w:r>
      <w:r>
        <w:rPr>
          <w:rFonts w:eastAsia="Times New Roman"/>
          <w:i/>
          <w:iCs/>
          <w:color w:val="000000"/>
          <w:sz w:val="20"/>
          <w:szCs w:val="20"/>
        </w:rPr>
        <w:t>Self-Service Banking</w:t>
      </w:r>
      <w:r>
        <w:rPr>
          <w:rFonts w:eastAsia="Times New Roman"/>
          <w:color w:val="000000"/>
          <w:sz w:val="20"/>
          <w:szCs w:val="20"/>
        </w:rPr>
        <w:t xml:space="preserve"> - We </w:t>
      </w:r>
      <w:r>
        <w:rPr>
          <w:rFonts w:eastAsia="Times New Roman"/>
          <w:color w:val="000000"/>
          <w:sz w:val="20"/>
          <w:szCs w:val="20"/>
        </w:rPr>
        <w:t>offer solutions to enable customers in the financial services industry to reduce costs, generate new revenue streams and enhance customer loyalty. These solutions include a comprehensive line of ATM hardware and software, and related installation, maintena</w:t>
      </w:r>
      <w:r>
        <w:rPr>
          <w:rFonts w:eastAsia="Times New Roman"/>
          <w:color w:val="000000"/>
          <w:sz w:val="20"/>
          <w:szCs w:val="20"/>
        </w:rPr>
        <w:t>nce, and managed and professional services. We also offer solutions to manage and run the ATM channel end-to-end for financial institutions that includes back office, cash management, software management and ATM deployment, among others.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Corporate and Ot</w:t>
      </w:r>
      <w:r>
        <w:rPr>
          <w:rFonts w:eastAsia="Times New Roman"/>
          <w:color w:val="000000"/>
          <w:sz w:val="20"/>
          <w:szCs w:val="20"/>
        </w:rPr>
        <w:t>her includes income and expenses related to corporate functions that are not specifically attributable to an individual reportable segment along with any immaterial operating segment(s).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Eliminations include revenues from contracts with customers and the</w:t>
      </w:r>
      <w:r>
        <w:rPr>
          <w:rFonts w:eastAsia="Times New Roman"/>
          <w:color w:val="000000"/>
          <w:sz w:val="20"/>
          <w:szCs w:val="20"/>
        </w:rPr>
        <w:t xml:space="preserve"> related costs that are reported in the Payments &amp; Network segment as well as in the Retail or Hospitality segments, including merchant acquiring services that are monetized via payments.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These segments represent components of the Company for which separ</w:t>
      </w:r>
      <w:r>
        <w:rPr>
          <w:rFonts w:eastAsia="Times New Roman"/>
          <w:color w:val="000000"/>
          <w:sz w:val="20"/>
          <w:szCs w:val="20"/>
        </w:rPr>
        <w:t>ate financial information is available that is utilized on a regular basis by the chief operating decision maker in assessing segment performance and in allocating the Company's resources. Management evaluates the performance of the segments based on reven</w:t>
      </w:r>
      <w:r>
        <w:rPr>
          <w:rFonts w:eastAsia="Times New Roman"/>
          <w:color w:val="000000"/>
          <w:sz w:val="20"/>
          <w:szCs w:val="20"/>
        </w:rPr>
        <w:t>ue and Adjusted EBITDA. Adjusted EBITDA is defined as GAAP net income (loss) from continuing operations attributable to NCR plus interest expense, net; plus income tax expense (benefit); plus depreciation and amortization; plus stock-based compensation exp</w:t>
      </w:r>
      <w:r>
        <w:rPr>
          <w:rFonts w:eastAsia="Times New Roman"/>
          <w:color w:val="000000"/>
          <w:sz w:val="20"/>
          <w:szCs w:val="20"/>
        </w:rPr>
        <w:t>ense; plus other income (expense); plus pension mark-to-market adjustments, pension settlements, pension curtailments and pension special termination benefits and other special items, including amortization of acquisition-related intangibles, transformatio</w:t>
      </w:r>
      <w:r>
        <w:rPr>
          <w:rFonts w:eastAsia="Times New Roman"/>
          <w:color w:val="000000"/>
          <w:sz w:val="20"/>
          <w:szCs w:val="20"/>
        </w:rPr>
        <w:t>n and restructuring charges (which includes integration, severance and other exit and disposal costs), among others. The special items are considered non-operational so are excluded from the Adjusted EBITDA metric utilized by our chief operating decision m</w:t>
      </w:r>
      <w:r>
        <w:rPr>
          <w:rFonts w:eastAsia="Times New Roman"/>
          <w:color w:val="000000"/>
          <w:sz w:val="20"/>
          <w:szCs w:val="20"/>
        </w:rPr>
        <w:t>aker in evaluating segment performance and are separately delineated to reconcile back to total reported GAAP net income (loss) from continuing operations attributable to NCR.</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Special Item Related to Russia</w:t>
      </w:r>
      <w:r>
        <w:rPr>
          <w:rFonts w:eastAsia="Times New Roman"/>
          <w:color w:val="000000"/>
          <w:sz w:val="20"/>
          <w:szCs w:val="20"/>
        </w:rPr>
        <w:t xml:space="preserve"> The war in Eastern Europe and related sanctions</w:t>
      </w:r>
      <w:r>
        <w:rPr>
          <w:rFonts w:eastAsia="Times New Roman"/>
          <w:color w:val="000000"/>
          <w:sz w:val="20"/>
          <w:szCs w:val="20"/>
        </w:rPr>
        <w:t xml:space="preserve"> imposed on Russia and related actors by the United States and other jurisdictions required us to commence the orderly wind down of our operations in Russia beginning in the first quarter of 2022. As of December 31, 2022, we have ceased operations in Russi</w:t>
      </w:r>
      <w:r>
        <w:rPr>
          <w:rFonts w:eastAsia="Times New Roman"/>
          <w:color w:val="000000"/>
          <w:sz w:val="20"/>
          <w:szCs w:val="20"/>
        </w:rPr>
        <w:t>a and are in the process of dissolving our only subsidiary in Russia. As a result, for the year ending December 31, 2022, our presentation of segment revenue and Adjusted EBITDA exclude the immaterial impact of our operating results in Russia, as well as t</w:t>
      </w:r>
      <w:r>
        <w:rPr>
          <w:rFonts w:eastAsia="Times New Roman"/>
          <w:color w:val="000000"/>
          <w:sz w:val="20"/>
          <w:szCs w:val="20"/>
        </w:rPr>
        <w:t>he impact of impairments taken to write down the carrying value of assets and liabilities, severance charges, and the assessment of collectability on revenue recognition. We consider this to be a non-recurring special item and management has reviewed the r</w:t>
      </w:r>
      <w:r>
        <w:rPr>
          <w:rFonts w:eastAsia="Times New Roman"/>
          <w:color w:val="000000"/>
          <w:sz w:val="20"/>
          <w:szCs w:val="20"/>
        </w:rPr>
        <w:t>esults of its business segments excluding these impacts. We have not adjusted the presentation of the prior year period due to the immaterial impact of Russia to revenue and income from continuing operations for the years ended December 31, 2021 and 2020.</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Assets are not allocated to segments, and thus are not included in the assessment of segment performance. Consequently, we do not disclose total assets by reportable segment. The accounting policies used to determine the results of the operating segments</w:t>
      </w:r>
      <w:r>
        <w:rPr>
          <w:rFonts w:eastAsia="Times New Roman"/>
          <w:color w:val="000000"/>
          <w:sz w:val="20"/>
          <w:szCs w:val="20"/>
        </w:rPr>
        <w:t xml:space="preserve"> are the same as those utilized for the consolidated financial statements as a whole. Intersegment sales and transfers are not material.</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637805615"/>
        <w:rPr>
          <w:rFonts w:eastAsia="Times New Roman"/>
        </w:rPr>
      </w:pPr>
      <w:r>
        <w:rPr>
          <w:rFonts w:eastAsia="Times New Roman"/>
          <w:color w:val="000000"/>
          <w:sz w:val="20"/>
          <w:szCs w:val="20"/>
        </w:rPr>
        <w:t>82</w:t>
      </w:r>
    </w:p>
    <w:p w:rsidR="00000000" w:rsidRDefault="0040289C">
      <w:pPr>
        <w:rPr>
          <w:rFonts w:eastAsia="Times New Roman"/>
        </w:rPr>
      </w:pPr>
      <w:r>
        <w:rPr>
          <w:rFonts w:eastAsia="Times New Roman"/>
        </w:rPr>
        <w:pict>
          <v:rect id="_x0000_i1112" style="width:0;height:1.5pt" o:hralign="center" o:hrstd="t" o:hr="t" fillcolor="#a0a0a0" stroked="f"/>
        </w:pict>
      </w:r>
    </w:p>
    <w:p w:rsidR="00000000" w:rsidRDefault="0040289C">
      <w:pPr>
        <w:divId w:val="108950155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51527124"/>
        <w:rPr>
          <w:rFonts w:eastAsia="Times New Roman"/>
        </w:rPr>
      </w:pPr>
    </w:p>
    <w:p w:rsidR="00000000" w:rsidRDefault="0040289C">
      <w:pPr>
        <w:jc w:val="both"/>
        <w:rPr>
          <w:rFonts w:eastAsia="Times New Roman"/>
        </w:rPr>
      </w:pPr>
      <w:r>
        <w:rPr>
          <w:rFonts w:eastAsia="Times New Roman"/>
          <w:color w:val="000000"/>
          <w:sz w:val="20"/>
          <w:szCs w:val="20"/>
        </w:rPr>
        <w:t>The following table presents revenue and operating income by segment for the years ended December 31:</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751"/>
        <w:gridCol w:w="38"/>
        <w:gridCol w:w="36"/>
        <w:gridCol w:w="36"/>
        <w:gridCol w:w="36"/>
        <w:gridCol w:w="120"/>
        <w:gridCol w:w="886"/>
        <w:gridCol w:w="36"/>
        <w:gridCol w:w="36"/>
        <w:gridCol w:w="36"/>
        <w:gridCol w:w="36"/>
        <w:gridCol w:w="120"/>
        <w:gridCol w:w="887"/>
        <w:gridCol w:w="36"/>
        <w:gridCol w:w="36"/>
        <w:gridCol w:w="36"/>
        <w:gridCol w:w="36"/>
        <w:gridCol w:w="120"/>
        <w:gridCol w:w="888"/>
        <w:gridCol w:w="36"/>
      </w:tblGrid>
      <w:tr w:rsidR="00000000">
        <w:trPr>
          <w:divId w:val="188953742"/>
          <w:jc w:val="center"/>
        </w:trPr>
        <w:tc>
          <w:tcPr>
            <w:tcW w:w="50" w:type="pct"/>
            <w:vAlign w:val="center"/>
            <w:hideMark/>
          </w:tcPr>
          <w:p w:rsidR="00000000" w:rsidRDefault="0040289C">
            <w:pPr>
              <w:jc w:val="both"/>
              <w:rPr>
                <w:rFonts w:eastAsia="Times New Roman"/>
              </w:rPr>
            </w:pPr>
          </w:p>
        </w:tc>
        <w:tc>
          <w:tcPr>
            <w:tcW w:w="289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9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9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9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88953742"/>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8895374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Revenue by segment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8953742"/>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2,231 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2,030 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Hospitality</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849 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686 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Digital Banking</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472 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Payments &amp; Network</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675 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2,602 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Corporate and Other</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268545203"/>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Segment revenue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824661901"/>
              <w:rPr>
                <w:rFonts w:eastAsia="Times New Roman"/>
              </w:rPr>
            </w:pPr>
            <w:r>
              <w:rPr>
                <w:rFonts w:eastAsia="Times New Roman"/>
                <w:color w:val="000000"/>
                <w:sz w:val="20"/>
                <w:szCs w:val="20"/>
              </w:rPr>
              <w:t>Other adjustment</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895374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Adjusted EBITDA by segment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8953742"/>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Hospitality</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Digital Banking</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Payments &amp; Network</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FFFFFF"/>
            <w:tcMar>
              <w:top w:w="30" w:type="dxa"/>
              <w:left w:w="26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Self-Service Banking</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580 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523 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Corporate and Other</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(399)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504322049"/>
              <w:rPr>
                <w:rFonts w:eastAsia="Times New Roman"/>
              </w:rPr>
            </w:pPr>
            <w:r>
              <w:rPr>
                <w:rFonts w:eastAsia="Times New Roman"/>
                <w:color w:val="000000"/>
                <w:sz w:val="20"/>
                <w:szCs w:val="20"/>
              </w:rPr>
              <w:t>Eliminations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895374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Adjusted EBITDA</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r>
        <w:rPr>
          <w:rFonts w:eastAsia="Times New Roman"/>
          <w:color w:val="000000"/>
          <w:sz w:val="14"/>
          <w:szCs w:val="14"/>
        </w:rPr>
        <w:t>.</w:t>
      </w:r>
    </w:p>
    <w:p w:rsidR="00000000" w:rsidRDefault="0040289C">
      <w:pPr>
        <w:ind w:hanging="180"/>
        <w:jc w:val="both"/>
        <w:rPr>
          <w:rFonts w:eastAsia="Times New Roman"/>
        </w:rPr>
      </w:pPr>
      <w:r>
        <w:rPr>
          <w:rFonts w:eastAsia="Times New Roman"/>
          <w:color w:val="000000"/>
          <w:sz w:val="14"/>
          <w:szCs w:val="14"/>
        </w:rPr>
        <w:t>(1) Eliminations include revenues from contracts with customers and the r</w:t>
      </w:r>
      <w:r>
        <w:rPr>
          <w:rFonts w:eastAsia="Times New Roman"/>
          <w:color w:val="000000"/>
          <w:sz w:val="14"/>
          <w:szCs w:val="14"/>
        </w:rPr>
        <w:t>elated costs that are reported in the Payments &amp; Network segment as well as in the Retail or Hospitality segments, including merchant acquiring services that are monetized via payments.</w:t>
      </w:r>
    </w:p>
    <w:p w:rsidR="00000000" w:rsidRDefault="0040289C">
      <w:pPr>
        <w:ind w:hanging="180"/>
        <w:jc w:val="both"/>
        <w:rPr>
          <w:rFonts w:eastAsia="Times New Roman"/>
        </w:rPr>
      </w:pPr>
      <w:r>
        <w:rPr>
          <w:rFonts w:eastAsia="Times New Roman"/>
          <w:color w:val="000000"/>
          <w:sz w:val="14"/>
          <w:szCs w:val="14"/>
        </w:rPr>
        <w:t>(2) Other adjustment reflects the revenue attributable to the Company's operations in Russia that were excluded from management's measure of revenue due to our announcement to suspend sales to Russia and anticipated orderly wind down of our operations in R</w:t>
      </w:r>
      <w:r>
        <w:rPr>
          <w:rFonts w:eastAsia="Times New Roman"/>
          <w:color w:val="000000"/>
          <w:sz w:val="14"/>
          <w:szCs w:val="14"/>
        </w:rPr>
        <w:t>ussia. The revenue attributable to the Russian operations for the years ended December 31, 2021 and 2020 of $48 million and $41 million, respectively, is included in the respective segments.</w:t>
      </w:r>
    </w:p>
    <w:p w:rsidR="00000000" w:rsidRDefault="0040289C">
      <w:pPr>
        <w:jc w:val="both"/>
        <w:rPr>
          <w:rFonts w:eastAsia="Times New Roman"/>
        </w:rPr>
      </w:pPr>
    </w:p>
    <w:p w:rsidR="00000000" w:rsidRDefault="0040289C">
      <w:pPr>
        <w:jc w:val="both"/>
        <w:divId w:val="1329596683"/>
        <w:rPr>
          <w:rFonts w:eastAsia="Times New Roman"/>
        </w:rPr>
      </w:pPr>
      <w:r>
        <w:rPr>
          <w:rFonts w:eastAsia="Times New Roman"/>
          <w:color w:val="000000"/>
          <w:sz w:val="20"/>
          <w:szCs w:val="20"/>
        </w:rPr>
        <w:t>The operations of Cardtronics have been included in the Payment</w:t>
      </w:r>
      <w:r>
        <w:rPr>
          <w:rFonts w:eastAsia="Times New Roman"/>
          <w:color w:val="000000"/>
          <w:sz w:val="20"/>
          <w:szCs w:val="20"/>
        </w:rPr>
        <w:t xml:space="preserve">s &amp; Network and Self-Service Banking segment results from the acquisition close date, June 21, 2021. </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724452000"/>
        <w:rPr>
          <w:rFonts w:eastAsia="Times New Roman"/>
        </w:rPr>
      </w:pPr>
      <w:r>
        <w:rPr>
          <w:rFonts w:eastAsia="Times New Roman"/>
          <w:color w:val="000000"/>
          <w:sz w:val="20"/>
          <w:szCs w:val="20"/>
        </w:rPr>
        <w:t>83</w:t>
      </w:r>
    </w:p>
    <w:p w:rsidR="00000000" w:rsidRDefault="0040289C">
      <w:pPr>
        <w:rPr>
          <w:rFonts w:eastAsia="Times New Roman"/>
        </w:rPr>
      </w:pPr>
      <w:r>
        <w:rPr>
          <w:rFonts w:eastAsia="Times New Roman"/>
        </w:rPr>
        <w:pict>
          <v:rect id="_x0000_i1113" style="width:0;height:1.5pt" o:hralign="center" o:hrstd="t" o:hr="t" fillcolor="#a0a0a0" stroked="f"/>
        </w:pict>
      </w:r>
    </w:p>
    <w:p w:rsidR="00000000" w:rsidRDefault="0040289C">
      <w:pPr>
        <w:divId w:val="442189657"/>
        <w:rPr>
          <w:rFonts w:eastAsia="Times New Roman"/>
        </w:rPr>
      </w:pPr>
      <w:hyperlink w:anchor="if07fd8a5a4294970a048ac5c5178b1ea_10" w:history="1">
        <w:r>
          <w:rPr>
            <w:rStyle w:val="a3"/>
            <w:rFonts w:eastAsia="Times New Roman"/>
            <w:sz w:val="16"/>
            <w:szCs w:val="16"/>
          </w:rPr>
          <w:t>Table of Cont</w:t>
        </w:r>
        <w:r>
          <w:rPr>
            <w:rStyle w:val="a3"/>
            <w:rFonts w:eastAsia="Times New Roman"/>
            <w:sz w:val="16"/>
            <w:szCs w:val="16"/>
          </w:rPr>
          <w:t>ents</w:t>
        </w:r>
      </w:hyperlink>
    </w:p>
    <w:p w:rsidR="00000000" w:rsidRDefault="0040289C">
      <w:pPr>
        <w:jc w:val="right"/>
        <w:divId w:val="802043743"/>
        <w:rPr>
          <w:rFonts w:eastAsia="Times New Roman"/>
        </w:rPr>
      </w:pPr>
    </w:p>
    <w:p w:rsidR="00000000" w:rsidRDefault="0040289C">
      <w:pPr>
        <w:jc w:val="both"/>
        <w:rPr>
          <w:rFonts w:eastAsia="Times New Roman"/>
        </w:rPr>
      </w:pPr>
      <w:r>
        <w:rPr>
          <w:rFonts w:eastAsia="Times New Roman"/>
          <w:color w:val="000000"/>
          <w:sz w:val="20"/>
          <w:szCs w:val="20"/>
        </w:rPr>
        <w:t>The following table reconciles net income (loss) from continuing operations to Adjusted EBITDA for the years ended December 31:</w:t>
      </w:r>
    </w:p>
    <w:tbl>
      <w:tblPr>
        <w:tblW w:w="5000" w:type="pct"/>
        <w:tblCellMar>
          <w:top w:w="15" w:type="dxa"/>
          <w:left w:w="15" w:type="dxa"/>
          <w:bottom w:w="15" w:type="dxa"/>
          <w:right w:w="15" w:type="dxa"/>
        </w:tblCellMar>
        <w:tblLook w:val="04A0" w:firstRow="1" w:lastRow="0" w:firstColumn="1" w:lastColumn="0" w:noHBand="0" w:noVBand="1"/>
      </w:tblPr>
      <w:tblGrid>
        <w:gridCol w:w="39"/>
        <w:gridCol w:w="5004"/>
        <w:gridCol w:w="37"/>
        <w:gridCol w:w="36"/>
        <w:gridCol w:w="36"/>
        <w:gridCol w:w="36"/>
        <w:gridCol w:w="120"/>
        <w:gridCol w:w="803"/>
        <w:gridCol w:w="36"/>
        <w:gridCol w:w="36"/>
        <w:gridCol w:w="36"/>
        <w:gridCol w:w="36"/>
        <w:gridCol w:w="120"/>
        <w:gridCol w:w="803"/>
        <w:gridCol w:w="36"/>
        <w:gridCol w:w="36"/>
        <w:gridCol w:w="36"/>
        <w:gridCol w:w="36"/>
        <w:gridCol w:w="120"/>
        <w:gridCol w:w="828"/>
        <w:gridCol w:w="36"/>
      </w:tblGrid>
      <w:tr w:rsidR="00000000">
        <w:trPr>
          <w:divId w:val="415903544"/>
        </w:trPr>
        <w:tc>
          <w:tcPr>
            <w:tcW w:w="50" w:type="pct"/>
            <w:vAlign w:val="center"/>
            <w:hideMark/>
          </w:tcPr>
          <w:p w:rsidR="00000000" w:rsidRDefault="0040289C">
            <w:pPr>
              <w:jc w:val="both"/>
              <w:rPr>
                <w:rFonts w:eastAsia="Times New Roman"/>
              </w:rPr>
            </w:pPr>
          </w:p>
        </w:tc>
        <w:tc>
          <w:tcPr>
            <w:tcW w:w="304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415903544"/>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415903544"/>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Net income (loss) from continuing operations attributable to NCR (GAAP)</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Pension mark-to-market adjustments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Transformation and restructuring costs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Acquisition-related 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Acquisition-related (gains) costs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Separation costs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415903544"/>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41590354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Loss on debt extinguishment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Income taxes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Russia</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15903544"/>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Adjusted EBITDA (non-GAAP)</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following table presents recurring revenue and all other products and services that is recognized at a point in time for NCR for the years end</w:t>
      </w:r>
      <w:r>
        <w:rPr>
          <w:rFonts w:eastAsia="Times New Roman"/>
          <w:color w:val="000000"/>
          <w:sz w:val="20"/>
          <w:szCs w:val="20"/>
        </w:rPr>
        <w:t>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996"/>
        <w:gridCol w:w="36"/>
        <w:gridCol w:w="36"/>
        <w:gridCol w:w="36"/>
        <w:gridCol w:w="36"/>
        <w:gridCol w:w="120"/>
        <w:gridCol w:w="802"/>
        <w:gridCol w:w="36"/>
        <w:gridCol w:w="36"/>
        <w:gridCol w:w="36"/>
        <w:gridCol w:w="36"/>
        <w:gridCol w:w="120"/>
        <w:gridCol w:w="802"/>
        <w:gridCol w:w="36"/>
        <w:gridCol w:w="36"/>
        <w:gridCol w:w="36"/>
        <w:gridCol w:w="36"/>
        <w:gridCol w:w="120"/>
        <w:gridCol w:w="803"/>
        <w:gridCol w:w="36"/>
      </w:tblGrid>
      <w:tr w:rsidR="00000000">
        <w:trPr>
          <w:divId w:val="2081512781"/>
          <w:jc w:val="center"/>
        </w:trPr>
        <w:tc>
          <w:tcPr>
            <w:tcW w:w="50" w:type="pct"/>
            <w:vAlign w:val="center"/>
            <w:hideMark/>
          </w:tcPr>
          <w:p w:rsidR="00000000" w:rsidRDefault="0040289C">
            <w:pPr>
              <w:jc w:val="both"/>
              <w:rPr>
                <w:rFonts w:eastAsia="Times New Roman"/>
              </w:rPr>
            </w:pPr>
          </w:p>
        </w:tc>
        <w:tc>
          <w:tcPr>
            <w:tcW w:w="305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2081512781"/>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2081512781"/>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divId w:val="379591305"/>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4,166 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3,338 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81512781"/>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All other products and services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3,003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2,990 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2,869 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2081512781"/>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ind w:hanging="270"/>
        <w:jc w:val="both"/>
        <w:rPr>
          <w:rFonts w:eastAsia="Times New Roman"/>
        </w:rPr>
      </w:pPr>
    </w:p>
    <w:p w:rsidR="00000000" w:rsidRDefault="0040289C">
      <w:pPr>
        <w:ind w:hanging="27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18"/>
          <w:szCs w:val="18"/>
        </w:rPr>
        <w:t>Recurring revenue includes all revenue streams from contracts where there is a predictable revenue pattern that will o</w:t>
      </w:r>
      <w:r>
        <w:rPr>
          <w:rFonts w:eastAsia="Times New Roman"/>
          <w:color w:val="000000"/>
          <w:sz w:val="18"/>
          <w:szCs w:val="18"/>
        </w:rPr>
        <w:t>ccur at regular intervals with a relatively high degree of certainty. This includes hardware and software maintenance revenue, cloud revenue, payment processing revenue, interchange and network revenue, cryptocurrency-related revenue, and certain professio</w:t>
      </w:r>
      <w:r>
        <w:rPr>
          <w:rFonts w:eastAsia="Times New Roman"/>
          <w:color w:val="000000"/>
          <w:sz w:val="18"/>
          <w:szCs w:val="18"/>
        </w:rPr>
        <w:t>nal services arrangements, as well as term-based software license arrangements that include customer termination rights.</w:t>
      </w:r>
    </w:p>
    <w:p w:rsidR="00000000" w:rsidRDefault="0040289C">
      <w:pPr>
        <w:divId w:val="1694577549"/>
        <w:rPr>
          <w:rFonts w:eastAsia="Times New Roman"/>
        </w:rPr>
      </w:pPr>
    </w:p>
    <w:p w:rsidR="00000000" w:rsidRDefault="0040289C">
      <w:pPr>
        <w:divId w:val="810439461"/>
        <w:rPr>
          <w:rFonts w:eastAsia="Times New Roman"/>
        </w:rPr>
      </w:pPr>
      <w:r>
        <w:rPr>
          <w:rFonts w:eastAsia="Times New Roman"/>
          <w:color w:val="000000"/>
          <w:sz w:val="20"/>
          <w:szCs w:val="20"/>
        </w:rPr>
        <w:t>Revenue is attributed to the geographic area to which the product is delivered or in which the service is provided. The following tab</w:t>
      </w:r>
      <w:r>
        <w:rPr>
          <w:rFonts w:eastAsia="Times New Roman"/>
          <w:color w:val="000000"/>
          <w:sz w:val="20"/>
          <w:szCs w:val="20"/>
        </w:rPr>
        <w:t>le presents revenue by geographic area for NCR for the years ended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358"/>
        <w:gridCol w:w="36"/>
        <w:gridCol w:w="36"/>
        <w:gridCol w:w="36"/>
        <w:gridCol w:w="36"/>
        <w:gridCol w:w="120"/>
        <w:gridCol w:w="573"/>
        <w:gridCol w:w="36"/>
        <w:gridCol w:w="36"/>
        <w:gridCol w:w="36"/>
        <w:gridCol w:w="36"/>
        <w:gridCol w:w="47"/>
        <w:gridCol w:w="420"/>
        <w:gridCol w:w="220"/>
        <w:gridCol w:w="36"/>
        <w:gridCol w:w="36"/>
        <w:gridCol w:w="36"/>
        <w:gridCol w:w="120"/>
        <w:gridCol w:w="575"/>
        <w:gridCol w:w="36"/>
        <w:gridCol w:w="36"/>
        <w:gridCol w:w="36"/>
        <w:gridCol w:w="36"/>
        <w:gridCol w:w="47"/>
        <w:gridCol w:w="421"/>
        <w:gridCol w:w="187"/>
        <w:gridCol w:w="36"/>
        <w:gridCol w:w="36"/>
        <w:gridCol w:w="36"/>
        <w:gridCol w:w="120"/>
        <w:gridCol w:w="575"/>
        <w:gridCol w:w="36"/>
        <w:gridCol w:w="36"/>
        <w:gridCol w:w="36"/>
        <w:gridCol w:w="36"/>
        <w:gridCol w:w="47"/>
        <w:gridCol w:w="422"/>
        <w:gridCol w:w="187"/>
      </w:tblGrid>
      <w:tr w:rsidR="00000000">
        <w:trPr>
          <w:jc w:val="center"/>
        </w:trPr>
        <w:tc>
          <w:tcPr>
            <w:tcW w:w="50" w:type="pct"/>
            <w:vAlign w:val="center"/>
            <w:hideMark/>
          </w:tcPr>
          <w:p w:rsidR="00000000" w:rsidRDefault="0040289C">
            <w:pPr>
              <w:rPr>
                <w:rFonts w:eastAsia="Times New Roman"/>
              </w:rPr>
            </w:pPr>
          </w:p>
        </w:tc>
        <w:tc>
          <w:tcPr>
            <w:tcW w:w="20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4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Revenue by Geographic Area</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3,632 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3,065 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Americas (excluding United States)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723 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617 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Europe, Middle East and Africa</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1,883 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1,679 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Asia Pacific</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918 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846 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revenue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7,156 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divId w:val="2134521360"/>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477770405"/>
        <w:rPr>
          <w:rFonts w:eastAsia="Times New Roman"/>
        </w:rPr>
      </w:pPr>
      <w:r>
        <w:rPr>
          <w:rFonts w:eastAsia="Times New Roman"/>
          <w:color w:val="000000"/>
          <w:sz w:val="20"/>
          <w:szCs w:val="20"/>
        </w:rPr>
        <w:t>84</w:t>
      </w:r>
    </w:p>
    <w:p w:rsidR="00000000" w:rsidRDefault="0040289C">
      <w:pPr>
        <w:rPr>
          <w:rFonts w:eastAsia="Times New Roman"/>
        </w:rPr>
      </w:pPr>
      <w:r>
        <w:rPr>
          <w:rFonts w:eastAsia="Times New Roman"/>
        </w:rPr>
        <w:pict>
          <v:rect id="_x0000_i1114" style="width:0;height:1.5pt" o:hralign="center" o:hrstd="t" o:hr="t" fillcolor="#a0a0a0" stroked="f"/>
        </w:pict>
      </w:r>
    </w:p>
    <w:p w:rsidR="00000000" w:rsidRDefault="0040289C">
      <w:pPr>
        <w:divId w:val="167637676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449620639"/>
        <w:rPr>
          <w:rFonts w:eastAsia="Times New Roman"/>
        </w:rPr>
      </w:pPr>
    </w:p>
    <w:p w:rsidR="00000000" w:rsidRDefault="0040289C">
      <w:pPr>
        <w:jc w:val="both"/>
        <w:rPr>
          <w:rFonts w:eastAsia="Times New Roman"/>
        </w:rPr>
      </w:pPr>
      <w:r>
        <w:rPr>
          <w:rFonts w:eastAsia="Times New Roman"/>
          <w:color w:val="000000"/>
          <w:sz w:val="20"/>
          <w:szCs w:val="20"/>
        </w:rPr>
        <w:t xml:space="preserve">The following table presents property, plant and equipment by geographic area as of December </w:t>
      </w:r>
      <w:r>
        <w:rPr>
          <w:rFonts w:eastAsia="Times New Roman"/>
          <w:color w:val="000000"/>
          <w:sz w:val="20"/>
          <w:szCs w:val="20"/>
        </w:rPr>
        <w:t>31:</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341"/>
        <w:gridCol w:w="37"/>
        <w:gridCol w:w="36"/>
        <w:gridCol w:w="36"/>
        <w:gridCol w:w="36"/>
        <w:gridCol w:w="120"/>
        <w:gridCol w:w="1173"/>
        <w:gridCol w:w="36"/>
        <w:gridCol w:w="36"/>
        <w:gridCol w:w="36"/>
        <w:gridCol w:w="36"/>
        <w:gridCol w:w="120"/>
        <w:gridCol w:w="1175"/>
        <w:gridCol w:w="36"/>
      </w:tblGrid>
      <w:tr w:rsidR="00000000">
        <w:trPr>
          <w:divId w:val="502622540"/>
          <w:jc w:val="center"/>
        </w:trPr>
        <w:tc>
          <w:tcPr>
            <w:tcW w:w="50" w:type="pct"/>
            <w:vAlign w:val="center"/>
            <w:hideMark/>
          </w:tcPr>
          <w:p w:rsidR="00000000" w:rsidRDefault="0040289C">
            <w:pPr>
              <w:jc w:val="both"/>
              <w:rPr>
                <w:rFonts w:eastAsia="Times New Roman"/>
              </w:rPr>
            </w:pPr>
          </w:p>
        </w:tc>
        <w:tc>
          <w:tcPr>
            <w:tcW w:w="324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5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5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502622540"/>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50262254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50262254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262254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Americas (excluding United States)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262254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Europe, Middle East and Africa</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262254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Asia Pacific</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0262254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Consolidated property, plant and equipment, net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511919064"/>
        <w:rPr>
          <w:rFonts w:eastAsia="Times New Roman"/>
        </w:rPr>
      </w:pPr>
    </w:p>
    <w:p w:rsidR="00000000" w:rsidRDefault="0040289C">
      <w:pPr>
        <w:jc w:val="both"/>
        <w:rPr>
          <w:rFonts w:eastAsia="Times New Roman"/>
        </w:rPr>
      </w:pPr>
      <w:r>
        <w:rPr>
          <w:rFonts w:eastAsia="Times New Roman"/>
          <w:b/>
          <w:bCs/>
          <w:color w:val="000000"/>
          <w:sz w:val="20"/>
          <w:szCs w:val="20"/>
        </w:rPr>
        <w:t>Concentrations</w:t>
      </w:r>
      <w:r>
        <w:rPr>
          <w:rFonts w:eastAsia="Times New Roman"/>
          <w:color w:val="000000"/>
          <w:sz w:val="20"/>
          <w:szCs w:val="20"/>
        </w:rPr>
        <w:t xml:space="preserve"> No single customer accounts for more than 10% of NCR’s consolidated revenue and accounts receivable as of and for the years ended December 31, 2022, 2021, and 2020. As of December 31, 2022, 2021, and 2020, NCR is not aware of any significan</w:t>
      </w:r>
      <w:r>
        <w:rPr>
          <w:rFonts w:eastAsia="Times New Roman"/>
          <w:color w:val="000000"/>
          <w:sz w:val="20"/>
          <w:szCs w:val="20"/>
        </w:rPr>
        <w:t xml:space="preserve">t concentration of business transacted with a particular customer that could, if suddenly eliminated, have a material adverse effect on NCR’s operations. NCR also lacks a concentration of available sources of labor, services, licenses or other rights that </w:t>
      </w:r>
      <w:r>
        <w:rPr>
          <w:rFonts w:eastAsia="Times New Roman"/>
          <w:color w:val="000000"/>
          <w:sz w:val="20"/>
          <w:szCs w:val="20"/>
        </w:rPr>
        <w:t>could, if suddenly eliminated, have a material adverse effect on its operations.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 number of NCR’s products, systems and solutions rely primarily on specific suppliers for microprocessors and other component products, manufactured assemblies, operating s</w:t>
      </w:r>
      <w:r>
        <w:rPr>
          <w:rFonts w:eastAsia="Times New Roman"/>
          <w:color w:val="000000"/>
          <w:sz w:val="20"/>
          <w:szCs w:val="20"/>
        </w:rPr>
        <w:t>ystems, commercial software and other central components. NCR also utilizes contract manufacturers in order to complete manufacturing activities. There can be no assurances that any sudden impact to the availability or cost of these technologies or service</w:t>
      </w:r>
      <w:r>
        <w:rPr>
          <w:rFonts w:eastAsia="Times New Roman"/>
          <w:color w:val="000000"/>
          <w:sz w:val="20"/>
          <w:szCs w:val="20"/>
        </w:rPr>
        <w:t>s would not have a material adverse effect on NCR’s operations.</w:t>
      </w:r>
    </w:p>
    <w:p w:rsidR="00000000" w:rsidRDefault="0040289C">
      <w:pPr>
        <w:divId w:val="1097214630"/>
        <w:rPr>
          <w:rFonts w:eastAsia="Times New Roman"/>
        </w:rPr>
      </w:pPr>
      <w:r>
        <w:rPr>
          <w:rFonts w:eastAsia="Times New Roman"/>
          <w:color w:val="000000"/>
          <w:sz w:val="16"/>
          <w:szCs w:val="16"/>
        </w:rPr>
        <w:t> </w:t>
      </w:r>
    </w:p>
    <w:p w:rsidR="00000000" w:rsidRDefault="0040289C">
      <w:pPr>
        <w:divId w:val="673267591"/>
        <w:rPr>
          <w:rFonts w:eastAsia="Times New Roman"/>
        </w:rPr>
      </w:pPr>
      <w:r>
        <w:rPr>
          <w:rFonts w:eastAsia="Times New Roman"/>
          <w:b/>
          <w:bCs/>
          <w:color w:val="7ACE05"/>
          <w:sz w:val="20"/>
          <w:szCs w:val="20"/>
        </w:rPr>
        <w:t xml:space="preserve">5. DEBT OBLIGATIONS </w:t>
      </w:r>
    </w:p>
    <w:p w:rsidR="00000000" w:rsidRDefault="0040289C">
      <w:pPr>
        <w:divId w:val="883719077"/>
        <w:rPr>
          <w:rFonts w:eastAsia="Times New Roman"/>
        </w:rPr>
      </w:pPr>
    </w:p>
    <w:p w:rsidR="00000000" w:rsidRDefault="0040289C">
      <w:pPr>
        <w:divId w:val="633366805"/>
        <w:rPr>
          <w:rFonts w:eastAsia="Times New Roman"/>
        </w:rPr>
      </w:pPr>
      <w:r>
        <w:rPr>
          <w:rFonts w:eastAsia="Times New Roman"/>
          <w:color w:val="000000"/>
          <w:sz w:val="20"/>
          <w:szCs w:val="20"/>
        </w:rPr>
        <w:t>The following table summarizes the Company's short-term borrowings and long-term debt: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93"/>
        <w:gridCol w:w="38"/>
        <w:gridCol w:w="50"/>
        <w:gridCol w:w="3459"/>
        <w:gridCol w:w="37"/>
        <w:gridCol w:w="120"/>
        <w:gridCol w:w="980"/>
        <w:gridCol w:w="36"/>
        <w:gridCol w:w="57"/>
        <w:gridCol w:w="974"/>
        <w:gridCol w:w="36"/>
        <w:gridCol w:w="36"/>
        <w:gridCol w:w="36"/>
        <w:gridCol w:w="36"/>
        <w:gridCol w:w="120"/>
        <w:gridCol w:w="956"/>
        <w:gridCol w:w="36"/>
        <w:gridCol w:w="57"/>
        <w:gridCol w:w="975"/>
        <w:gridCol w:w="36"/>
      </w:tblGrid>
      <w:tr w:rsidR="00000000">
        <w:trPr>
          <w:divId w:val="1126386105"/>
          <w:jc w:val="center"/>
        </w:trPr>
        <w:tc>
          <w:tcPr>
            <w:tcW w:w="5" w:type="pct"/>
            <w:vAlign w:val="center"/>
            <w:hideMark/>
          </w:tcPr>
          <w:p w:rsidR="00000000" w:rsidRDefault="0040289C">
            <w:pPr>
              <w:rPr>
                <w:rFonts w:eastAsia="Times New Roman"/>
              </w:rPr>
            </w:pPr>
          </w:p>
        </w:tc>
        <w:tc>
          <w:tcPr>
            <w:tcW w:w="13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10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1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1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1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1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6"/>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r>
      <w:tr w:rsidR="00000000">
        <w:trPr>
          <w:divId w:val="1126386105"/>
          <w:jc w:val="center"/>
        </w:trPr>
        <w:tc>
          <w:tcPr>
            <w:tcW w:w="0" w:type="auto"/>
            <w:gridSpan w:val="6"/>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 except percentages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Weighted-Average Interest Rate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Weighted-Average Interest Rate</w:t>
            </w:r>
          </w:p>
        </w:tc>
      </w:tr>
      <w:tr w:rsidR="00000000">
        <w:trPr>
          <w:divId w:val="1126386105"/>
          <w:jc w:val="center"/>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i/>
                <w:iCs/>
                <w:color w:val="000000"/>
                <w:sz w:val="20"/>
                <w:szCs w:val="20"/>
              </w:rPr>
              <w:t>Short-Term Borrowings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6"/>
            <w:shd w:val="clear" w:color="auto" w:fill="FFFFFF"/>
            <w:tcMar>
              <w:top w:w="30" w:type="dxa"/>
              <w:left w:w="20" w:type="dxa"/>
              <w:bottom w:w="30" w:type="dxa"/>
              <w:right w:w="20" w:type="dxa"/>
            </w:tcMar>
            <w:vAlign w:val="bottom"/>
            <w:hideMark/>
          </w:tcPr>
          <w:p w:rsidR="00000000" w:rsidRDefault="0040289C">
            <w:pPr>
              <w:spacing w:after="100"/>
              <w:divId w:val="1795631784"/>
              <w:rPr>
                <w:rFonts w:eastAsia="Times New Roman"/>
              </w:rPr>
            </w:pPr>
            <w:r>
              <w:rPr>
                <w:rFonts w:eastAsia="Times New Roman"/>
                <w:color w:val="000000"/>
                <w:sz w:val="20"/>
                <w:szCs w:val="20"/>
              </w:rPr>
              <w:t>Current portion of Senior Secured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6.54%</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2.63%</w:t>
            </w:r>
          </w:p>
        </w:tc>
      </w:tr>
      <w:tr w:rsidR="00000000">
        <w:trPr>
          <w:divId w:val="1126386105"/>
          <w:jc w:val="center"/>
        </w:trPr>
        <w:tc>
          <w:tcPr>
            <w:tcW w:w="0" w:type="auto"/>
            <w:gridSpan w:val="3"/>
            <w:vAlign w:val="center"/>
            <w:hideMark/>
          </w:tcPr>
          <w:p w:rsidR="00000000" w:rsidRDefault="0040289C">
            <w:pPr>
              <w:spacing w:after="100"/>
              <w:jc w:val="center"/>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divId w:val="315695221"/>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7.05%</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2.13%</w:t>
            </w:r>
          </w:p>
        </w:tc>
      </w:tr>
      <w:tr w:rsidR="00000000">
        <w:trPr>
          <w:divId w:val="1126386105"/>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short-term borrowings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r>
      <w:tr w:rsidR="00000000">
        <w:trPr>
          <w:divId w:val="1126386105"/>
          <w:jc w:val="center"/>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i/>
                <w:iCs/>
                <w:color w:val="000000"/>
                <w:sz w:val="20"/>
                <w:szCs w:val="20"/>
              </w:rPr>
              <w:t>Long-Term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6"/>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Senior Secured Credit Facility:</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divId w:val="1243416912"/>
              <w:rPr>
                <w:rFonts w:eastAsia="Times New Roman"/>
              </w:rPr>
            </w:pPr>
            <w:r>
              <w:rPr>
                <w:rFonts w:eastAsia="Times New Roman"/>
                <w:color w:val="000000"/>
                <w:sz w:val="20"/>
                <w:szCs w:val="20"/>
              </w:rPr>
              <w:t>Term loan facilities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6.69%</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1,884 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2.63%</w:t>
            </w:r>
          </w:p>
        </w:tc>
      </w:tr>
      <w:tr w:rsidR="00000000">
        <w:trPr>
          <w:divId w:val="1126386105"/>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458839250"/>
              <w:rPr>
                <w:rFonts w:eastAsia="Times New Roman"/>
              </w:rPr>
            </w:pPr>
            <w:r>
              <w:rPr>
                <w:rFonts w:eastAsia="Times New Roman"/>
                <w:color w:val="000000"/>
                <w:sz w:val="20"/>
                <w:szCs w:val="20"/>
              </w:rPr>
              <w:t>Revolving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6.79%</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2.36%</w:t>
            </w:r>
          </w:p>
        </w:tc>
      </w:tr>
      <w:tr w:rsidR="00000000">
        <w:trPr>
          <w:divId w:val="1126386105"/>
          <w:jc w:val="center"/>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Senior Notes: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126386105"/>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628467305"/>
              <w:rPr>
                <w:rFonts w:eastAsia="Times New Roman"/>
              </w:rPr>
            </w:pPr>
            <w:r>
              <w:rPr>
                <w:rFonts w:eastAsia="Times New Roman"/>
                <w:color w:val="000000"/>
                <w:sz w:val="20"/>
                <w:szCs w:val="20"/>
              </w:rPr>
              <w:t>5.750% Senior Notes due 2027</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r>
      <w:tr w:rsidR="00000000">
        <w:trPr>
          <w:divId w:val="1126386105"/>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divId w:val="377828405"/>
              <w:rPr>
                <w:rFonts w:eastAsia="Times New Roman"/>
              </w:rPr>
            </w:pPr>
            <w:r>
              <w:rPr>
                <w:rFonts w:eastAsia="Times New Roman"/>
                <w:color w:val="000000"/>
                <w:sz w:val="20"/>
                <w:szCs w:val="20"/>
              </w:rPr>
              <w:t>5.000</w:t>
            </w:r>
            <w:r>
              <w:rPr>
                <w:rFonts w:eastAsia="Times New Roman"/>
                <w:color w:val="000000"/>
                <w:sz w:val="20"/>
                <w:szCs w:val="20"/>
              </w:rPr>
              <w:t>% Senior Notes due 2028</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650 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r>
      <w:tr w:rsidR="00000000">
        <w:trPr>
          <w:divId w:val="1126386105"/>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2055350687"/>
              <w:rPr>
                <w:rFonts w:eastAsia="Times New Roman"/>
              </w:rPr>
            </w:pPr>
            <w:r>
              <w:rPr>
                <w:rFonts w:eastAsia="Times New Roman"/>
                <w:color w:val="000000"/>
                <w:sz w:val="20"/>
                <w:szCs w:val="20"/>
              </w:rPr>
              <w:t>5.125% Senior Notes due 2029</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1,200 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r>
      <w:tr w:rsidR="00000000">
        <w:trPr>
          <w:divId w:val="1126386105"/>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divId w:val="1565867298"/>
              <w:rPr>
                <w:rFonts w:eastAsia="Times New Roman"/>
              </w:rPr>
            </w:pPr>
            <w:r>
              <w:rPr>
                <w:rFonts w:eastAsia="Times New Roman"/>
                <w:color w:val="000000"/>
                <w:sz w:val="20"/>
                <w:szCs w:val="20"/>
              </w:rPr>
              <w:t>6.125% Senior Notes due 2029</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r>
      <w:tr w:rsidR="00000000">
        <w:trPr>
          <w:divId w:val="1126386105"/>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288581834"/>
              <w:rPr>
                <w:rFonts w:eastAsia="Times New Roman"/>
              </w:rPr>
            </w:pPr>
            <w:r>
              <w:rPr>
                <w:rFonts w:eastAsia="Times New Roman"/>
                <w:color w:val="000000"/>
                <w:sz w:val="20"/>
                <w:szCs w:val="20"/>
              </w:rPr>
              <w:t>5.250% Senior Notes due 2030</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r>
      <w:tr w:rsidR="00000000">
        <w:trPr>
          <w:divId w:val="1126386105"/>
          <w:jc w:val="center"/>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Deferred financing fees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r>
      <w:tr w:rsidR="00000000">
        <w:trPr>
          <w:divId w:val="1126386105"/>
          <w:jc w:val="center"/>
        </w:trPr>
        <w:tc>
          <w:tcPr>
            <w:tcW w:w="0" w:type="auto"/>
            <w:gridSpan w:val="6"/>
            <w:shd w:val="clear" w:color="auto" w:fill="FFFFFF"/>
            <w:tcMar>
              <w:top w:w="30" w:type="dxa"/>
              <w:left w:w="20" w:type="dxa"/>
              <w:bottom w:w="30" w:type="dxa"/>
              <w:right w:w="20" w:type="dxa"/>
            </w:tcMar>
            <w:vAlign w:val="bottom"/>
            <w:hideMark/>
          </w:tcPr>
          <w:p w:rsidR="00000000" w:rsidRDefault="0040289C">
            <w:pPr>
              <w:spacing w:after="100"/>
              <w:divId w:val="1976139584"/>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7.1%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6.62%</w:t>
            </w:r>
          </w:p>
        </w:tc>
      </w:tr>
      <w:tr w:rsidR="00000000">
        <w:trPr>
          <w:divId w:val="1126386105"/>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long-term debt</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5,561</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5,505 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r>
    </w:tbl>
    <w:p w:rsidR="00000000" w:rsidRDefault="0040289C">
      <w:pPr>
        <w:ind w:hanging="270"/>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Interest rates are weighted average interest rates as of December 31, 2022 and 2021. </w:t>
      </w:r>
    </w:p>
    <w:p w:rsidR="00000000" w:rsidRDefault="0040289C">
      <w:pPr>
        <w:ind w:hanging="270"/>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762070646"/>
        <w:rPr>
          <w:rFonts w:eastAsia="Times New Roman"/>
        </w:rPr>
      </w:pPr>
      <w:r>
        <w:rPr>
          <w:rFonts w:eastAsia="Times New Roman"/>
          <w:color w:val="000000"/>
          <w:sz w:val="20"/>
          <w:szCs w:val="20"/>
        </w:rPr>
        <w:t>85</w:t>
      </w:r>
    </w:p>
    <w:p w:rsidR="00000000" w:rsidRDefault="0040289C">
      <w:pPr>
        <w:rPr>
          <w:rFonts w:eastAsia="Times New Roman"/>
        </w:rPr>
      </w:pPr>
      <w:r>
        <w:rPr>
          <w:rFonts w:eastAsia="Times New Roman"/>
        </w:rPr>
        <w:pict>
          <v:rect id="_x0000_i1115" style="width:0;height:1.5pt" o:hralign="center" o:hrstd="t" o:hr="t" fillcolor="#a0a0a0" stroked="f"/>
        </w:pict>
      </w:r>
    </w:p>
    <w:p w:rsidR="00000000" w:rsidRDefault="0040289C">
      <w:pPr>
        <w:divId w:val="7027825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73963985"/>
        <w:rPr>
          <w:rFonts w:eastAsia="Times New Roman"/>
        </w:rPr>
      </w:pPr>
    </w:p>
    <w:p w:rsidR="00000000" w:rsidRDefault="0040289C">
      <w:pPr>
        <w:jc w:val="both"/>
        <w:rPr>
          <w:rFonts w:eastAsia="Times New Roman"/>
        </w:rPr>
      </w:pPr>
      <w:r>
        <w:rPr>
          <w:rFonts w:eastAsia="Times New Roman"/>
          <w:i/>
          <w:iCs/>
          <w:color w:val="000000"/>
          <w:sz w:val="20"/>
          <w:szCs w:val="20"/>
        </w:rPr>
        <w:t xml:space="preserve">Senior Secured Credit Facility </w:t>
      </w:r>
      <w:r>
        <w:rPr>
          <w:rFonts w:eastAsia="Times New Roman"/>
          <w:color w:val="000000"/>
          <w:sz w:val="20"/>
          <w:szCs w:val="20"/>
        </w:rPr>
        <w:t xml:space="preserve">The Company is party to a Senior Secured Credit Facility, which provides for a senior secured term loan A facility in an aggregate principal amount of </w:t>
      </w:r>
      <w:r>
        <w:rPr>
          <w:rFonts w:eastAsia="Times New Roman"/>
          <w:color w:val="000000"/>
          <w:sz w:val="20"/>
          <w:szCs w:val="20"/>
          <w:shd w:val="clear" w:color="auto" w:fill="FFFFFF"/>
        </w:rPr>
        <w:t>$1.305 billion</w:t>
      </w:r>
      <w:r>
        <w:rPr>
          <w:rFonts w:eastAsia="Times New Roman"/>
          <w:color w:val="000000"/>
          <w:sz w:val="20"/>
          <w:szCs w:val="20"/>
        </w:rPr>
        <w:t xml:space="preserve"> (the “TLA Facility”), a senior secured term loan B facility in an aggregate principal amou</w:t>
      </w:r>
      <w:r>
        <w:rPr>
          <w:rFonts w:eastAsia="Times New Roman"/>
          <w:color w:val="000000"/>
          <w:sz w:val="20"/>
          <w:szCs w:val="20"/>
        </w:rPr>
        <w:t xml:space="preserve">nt of </w:t>
      </w:r>
      <w:r>
        <w:rPr>
          <w:rFonts w:eastAsia="Times New Roman"/>
          <w:color w:val="000000"/>
          <w:sz w:val="20"/>
          <w:szCs w:val="20"/>
          <w:shd w:val="clear" w:color="auto" w:fill="FFFFFF"/>
        </w:rPr>
        <w:t xml:space="preserve">$750 million </w:t>
      </w:r>
      <w:r>
        <w:rPr>
          <w:rFonts w:eastAsia="Times New Roman"/>
          <w:color w:val="000000"/>
          <w:sz w:val="20"/>
          <w:szCs w:val="20"/>
        </w:rPr>
        <w:t xml:space="preserve">(the “TLB Facility” and together with the TLA Facility, the “Term Loan Facilities”), and a revolving credit facility with commitments in an initial aggregate principal amount of </w:t>
      </w:r>
      <w:r>
        <w:rPr>
          <w:rFonts w:eastAsia="Times New Roman"/>
          <w:color w:val="000000"/>
          <w:sz w:val="20"/>
          <w:szCs w:val="20"/>
          <w:shd w:val="clear" w:color="auto" w:fill="FFFFFF"/>
        </w:rPr>
        <w:t>$1.3 billion</w:t>
      </w:r>
      <w:r>
        <w:rPr>
          <w:rFonts w:eastAsia="Times New Roman"/>
          <w:color w:val="000000"/>
          <w:sz w:val="20"/>
          <w:szCs w:val="20"/>
        </w:rPr>
        <w:t xml:space="preserve"> (the “Revolving Credit Facility”).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 xml:space="preserve">As of </w:t>
      </w:r>
      <w:r>
        <w:rPr>
          <w:rFonts w:eastAsia="Times New Roman"/>
          <w:color w:val="000000"/>
          <w:sz w:val="20"/>
          <w:szCs w:val="20"/>
        </w:rPr>
        <w:t>De</w:t>
      </w:r>
      <w:r>
        <w:rPr>
          <w:rFonts w:eastAsia="Times New Roman"/>
          <w:color w:val="000000"/>
          <w:sz w:val="20"/>
          <w:szCs w:val="20"/>
        </w:rPr>
        <w:t>cember 31, 2022</w:t>
      </w:r>
      <w:r>
        <w:rPr>
          <w:rFonts w:eastAsia="Times New Roman"/>
          <w:color w:val="000000"/>
          <w:sz w:val="20"/>
          <w:szCs w:val="20"/>
          <w:shd w:val="clear" w:color="auto" w:fill="FFFFFF"/>
        </w:rPr>
        <w:t xml:space="preserve">, the term loan facilities (the TLA Facility and the TLB Facility) under the Senior Secured Credit Facility have an aggregate principal amount of $2.055 billion, of which $1.88 billion remained outstanding. Additionally, as of </w:t>
      </w:r>
      <w:r>
        <w:rPr>
          <w:rFonts w:eastAsia="Times New Roman"/>
          <w:color w:val="000000"/>
          <w:sz w:val="20"/>
          <w:szCs w:val="20"/>
        </w:rPr>
        <w:t>December 31, 2</w:t>
      </w:r>
      <w:r>
        <w:rPr>
          <w:rFonts w:eastAsia="Times New Roman"/>
          <w:color w:val="000000"/>
          <w:sz w:val="20"/>
          <w:szCs w:val="20"/>
        </w:rPr>
        <w:t>022</w:t>
      </w:r>
      <w:r>
        <w:rPr>
          <w:rFonts w:eastAsia="Times New Roman"/>
          <w:color w:val="000000"/>
          <w:sz w:val="20"/>
          <w:szCs w:val="20"/>
          <w:shd w:val="clear" w:color="auto" w:fill="FFFFFF"/>
        </w:rPr>
        <w:t xml:space="preserve">, there was $523 million outstanding under the Revolving Credit Facility. The Revolving Credit Facility also contains a sub-facility to be used for letters of credit, and, as of </w:t>
      </w:r>
      <w:r>
        <w:rPr>
          <w:rFonts w:eastAsia="Times New Roman"/>
          <w:color w:val="000000"/>
          <w:sz w:val="20"/>
          <w:szCs w:val="20"/>
        </w:rPr>
        <w:t>December 31, 2022</w:t>
      </w:r>
      <w:r>
        <w:rPr>
          <w:rFonts w:eastAsia="Times New Roman"/>
          <w:color w:val="000000"/>
          <w:sz w:val="20"/>
          <w:szCs w:val="20"/>
          <w:shd w:val="clear" w:color="auto" w:fill="FFFFFF"/>
        </w:rPr>
        <w:t>, outstanding letters of credit were $29 million. Our borr</w:t>
      </w:r>
      <w:r>
        <w:rPr>
          <w:rFonts w:eastAsia="Times New Roman"/>
          <w:color w:val="000000"/>
          <w:sz w:val="20"/>
          <w:szCs w:val="20"/>
          <w:shd w:val="clear" w:color="auto" w:fill="FFFFFF"/>
        </w:rPr>
        <w:t xml:space="preserve">owing capacity under our Revolving Credit Facility was $748 million at </w:t>
      </w:r>
      <w:r>
        <w:rPr>
          <w:rFonts w:eastAsia="Times New Roman"/>
          <w:color w:val="000000"/>
          <w:sz w:val="20"/>
          <w:szCs w:val="20"/>
        </w:rPr>
        <w:t>December 31, 2022</w:t>
      </w:r>
      <w:r>
        <w:rPr>
          <w:rFonts w:eastAsia="Times New Roman"/>
          <w:color w:val="000000"/>
          <w:sz w:val="20"/>
          <w:szCs w:val="20"/>
          <w:shd w:val="clear" w:color="auto" w:fill="FFFFFF"/>
        </w:rPr>
        <w: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Up to $400 million of the Revolving Credit Facility is available to certain of the subsidiaries of NCR as borrowers (collectively, the “Foreign Borrowers”), as long</w:t>
      </w:r>
      <w:r>
        <w:rPr>
          <w:rFonts w:eastAsia="Times New Roman"/>
          <w:color w:val="000000"/>
          <w:sz w:val="20"/>
          <w:szCs w:val="20"/>
        </w:rPr>
        <w:t xml:space="preserve"> as there is availability under the Revolving Credit Facility. Term loans were made to the Company in U.S. Dollars, and loans under the Revolving Credit Facility are available in U.S. Dollars, Euros and Pound Sterling.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outstanding principal balance o</w:t>
      </w:r>
      <w:r>
        <w:rPr>
          <w:rFonts w:eastAsia="Times New Roman"/>
          <w:color w:val="000000"/>
          <w:sz w:val="20"/>
          <w:szCs w:val="20"/>
        </w:rPr>
        <w:t>f the TLB facility is required to be repaid in equal quarterly installments of 0.25% of the original aggregate principal amount that began with the fiscal quarter ending December 31, 2019, with the balance being due at maturity on August 28, 2026 (the “TLB</w:t>
      </w:r>
      <w:r>
        <w:rPr>
          <w:rFonts w:eastAsia="Times New Roman"/>
          <w:color w:val="000000"/>
          <w:sz w:val="20"/>
          <w:szCs w:val="20"/>
        </w:rPr>
        <w:t xml:space="preserve"> Maturity Date”).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outstanding principal balance of the TLA Facility is required to be repaid in equal quarterly installments of 1.875% of the original aggregate principal amount thereof, beginning with the fiscal quarter ending September 30, 2021, wi</w:t>
      </w:r>
      <w:r>
        <w:rPr>
          <w:rFonts w:eastAsia="Times New Roman"/>
          <w:color w:val="000000"/>
          <w:sz w:val="20"/>
          <w:szCs w:val="20"/>
        </w:rPr>
        <w:t xml:space="preserve">th the balance being due at maturity on the earlier of (a) June 21, 2026 and (b) unless the loans under TLB Facility have been repaid prior to such date, the date that is 91 days prior to the TLB Maturity Date.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Commitments under the Revolving Credit Fac</w:t>
      </w:r>
      <w:r>
        <w:rPr>
          <w:rFonts w:eastAsia="Times New Roman"/>
          <w:color w:val="000000"/>
          <w:sz w:val="20"/>
          <w:szCs w:val="20"/>
        </w:rPr>
        <w:t xml:space="preserve">ility are scheduled to terminate on the earlier of (a) June 21, 2026 and (b) unless the loans under TLB Facility have been repaid prior to such date, the date that is 91 days prior to the TLB Maturity Date. Loans under the Revolving Credit Facility may be </w:t>
      </w:r>
      <w:r>
        <w:rPr>
          <w:rFonts w:eastAsia="Times New Roman"/>
          <w:color w:val="000000"/>
          <w:sz w:val="20"/>
          <w:szCs w:val="20"/>
        </w:rPr>
        <w:t>repaid and reborrowed prior to such date, subject to the satisfaction of customary conditions.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Amounts covered under the Revolving Credit Facility and the TLA Facility bear interest at LIBOR (or, in the case of amounts denominated in Euros, EURIBOR), or,</w:t>
      </w:r>
      <w:r>
        <w:rPr>
          <w:rFonts w:eastAsia="Times New Roman"/>
          <w:color w:val="000000"/>
          <w:sz w:val="20"/>
          <w:szCs w:val="20"/>
        </w:rPr>
        <w:t xml:space="preserve"> at our option, in the case of amounts denominated in U.S. Dollars, at a base rate equal to the highest of (i) the federal funds rate plus 0.50%, (ii) the rate of interest last quoted by the Wall Street Journal as the “prime rate”, (iii) the one-month LIBO</w:t>
      </w:r>
      <w:r>
        <w:rPr>
          <w:rFonts w:eastAsia="Times New Roman"/>
          <w:color w:val="000000"/>
          <w:sz w:val="20"/>
          <w:szCs w:val="20"/>
        </w:rPr>
        <w:t>R rate plus 1.00%, and (iv) 0.00% per annum (the “Base Rate”), plus, in each case, a margin ranging from 1.25% to 2.75% per annum for LIBOR-based and EURIBOR-based loans under such facilities and ranging from 0.25% to 1.75% per annum for Base Rate-based lo</w:t>
      </w:r>
      <w:r>
        <w:rPr>
          <w:rFonts w:eastAsia="Times New Roman"/>
          <w:color w:val="000000"/>
          <w:sz w:val="20"/>
          <w:szCs w:val="20"/>
        </w:rPr>
        <w:t>ans under such facilities, in each case, depending on our consolidated leverage ratio. Prior to the delivery of our financial statements for the fiscal quarter ended September 30, 2021, the applicable margin was 2.50% for LIBOR-based and EURIBOR-based loan</w:t>
      </w:r>
      <w:r>
        <w:rPr>
          <w:rFonts w:eastAsia="Times New Roman"/>
          <w:color w:val="000000"/>
          <w:sz w:val="20"/>
          <w:szCs w:val="20"/>
        </w:rPr>
        <w:t>s under such facilities and 1.50% for Base Rate-based loans under such facilities. Amounts borrowed under the TLB Facility bear interest at LIBOR or, at our option, at the Base Rate, plus, in each case, a margin of 2.50% per annum for LIBOR-based loans and</w:t>
      </w:r>
      <w:r>
        <w:rPr>
          <w:rFonts w:eastAsia="Times New Roman"/>
          <w:color w:val="000000"/>
          <w:sz w:val="20"/>
          <w:szCs w:val="20"/>
        </w:rPr>
        <w:t xml:space="preserve"> 1.50% per annum for Base Rate-based loans. The Amended and Restated Credit Agreement contains customary LIBOR and EURIBOR replacement provisions. The daily unused portion of the Revolving Credit Facility is subject to a commitment fee ranging from 0.15% t</w:t>
      </w:r>
      <w:r>
        <w:rPr>
          <w:rFonts w:eastAsia="Times New Roman"/>
          <w:color w:val="000000"/>
          <w:sz w:val="20"/>
          <w:szCs w:val="20"/>
        </w:rPr>
        <w:t>o 0.45% per annum, depending on our consolidated leverage ratio.</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obligations under the Senior Secured Credit Facility are guaranteed by certain of the Company’s domestic material subsidiaries including NCR International, Inc. (the “Guarantor Subsidia</w:t>
      </w:r>
      <w:r>
        <w:rPr>
          <w:rFonts w:eastAsia="Times New Roman"/>
          <w:color w:val="000000"/>
          <w:sz w:val="20"/>
          <w:szCs w:val="20"/>
        </w:rPr>
        <w:t>ry”) and certain domestic subsidiaries acquired through the Cardtronics Transaction (collectively, the “Cardtronics Guarantors” and together with the Guarantor Subsidiary, the “Guarantors”).</w:t>
      </w:r>
      <w:r>
        <w:rPr>
          <w:rFonts w:eastAsia="Times New Roman"/>
          <w:color w:val="008080"/>
        </w:rPr>
        <w:t xml:space="preserve"> </w:t>
      </w:r>
      <w:r>
        <w:rPr>
          <w:rFonts w:eastAsia="Times New Roman"/>
          <w:color w:val="000000"/>
          <w:sz w:val="20"/>
          <w:szCs w:val="20"/>
        </w:rPr>
        <w:t xml:space="preserve">The obligations under the Senior Secured Credit Facility and the </w:t>
      </w:r>
      <w:r>
        <w:rPr>
          <w:rFonts w:eastAsia="Times New Roman"/>
          <w:color w:val="000000"/>
          <w:sz w:val="20"/>
          <w:szCs w:val="20"/>
        </w:rPr>
        <w:t>above described guarantee are secured by a first priority lien and security interest in certain equity interests owned by the Company and the Guarantors in certain of their respective domestic and foreign subsidiaries, and a first priority lien and securit</w:t>
      </w:r>
      <w:r>
        <w:rPr>
          <w:rFonts w:eastAsia="Times New Roman"/>
          <w:color w:val="000000"/>
          <w:sz w:val="20"/>
          <w:szCs w:val="20"/>
        </w:rPr>
        <w:t xml:space="preserve">y interest in substantially all of the assets of the Company and the Guarantors, subject to certain exclusions. These security interests would be released if the Company achieves an “investment grade” rating and will remain released so long as the Company </w:t>
      </w:r>
      <w:r>
        <w:rPr>
          <w:rFonts w:eastAsia="Times New Roman"/>
          <w:color w:val="000000"/>
          <w:sz w:val="20"/>
          <w:szCs w:val="20"/>
        </w:rPr>
        <w:t>maintains an “investment grade” rating.</w:t>
      </w:r>
    </w:p>
    <w:p w:rsidR="00000000" w:rsidRDefault="0040289C">
      <w:pPr>
        <w:jc w:val="both"/>
        <w:divId w:val="1809392572"/>
        <w:rPr>
          <w:rFonts w:eastAsia="Times New Roman"/>
        </w:rPr>
      </w:pPr>
      <w:r>
        <w:rPr>
          <w:rFonts w:eastAsia="Times New Roman"/>
          <w:color w:val="000000"/>
          <w:sz w:val="20"/>
          <w:szCs w:val="20"/>
        </w:rPr>
        <w:t>The Senior Secured Credit Facility includes affirmative and negative covenants that restrict or limit the ability of the Company and its subsidiaries to, among other things, incur indebtedness; create liens on assets</w:t>
      </w:r>
      <w:r>
        <w:rPr>
          <w:rFonts w:eastAsia="Times New Roman"/>
          <w:color w:val="000000"/>
          <w:sz w:val="20"/>
          <w:szCs w:val="20"/>
        </w:rPr>
        <w:t>; engage in certain fundamental corporate changes or changes to the Company's business activities; make investments; sell or otherwise dispose of assets; engage in sale-leaseback or hedging transactions; repurchase stock, pay dividends or make similar dist</w:t>
      </w:r>
      <w:r>
        <w:rPr>
          <w:rFonts w:eastAsia="Times New Roman"/>
          <w:color w:val="000000"/>
          <w:sz w:val="20"/>
          <w:szCs w:val="20"/>
        </w:rPr>
        <w:t xml:space="preserve">ributions; repay other indebtedness; </w:t>
      </w:r>
    </w:p>
    <w:p w:rsidR="00000000" w:rsidRDefault="0040289C">
      <w:pPr>
        <w:jc w:val="center"/>
        <w:divId w:val="2087071698"/>
        <w:rPr>
          <w:rFonts w:eastAsia="Times New Roman"/>
        </w:rPr>
      </w:pPr>
      <w:r>
        <w:rPr>
          <w:rFonts w:eastAsia="Times New Roman"/>
          <w:color w:val="000000"/>
          <w:sz w:val="20"/>
          <w:szCs w:val="20"/>
        </w:rPr>
        <w:t>86</w:t>
      </w:r>
    </w:p>
    <w:p w:rsidR="00000000" w:rsidRDefault="0040289C">
      <w:pPr>
        <w:rPr>
          <w:rFonts w:eastAsia="Times New Roman"/>
        </w:rPr>
      </w:pPr>
      <w:r>
        <w:rPr>
          <w:rFonts w:eastAsia="Times New Roman"/>
        </w:rPr>
        <w:pict>
          <v:rect id="_x0000_i1116" style="width:0;height:1.5pt" o:hralign="center" o:hrstd="t" o:hr="t" fillcolor="#a0a0a0" stroked="f"/>
        </w:pict>
      </w:r>
    </w:p>
    <w:p w:rsidR="00000000" w:rsidRDefault="0040289C">
      <w:pPr>
        <w:divId w:val="167013665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567884381"/>
        <w:rPr>
          <w:rFonts w:eastAsia="Times New Roman"/>
        </w:rPr>
      </w:pPr>
    </w:p>
    <w:p w:rsidR="00000000" w:rsidRDefault="0040289C">
      <w:pPr>
        <w:jc w:val="both"/>
        <w:divId w:val="200243882"/>
        <w:rPr>
          <w:rFonts w:eastAsia="Times New Roman"/>
        </w:rPr>
      </w:pPr>
      <w:r>
        <w:rPr>
          <w:rFonts w:eastAsia="Times New Roman"/>
          <w:color w:val="000000"/>
          <w:sz w:val="20"/>
          <w:szCs w:val="20"/>
        </w:rPr>
        <w:t>engage in certain affiliate transactions; or enter into agreements that restrict the Company's abil</w:t>
      </w:r>
      <w:r>
        <w:rPr>
          <w:rFonts w:eastAsia="Times New Roman"/>
          <w:color w:val="000000"/>
          <w:sz w:val="20"/>
          <w:szCs w:val="20"/>
        </w:rPr>
        <w:t>ity to create liens, pay dividends or make loan repayments. The Senior Secured Credit Facility also includes a financial covenant with respect to the Revolving Credit Facility and the TLA Facility. The financial covenant requires the Company to maintain:</w:t>
      </w:r>
    </w:p>
    <w:p w:rsidR="00000000" w:rsidRDefault="0040289C">
      <w:pPr>
        <w:ind w:hanging="360"/>
        <w:jc w:val="both"/>
        <w:divId w:val="2068600726"/>
        <w:rPr>
          <w:rFonts w:eastAsia="Times New Roman"/>
        </w:rPr>
      </w:pPr>
      <w:r>
        <w:rPr>
          <w:rFonts w:eastAsia="Times New Roman"/>
          <w:color w:val="000000"/>
          <w:sz w:val="20"/>
          <w:szCs w:val="20"/>
          <w:shd w:val="clear" w:color="auto" w:fill="FFFFFF"/>
        </w:rPr>
        <w:t>•</w:t>
      </w:r>
      <w:r>
        <w:rPr>
          <w:rFonts w:eastAsia="Times New Roman"/>
          <w:color w:val="000000"/>
          <w:sz w:val="20"/>
          <w:szCs w:val="20"/>
        </w:rPr>
        <w:t>A consolidated leverage ratio on the last day of any fiscal quarter, not to exceed (i) in the case of any fiscal quarter ending on or prior to December 31, 2021, 5.50 to 1.00, (ii) in the case of any fiscal quarter ending on or prior to September 30, 2022,</w:t>
      </w:r>
      <w:r>
        <w:rPr>
          <w:rFonts w:eastAsia="Times New Roman"/>
          <w:color w:val="000000"/>
          <w:sz w:val="20"/>
          <w:szCs w:val="20"/>
        </w:rPr>
        <w:t xml:space="preserve"> 5.25 to 1.00, and (iii) in the case of any fiscal quarter ending on or after December 31, 2022, 4.75 to 1.00.</w:t>
      </w:r>
    </w:p>
    <w:p w:rsidR="00000000" w:rsidRDefault="0040289C">
      <w:pPr>
        <w:jc w:val="both"/>
        <w:rPr>
          <w:rFonts w:eastAsia="Times New Roman"/>
        </w:rPr>
      </w:pPr>
      <w:r>
        <w:rPr>
          <w:rFonts w:eastAsia="Times New Roman"/>
          <w:color w:val="000000"/>
          <w:sz w:val="20"/>
          <w:szCs w:val="20"/>
        </w:rPr>
        <w:t>The Company has the option to elect to increase the maximum permitted leverage ratio for the periods described in the foregoing clause (iii) by 0.25 in connection with the consummation of any material acquisition (as defined in the Senior Secured Credit Fa</w:t>
      </w:r>
      <w:r>
        <w:rPr>
          <w:rFonts w:eastAsia="Times New Roman"/>
          <w:color w:val="000000"/>
          <w:sz w:val="20"/>
          <w:szCs w:val="20"/>
        </w:rPr>
        <w:t xml:space="preserve">cility) for three fiscal quarters.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Senior Secured Credit Facility also includes provisions for events of default, which are customary for similar financings. Upon the occurrence of an event of default, the lenders may, among other things, terminate the loan commitments, accelerate all l</w:t>
      </w:r>
      <w:r>
        <w:rPr>
          <w:rFonts w:eastAsia="Times New Roman"/>
          <w:color w:val="000000"/>
          <w:sz w:val="20"/>
          <w:szCs w:val="20"/>
        </w:rPr>
        <w:t>oans and require cash collateral deposits in respect of outstanding letters of credit. If the Company is unable to pay or repay the amounts due, the lenders could, among other things, proceed against the collateral granted to them to secure such indebtedne</w:t>
      </w:r>
      <w:r>
        <w:rPr>
          <w:rFonts w:eastAsia="Times New Roman"/>
          <w:color w:val="000000"/>
          <w:sz w:val="20"/>
          <w:szCs w:val="20"/>
        </w:rPr>
        <w:t>ss.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The Company may request, at any time and from time to time one or more incremental term loans and/or revolving credit facilities (subject to the agreement of existing lenders or additional financial institutions to provide such term loans and/or revo</w:t>
      </w:r>
      <w:r>
        <w:rPr>
          <w:rFonts w:eastAsia="Times New Roman"/>
          <w:color w:val="000000"/>
          <w:sz w:val="20"/>
          <w:szCs w:val="20"/>
          <w:shd w:val="clear" w:color="auto" w:fill="FFFFFF"/>
        </w:rPr>
        <w:t>lving credit facilities) and with no requirement that existing lenders providing such facilities with commitments in an aggregate amount not to exceed the greater of (i) $150 million, and (ii) such amount as would not cause the leverage ratio under the Sen</w:t>
      </w:r>
      <w:r>
        <w:rPr>
          <w:rFonts w:eastAsia="Times New Roman"/>
          <w:color w:val="000000"/>
          <w:sz w:val="20"/>
          <w:szCs w:val="20"/>
          <w:shd w:val="clear" w:color="auto" w:fill="FFFFFF"/>
        </w:rPr>
        <w:t xml:space="preserve">ior Secured Credit Facility, calculated on a pro forma basis including the incremental facility and assuming that it and the revolver are fully drawn, to exceed 3.00 to 1.00, and the proceeds of which can be used for working capital requirements and other </w:t>
      </w:r>
      <w:r>
        <w:rPr>
          <w:rFonts w:eastAsia="Times New Roman"/>
          <w:color w:val="000000"/>
          <w:sz w:val="20"/>
          <w:szCs w:val="20"/>
          <w:shd w:val="clear" w:color="auto" w:fill="FFFFFF"/>
        </w:rPr>
        <w:t xml:space="preserve">general corporate purposes.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On December 27, 2022, the Company entered into a fifth amendment to the Senior Secured Credit Facility (the "Amendment"). The Amendment provides the Company and its subsidiaries with the flexibility to enter into financing an</w:t>
      </w:r>
      <w:r>
        <w:rPr>
          <w:rFonts w:eastAsia="Times New Roman"/>
          <w:color w:val="000000"/>
          <w:sz w:val="20"/>
          <w:szCs w:val="20"/>
        </w:rPr>
        <w:t>d/or other monetization arrangements secured by certain automated teller machines and related receivables of the Company and its subsidiaries. The Amendment does not increase the overall debt or lien incurrence capacity under the Senior Secured Credit Faci</w:t>
      </w:r>
      <w:r>
        <w:rPr>
          <w:rFonts w:eastAsia="Times New Roman"/>
          <w:color w:val="000000"/>
          <w:sz w:val="20"/>
          <w:szCs w:val="20"/>
        </w:rPr>
        <w:t>lity.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For the year ended December 31, 2021, the Company incurred financing fees of $19 million related to certain structuring and commitment fees as a result of the financing transactions entered into during the first quarter of 2021.</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Senior Unsecured </w:t>
      </w:r>
      <w:r>
        <w:rPr>
          <w:rFonts w:eastAsia="Times New Roman"/>
          <w:i/>
          <w:iCs/>
          <w:color w:val="000000"/>
          <w:sz w:val="20"/>
          <w:szCs w:val="20"/>
        </w:rPr>
        <w:t xml:space="preserve">Notes </w:t>
      </w:r>
      <w:r>
        <w:rPr>
          <w:rFonts w:eastAsia="Times New Roman"/>
          <w:color w:val="000000"/>
          <w:sz w:val="20"/>
          <w:szCs w:val="20"/>
        </w:rPr>
        <w:t>On August 21, 2019, the Company issued $500 million aggregate principal amount of 5.750% senior unsecured notes due in 2027 (the “5.750% Notes”). The 5.750% Notes were sold at 100% of the principal amount with a maturity date of September 1, 2027. Th</w:t>
      </w:r>
      <w:r>
        <w:rPr>
          <w:rFonts w:eastAsia="Times New Roman"/>
          <w:color w:val="000000"/>
          <w:sz w:val="20"/>
          <w:szCs w:val="20"/>
        </w:rPr>
        <w:t xml:space="preserve">e 5.750% Notes were issued without registration rights. </w:t>
      </w:r>
      <w:r>
        <w:rPr>
          <w:rFonts w:eastAsia="Times New Roman"/>
          <w:color w:val="000000"/>
          <w:sz w:val="20"/>
          <w:szCs w:val="20"/>
          <w:shd w:val="clear" w:color="auto" w:fill="FFFFFF"/>
        </w:rPr>
        <w:t xml:space="preserve">The Company has the option to redeem the </w:t>
      </w:r>
      <w:r>
        <w:rPr>
          <w:rFonts w:eastAsia="Times New Roman"/>
          <w:color w:val="000000"/>
          <w:sz w:val="20"/>
          <w:szCs w:val="20"/>
        </w:rPr>
        <w:t>5.750%</w:t>
      </w:r>
      <w:r>
        <w:rPr>
          <w:rFonts w:eastAsia="Times New Roman"/>
          <w:color w:val="000000"/>
          <w:sz w:val="20"/>
          <w:szCs w:val="20"/>
          <w:shd w:val="clear" w:color="auto" w:fill="FFFFFF"/>
        </w:rPr>
        <w:t xml:space="preserve"> Notes, in whole or in part, at any time on or after September 1, 2022, at a redemption price of 102.875%, 101.438%, and </w:t>
      </w:r>
      <w:r>
        <w:rPr>
          <w:rFonts w:eastAsia="Times New Roman"/>
          <w:color w:val="000000"/>
          <w:sz w:val="20"/>
          <w:szCs w:val="20"/>
        </w:rPr>
        <w:t>100%</w:t>
      </w:r>
      <w:r>
        <w:rPr>
          <w:rFonts w:eastAsia="Times New Roman"/>
          <w:color w:val="000000"/>
          <w:sz w:val="20"/>
          <w:szCs w:val="20"/>
          <w:shd w:val="clear" w:color="auto" w:fill="FFFFFF"/>
        </w:rPr>
        <w:t> during the 12-month periods</w:t>
      </w:r>
      <w:r>
        <w:rPr>
          <w:rFonts w:eastAsia="Times New Roman"/>
          <w:color w:val="000000"/>
          <w:sz w:val="20"/>
          <w:szCs w:val="20"/>
          <w:shd w:val="clear" w:color="auto" w:fill="FFFFFF"/>
        </w:rPr>
        <w:t xml:space="preserve"> commencing on September 1, 2022, 2023 and 2024 and thereafter, respectively, plus accrued and unpaid interest to the redemption date.</w:t>
      </w:r>
      <w:r>
        <w:rPr>
          <w:rFonts w:eastAsia="Times New Roman"/>
          <w:color w:val="000000"/>
          <w:sz w:val="20"/>
          <w:szCs w:val="20"/>
        </w:rPr>
        <w:t xml:space="preserv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On August 21, 2019, the Company issued $500 million aggregate principal amount of 6.125% senior unsecured notes due in</w:t>
      </w:r>
      <w:r>
        <w:rPr>
          <w:rFonts w:eastAsia="Times New Roman"/>
          <w:color w:val="000000"/>
          <w:sz w:val="20"/>
          <w:szCs w:val="20"/>
        </w:rPr>
        <w:t xml:space="preserve"> 2029 (the “6.125% Notes”). The 6.125% Notes were sold at 100% of the principal amount with a maturity date of September 1, 2029. The 6.125% Notes were issued without registration rights. The Company has the option to redeem the 6.125% Notes, in whole or i</w:t>
      </w:r>
      <w:r>
        <w:rPr>
          <w:rFonts w:eastAsia="Times New Roman"/>
          <w:color w:val="000000"/>
          <w:sz w:val="20"/>
          <w:szCs w:val="20"/>
        </w:rPr>
        <w:t>n part, at any time on or after September 1, 2024, at a redemption price of 103.063%, 102.042%, 101.021% and 100% during the 12-month periods commencing on September 1, 2024, 2025, 2026 and 2027 and thereafter, respectively, plus accrued and unpaid interes</w:t>
      </w:r>
      <w:r>
        <w:rPr>
          <w:rFonts w:eastAsia="Times New Roman"/>
          <w:color w:val="000000"/>
          <w:sz w:val="20"/>
          <w:szCs w:val="20"/>
        </w:rPr>
        <w:t>t to the redemption date. Prior to September 1, 2024, the Company may redeem the 6.125% Notes, in whole or in part, at a redemption price equal to 100% of the principal amount plus a make-whole premium and accrued and unpaid interest to the redemption date</w:t>
      </w:r>
      <w:r>
        <w:rPr>
          <w:rFonts w:eastAsia="Times New Roman"/>
          <w:color w:val="000000"/>
          <w:sz w:val="20"/>
          <w:szCs w:val="20"/>
        </w:rPr>
        <w: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On August 20, 2020, the Company issued $650 million aggregate principal amount of 5.000% senior unsecured notes due in 2028 (the “5.000% Notes”) and $450 million aggregate principal amount of 5.250% senior unsecured notes due in 2030 (the “5.250% Notes</w:t>
      </w:r>
      <w:r>
        <w:rPr>
          <w:rFonts w:eastAsia="Times New Roman"/>
          <w:color w:val="000000"/>
          <w:sz w:val="20"/>
          <w:szCs w:val="20"/>
        </w:rPr>
        <w:t>”). Interest is payable on the 5.000% and 5.250% Notes semi-annually in arrears at interest rates of 5.000% and 5.250%, respectively, on April 1 and October 1 of each year beginning April 1, 2021. The 5.000% and 5.250% Notes were sold at 100% of the princi</w:t>
      </w:r>
      <w:r>
        <w:rPr>
          <w:rFonts w:eastAsia="Times New Roman"/>
          <w:color w:val="000000"/>
          <w:sz w:val="20"/>
          <w:szCs w:val="20"/>
        </w:rPr>
        <w:t xml:space="preserve">pal amount and with maturity dates of October 1, 2028 and October 1, 2030, respectively. </w:t>
      </w:r>
    </w:p>
    <w:p w:rsidR="00000000" w:rsidRDefault="0040289C">
      <w:pPr>
        <w:jc w:val="both"/>
        <w:rPr>
          <w:rFonts w:eastAsia="Times New Roman"/>
        </w:rPr>
      </w:pPr>
    </w:p>
    <w:p w:rsidR="00000000" w:rsidRDefault="0040289C">
      <w:pPr>
        <w:jc w:val="center"/>
        <w:divId w:val="738097342"/>
        <w:rPr>
          <w:rFonts w:eastAsia="Times New Roman"/>
        </w:rPr>
      </w:pPr>
      <w:r>
        <w:rPr>
          <w:rFonts w:eastAsia="Times New Roman"/>
          <w:color w:val="000000"/>
          <w:sz w:val="20"/>
          <w:szCs w:val="20"/>
        </w:rPr>
        <w:t>87</w:t>
      </w:r>
    </w:p>
    <w:p w:rsidR="00000000" w:rsidRDefault="0040289C">
      <w:pPr>
        <w:rPr>
          <w:rFonts w:eastAsia="Times New Roman"/>
        </w:rPr>
      </w:pPr>
      <w:r>
        <w:rPr>
          <w:rFonts w:eastAsia="Times New Roman"/>
        </w:rPr>
        <w:pict>
          <v:rect id="_x0000_i1117" style="width:0;height:1.5pt" o:hralign="center" o:hrstd="t" o:hr="t" fillcolor="#a0a0a0" stroked="f"/>
        </w:pict>
      </w:r>
    </w:p>
    <w:p w:rsidR="00000000" w:rsidRDefault="0040289C">
      <w:pPr>
        <w:divId w:val="98161410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010134651"/>
        <w:rPr>
          <w:rFonts w:eastAsia="Times New Roman"/>
        </w:rPr>
      </w:pPr>
    </w:p>
    <w:p w:rsidR="00000000" w:rsidRDefault="0040289C">
      <w:pPr>
        <w:jc w:val="both"/>
        <w:rPr>
          <w:rFonts w:eastAsia="Times New Roman"/>
        </w:rPr>
      </w:pPr>
      <w:r>
        <w:rPr>
          <w:rFonts w:eastAsia="Times New Roman"/>
          <w:color w:val="000000"/>
          <w:sz w:val="20"/>
          <w:szCs w:val="20"/>
        </w:rPr>
        <w:t>At any time and from time to time, prior to O</w:t>
      </w:r>
      <w:r>
        <w:rPr>
          <w:rFonts w:eastAsia="Times New Roman"/>
          <w:color w:val="000000"/>
          <w:sz w:val="20"/>
          <w:szCs w:val="20"/>
        </w:rPr>
        <w:t>ctober 1, 2023, the Company may redeem up to a maximum of 40% of the original aggregate principal amount of either the 5.000%</w:t>
      </w:r>
      <w:r>
        <w:rPr>
          <w:rFonts w:eastAsia="Times New Roman"/>
          <w:color w:val="000000"/>
          <w:sz w:val="20"/>
          <w:szCs w:val="20"/>
          <w:shd w:val="clear" w:color="auto" w:fill="FFFFFF"/>
        </w:rPr>
        <w:t xml:space="preserve"> or </w:t>
      </w:r>
      <w:r>
        <w:rPr>
          <w:rFonts w:eastAsia="Times New Roman"/>
          <w:color w:val="000000"/>
          <w:sz w:val="20"/>
          <w:szCs w:val="20"/>
        </w:rPr>
        <w:t>5.250% Notes with the proceeds of one or more equity offerings, at a redemption price equal to 105.000%, with respect to the 5.</w:t>
      </w:r>
      <w:r>
        <w:rPr>
          <w:rFonts w:eastAsia="Times New Roman"/>
          <w:color w:val="000000"/>
          <w:sz w:val="20"/>
          <w:szCs w:val="20"/>
        </w:rPr>
        <w:t>000% Notes, and 105.250%, with respect to the 5.250% Notes, of the principal amount thereof, plus accrued and unpaid interest thereon, if any, to, but not including, the redemption date (subject to the right of holders of record on the relevant record date</w:t>
      </w:r>
      <w:r>
        <w:rPr>
          <w:rFonts w:eastAsia="Times New Roman"/>
          <w:color w:val="000000"/>
          <w:sz w:val="20"/>
          <w:szCs w:val="20"/>
        </w:rPr>
        <w:t xml:space="preserve"> to receive interest due on the relevant interest payment date); provided that: (i) at least 55% of the original aggregate principal amount of the 5.000%</w:t>
      </w:r>
      <w:r>
        <w:rPr>
          <w:rFonts w:eastAsia="Times New Roman"/>
          <w:color w:val="000000"/>
          <w:sz w:val="20"/>
          <w:szCs w:val="20"/>
          <w:shd w:val="clear" w:color="auto" w:fill="FFFFFF"/>
        </w:rPr>
        <w:t xml:space="preserve"> or </w:t>
      </w:r>
      <w:r>
        <w:rPr>
          <w:rFonts w:eastAsia="Times New Roman"/>
          <w:color w:val="000000"/>
          <w:sz w:val="20"/>
          <w:szCs w:val="20"/>
        </w:rPr>
        <w:t>5.250% Notes remains outstanding; and (ii) such redemption occurs within 180 days of the completion</w:t>
      </w:r>
      <w:r>
        <w:rPr>
          <w:rFonts w:eastAsia="Times New Roman"/>
          <w:color w:val="000000"/>
          <w:sz w:val="20"/>
          <w:szCs w:val="20"/>
        </w:rPr>
        <w:t xml:space="preserve"> of such equity offering.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 xml:space="preserve">Prior to October 1, 2023, with respect to the </w:t>
      </w:r>
      <w:r>
        <w:rPr>
          <w:rFonts w:eastAsia="Times New Roman"/>
          <w:color w:val="000000"/>
          <w:sz w:val="20"/>
          <w:szCs w:val="20"/>
        </w:rPr>
        <w:t>5.000%</w:t>
      </w:r>
      <w:r>
        <w:rPr>
          <w:rFonts w:eastAsia="Times New Roman"/>
          <w:color w:val="000000"/>
          <w:sz w:val="20"/>
          <w:szCs w:val="20"/>
          <w:shd w:val="clear" w:color="auto" w:fill="FFFFFF"/>
        </w:rPr>
        <w:t xml:space="preserve"> Notes, or October 1, 2025, with respect to the </w:t>
      </w:r>
      <w:r>
        <w:rPr>
          <w:rFonts w:eastAsia="Times New Roman"/>
          <w:color w:val="000000"/>
          <w:sz w:val="20"/>
          <w:szCs w:val="20"/>
        </w:rPr>
        <w:t>5.250%</w:t>
      </w:r>
      <w:r>
        <w:rPr>
          <w:rFonts w:eastAsia="Times New Roman"/>
          <w:color w:val="000000"/>
          <w:sz w:val="20"/>
          <w:szCs w:val="20"/>
          <w:shd w:val="clear" w:color="auto" w:fill="FFFFFF"/>
        </w:rPr>
        <w:t xml:space="preserve"> Notes, the Company may redeem some or all of such series of Notes by paying a redemption price equal to 100% of the princ</w:t>
      </w:r>
      <w:r>
        <w:rPr>
          <w:rFonts w:eastAsia="Times New Roman"/>
          <w:color w:val="000000"/>
          <w:sz w:val="20"/>
          <w:szCs w:val="20"/>
          <w:shd w:val="clear" w:color="auto" w:fill="FFFFFF"/>
        </w:rPr>
        <w:t>ipal amount of the Notes to be redeemed plus the Applicable Premium, as defined in the Indenture, as of, and accrued and unpaid interest to, but excluding, the redemption date (subject to the right of holders of record of the Notes on the relevant record d</w:t>
      </w:r>
      <w:r>
        <w:rPr>
          <w:rFonts w:eastAsia="Times New Roman"/>
          <w:color w:val="000000"/>
          <w:sz w:val="20"/>
          <w:szCs w:val="20"/>
          <w:shd w:val="clear" w:color="auto" w:fill="FFFFFF"/>
        </w:rPr>
        <w:t>ate to receive interest due on the relevant interest payment date).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 xml:space="preserve">The Company has the option to redeem the </w:t>
      </w:r>
      <w:r>
        <w:rPr>
          <w:rFonts w:eastAsia="Times New Roman"/>
          <w:color w:val="000000"/>
          <w:sz w:val="20"/>
          <w:szCs w:val="20"/>
        </w:rPr>
        <w:t>5.000%</w:t>
      </w:r>
      <w:r>
        <w:rPr>
          <w:rFonts w:eastAsia="Times New Roman"/>
          <w:color w:val="000000"/>
          <w:sz w:val="20"/>
          <w:szCs w:val="20"/>
          <w:shd w:val="clear" w:color="auto" w:fill="FFFFFF"/>
        </w:rPr>
        <w:t xml:space="preserve"> Notes, in whole or in part, at any time on or after October 1, 2023, at a redemption price of 102.500%, 101.250%, and 100% during the 12-m</w:t>
      </w:r>
      <w:r>
        <w:rPr>
          <w:rFonts w:eastAsia="Times New Roman"/>
          <w:color w:val="000000"/>
          <w:sz w:val="20"/>
          <w:szCs w:val="20"/>
          <w:shd w:val="clear" w:color="auto" w:fill="FFFFFF"/>
        </w:rPr>
        <w:t xml:space="preserve">onth periods commencing on October 1, 2023, 2024 and 2025 and thereafter, respectively, plus accrued and unpaid interest to the redemption date. The Company has the option to redeem the </w:t>
      </w:r>
      <w:r>
        <w:rPr>
          <w:rFonts w:eastAsia="Times New Roman"/>
          <w:color w:val="000000"/>
          <w:sz w:val="20"/>
          <w:szCs w:val="20"/>
        </w:rPr>
        <w:t>5.250%</w:t>
      </w:r>
      <w:r>
        <w:rPr>
          <w:rFonts w:eastAsia="Times New Roman"/>
          <w:color w:val="000000"/>
          <w:sz w:val="20"/>
          <w:szCs w:val="20"/>
          <w:shd w:val="clear" w:color="auto" w:fill="FFFFFF"/>
        </w:rPr>
        <w:t xml:space="preserve"> Notes, in whole or in part, at any time on or after October 1, </w:t>
      </w:r>
      <w:r>
        <w:rPr>
          <w:rFonts w:eastAsia="Times New Roman"/>
          <w:color w:val="000000"/>
          <w:sz w:val="20"/>
          <w:szCs w:val="20"/>
          <w:shd w:val="clear" w:color="auto" w:fill="FFFFFF"/>
        </w:rPr>
        <w:t xml:space="preserve">2025, at a redemption price of 102.625%, 101.750%, 100.875%, and 100% during the 12-month periods commencing on October 1, 2025, 2026, 2027 and 2028 and thereafter, respectively, plus accrued and unpaid interest to the redemption date.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senior unsecured notes are guaranteed by certain of the Company's domestic material subsidiaries (including the Guarantor Subsidiary and the Cardtronics Guarantors that joined as guarantors on October 14, 2021), which have guaranteed fully and uncondit</w:t>
      </w:r>
      <w:r>
        <w:rPr>
          <w:rFonts w:eastAsia="Times New Roman"/>
          <w:color w:val="000000"/>
          <w:sz w:val="20"/>
          <w:szCs w:val="20"/>
        </w:rPr>
        <w:t xml:space="preserve">ionally the obligations to pay principal and interest for these senior unsecured notes. </w:t>
      </w:r>
      <w:r>
        <w:rPr>
          <w:rFonts w:eastAsia="Times New Roman"/>
          <w:color w:val="000000"/>
          <w:sz w:val="20"/>
          <w:szCs w:val="20"/>
          <w:shd w:val="clear" w:color="auto" w:fill="FFFFFF"/>
        </w:rPr>
        <w:t>The terms of the indentures for these notes limit the ability of the Company and certain of its subsidiaries to, among other things, incur additional debt or issue rede</w:t>
      </w:r>
      <w:r>
        <w:rPr>
          <w:rFonts w:eastAsia="Times New Roman"/>
          <w:color w:val="000000"/>
          <w:sz w:val="20"/>
          <w:szCs w:val="20"/>
          <w:shd w:val="clear" w:color="auto" w:fill="FFFFFF"/>
        </w:rPr>
        <w:t>emable preferred stock; pay dividends or make certain other restricted payments or investments; incur liens; sell assets; incur restrictions on the ability of the Company's subsidiaries to pay dividends to the Company; enter into affiliate transactions; en</w:t>
      </w:r>
      <w:r>
        <w:rPr>
          <w:rFonts w:eastAsia="Times New Roman"/>
          <w:color w:val="000000"/>
          <w:sz w:val="20"/>
          <w:szCs w:val="20"/>
          <w:shd w:val="clear" w:color="auto" w:fill="FFFFFF"/>
        </w:rPr>
        <w:t>gage in sa</w:t>
      </w:r>
      <w:r>
        <w:rPr>
          <w:rFonts w:eastAsia="Times New Roman"/>
          <w:color w:val="000000"/>
          <w:sz w:val="20"/>
          <w:szCs w:val="20"/>
        </w:rPr>
        <w:t xml:space="preserve">le and leaseback transactions; and consolidate, merge, sell or otherwise dispose of all or substantially all of the Company's or such subsidiaries' assets. These covenants are subject to significant exceptions and qualifications. For example, if </w:t>
      </w:r>
      <w:r>
        <w:rPr>
          <w:rFonts w:eastAsia="Times New Roman"/>
          <w:color w:val="000000"/>
          <w:sz w:val="20"/>
          <w:szCs w:val="20"/>
        </w:rPr>
        <w:t xml:space="preserve">these notes are assigned an “investment grade” rating by Moody's or S&amp;P and no default has occurred or is continuing, certain covenants will be terminated.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 xml:space="preserve">On April 6, 2021, the Company issued </w:t>
      </w:r>
      <w:r>
        <w:rPr>
          <w:rFonts w:eastAsia="Times New Roman"/>
          <w:color w:val="000000"/>
          <w:sz w:val="20"/>
          <w:szCs w:val="20"/>
        </w:rPr>
        <w:t>$1.2 billion</w:t>
      </w:r>
      <w:r>
        <w:rPr>
          <w:rFonts w:eastAsia="Times New Roman"/>
          <w:color w:val="000000"/>
          <w:sz w:val="20"/>
          <w:szCs w:val="20"/>
          <w:shd w:val="clear" w:color="auto" w:fill="FFFFFF"/>
        </w:rPr>
        <w:t xml:space="preserve"> aggregate principal amount of </w:t>
      </w:r>
      <w:r>
        <w:rPr>
          <w:rFonts w:eastAsia="Times New Roman"/>
          <w:color w:val="000000"/>
          <w:sz w:val="20"/>
          <w:szCs w:val="20"/>
        </w:rPr>
        <w:t>5.125%</w:t>
      </w:r>
      <w:r>
        <w:rPr>
          <w:rFonts w:eastAsia="Times New Roman"/>
          <w:color w:val="000000"/>
          <w:sz w:val="20"/>
          <w:szCs w:val="20"/>
          <w:shd w:val="clear" w:color="auto" w:fill="FFFFFF"/>
        </w:rPr>
        <w:t xml:space="preserve"> senior not</w:t>
      </w:r>
      <w:r>
        <w:rPr>
          <w:rFonts w:eastAsia="Times New Roman"/>
          <w:color w:val="000000"/>
          <w:sz w:val="20"/>
          <w:szCs w:val="20"/>
          <w:shd w:val="clear" w:color="auto" w:fill="FFFFFF"/>
        </w:rPr>
        <w:t>es due 2029 (the “</w:t>
      </w:r>
      <w:r>
        <w:rPr>
          <w:rFonts w:eastAsia="Times New Roman"/>
          <w:color w:val="000000"/>
          <w:sz w:val="20"/>
          <w:szCs w:val="20"/>
        </w:rPr>
        <w:t>5.125%</w:t>
      </w:r>
      <w:r>
        <w:rPr>
          <w:rFonts w:eastAsia="Times New Roman"/>
          <w:color w:val="000000"/>
          <w:sz w:val="20"/>
          <w:szCs w:val="20"/>
          <w:shd w:val="clear" w:color="auto" w:fill="FFFFFF"/>
        </w:rPr>
        <w:t xml:space="preserve"> Notes”). </w:t>
      </w:r>
      <w:r>
        <w:rPr>
          <w:rFonts w:eastAsia="Times New Roman"/>
          <w:color w:val="000000"/>
          <w:sz w:val="20"/>
          <w:szCs w:val="20"/>
        </w:rPr>
        <w:t>The Company used the net proceeds from the issuance of the 5.125% Notes, together with the borrowing under its senior secured credit facilities to finance the consideration paid in connection with the Cardtronics Transacti</w:t>
      </w:r>
      <w:r>
        <w:rPr>
          <w:rFonts w:eastAsia="Times New Roman"/>
          <w:color w:val="000000"/>
          <w:sz w:val="20"/>
          <w:szCs w:val="20"/>
        </w:rPr>
        <w:t>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5.125% Notes are senior unsecured obligations of the Company and guaranteed by the Guarantors.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Interest is payable on the 5.125% Notes semi-annually in arrears at annual rates of 5.125</w:t>
      </w:r>
      <w:r>
        <w:rPr>
          <w:rFonts w:eastAsia="Times New Roman"/>
          <w:color w:val="000000"/>
          <w:sz w:val="20"/>
          <w:szCs w:val="20"/>
        </w:rPr>
        <w:t>% on April 15 and October 15 of each year, beginning on October 15, 2021. The 5.125% Notes will mature on April 15, 2029.</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At any time and from time to time, prior to April 15, 2024, the Company may redeem up to a maximum of 40% of the original aggregate </w:t>
      </w:r>
      <w:r>
        <w:rPr>
          <w:rFonts w:eastAsia="Times New Roman"/>
          <w:color w:val="000000"/>
          <w:sz w:val="20"/>
          <w:szCs w:val="20"/>
        </w:rPr>
        <w:t>principal amount of the 5.125% Notes with the proceeds of one or more equity offerings, at a redemption price equal to 105.125% of the principal amount thereof, plus accrued and unpaid interest thereon, if any, to, but not including, the redemption date (s</w:t>
      </w:r>
      <w:r>
        <w:rPr>
          <w:rFonts w:eastAsia="Times New Roman"/>
          <w:color w:val="000000"/>
          <w:sz w:val="20"/>
          <w:szCs w:val="20"/>
        </w:rPr>
        <w:t>ubject to the right of holders of record on the relevant record date to receive interest due on the relevant interest payment date); provided that: (i) at least 55% of the original aggregate principal amount of the applicable 5.125% Notes remains outstandi</w:t>
      </w:r>
      <w:r>
        <w:rPr>
          <w:rFonts w:eastAsia="Times New Roman"/>
          <w:color w:val="000000"/>
          <w:sz w:val="20"/>
          <w:szCs w:val="20"/>
        </w:rPr>
        <w:t>ng; and (ii) such redemption occurs within 180 days of the completion of such equity offering.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Prior to April 15, 2024, the Company may redeem some or all of the 5.125% Notes by paying a redemption price equal to 100% of the principal amount of the Notes</w:t>
      </w:r>
      <w:r>
        <w:rPr>
          <w:rFonts w:eastAsia="Times New Roman"/>
          <w:color w:val="000000"/>
          <w:sz w:val="20"/>
          <w:szCs w:val="20"/>
        </w:rPr>
        <w:t xml:space="preserve"> to be redeemed plus the applicable premium, as defined in the applicable indenture, as of, and accrued and unpaid interest to, but excluding, the applicable redemption date (subject to the right of holders of record of the applicable 5.125% Notes on the r</w:t>
      </w:r>
      <w:r>
        <w:rPr>
          <w:rFonts w:eastAsia="Times New Roman"/>
          <w:color w:val="000000"/>
          <w:sz w:val="20"/>
          <w:szCs w:val="20"/>
        </w:rPr>
        <w:t>elevant record date to receive interest due on the relevant interest payment date).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On or after April 15 of the relevant year listed below, the Company may redeem some or all of the 5.125% Notes at the prices listed below, plus accrued and unpaid interes</w:t>
      </w:r>
      <w:r>
        <w:rPr>
          <w:rFonts w:eastAsia="Times New Roman"/>
          <w:color w:val="000000"/>
          <w:sz w:val="20"/>
          <w:szCs w:val="20"/>
        </w:rPr>
        <w:t xml:space="preserve">t, if any, to, but not including, the redemption date (subject to the right of holders of record on the relevant record date to receive interest due on the relevant interest payment date): 2024 at a redemption price of 102.563%, 2025 at a redemption price </w:t>
      </w:r>
      <w:r>
        <w:rPr>
          <w:rFonts w:eastAsia="Times New Roman"/>
          <w:color w:val="000000"/>
          <w:sz w:val="20"/>
          <w:szCs w:val="20"/>
        </w:rPr>
        <w:t>of 101.281% and 2026 and thereafter at a redemption price of 100%.</w:t>
      </w:r>
    </w:p>
    <w:p w:rsidR="00000000" w:rsidRDefault="0040289C">
      <w:pPr>
        <w:jc w:val="center"/>
        <w:divId w:val="403262152"/>
        <w:rPr>
          <w:rFonts w:eastAsia="Times New Roman"/>
        </w:rPr>
      </w:pPr>
      <w:r>
        <w:rPr>
          <w:rFonts w:eastAsia="Times New Roman"/>
          <w:color w:val="000000"/>
          <w:sz w:val="20"/>
          <w:szCs w:val="20"/>
        </w:rPr>
        <w:t>88</w:t>
      </w:r>
    </w:p>
    <w:p w:rsidR="00000000" w:rsidRDefault="0040289C">
      <w:pPr>
        <w:rPr>
          <w:rFonts w:eastAsia="Times New Roman"/>
        </w:rPr>
      </w:pPr>
      <w:r>
        <w:rPr>
          <w:rFonts w:eastAsia="Times New Roman"/>
        </w:rPr>
        <w:pict>
          <v:rect id="_x0000_i1118" style="width:0;height:1.5pt" o:hralign="center" o:hrstd="t" o:hr="t" fillcolor="#a0a0a0" stroked="f"/>
        </w:pict>
      </w:r>
    </w:p>
    <w:p w:rsidR="00000000" w:rsidRDefault="0040289C">
      <w:pPr>
        <w:divId w:val="87261940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511794702"/>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5.125% Notes contains customary events of default, including, amo</w:t>
      </w:r>
      <w:r>
        <w:rPr>
          <w:rFonts w:eastAsia="Times New Roman"/>
          <w:color w:val="000000"/>
          <w:sz w:val="20"/>
          <w:szCs w:val="20"/>
        </w:rPr>
        <w:t>ng other things, payment default, exchange default, failure to provide certain notices thereunder and certain provisions related to bankruptcy events. The indenture also contains customary high yield affirmative and negative covenants, including negative c</w:t>
      </w:r>
      <w:r>
        <w:rPr>
          <w:rFonts w:eastAsia="Times New Roman"/>
          <w:color w:val="000000"/>
          <w:sz w:val="20"/>
          <w:szCs w:val="20"/>
        </w:rPr>
        <w:t>ovenants that, among other things, limit the Company and its restricted subsidiaries’ ability to incur additional indebtedness, create liens on, sell or otherwise dispose of assets, engage in certain fundamental corporate changes or changes to lines of bus</w:t>
      </w:r>
      <w:r>
        <w:rPr>
          <w:rFonts w:eastAsia="Times New Roman"/>
          <w:color w:val="000000"/>
          <w:sz w:val="20"/>
          <w:szCs w:val="20"/>
        </w:rPr>
        <w:t>iness activities, make certain investments or material acquisitions, engage in sale-leaseback or hedging transactions, repurchase common stock, pay dividends or make similar distributions on capital stock, repay certain indebtedness, engage in certain affi</w:t>
      </w:r>
      <w:r>
        <w:rPr>
          <w:rFonts w:eastAsia="Times New Roman"/>
          <w:color w:val="000000"/>
          <w:sz w:val="20"/>
          <w:szCs w:val="20"/>
        </w:rPr>
        <w:t>liate transactions and enter into agreements that restrict their ability to create liens, pay dividends or make loan repayments.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On August 12, 2021 (the “Redemption Date”), the $400 million 8.125% Notes were redeemed, at a redemption premium of 109.136% </w:t>
      </w:r>
      <w:r>
        <w:rPr>
          <w:rFonts w:eastAsia="Times New Roman"/>
          <w:color w:val="000000"/>
          <w:sz w:val="20"/>
          <w:szCs w:val="20"/>
        </w:rPr>
        <w:t>of the aggregate principal amount. As part of the debt extinguishment, we recognized a loss of $42 million, which includes the write-off of deferred financing fees of $5 million and a cash redemption premium of $37 million.</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Other Debt:</w:t>
      </w:r>
      <w:r>
        <w:rPr>
          <w:rFonts w:eastAsia="Times New Roman"/>
          <w:color w:val="000000"/>
          <w:sz w:val="20"/>
          <w:szCs w:val="20"/>
        </w:rPr>
        <w:t xml:space="preserve"> In December 2022, </w:t>
      </w:r>
      <w:r>
        <w:rPr>
          <w:rFonts w:eastAsia="Times New Roman"/>
          <w:color w:val="000000"/>
          <w:sz w:val="20"/>
          <w:szCs w:val="20"/>
        </w:rPr>
        <w:t xml:space="preserve">the Company entered into a borrowing agreement with Banc of America Leasing &amp; Capital, LLC to direct funds to NCR in exchange for installment repayments and for security interest in ATM equipment in corresponding ATM-as-a-Service ("ATMaaS") contracts. The </w:t>
      </w:r>
      <w:r>
        <w:rPr>
          <w:rFonts w:eastAsia="Times New Roman"/>
          <w:color w:val="000000"/>
          <w:sz w:val="20"/>
          <w:szCs w:val="20"/>
        </w:rPr>
        <w:t>total amount available under the financing program is $20 million with repayment terms up to four years. As of December 31, 2022, total debt outstanding under the financing program was $12 million with a weighted average interest rate of 7.21% and a weight</w:t>
      </w:r>
      <w:r>
        <w:rPr>
          <w:rFonts w:eastAsia="Times New Roman"/>
          <w:color w:val="000000"/>
          <w:sz w:val="20"/>
          <w:szCs w:val="20"/>
        </w:rPr>
        <w:t>ed average term of 3.7 years.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Debt Maturities </w:t>
      </w:r>
      <w:r>
        <w:rPr>
          <w:rFonts w:eastAsia="Times New Roman"/>
          <w:color w:val="000000"/>
          <w:sz w:val="20"/>
          <w:szCs w:val="20"/>
        </w:rPr>
        <w:t xml:space="preserve">Maturities of debt outstanding, in principal amounts, at December 31, 2022 are summarized below: </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2264"/>
        <w:gridCol w:w="36"/>
        <w:gridCol w:w="36"/>
        <w:gridCol w:w="36"/>
        <w:gridCol w:w="36"/>
        <w:gridCol w:w="120"/>
        <w:gridCol w:w="644"/>
        <w:gridCol w:w="36"/>
        <w:gridCol w:w="36"/>
        <w:gridCol w:w="36"/>
        <w:gridCol w:w="36"/>
        <w:gridCol w:w="120"/>
        <w:gridCol w:w="560"/>
        <w:gridCol w:w="36"/>
        <w:gridCol w:w="36"/>
        <w:gridCol w:w="36"/>
        <w:gridCol w:w="36"/>
        <w:gridCol w:w="120"/>
        <w:gridCol w:w="535"/>
        <w:gridCol w:w="36"/>
        <w:gridCol w:w="36"/>
        <w:gridCol w:w="36"/>
        <w:gridCol w:w="36"/>
        <w:gridCol w:w="120"/>
        <w:gridCol w:w="536"/>
        <w:gridCol w:w="36"/>
        <w:gridCol w:w="36"/>
        <w:gridCol w:w="36"/>
        <w:gridCol w:w="36"/>
        <w:gridCol w:w="120"/>
        <w:gridCol w:w="537"/>
        <w:gridCol w:w="36"/>
        <w:gridCol w:w="36"/>
        <w:gridCol w:w="36"/>
        <w:gridCol w:w="36"/>
        <w:gridCol w:w="120"/>
        <w:gridCol w:w="537"/>
        <w:gridCol w:w="36"/>
        <w:gridCol w:w="36"/>
        <w:gridCol w:w="36"/>
        <w:gridCol w:w="36"/>
        <w:gridCol w:w="121"/>
        <w:gridCol w:w="745"/>
        <w:gridCol w:w="36"/>
      </w:tblGrid>
      <w:tr w:rsidR="00000000">
        <w:trPr>
          <w:divId w:val="307979925"/>
          <w:jc w:val="center"/>
        </w:trPr>
        <w:tc>
          <w:tcPr>
            <w:tcW w:w="50" w:type="pct"/>
            <w:vAlign w:val="center"/>
            <w:hideMark/>
          </w:tcPr>
          <w:p w:rsidR="00000000" w:rsidRDefault="0040289C">
            <w:pPr>
              <w:jc w:val="both"/>
              <w:rPr>
                <w:rFonts w:eastAsia="Times New Roman"/>
              </w:rPr>
            </w:pPr>
          </w:p>
        </w:tc>
        <w:tc>
          <w:tcPr>
            <w:tcW w:w="140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9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307979925"/>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years ended December 31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307979925"/>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2027</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Thereafter</w:t>
            </w:r>
          </w:p>
        </w:tc>
      </w:tr>
      <w:tr w:rsidR="0040289C">
        <w:trPr>
          <w:divId w:val="30797992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Debt maturities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5,714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Fair Valu</w:t>
      </w:r>
      <w:r>
        <w:rPr>
          <w:rFonts w:eastAsia="Times New Roman"/>
          <w:i/>
          <w:iCs/>
          <w:color w:val="000000"/>
          <w:sz w:val="20"/>
          <w:szCs w:val="20"/>
        </w:rPr>
        <w:t>e of Debt</w:t>
      </w:r>
      <w:r>
        <w:rPr>
          <w:rFonts w:eastAsia="Times New Roman"/>
          <w:color w:val="000000"/>
          <w:sz w:val="20"/>
          <w:szCs w:val="20"/>
        </w:rPr>
        <w:t xml:space="preserve"> The Company utilized Level 2 inputs, as defined in the fair value hierarchy, to measure the fair value of the long-term debt, which, as of December 31, 2022 and 2021 was $5.25 billion and $5.74 billion, respectively. Management's fair value estim</w:t>
      </w:r>
      <w:r>
        <w:rPr>
          <w:rFonts w:eastAsia="Times New Roman"/>
          <w:color w:val="000000"/>
          <w:sz w:val="20"/>
          <w:szCs w:val="20"/>
        </w:rPr>
        <w:t>ates were based on quoted prices for recent trades of NCR’s long-term debt, quoted prices for similar instruments, and inquiries with certain investment communities.</w:t>
      </w:r>
    </w:p>
    <w:p w:rsidR="00000000" w:rsidRDefault="0040289C">
      <w:pPr>
        <w:divId w:val="387723304"/>
        <w:rPr>
          <w:rFonts w:eastAsia="Times New Roman"/>
        </w:rPr>
      </w:pPr>
    </w:p>
    <w:p w:rsidR="00000000" w:rsidRDefault="0040289C">
      <w:pPr>
        <w:divId w:val="144049083"/>
        <w:rPr>
          <w:rFonts w:eastAsia="Times New Roman"/>
        </w:rPr>
      </w:pPr>
      <w:r>
        <w:rPr>
          <w:rFonts w:eastAsia="Times New Roman"/>
          <w:b/>
          <w:bCs/>
          <w:color w:val="7ACE05"/>
          <w:sz w:val="20"/>
          <w:szCs w:val="20"/>
        </w:rPr>
        <w:t>6. TRADE RECEIVABLES FACILITY</w:t>
      </w:r>
    </w:p>
    <w:p w:rsidR="00000000" w:rsidRDefault="0040289C">
      <w:pPr>
        <w:divId w:val="352539636"/>
        <w:rPr>
          <w:rFonts w:eastAsia="Times New Roman"/>
        </w:rPr>
      </w:pPr>
    </w:p>
    <w:p w:rsidR="00000000" w:rsidRDefault="0040289C">
      <w:pPr>
        <w:jc w:val="both"/>
        <w:rPr>
          <w:rFonts w:eastAsia="Times New Roman"/>
        </w:rPr>
      </w:pPr>
      <w:r>
        <w:rPr>
          <w:rFonts w:eastAsia="Times New Roman"/>
          <w:color w:val="000000"/>
          <w:sz w:val="20"/>
          <w:szCs w:val="20"/>
        </w:rPr>
        <w:t xml:space="preserve">The Company maintains a trade receivables facility (the </w:t>
      </w:r>
      <w:r>
        <w:rPr>
          <w:rFonts w:eastAsia="Times New Roman"/>
          <w:color w:val="000000"/>
          <w:sz w:val="20"/>
          <w:szCs w:val="20"/>
        </w:rPr>
        <w:t>“T/R Facility”) with PNC Bank, National Association (“PNC”), which allows the Company's wholly-owned, bankruptcy remote subsidiary, NCR Receivables LLC (the “U.S. SPE”), to sell certain trade receivables on a revolving basis to PNC and the other unaffiliat</w:t>
      </w:r>
      <w:r>
        <w:rPr>
          <w:rFonts w:eastAsia="Times New Roman"/>
          <w:color w:val="000000"/>
          <w:sz w:val="20"/>
          <w:szCs w:val="20"/>
        </w:rPr>
        <w:t>ed purchasers participating in the T/R Facility. The T/R Facility, as amended, became effective September 30, 2021 and has a term of two years, which the Company and the U.S. SPE intend to renew.</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Under the T/R Facility, the Company and certain United Sta</w:t>
      </w:r>
      <w:r>
        <w:rPr>
          <w:rFonts w:eastAsia="Times New Roman"/>
          <w:color w:val="000000"/>
          <w:sz w:val="20"/>
          <w:szCs w:val="20"/>
        </w:rPr>
        <w:t>tes and Canadian operating subsidiaries of the Company continuously sell their trade receivables as they are originated to the U.S. SPE and a Canadian bankruptcy-remote special purpose entity (collectively, the “SPEs”), as applicable. None of the assets or</w:t>
      </w:r>
      <w:r>
        <w:rPr>
          <w:rFonts w:eastAsia="Times New Roman"/>
          <w:color w:val="000000"/>
          <w:sz w:val="20"/>
          <w:szCs w:val="20"/>
        </w:rPr>
        <w:t xml:space="preserve"> credit of either SPE is available to satisfy the debts and obligations owed to the creditors of the Company or any other person until the obligations of the SPEs under the T/R Facility have been satisfied. The Company controls and therefore consolidates t</w:t>
      </w:r>
      <w:r>
        <w:rPr>
          <w:rFonts w:eastAsia="Times New Roman"/>
          <w:color w:val="000000"/>
          <w:sz w:val="20"/>
          <w:szCs w:val="20"/>
        </w:rPr>
        <w:t xml:space="preserve">he SPEs in its consolidated financial statements.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cash is collected on the trade receivables, the U.S. SPE has the ability to continuously transfer ownership and control of new qualifying receivables to PNC and the other unaffiliated purchasers such that the total outstanding balance of trade receivabl</w:t>
      </w:r>
      <w:r>
        <w:rPr>
          <w:rFonts w:eastAsia="Times New Roman"/>
          <w:color w:val="000000"/>
          <w:sz w:val="20"/>
          <w:szCs w:val="20"/>
        </w:rPr>
        <w:t>es sold can be up to $300 million at any point in time, which is the maximum purchase commitment of PNC and the other unaffiliated purchasers. The future outstanding balance of trade receivables that are sold is expected to vary based on the level of activ</w:t>
      </w:r>
      <w:r>
        <w:rPr>
          <w:rFonts w:eastAsia="Times New Roman"/>
          <w:color w:val="000000"/>
          <w:sz w:val="20"/>
          <w:szCs w:val="20"/>
        </w:rPr>
        <w:t>ity and other factors and could be less than the maximum purchase commitment of $300 million. The total outstanding balance of trade receivables that have been sold and derecognized by the U.S. SPE to PNC and the other unaffiliated purchasers is approximat</w:t>
      </w:r>
      <w:r>
        <w:rPr>
          <w:rFonts w:eastAsia="Times New Roman"/>
          <w:color w:val="000000"/>
          <w:sz w:val="20"/>
          <w:szCs w:val="20"/>
        </w:rPr>
        <w:t>ely $300 million as of December 31, 2022 and December 31, 2021. Excluding the trade receivables sold to PNC and other unaffiliated purchasers, the SPEs collectively owned $321 million and $228 million of trade receivable as of December 31, 2022 and Decembe</w:t>
      </w:r>
      <w:r>
        <w:rPr>
          <w:rFonts w:eastAsia="Times New Roman"/>
          <w:color w:val="000000"/>
          <w:sz w:val="20"/>
          <w:szCs w:val="20"/>
        </w:rPr>
        <w:t>r 31, 2021, respectively, and these amounts are included in Accounts receivable, net in the Company’s Consolidated Balance Sheets.</w:t>
      </w:r>
    </w:p>
    <w:p w:rsidR="00000000" w:rsidRDefault="0040289C">
      <w:pPr>
        <w:jc w:val="both"/>
        <w:rPr>
          <w:rFonts w:eastAsia="Times New Roman"/>
        </w:rPr>
      </w:pPr>
    </w:p>
    <w:p w:rsidR="00000000" w:rsidRDefault="0040289C">
      <w:pPr>
        <w:jc w:val="center"/>
        <w:divId w:val="1495219545"/>
        <w:rPr>
          <w:rFonts w:eastAsia="Times New Roman"/>
        </w:rPr>
      </w:pPr>
      <w:r>
        <w:rPr>
          <w:rFonts w:eastAsia="Times New Roman"/>
          <w:color w:val="000000"/>
          <w:sz w:val="20"/>
          <w:szCs w:val="20"/>
        </w:rPr>
        <w:t>89</w:t>
      </w:r>
    </w:p>
    <w:p w:rsidR="00000000" w:rsidRDefault="0040289C">
      <w:pPr>
        <w:rPr>
          <w:rFonts w:eastAsia="Times New Roman"/>
        </w:rPr>
      </w:pPr>
      <w:r>
        <w:rPr>
          <w:rFonts w:eastAsia="Times New Roman"/>
        </w:rPr>
        <w:pict>
          <v:rect id="_x0000_i1119" style="width:0;height:1.5pt" o:hralign="center" o:hrstd="t" o:hr="t" fillcolor="#a0a0a0" stroked="f"/>
        </w:pict>
      </w:r>
    </w:p>
    <w:p w:rsidR="00000000" w:rsidRDefault="0040289C">
      <w:pPr>
        <w:divId w:val="52975663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787390083"/>
        <w:rPr>
          <w:rFonts w:eastAsia="Times New Roman"/>
        </w:rPr>
      </w:pPr>
    </w:p>
    <w:p w:rsidR="00000000" w:rsidRDefault="0040289C">
      <w:pPr>
        <w:jc w:val="both"/>
        <w:rPr>
          <w:rFonts w:eastAsia="Times New Roman"/>
        </w:rPr>
      </w:pPr>
      <w:r>
        <w:rPr>
          <w:rFonts w:eastAsia="Times New Roman"/>
          <w:color w:val="000000"/>
          <w:sz w:val="20"/>
          <w:szCs w:val="20"/>
        </w:rPr>
        <w:t>Upon the effectiveness of the T/R Facility, as amended, the Company received a benefit from cash from operations of approximately $300 million in the year ended December 31, 2021. Continuous cash activity related to the T/R Facility is reflected in Net cas</w:t>
      </w:r>
      <w:r>
        <w:rPr>
          <w:rFonts w:eastAsia="Times New Roman"/>
          <w:color w:val="000000"/>
          <w:sz w:val="20"/>
          <w:szCs w:val="20"/>
        </w:rPr>
        <w:t xml:space="preserve">h provided by operating activities in the Consolidated Statements of Cash Flows. The U.S. SPE incurs fees due and payable to PNC and the other unaffiliated purchasers participating in the T/R Facility. Those fees, which are immaterial, are recorded within </w:t>
      </w:r>
      <w:r>
        <w:rPr>
          <w:rFonts w:eastAsia="Times New Roman"/>
          <w:color w:val="000000"/>
          <w:sz w:val="20"/>
          <w:szCs w:val="20"/>
        </w:rPr>
        <w:t>Other income (expense), net in the Consolidated Statements of Operations. In addition, each of the SPEs has provided a full recourse guarantee in favor of PNC and the other unaffiliated purchasers of the full and timely payment of all trade receivables sol</w:t>
      </w:r>
      <w:r>
        <w:rPr>
          <w:rFonts w:eastAsia="Times New Roman"/>
          <w:color w:val="000000"/>
          <w:sz w:val="20"/>
          <w:szCs w:val="20"/>
        </w:rPr>
        <w:t>d to them by the U.S. SPE. The guarantee is collateralized by all the trade receivables owned by each of the SPEs that have not been sold to PNC or the other unaffiliated purchasers. The reserve recognized for this recourse obligation as of December 31, 20</w:t>
      </w:r>
      <w:r>
        <w:rPr>
          <w:rFonts w:eastAsia="Times New Roman"/>
          <w:color w:val="000000"/>
          <w:sz w:val="20"/>
          <w:szCs w:val="20"/>
        </w:rPr>
        <w:t xml:space="preserve">22 and 2021 is not material. </w:t>
      </w:r>
    </w:p>
    <w:p w:rsidR="00000000" w:rsidRDefault="0040289C">
      <w:pPr>
        <w:divId w:val="60370554"/>
        <w:rPr>
          <w:rFonts w:eastAsia="Times New Roman"/>
        </w:rPr>
      </w:pPr>
    </w:p>
    <w:p w:rsidR="00000000" w:rsidRDefault="0040289C">
      <w:pPr>
        <w:jc w:val="both"/>
        <w:rPr>
          <w:rFonts w:eastAsia="Times New Roman"/>
        </w:rPr>
      </w:pPr>
      <w:r>
        <w:rPr>
          <w:rFonts w:eastAsia="Times New Roman"/>
          <w:color w:val="000000"/>
          <w:sz w:val="20"/>
          <w:szCs w:val="20"/>
        </w:rPr>
        <w:t>The Company, or in the case of any Canadian trade receivables, NCR Canada Corp., continues to be involved with the trade receivables even after they are transferred to the SPEs (or further transferred to PNC and the other un</w:t>
      </w:r>
      <w:r>
        <w:rPr>
          <w:rFonts w:eastAsia="Times New Roman"/>
          <w:color w:val="000000"/>
          <w:sz w:val="20"/>
          <w:szCs w:val="20"/>
        </w:rPr>
        <w:t>affiliated purchasers) by acting as servicer. In addition to any obligations as servicer, the Company and each of its subsidiaries acting as an originator under the T/R Facility provide the SPEs with customary recourse in respect of (i) certain dilutive ev</w:t>
      </w:r>
      <w:r>
        <w:rPr>
          <w:rFonts w:eastAsia="Times New Roman"/>
          <w:color w:val="000000"/>
          <w:sz w:val="20"/>
          <w:szCs w:val="20"/>
        </w:rPr>
        <w:t>ents with respect to the trade receivables sold to the SPEs that are caused by the Company or another originator and (ii) in the event of certain violations by the Company or another originator of their representations and warranties with respect to the tr</w:t>
      </w:r>
      <w:r>
        <w:rPr>
          <w:rFonts w:eastAsia="Times New Roman"/>
          <w:color w:val="000000"/>
          <w:sz w:val="20"/>
          <w:szCs w:val="20"/>
        </w:rPr>
        <w:t>ade receivables sold to the SPEs. These servicing and originator liabilities of the Company and its subsidiaries (other than the SPEs) under the T/R Facility are not expected to be material, given the high quality of the customers underlying the receivable</w:t>
      </w:r>
      <w:r>
        <w:rPr>
          <w:rFonts w:eastAsia="Times New Roman"/>
          <w:color w:val="000000"/>
          <w:sz w:val="20"/>
          <w:szCs w:val="20"/>
        </w:rPr>
        <w:t>s and the anticipated short collection period.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T/R Facility includes other customary representations and warranties, affirmative and negative covenants and default and termination provisions, which provide for the acceleration of amounts owed to PNC </w:t>
      </w:r>
      <w:r>
        <w:rPr>
          <w:rFonts w:eastAsia="Times New Roman"/>
          <w:color w:val="000000"/>
          <w:sz w:val="20"/>
          <w:szCs w:val="20"/>
        </w:rPr>
        <w:t>and the other unaffiliated purchasers thereunder in circumstances including, but not limited to, failure to pay capital or yield on when due, breach of representation, warranty or covenant, certain insolvency events or failure to maintain the security inte</w:t>
      </w:r>
      <w:r>
        <w:rPr>
          <w:rFonts w:eastAsia="Times New Roman"/>
          <w:color w:val="000000"/>
          <w:sz w:val="20"/>
          <w:szCs w:val="20"/>
        </w:rPr>
        <w:t>rest in the trade receivables, and defaults under other material indebtedness.</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7ACE05"/>
          <w:sz w:val="20"/>
          <w:szCs w:val="20"/>
        </w:rPr>
        <w:t>7. INCOME TAXES</w:t>
      </w:r>
      <w:r>
        <w:rPr>
          <w:rFonts w:eastAsia="Times New Roman"/>
          <w:b/>
          <w:bCs/>
          <w:color w:val="000000"/>
          <w:sz w:val="20"/>
          <w:szCs w:val="20"/>
        </w:rPr>
        <w:t xml:space="preserv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For the years ended December 31, income (loss) from continuing operations before income taxes consisted of the following:</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556"/>
        <w:gridCol w:w="38"/>
        <w:gridCol w:w="36"/>
        <w:gridCol w:w="36"/>
        <w:gridCol w:w="36"/>
        <w:gridCol w:w="120"/>
        <w:gridCol w:w="948"/>
        <w:gridCol w:w="36"/>
        <w:gridCol w:w="36"/>
        <w:gridCol w:w="36"/>
        <w:gridCol w:w="36"/>
        <w:gridCol w:w="120"/>
        <w:gridCol w:w="948"/>
        <w:gridCol w:w="36"/>
        <w:gridCol w:w="36"/>
        <w:gridCol w:w="36"/>
        <w:gridCol w:w="36"/>
        <w:gridCol w:w="120"/>
        <w:gridCol w:w="948"/>
        <w:gridCol w:w="36"/>
      </w:tblGrid>
      <w:tr w:rsidR="00000000">
        <w:trPr>
          <w:divId w:val="1069421210"/>
          <w:jc w:val="center"/>
        </w:trPr>
        <w:tc>
          <w:tcPr>
            <w:tcW w:w="50" w:type="pct"/>
            <w:vAlign w:val="center"/>
            <w:hideMark/>
          </w:tcPr>
          <w:p w:rsidR="00000000" w:rsidRDefault="0040289C">
            <w:pPr>
              <w:jc w:val="both"/>
              <w:rPr>
                <w:rFonts w:eastAsia="Times New Roman"/>
              </w:rPr>
            </w:pPr>
          </w:p>
        </w:tc>
        <w:tc>
          <w:tcPr>
            <w:tcW w:w="278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069421210"/>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06942121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06942121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United States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(139)</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942121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942121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557399633"/>
        <w:rPr>
          <w:rFonts w:eastAsia="Times New Roman"/>
        </w:rPr>
      </w:pPr>
    </w:p>
    <w:p w:rsidR="00000000" w:rsidRDefault="0040289C">
      <w:pPr>
        <w:jc w:val="both"/>
        <w:rPr>
          <w:rFonts w:eastAsia="Times New Roman"/>
        </w:rPr>
      </w:pPr>
      <w:r>
        <w:rPr>
          <w:rFonts w:eastAsia="Times New Roman"/>
          <w:color w:val="000000"/>
          <w:sz w:val="20"/>
          <w:szCs w:val="20"/>
        </w:rPr>
        <w:t>For the years ended December 31, income tax expense (benefit) consisted of the following:</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4555"/>
        <w:gridCol w:w="39"/>
        <w:gridCol w:w="36"/>
        <w:gridCol w:w="36"/>
        <w:gridCol w:w="36"/>
        <w:gridCol w:w="120"/>
        <w:gridCol w:w="947"/>
        <w:gridCol w:w="36"/>
        <w:gridCol w:w="36"/>
        <w:gridCol w:w="36"/>
        <w:gridCol w:w="36"/>
        <w:gridCol w:w="120"/>
        <w:gridCol w:w="948"/>
        <w:gridCol w:w="36"/>
        <w:gridCol w:w="36"/>
        <w:gridCol w:w="36"/>
        <w:gridCol w:w="36"/>
        <w:gridCol w:w="120"/>
        <w:gridCol w:w="948"/>
        <w:gridCol w:w="36"/>
      </w:tblGrid>
      <w:tr w:rsidR="00000000">
        <w:trPr>
          <w:divId w:val="538010848"/>
          <w:jc w:val="center"/>
        </w:trPr>
        <w:tc>
          <w:tcPr>
            <w:tcW w:w="50" w:type="pct"/>
            <w:vAlign w:val="center"/>
            <w:hideMark/>
          </w:tcPr>
          <w:p w:rsidR="00000000" w:rsidRDefault="0040289C">
            <w:pPr>
              <w:jc w:val="both"/>
              <w:rPr>
                <w:rFonts w:eastAsia="Times New Roman"/>
              </w:rPr>
            </w:pPr>
          </w:p>
        </w:tc>
        <w:tc>
          <w:tcPr>
            <w:tcW w:w="278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538010848"/>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53801084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538010848"/>
          <w:jc w:val="center"/>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Current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538010848"/>
          <w:jc w:val="center"/>
        </w:trPr>
        <w:tc>
          <w:tcPr>
            <w:tcW w:w="0" w:type="auto"/>
            <w:gridSpan w:val="3"/>
            <w:shd w:val="clear" w:color="auto" w:fill="CCEEFF"/>
            <w:tcMar>
              <w:top w:w="30" w:type="dxa"/>
              <w:left w:w="51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38010848"/>
          <w:jc w:val="center"/>
        </w:trPr>
        <w:tc>
          <w:tcPr>
            <w:tcW w:w="0" w:type="auto"/>
            <w:gridSpan w:val="3"/>
            <w:shd w:val="clear" w:color="auto" w:fill="FFFFFF"/>
            <w:tcMar>
              <w:top w:w="30" w:type="dxa"/>
              <w:left w:w="51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State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38010848"/>
          <w:jc w:val="center"/>
        </w:trPr>
        <w:tc>
          <w:tcPr>
            <w:tcW w:w="0" w:type="auto"/>
            <w:gridSpan w:val="3"/>
            <w:shd w:val="clear" w:color="auto" w:fill="CCEEFF"/>
            <w:tcMar>
              <w:top w:w="30" w:type="dxa"/>
              <w:left w:w="51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38010848"/>
          <w:jc w:val="center"/>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Deferred</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538010848"/>
          <w:jc w:val="center"/>
        </w:trPr>
        <w:tc>
          <w:tcPr>
            <w:tcW w:w="0" w:type="auto"/>
            <w:gridSpan w:val="3"/>
            <w:shd w:val="clear" w:color="auto" w:fill="CCEEFF"/>
            <w:tcMar>
              <w:top w:w="30" w:type="dxa"/>
              <w:left w:w="51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38010848"/>
          <w:jc w:val="center"/>
        </w:trPr>
        <w:tc>
          <w:tcPr>
            <w:tcW w:w="0" w:type="auto"/>
            <w:gridSpan w:val="3"/>
            <w:shd w:val="clear" w:color="auto" w:fill="FFFFFF"/>
            <w:tcMar>
              <w:top w:w="30" w:type="dxa"/>
              <w:left w:w="51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State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38010848"/>
          <w:jc w:val="center"/>
        </w:trPr>
        <w:tc>
          <w:tcPr>
            <w:tcW w:w="0" w:type="auto"/>
            <w:gridSpan w:val="3"/>
            <w:shd w:val="clear" w:color="auto" w:fill="CCEEFF"/>
            <w:tcMar>
              <w:top w:w="30" w:type="dxa"/>
              <w:left w:w="51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53801084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income tax expense (benefit)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205265983"/>
        <w:rPr>
          <w:rFonts w:eastAsia="Times New Roman"/>
        </w:rPr>
      </w:pPr>
    </w:p>
    <w:p w:rsidR="00000000" w:rsidRDefault="0040289C">
      <w:pPr>
        <w:divId w:val="958685697"/>
        <w:rPr>
          <w:rFonts w:eastAsia="Times New Roman"/>
        </w:rPr>
      </w:pPr>
    </w:p>
    <w:p w:rsidR="00000000" w:rsidRDefault="0040289C">
      <w:pPr>
        <w:divId w:val="1927685563"/>
        <w:rPr>
          <w:rFonts w:eastAsia="Times New Roman"/>
        </w:rPr>
      </w:pPr>
    </w:p>
    <w:p w:rsidR="00000000" w:rsidRDefault="0040289C">
      <w:pPr>
        <w:jc w:val="center"/>
        <w:divId w:val="2097632452"/>
        <w:rPr>
          <w:rFonts w:eastAsia="Times New Roman"/>
        </w:rPr>
      </w:pPr>
      <w:r>
        <w:rPr>
          <w:rFonts w:eastAsia="Times New Roman"/>
          <w:color w:val="000000"/>
          <w:sz w:val="20"/>
          <w:szCs w:val="20"/>
        </w:rPr>
        <w:t>90</w:t>
      </w:r>
    </w:p>
    <w:p w:rsidR="00000000" w:rsidRDefault="0040289C">
      <w:pPr>
        <w:rPr>
          <w:rFonts w:eastAsia="Times New Roman"/>
        </w:rPr>
      </w:pPr>
      <w:r>
        <w:rPr>
          <w:rFonts w:eastAsia="Times New Roman"/>
        </w:rPr>
        <w:pict>
          <v:rect id="_x0000_i1120" style="width:0;height:1.5pt" o:hralign="center" o:hrstd="t" o:hr="t" fillcolor="#a0a0a0" stroked="f"/>
        </w:pict>
      </w:r>
    </w:p>
    <w:p w:rsidR="00000000" w:rsidRDefault="0040289C">
      <w:pPr>
        <w:divId w:val="200666138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430006127"/>
        <w:rPr>
          <w:rFonts w:eastAsia="Times New Roman"/>
        </w:rPr>
      </w:pPr>
    </w:p>
    <w:p w:rsidR="00000000" w:rsidRDefault="0040289C">
      <w:pPr>
        <w:divId w:val="358972260"/>
        <w:rPr>
          <w:rFonts w:eastAsia="Times New Roman"/>
        </w:rPr>
      </w:pPr>
      <w:r>
        <w:rPr>
          <w:rFonts w:eastAsia="Times New Roman"/>
          <w:color w:val="000000"/>
          <w:sz w:val="20"/>
          <w:szCs w:val="20"/>
        </w:rPr>
        <w:t xml:space="preserve">The following table presents the principal components of the difference between the effective tax rate and the U.S. federal statutory income </w:t>
      </w:r>
      <w:r>
        <w:rPr>
          <w:rFonts w:eastAsia="Times New Roman"/>
          <w:color w:val="000000"/>
          <w:sz w:val="20"/>
          <w:szCs w:val="20"/>
        </w:rPr>
        <w:t>tax rate for the years ended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4554"/>
        <w:gridCol w:w="40"/>
        <w:gridCol w:w="36"/>
        <w:gridCol w:w="36"/>
        <w:gridCol w:w="36"/>
        <w:gridCol w:w="120"/>
        <w:gridCol w:w="946"/>
        <w:gridCol w:w="36"/>
        <w:gridCol w:w="36"/>
        <w:gridCol w:w="36"/>
        <w:gridCol w:w="36"/>
        <w:gridCol w:w="120"/>
        <w:gridCol w:w="948"/>
        <w:gridCol w:w="36"/>
        <w:gridCol w:w="36"/>
        <w:gridCol w:w="36"/>
        <w:gridCol w:w="36"/>
        <w:gridCol w:w="120"/>
        <w:gridCol w:w="948"/>
        <w:gridCol w:w="36"/>
      </w:tblGrid>
      <w:tr w:rsidR="00000000">
        <w:trPr>
          <w:divId w:val="430052768"/>
          <w:jc w:val="center"/>
        </w:trPr>
        <w:tc>
          <w:tcPr>
            <w:tcW w:w="50" w:type="pct"/>
            <w:vAlign w:val="center"/>
            <w:hideMark/>
          </w:tcPr>
          <w:p w:rsidR="00000000" w:rsidRDefault="0040289C">
            <w:pPr>
              <w:rPr>
                <w:rFonts w:eastAsia="Times New Roman"/>
              </w:rPr>
            </w:pPr>
          </w:p>
        </w:tc>
        <w:tc>
          <w:tcPr>
            <w:tcW w:w="278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430052768"/>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Income tax (benefit) expense at the U.S. federal tax rate of 21%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 income tax differential</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Additional U.S. tax on foreign income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State and local income taxes (net of federal effect)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U.S. permanent book/tax differences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Meals and entertainment expense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Nondeductible transaction costs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Disallowed executive compensation</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Gains/losses on internal entity restructuring</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Excess benefit/deficit from share-based payments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Change in branch tax status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Research and development tax credits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 tax law changes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Valuation allowances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Change in liability for 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Change in tax estimates for prior periods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net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300527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income tax (benefit) expense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NCR's tax provisions include a provision for income taxes in certain tax jurisdictions where its subsidiaries are profita</w:t>
      </w:r>
      <w:r>
        <w:rPr>
          <w:rFonts w:eastAsia="Times New Roman"/>
          <w:color w:val="000000"/>
          <w:sz w:val="20"/>
          <w:szCs w:val="20"/>
        </w:rPr>
        <w:t>ble, but reflect only a portion of the tax benefits related to certain foreign subsidiaries' tax losses due to the uncertainty of the ultimate realization of future benefits from these losses. During 2022, our tax rate was impacted by a $94 million expense</w:t>
      </w:r>
      <w:r>
        <w:rPr>
          <w:rFonts w:eastAsia="Times New Roman"/>
          <w:color w:val="000000"/>
          <w:sz w:val="20"/>
          <w:szCs w:val="20"/>
        </w:rPr>
        <w:t xml:space="preserve"> from recording a valuation allowance against deferred tax assets in the United Kingdom and other foreign jurisdictions. During 2021, significant matters impacting our tax rate include a $36 million expense from recording a valuation allowance against inte</w:t>
      </w:r>
      <w:r>
        <w:rPr>
          <w:rFonts w:eastAsia="Times New Roman"/>
          <w:color w:val="000000"/>
          <w:sz w:val="20"/>
          <w:szCs w:val="20"/>
        </w:rPr>
        <w:t>rest expense deduction carryforwards in the United States, a $14 million benefit from the deferred tax impact of a tax law change in the United Kingdom and a $40 million non-cash expense resulting from an internal entity restructuring. During 2020, the tax</w:t>
      </w:r>
      <w:r>
        <w:rPr>
          <w:rFonts w:eastAsia="Times New Roman"/>
          <w:color w:val="000000"/>
          <w:sz w:val="20"/>
          <w:szCs w:val="20"/>
        </w:rPr>
        <w:t xml:space="preserve"> rate was impacted by a $48 million benefit from the release of a valuation allowance against U.S. foreign tax credits and the re-establishment of expected foreign tax credit offsets to unrecognized tax benefits.</w:t>
      </w:r>
    </w:p>
    <w:p w:rsidR="00000000" w:rsidRDefault="0040289C">
      <w:pPr>
        <w:jc w:val="both"/>
        <w:rPr>
          <w:rFonts w:eastAsia="Times New Roman"/>
        </w:rPr>
      </w:pPr>
    </w:p>
    <w:p w:rsidR="00000000" w:rsidRDefault="0040289C">
      <w:pPr>
        <w:jc w:val="both"/>
        <w:divId w:val="508563624"/>
        <w:rPr>
          <w:rFonts w:eastAsia="Times New Roman"/>
        </w:rPr>
      </w:pPr>
      <w:r>
        <w:rPr>
          <w:rFonts w:eastAsia="Times New Roman"/>
          <w:color w:val="000000"/>
          <w:sz w:val="20"/>
          <w:szCs w:val="20"/>
        </w:rPr>
        <w:t>NCR did not provide additional U.S. income tax or foreign withholding taxes, if any, on approximately $3.7 billion of undistributed earnings of its foreign subsidiaries, given the intention continues to be that those earnings are reinvested indefinitely. T</w:t>
      </w:r>
      <w:r>
        <w:rPr>
          <w:rFonts w:eastAsia="Times New Roman"/>
          <w:color w:val="000000"/>
          <w:sz w:val="20"/>
          <w:szCs w:val="20"/>
        </w:rPr>
        <w:t>he amount of unrecognized deferred tax liability associated with these indefinitely reinvested earnings is approximately $152 million. The unrecognized deferred tax liability is made up of a combination of U.S. and state income taxes and foreign withholdin</w:t>
      </w:r>
      <w:r>
        <w:rPr>
          <w:rFonts w:eastAsia="Times New Roman"/>
          <w:color w:val="000000"/>
          <w:sz w:val="20"/>
          <w:szCs w:val="20"/>
        </w:rPr>
        <w:t>g taxes.</w:t>
      </w:r>
    </w:p>
    <w:p w:rsidR="00000000" w:rsidRDefault="0040289C">
      <w:pPr>
        <w:jc w:val="both"/>
        <w:rPr>
          <w:rFonts w:eastAsia="Times New Roman"/>
        </w:rPr>
      </w:pPr>
      <w:r>
        <w:rPr>
          <w:rFonts w:eastAsia="Times New Roman"/>
          <w:color w:val="000000"/>
          <w:sz w:val="20"/>
          <w:szCs w:val="20"/>
        </w:rPr>
        <w:t>We regularly review our deferred tax assets for recoverability and establish a valuation allowance if it is more likely than not that some portion or all of the deferred tax asset will not be realized. The determination as to whether a deferred tax asset w</w:t>
      </w:r>
      <w:r>
        <w:rPr>
          <w:rFonts w:eastAsia="Times New Roman"/>
          <w:color w:val="000000"/>
          <w:sz w:val="20"/>
          <w:szCs w:val="20"/>
        </w:rPr>
        <w:t>ill be realized is made on a jurisdictional basis and is based on the evaluation of positive and negative evidence.  This evidence includes historical taxable income/loss, projected future taxable income, the expected timing of the reversal of existing tem</w:t>
      </w:r>
      <w:r>
        <w:rPr>
          <w:rFonts w:eastAsia="Times New Roman"/>
          <w:color w:val="000000"/>
          <w:sz w:val="20"/>
          <w:szCs w:val="20"/>
        </w:rPr>
        <w:t>porary differences and the implementation of tax planning strategies. </w:t>
      </w:r>
    </w:p>
    <w:p w:rsidR="00000000" w:rsidRDefault="0040289C">
      <w:pPr>
        <w:jc w:val="both"/>
        <w:rPr>
          <w:rFonts w:eastAsia="Times New Roman"/>
        </w:rPr>
      </w:pPr>
    </w:p>
    <w:p w:rsidR="00000000" w:rsidRDefault="0040289C">
      <w:pPr>
        <w:jc w:val="center"/>
        <w:divId w:val="2074616056"/>
        <w:rPr>
          <w:rFonts w:eastAsia="Times New Roman"/>
        </w:rPr>
      </w:pPr>
      <w:r>
        <w:rPr>
          <w:rFonts w:eastAsia="Times New Roman"/>
          <w:color w:val="000000"/>
          <w:sz w:val="20"/>
          <w:szCs w:val="20"/>
        </w:rPr>
        <w:t>91</w:t>
      </w:r>
    </w:p>
    <w:p w:rsidR="00000000" w:rsidRDefault="0040289C">
      <w:pPr>
        <w:rPr>
          <w:rFonts w:eastAsia="Times New Roman"/>
        </w:rPr>
      </w:pPr>
      <w:r>
        <w:rPr>
          <w:rFonts w:eastAsia="Times New Roman"/>
        </w:rPr>
        <w:pict>
          <v:rect id="_x0000_i1121" style="width:0;height:1.5pt" o:hralign="center" o:hrstd="t" o:hr="t" fillcolor="#a0a0a0" stroked="f"/>
        </w:pict>
      </w:r>
    </w:p>
    <w:p w:rsidR="00000000" w:rsidRDefault="0040289C">
      <w:pPr>
        <w:divId w:val="48208324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045254396"/>
        <w:rPr>
          <w:rFonts w:eastAsia="Times New Roman"/>
        </w:rPr>
      </w:pPr>
    </w:p>
    <w:p w:rsidR="00000000" w:rsidRDefault="0040289C">
      <w:pPr>
        <w:jc w:val="both"/>
        <w:rPr>
          <w:rFonts w:eastAsia="Times New Roman"/>
        </w:rPr>
      </w:pPr>
      <w:r>
        <w:rPr>
          <w:rFonts w:eastAsia="Times New Roman"/>
          <w:color w:val="000000"/>
          <w:sz w:val="20"/>
          <w:szCs w:val="20"/>
        </w:rPr>
        <w:t>Deferred income tax assets and liabilities included in the Consol</w:t>
      </w:r>
      <w:r>
        <w:rPr>
          <w:rFonts w:eastAsia="Times New Roman"/>
          <w:color w:val="000000"/>
          <w:sz w:val="20"/>
          <w:szCs w:val="20"/>
        </w:rPr>
        <w:t>idated Balance Sheets as of December 31 were as follows:</w:t>
      </w:r>
    </w:p>
    <w:tbl>
      <w:tblPr>
        <w:tblW w:w="4978" w:type="pct"/>
        <w:tblCellMar>
          <w:top w:w="15" w:type="dxa"/>
          <w:left w:w="15" w:type="dxa"/>
          <w:bottom w:w="15" w:type="dxa"/>
          <w:right w:w="15" w:type="dxa"/>
        </w:tblCellMar>
        <w:tblLook w:val="04A0" w:firstRow="1" w:lastRow="0" w:firstColumn="1" w:lastColumn="0" w:noHBand="0" w:noVBand="1"/>
      </w:tblPr>
      <w:tblGrid>
        <w:gridCol w:w="40"/>
        <w:gridCol w:w="5753"/>
        <w:gridCol w:w="38"/>
        <w:gridCol w:w="36"/>
        <w:gridCol w:w="36"/>
        <w:gridCol w:w="36"/>
        <w:gridCol w:w="120"/>
        <w:gridCol w:w="954"/>
        <w:gridCol w:w="36"/>
        <w:gridCol w:w="36"/>
        <w:gridCol w:w="36"/>
        <w:gridCol w:w="36"/>
        <w:gridCol w:w="120"/>
        <w:gridCol w:w="956"/>
        <w:gridCol w:w="36"/>
      </w:tblGrid>
      <w:tr w:rsidR="00000000">
        <w:trPr>
          <w:divId w:val="179898488"/>
        </w:trPr>
        <w:tc>
          <w:tcPr>
            <w:tcW w:w="50" w:type="pct"/>
            <w:vAlign w:val="center"/>
            <w:hideMark/>
          </w:tcPr>
          <w:p w:rsidR="00000000" w:rsidRDefault="0040289C">
            <w:pPr>
              <w:jc w:val="both"/>
              <w:rPr>
                <w:rFonts w:eastAsia="Times New Roman"/>
              </w:rPr>
            </w:pPr>
          </w:p>
        </w:tc>
        <w:tc>
          <w:tcPr>
            <w:tcW w:w="350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79898488"/>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Deferred income tax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79898488"/>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Employee pensions and other benefits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balance sheet reserves and allowances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Tax loss and credit carryforwards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Capitalized research and development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Property, plant and equipment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Lease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79898488"/>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deferred income tax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Valuation allowance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(448)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deferred income tax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Deferred income tax 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Intangibles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Right of use assets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Capitalized software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79898488"/>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deferred income tax 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9898488"/>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net deferred income tax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653678350"/>
        <w:rPr>
          <w:rFonts w:eastAsia="Times New Roman"/>
        </w:rPr>
      </w:pPr>
    </w:p>
    <w:p w:rsidR="00000000" w:rsidRDefault="0040289C">
      <w:pPr>
        <w:jc w:val="both"/>
        <w:rPr>
          <w:rFonts w:eastAsia="Times New Roman"/>
        </w:rPr>
      </w:pPr>
      <w:r>
        <w:rPr>
          <w:rFonts w:eastAsia="Times New Roman"/>
          <w:color w:val="000000"/>
          <w:sz w:val="20"/>
          <w:szCs w:val="20"/>
        </w:rPr>
        <w:t xml:space="preserve">NCR has previously recorded valuation allowances related to certain deferred tax assets due to the uncertainty of the ultimate realization of the future benefits from those assets. The recorded valuation allowances cover deferred tax assets, primarily tax </w:t>
      </w:r>
      <w:r>
        <w:rPr>
          <w:rFonts w:eastAsia="Times New Roman"/>
          <w:color w:val="000000"/>
          <w:sz w:val="20"/>
          <w:szCs w:val="20"/>
        </w:rPr>
        <w:t>loss carryforwards and foreign tax credits, in tax jurisdictions where there is uncertainty as to the ultimate realization of those tax losses and credits. If we are unable to generate sufficient future taxable income of the proper source in the time perio</w:t>
      </w:r>
      <w:r>
        <w:rPr>
          <w:rFonts w:eastAsia="Times New Roman"/>
          <w:color w:val="000000"/>
          <w:sz w:val="20"/>
          <w:szCs w:val="20"/>
        </w:rPr>
        <w:t xml:space="preserve">d within which the temporary differences underlying our deferred tax assets become deductible, or before the expiration of our loss and credit carryforwards, additional valuation allowances could be required.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of December 31, 2022, NCR had U.S. federa</w:t>
      </w:r>
      <w:r>
        <w:rPr>
          <w:rFonts w:eastAsia="Times New Roman"/>
          <w:color w:val="000000"/>
          <w:sz w:val="20"/>
          <w:szCs w:val="20"/>
        </w:rPr>
        <w:t>l, U.S. state (tax effected), and foreign tax attribute carryforwards of approximately $1.7 billion. The net operating loss carryforwards that are subject to expiration will expire in the years 2023 through 2040. The attributes include U.S. tax credit carr</w:t>
      </w:r>
      <w:r>
        <w:rPr>
          <w:rFonts w:eastAsia="Times New Roman"/>
          <w:color w:val="000000"/>
          <w:sz w:val="20"/>
          <w:szCs w:val="20"/>
        </w:rPr>
        <w:t>yforwards of $200 million, which expire in the years 2025 through 2042. As a result of stock ownership changes, our U.S. tax attributes could be subject to limitations under Section 382 of the U.S. Internal Revenue Code of 1986, as amended, if further mate</w:t>
      </w:r>
      <w:r>
        <w:rPr>
          <w:rFonts w:eastAsia="Times New Roman"/>
          <w:color w:val="000000"/>
          <w:sz w:val="20"/>
          <w:szCs w:val="20"/>
        </w:rPr>
        <w:t>rial stock ownership changes occur.</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aggregate changes in the balance of our gross unrecognized tax benefits were as follows for the years ended December 31:</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007"/>
        <w:gridCol w:w="36"/>
        <w:gridCol w:w="36"/>
        <w:gridCol w:w="36"/>
        <w:gridCol w:w="36"/>
        <w:gridCol w:w="120"/>
        <w:gridCol w:w="827"/>
        <w:gridCol w:w="36"/>
        <w:gridCol w:w="36"/>
        <w:gridCol w:w="36"/>
        <w:gridCol w:w="36"/>
        <w:gridCol w:w="120"/>
        <w:gridCol w:w="827"/>
        <w:gridCol w:w="36"/>
        <w:gridCol w:w="36"/>
        <w:gridCol w:w="36"/>
        <w:gridCol w:w="36"/>
        <w:gridCol w:w="120"/>
        <w:gridCol w:w="754"/>
        <w:gridCol w:w="36"/>
      </w:tblGrid>
      <w:tr w:rsidR="00000000">
        <w:trPr>
          <w:divId w:val="364137310"/>
          <w:jc w:val="center"/>
        </w:trPr>
        <w:tc>
          <w:tcPr>
            <w:tcW w:w="50" w:type="pct"/>
            <w:vAlign w:val="center"/>
            <w:hideMark/>
          </w:tcPr>
          <w:p w:rsidR="00000000" w:rsidRDefault="0040289C">
            <w:pPr>
              <w:jc w:val="both"/>
              <w:rPr>
                <w:rFonts w:eastAsia="Times New Roman"/>
              </w:rPr>
            </w:pPr>
          </w:p>
        </w:tc>
        <w:tc>
          <w:tcPr>
            <w:tcW w:w="305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5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5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0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364137310"/>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36413731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Gross unrecognized tax benefits - January 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6413731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Increases related to tax positions from prior years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6413731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Decreases related to tax positions from prior years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6413731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Increases related to tax provisions taken during the current year</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6413731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Settlements with tax authorities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6413731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Lapses of statutes of limitation</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6413731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gross unrecognized tax benefits - December 31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854608037"/>
        <w:rPr>
          <w:rFonts w:eastAsia="Times New Roman"/>
        </w:rPr>
      </w:pPr>
    </w:p>
    <w:p w:rsidR="00000000" w:rsidRDefault="0040289C">
      <w:pPr>
        <w:jc w:val="both"/>
        <w:rPr>
          <w:rFonts w:eastAsia="Times New Roman"/>
        </w:rPr>
      </w:pPr>
      <w:r>
        <w:rPr>
          <w:rFonts w:eastAsia="Times New Roman"/>
          <w:color w:val="000000"/>
          <w:sz w:val="20"/>
          <w:szCs w:val="20"/>
        </w:rPr>
        <w:t>Of the total amount of gross unrecognized tax benefits as of December 31, 2022, $59 million would affect NCR’s effective tax rate if realized. The Company’s liability arising from uncertain tax positions is recorded in Income tax accruals and Other current</w:t>
      </w:r>
      <w:r>
        <w:rPr>
          <w:rFonts w:eastAsia="Times New Roman"/>
          <w:color w:val="000000"/>
          <w:sz w:val="20"/>
          <w:szCs w:val="20"/>
        </w:rPr>
        <w:t xml:space="preserve"> liabilities in the Consolidated Balance Sheets.</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291785787"/>
        <w:rPr>
          <w:rFonts w:eastAsia="Times New Roman"/>
        </w:rPr>
      </w:pPr>
      <w:r>
        <w:rPr>
          <w:rFonts w:eastAsia="Times New Roman"/>
          <w:color w:val="000000"/>
          <w:sz w:val="20"/>
          <w:szCs w:val="20"/>
        </w:rPr>
        <w:t>92</w:t>
      </w:r>
    </w:p>
    <w:p w:rsidR="00000000" w:rsidRDefault="0040289C">
      <w:pPr>
        <w:rPr>
          <w:rFonts w:eastAsia="Times New Roman"/>
        </w:rPr>
      </w:pPr>
      <w:r>
        <w:rPr>
          <w:rFonts w:eastAsia="Times New Roman"/>
        </w:rPr>
        <w:pict>
          <v:rect id="_x0000_i1122" style="width:0;height:1.5pt" o:hralign="center" o:hrstd="t" o:hr="t" fillcolor="#a0a0a0" stroked="f"/>
        </w:pict>
      </w:r>
    </w:p>
    <w:p w:rsidR="00000000" w:rsidRDefault="0040289C">
      <w:pPr>
        <w:divId w:val="24461230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64643480"/>
        <w:rPr>
          <w:rFonts w:eastAsia="Times New Roman"/>
        </w:rPr>
      </w:pPr>
    </w:p>
    <w:p w:rsidR="00000000" w:rsidRDefault="0040289C">
      <w:pPr>
        <w:jc w:val="both"/>
        <w:rPr>
          <w:rFonts w:eastAsia="Times New Roman"/>
        </w:rPr>
      </w:pPr>
      <w:r>
        <w:rPr>
          <w:rFonts w:eastAsia="Times New Roman"/>
          <w:color w:val="000000"/>
          <w:sz w:val="20"/>
          <w:szCs w:val="20"/>
        </w:rPr>
        <w:t xml:space="preserve">We recognized interest and penalties associated with uncertain tax positions as part </w:t>
      </w:r>
      <w:r>
        <w:rPr>
          <w:rFonts w:eastAsia="Times New Roman"/>
          <w:color w:val="000000"/>
          <w:sz w:val="20"/>
          <w:szCs w:val="20"/>
        </w:rPr>
        <w:t>of the provision for income taxes in our Consolidated Statements of Operations of $1 million of benefit, zero, and $5 million of benefit for the years ended December 31, 2022, 2021, and 2020, respectively. The gross amount of interest and penalties accrued</w:t>
      </w:r>
      <w:r>
        <w:rPr>
          <w:rFonts w:eastAsia="Times New Roman"/>
          <w:color w:val="000000"/>
          <w:sz w:val="20"/>
          <w:szCs w:val="20"/>
        </w:rPr>
        <w:t xml:space="preserve"> as of December 31, 2022 and 2021 was $26 million and $30 million, respectively.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the United States, NCR files consolidated federal and state income tax returns where statutes of limitations generally range from three to five years. In 2022, the IRS co</w:t>
      </w:r>
      <w:r>
        <w:rPr>
          <w:rFonts w:eastAsia="Times New Roman"/>
          <w:color w:val="000000"/>
          <w:sz w:val="20"/>
          <w:szCs w:val="20"/>
        </w:rPr>
        <w:t xml:space="preserve">mmenced an examination of our 2019 income tax return, which is ongoing. U.S. federal tax years remain open from 2019 forward. Years beginning on or after 2010 are still open to examination by certain foreign taxing authorities, including India, Egypt, and </w:t>
      </w:r>
      <w:r>
        <w:rPr>
          <w:rFonts w:eastAsia="Times New Roman"/>
          <w:color w:val="000000"/>
          <w:sz w:val="20"/>
          <w:szCs w:val="20"/>
        </w:rPr>
        <w:t xml:space="preserve">other major taxing jurisdictions.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engages in continuous discussions and negotiations with taxing authorities regarding tax matters, and the Company has determined that over the next 12 months it expects to resolve certain tax matters related</w:t>
      </w:r>
      <w:r>
        <w:rPr>
          <w:rFonts w:eastAsia="Times New Roman"/>
          <w:color w:val="000000"/>
          <w:sz w:val="20"/>
          <w:szCs w:val="20"/>
        </w:rPr>
        <w:t xml:space="preserve"> to U.S. and foreign jurisdictions. As a result, as of December 31, 2022, we estimate that it is reasonably possible that unrecognized tax benefits may decrease by $3 million to $5 million in the next 12 months. </w:t>
      </w:r>
    </w:p>
    <w:p w:rsidR="00000000" w:rsidRDefault="0040289C">
      <w:pPr>
        <w:jc w:val="both"/>
        <w:rPr>
          <w:rFonts w:eastAsia="Times New Roman"/>
        </w:rPr>
      </w:pPr>
    </w:p>
    <w:p w:rsidR="00000000" w:rsidRDefault="0040289C">
      <w:pPr>
        <w:divId w:val="950014261"/>
        <w:rPr>
          <w:rFonts w:eastAsia="Times New Roman"/>
        </w:rPr>
      </w:pPr>
      <w:r>
        <w:rPr>
          <w:rFonts w:eastAsia="Times New Roman"/>
          <w:b/>
          <w:bCs/>
          <w:color w:val="7ACE05"/>
          <w:sz w:val="20"/>
          <w:szCs w:val="20"/>
        </w:rPr>
        <w:t xml:space="preserve">8. STOCK COMPENSATION PLANS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w:t>
      </w:r>
      <w:r>
        <w:rPr>
          <w:rFonts w:eastAsia="Times New Roman"/>
          <w:color w:val="000000"/>
          <w:sz w:val="20"/>
          <w:szCs w:val="20"/>
        </w:rPr>
        <w:t>y recognizes all share-based payments as compensation expense in its financial statements based on their fair value. As of December 31, 2022, the Company’s stock-based compensation consisted of restricted stock units, employee stock purchase plan and stock</w:t>
      </w:r>
      <w:r>
        <w:rPr>
          <w:rFonts w:eastAsia="Times New Roman"/>
          <w:color w:val="000000"/>
          <w:sz w:val="20"/>
          <w:szCs w:val="20"/>
        </w:rPr>
        <w:t xml:space="preserve"> options. The Company recorded stock-based compensation expense for the years ended December 31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54"/>
        <w:gridCol w:w="5518"/>
        <w:gridCol w:w="37"/>
        <w:gridCol w:w="120"/>
        <w:gridCol w:w="717"/>
        <w:gridCol w:w="36"/>
        <w:gridCol w:w="36"/>
        <w:gridCol w:w="36"/>
        <w:gridCol w:w="36"/>
        <w:gridCol w:w="38"/>
        <w:gridCol w:w="711"/>
        <w:gridCol w:w="36"/>
        <w:gridCol w:w="36"/>
        <w:gridCol w:w="36"/>
        <w:gridCol w:w="36"/>
        <w:gridCol w:w="38"/>
        <w:gridCol w:w="712"/>
        <w:gridCol w:w="36"/>
      </w:tblGrid>
      <w:tr w:rsidR="00000000">
        <w:trPr>
          <w:divId w:val="1822426515"/>
          <w:jc w:val="center"/>
        </w:trPr>
        <w:tc>
          <w:tcPr>
            <w:tcW w:w="50" w:type="pct"/>
            <w:vAlign w:val="center"/>
            <w:hideMark/>
          </w:tcPr>
          <w:p w:rsidR="00000000" w:rsidRDefault="0040289C">
            <w:pPr>
              <w:jc w:val="both"/>
              <w:rPr>
                <w:rFonts w:eastAsia="Times New Roman"/>
              </w:rPr>
            </w:pPr>
          </w:p>
        </w:tc>
        <w:tc>
          <w:tcPr>
            <w:tcW w:w="335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822426515"/>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822426515"/>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Restricted 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22426515"/>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22426515"/>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22426515"/>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Stock-based compensation expense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22426515"/>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Tax benefit</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(14)</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22426515"/>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Total stock-based compensation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Approximately 27 million shares (i) remain available for future issuance and (ii) are issuable upon the exercise or settlement of outstanding awards under the 2017 Stock Incentive Plan ("SIP"). Details of the Compan</w:t>
      </w:r>
      <w:r>
        <w:rPr>
          <w:rFonts w:eastAsia="Times New Roman"/>
          <w:color w:val="000000"/>
          <w:sz w:val="20"/>
          <w:szCs w:val="20"/>
        </w:rPr>
        <w:t>y's stock-based compensation plans are discussed below.</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Restricted Stock Units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SIP provides for the grant of several different forms of stock-based compensation, including restricted stock units. Restricted stock units can have service-based and/or performance-based vesting with performance goals being established by the Compensa</w:t>
      </w:r>
      <w:r>
        <w:rPr>
          <w:rFonts w:eastAsia="Times New Roman"/>
          <w:color w:val="000000"/>
          <w:sz w:val="20"/>
          <w:szCs w:val="20"/>
        </w:rPr>
        <w:t>tion and Human Resource Committee of the Company’s Board of Directors. Any grant of restricted stock units is generally subject to a vesting period of 12 months to 48 months, to the extent permitted by the SIP. Performance-based grants conditionally vest u</w:t>
      </w:r>
      <w:r>
        <w:rPr>
          <w:rFonts w:eastAsia="Times New Roman"/>
          <w:color w:val="000000"/>
          <w:sz w:val="20"/>
          <w:szCs w:val="20"/>
        </w:rPr>
        <w:t>pon achievement of future performance goals based on performance criteria such as the Company’s achievement of specific return on capital and/or other financial metrics (as defined in the SIP) during the performance period. Performance-based grants must be</w:t>
      </w:r>
      <w:r>
        <w:rPr>
          <w:rFonts w:eastAsia="Times New Roman"/>
          <w:color w:val="000000"/>
          <w:sz w:val="20"/>
          <w:szCs w:val="20"/>
        </w:rPr>
        <w:t xml:space="preserve"> earned, based on performance, before the actual number of shares to be awarded is known. The Compensation and Human Resource Committee considers the likelihood of meeting the performance criteria based upon estimates and other relevant data, and certifies</w:t>
      </w:r>
      <w:r>
        <w:rPr>
          <w:rFonts w:eastAsia="Times New Roman"/>
          <w:color w:val="000000"/>
          <w:sz w:val="20"/>
          <w:szCs w:val="20"/>
        </w:rPr>
        <w:t xml:space="preserve"> performance based on its analysis of achievement against the performance criteria. A recipient of restricted stock units does not have the rights of a stockholder and is subject to restrictions on transferability and risk of forfeiture. Other terms and co</w:t>
      </w:r>
      <w:r>
        <w:rPr>
          <w:rFonts w:eastAsia="Times New Roman"/>
          <w:color w:val="000000"/>
          <w:sz w:val="20"/>
          <w:szCs w:val="20"/>
        </w:rPr>
        <w:t>nditions applicable to any award of restricted stock units will be determined by the Compensation and Human Resource Committee and set forth in the agreement relating to that award.</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453474497"/>
        <w:rPr>
          <w:rFonts w:eastAsia="Times New Roman"/>
        </w:rPr>
      </w:pPr>
      <w:r>
        <w:rPr>
          <w:rFonts w:eastAsia="Times New Roman"/>
          <w:color w:val="000000"/>
          <w:sz w:val="20"/>
          <w:szCs w:val="20"/>
        </w:rPr>
        <w:t>93</w:t>
      </w:r>
    </w:p>
    <w:p w:rsidR="00000000" w:rsidRDefault="0040289C">
      <w:pPr>
        <w:rPr>
          <w:rFonts w:eastAsia="Times New Roman"/>
        </w:rPr>
      </w:pPr>
      <w:r>
        <w:rPr>
          <w:rFonts w:eastAsia="Times New Roman"/>
        </w:rPr>
        <w:pict>
          <v:rect id="_x0000_i1123" style="width:0;height:1.5pt" o:hralign="center" o:hrstd="t" o:hr="t" fillcolor="#a0a0a0" stroked="f"/>
        </w:pict>
      </w:r>
    </w:p>
    <w:p w:rsidR="00000000" w:rsidRDefault="0040289C">
      <w:pPr>
        <w:divId w:val="63028924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484787499"/>
        <w:rPr>
          <w:rFonts w:eastAsia="Times New Roman"/>
        </w:rPr>
      </w:pPr>
    </w:p>
    <w:p w:rsidR="00000000" w:rsidRDefault="0040289C">
      <w:pPr>
        <w:jc w:val="both"/>
        <w:rPr>
          <w:rFonts w:eastAsia="Times New Roman"/>
        </w:rPr>
      </w:pPr>
      <w:r>
        <w:rPr>
          <w:rFonts w:eastAsia="Times New Roman"/>
          <w:color w:val="000000"/>
          <w:sz w:val="20"/>
          <w:szCs w:val="20"/>
        </w:rPr>
        <w:t>The following table reports restricted stock unit activity during the year ended December 31, 2022:</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4478"/>
        <w:gridCol w:w="38"/>
        <w:gridCol w:w="36"/>
        <w:gridCol w:w="36"/>
        <w:gridCol w:w="36"/>
        <w:gridCol w:w="37"/>
        <w:gridCol w:w="1647"/>
        <w:gridCol w:w="36"/>
        <w:gridCol w:w="36"/>
        <w:gridCol w:w="36"/>
        <w:gridCol w:w="36"/>
        <w:gridCol w:w="121"/>
        <w:gridCol w:w="1634"/>
        <w:gridCol w:w="36"/>
      </w:tblGrid>
      <w:tr w:rsidR="00000000">
        <w:trPr>
          <w:divId w:val="807168228"/>
          <w:jc w:val="center"/>
        </w:trPr>
        <w:tc>
          <w:tcPr>
            <w:tcW w:w="50" w:type="pct"/>
            <w:vAlign w:val="center"/>
            <w:hideMark/>
          </w:tcPr>
          <w:p w:rsidR="00000000" w:rsidRDefault="0040289C">
            <w:pPr>
              <w:jc w:val="both"/>
              <w:rPr>
                <w:rFonts w:eastAsia="Times New Roman"/>
              </w:rPr>
            </w:pPr>
          </w:p>
        </w:tc>
        <w:tc>
          <w:tcPr>
            <w:tcW w:w="27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807168228"/>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Number of Units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 Average Grant-Date Fair Value per Unit</w:t>
            </w:r>
          </w:p>
        </w:tc>
      </w:tr>
      <w:tr w:rsidR="00000000">
        <w:trPr>
          <w:divId w:val="80716822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Unvested shares as of January 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7,922 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0716822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Shares granted</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6,284 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35.08 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0716822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Shares vested</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(4,171)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27.97 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0716822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Shares forfeited</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(958)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36.53 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0716822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Unvested shares as of December 31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9,077 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35.67 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535429937"/>
        <w:rPr>
          <w:rFonts w:eastAsia="Times New Roman"/>
        </w:rPr>
      </w:pPr>
    </w:p>
    <w:p w:rsidR="00000000" w:rsidRDefault="0040289C">
      <w:pPr>
        <w:jc w:val="both"/>
        <w:rPr>
          <w:rFonts w:eastAsia="Times New Roman"/>
        </w:rPr>
      </w:pPr>
      <w:r>
        <w:rPr>
          <w:rFonts w:eastAsia="Times New Roman"/>
          <w:color w:val="000000"/>
          <w:sz w:val="20"/>
          <w:szCs w:val="20"/>
        </w:rPr>
        <w:t xml:space="preserve">Stock-based compensation expense is recognized in the financial statements based upon fair value. The total fair value of units vested and distributed in the form of NCR common stock was $117 million in 2022, $119 million in 2021, and $74 million in 2020. </w:t>
      </w:r>
      <w:r>
        <w:rPr>
          <w:rFonts w:eastAsia="Times New Roman"/>
          <w:color w:val="000000"/>
          <w:sz w:val="20"/>
          <w:szCs w:val="20"/>
        </w:rPr>
        <w:t>As of December 31, 2022, there was $197 million of unrecognized compensation cost related to unvested restricted stock unit grants. The unrecognized compensation cost is expected to be recognized over a remaining weighted-average period of 1.2 years. The w</w:t>
      </w:r>
      <w:r>
        <w:rPr>
          <w:rFonts w:eastAsia="Times New Roman"/>
          <w:color w:val="000000"/>
          <w:sz w:val="20"/>
          <w:szCs w:val="20"/>
        </w:rPr>
        <w:t xml:space="preserve">eighted average grant date fair value for restricted stock unit awards granted in 2021 and 2020 was $34.00 and $26.50, respectively. The weighted average grant date fair value of restricted stock awards assumed through the Cardtronics acquisition is based </w:t>
      </w:r>
      <w:r>
        <w:rPr>
          <w:rFonts w:eastAsia="Times New Roman"/>
          <w:color w:val="000000"/>
          <w:sz w:val="20"/>
          <w:szCs w:val="20"/>
        </w:rPr>
        <w:t>on the fair value on the date assumed.</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following table represents the composition of restricted stock unit grants in 2022:</w:t>
      </w:r>
    </w:p>
    <w:tbl>
      <w:tblPr>
        <w:tblW w:w="4992" w:type="pct"/>
        <w:jc w:val="center"/>
        <w:tblCellMar>
          <w:top w:w="15" w:type="dxa"/>
          <w:left w:w="15" w:type="dxa"/>
          <w:bottom w:w="15" w:type="dxa"/>
          <w:right w:w="15" w:type="dxa"/>
        </w:tblCellMar>
        <w:tblLook w:val="04A0" w:firstRow="1" w:lastRow="0" w:firstColumn="1" w:lastColumn="0" w:noHBand="0" w:noVBand="1"/>
      </w:tblPr>
      <w:tblGrid>
        <w:gridCol w:w="50"/>
        <w:gridCol w:w="4478"/>
        <w:gridCol w:w="37"/>
        <w:gridCol w:w="36"/>
        <w:gridCol w:w="36"/>
        <w:gridCol w:w="36"/>
        <w:gridCol w:w="37"/>
        <w:gridCol w:w="1647"/>
        <w:gridCol w:w="36"/>
        <w:gridCol w:w="36"/>
        <w:gridCol w:w="36"/>
        <w:gridCol w:w="36"/>
        <w:gridCol w:w="121"/>
        <w:gridCol w:w="1635"/>
        <w:gridCol w:w="36"/>
      </w:tblGrid>
      <w:tr w:rsidR="00000000">
        <w:trPr>
          <w:divId w:val="196285345"/>
          <w:jc w:val="center"/>
        </w:trPr>
        <w:tc>
          <w:tcPr>
            <w:tcW w:w="50" w:type="pct"/>
            <w:vAlign w:val="center"/>
            <w:hideMark/>
          </w:tcPr>
          <w:p w:rsidR="00000000" w:rsidRDefault="0040289C">
            <w:pPr>
              <w:jc w:val="both"/>
              <w:rPr>
                <w:rFonts w:eastAsia="Times New Roman"/>
              </w:rPr>
            </w:pPr>
          </w:p>
        </w:tc>
        <w:tc>
          <w:tcPr>
            <w:tcW w:w="27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6285345"/>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Number of Units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 Average Grant-Date Fair Value</w:t>
            </w:r>
          </w:p>
        </w:tc>
      </w:tr>
      <w:tr w:rsidR="00000000">
        <w:trPr>
          <w:divId w:val="19628534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Service-based units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628534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Performance-based units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37.76 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628534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restricted stock units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528180677"/>
        <w:rPr>
          <w:rFonts w:eastAsia="Times New Roman"/>
        </w:rPr>
      </w:pPr>
    </w:p>
    <w:p w:rsidR="00000000" w:rsidRDefault="0040289C">
      <w:pPr>
        <w:jc w:val="both"/>
        <w:divId w:val="1572471668"/>
        <w:rPr>
          <w:rFonts w:eastAsia="Times New Roman"/>
        </w:rPr>
      </w:pPr>
      <w:r>
        <w:rPr>
          <w:rFonts w:eastAsia="Times New Roman"/>
          <w:color w:val="000000"/>
          <w:sz w:val="20"/>
          <w:szCs w:val="20"/>
        </w:rPr>
        <w:t>On February 25, 2022, the Company granted market-based restricted stock units vesting on December 31, 2024. The number of awards that vest are subject to the performance of the Company's stock price from the date of grant to December 31, 2024. The fair val</w:t>
      </w:r>
      <w:r>
        <w:rPr>
          <w:rFonts w:eastAsia="Times New Roman"/>
          <w:color w:val="000000"/>
          <w:sz w:val="20"/>
          <w:szCs w:val="20"/>
        </w:rPr>
        <w:t>ue was determined to be $57.67 per share based on using a Monte-Carlo simulation model and will be recognized over the requisite service period. The table below details the assumptions used in determining the fair value of the market-based restricted stock</w:t>
      </w:r>
      <w:r>
        <w:rPr>
          <w:rFonts w:eastAsia="Times New Roman"/>
          <w:color w:val="000000"/>
          <w:sz w:val="20"/>
          <w:szCs w:val="20"/>
        </w:rPr>
        <w:t xml:space="preserve"> units. </w:t>
      </w:r>
    </w:p>
    <w:tbl>
      <w:tblPr>
        <w:tblW w:w="5000" w:type="pct"/>
        <w:tblCellMar>
          <w:top w:w="15" w:type="dxa"/>
          <w:left w:w="15" w:type="dxa"/>
          <w:bottom w:w="15" w:type="dxa"/>
          <w:right w:w="15" w:type="dxa"/>
        </w:tblCellMar>
        <w:tblLook w:val="04A0" w:firstRow="1" w:lastRow="0" w:firstColumn="1" w:lastColumn="0" w:noHBand="0" w:noVBand="1"/>
      </w:tblPr>
      <w:tblGrid>
        <w:gridCol w:w="37"/>
        <w:gridCol w:w="6441"/>
        <w:gridCol w:w="36"/>
        <w:gridCol w:w="39"/>
        <w:gridCol w:w="1533"/>
        <w:gridCol w:w="220"/>
      </w:tblGrid>
      <w:tr w:rsidR="00000000">
        <w:trPr>
          <w:divId w:val="1965040124"/>
        </w:trPr>
        <w:tc>
          <w:tcPr>
            <w:tcW w:w="50" w:type="pct"/>
            <w:vAlign w:val="center"/>
            <w:hideMark/>
          </w:tcPr>
          <w:p w:rsidR="00000000" w:rsidRDefault="0040289C">
            <w:pPr>
              <w:jc w:val="both"/>
              <w:rPr>
                <w:rFonts w:eastAsia="Times New Roman"/>
              </w:rPr>
            </w:pPr>
          </w:p>
        </w:tc>
        <w:tc>
          <w:tcPr>
            <w:tcW w:w="39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9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65040124"/>
          <w:trHeight w:val="36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65040124"/>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r>
      <w:tr w:rsidR="00000000">
        <w:trPr>
          <w:divId w:val="1965040124"/>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r>
      <w:tr w:rsidR="00000000">
        <w:trPr>
          <w:divId w:val="1965040124"/>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59.26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r>
    </w:tbl>
    <w:p w:rsidR="00000000" w:rsidRDefault="0040289C">
      <w:pPr>
        <w:divId w:val="1352367942"/>
        <w:rPr>
          <w:rFonts w:eastAsia="Times New Roman"/>
        </w:rPr>
      </w:pPr>
    </w:p>
    <w:p w:rsidR="00000000" w:rsidRDefault="0040289C">
      <w:pPr>
        <w:jc w:val="both"/>
        <w:rPr>
          <w:rFonts w:eastAsia="Times New Roman"/>
        </w:rPr>
      </w:pPr>
      <w:r>
        <w:rPr>
          <w:rFonts w:eastAsia="Times New Roman"/>
          <w:color w:val="000000"/>
          <w:sz w:val="20"/>
          <w:szCs w:val="20"/>
        </w:rPr>
        <w:t>Expected volatility for the market-based restricted stock units is calculated as the historical volatility of the Company’s stock over a period of three years, as management believes this is the best representation of prospective trends. The risk-free inte</w:t>
      </w:r>
      <w:r>
        <w:rPr>
          <w:rFonts w:eastAsia="Times New Roman"/>
          <w:color w:val="000000"/>
          <w:sz w:val="20"/>
          <w:szCs w:val="20"/>
        </w:rPr>
        <w:t>rest rate was determined based on a three year U.S. Treasury yield curve in effect at the time of the grant.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On December 21, 2022, the Company granted market-based restricted stock units vesting on December 31, 2025. The number of awards that vest are subject to the compound annual growth rate ("CAGR") of the Company's stock price from January 1, 2023 to December</w:t>
      </w:r>
      <w:r>
        <w:rPr>
          <w:rFonts w:eastAsia="Times New Roman"/>
          <w:color w:val="000000"/>
          <w:sz w:val="20"/>
          <w:szCs w:val="20"/>
        </w:rPr>
        <w:t xml:space="preserve"> 31, 2025 (the "performance period"), subject to an alternative level of achievement based on the Company's relative total shareholder return ranking among a comparison group. The fair value of the awards was determined to be $29.66 per share based on usin</w:t>
      </w:r>
      <w:r>
        <w:rPr>
          <w:rFonts w:eastAsia="Times New Roman"/>
          <w:color w:val="000000"/>
          <w:sz w:val="20"/>
          <w:szCs w:val="20"/>
        </w:rPr>
        <w:t>g a Monte-Carlo simulation model and will be recognized over the requisite service period.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Approximately 50% of these market-based restricted stock units granted include an accelerated vesting provision if a Qualified Transaction, as defined in the award</w:t>
      </w:r>
      <w:r>
        <w:rPr>
          <w:rFonts w:eastAsia="Times New Roman"/>
          <w:color w:val="000000"/>
          <w:sz w:val="20"/>
          <w:szCs w:val="20"/>
        </w:rPr>
        <w:t xml:space="preserve"> agreement, takes place during the performance period (with a minimum vesting period of one year from the grant date). Upon the occurrence of a Qualified Transaction, the number of shares that vest are then based on the Company's 20-day volume-weighted ave</w:t>
      </w:r>
      <w:r>
        <w:rPr>
          <w:rFonts w:eastAsia="Times New Roman"/>
          <w:color w:val="000000"/>
          <w:sz w:val="20"/>
          <w:szCs w:val="20"/>
        </w:rPr>
        <w:t>rage closing stock price immediately preceding the transaction date. If a qualifying transaction is deemed probable, the award will be recognized over the adjusted requisite service period at a fair value determined using a Monte-Carlo simulation model ran</w:t>
      </w:r>
      <w:r>
        <w:rPr>
          <w:rFonts w:eastAsia="Times New Roman"/>
          <w:color w:val="000000"/>
          <w:sz w:val="20"/>
          <w:szCs w:val="20"/>
        </w:rPr>
        <w:t xml:space="preserve">ging from $30.00 to $35.81 per unit, dependent upon the estimated </w:t>
      </w:r>
    </w:p>
    <w:p w:rsidR="00000000" w:rsidRDefault="0040289C">
      <w:pPr>
        <w:jc w:val="center"/>
        <w:divId w:val="1253858089"/>
        <w:rPr>
          <w:rFonts w:eastAsia="Times New Roman"/>
        </w:rPr>
      </w:pPr>
      <w:r>
        <w:rPr>
          <w:rFonts w:eastAsia="Times New Roman"/>
          <w:color w:val="000000"/>
          <w:sz w:val="20"/>
          <w:szCs w:val="20"/>
        </w:rPr>
        <w:t>94</w:t>
      </w:r>
    </w:p>
    <w:p w:rsidR="00000000" w:rsidRDefault="0040289C">
      <w:pPr>
        <w:rPr>
          <w:rFonts w:eastAsia="Times New Roman"/>
        </w:rPr>
      </w:pPr>
      <w:r>
        <w:rPr>
          <w:rFonts w:eastAsia="Times New Roman"/>
        </w:rPr>
        <w:pict>
          <v:rect id="_x0000_i1124" style="width:0;height:1.5pt" o:hralign="center" o:hrstd="t" o:hr="t" fillcolor="#a0a0a0" stroked="f"/>
        </w:pict>
      </w:r>
    </w:p>
    <w:p w:rsidR="00000000" w:rsidRDefault="0040289C">
      <w:pPr>
        <w:divId w:val="32358281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956865504"/>
        <w:rPr>
          <w:rFonts w:eastAsia="Times New Roman"/>
        </w:rPr>
      </w:pPr>
    </w:p>
    <w:p w:rsidR="00000000" w:rsidRDefault="0040289C">
      <w:pPr>
        <w:jc w:val="both"/>
        <w:rPr>
          <w:rFonts w:eastAsia="Times New Roman"/>
        </w:rPr>
      </w:pPr>
      <w:r>
        <w:rPr>
          <w:rFonts w:eastAsia="Times New Roman"/>
          <w:color w:val="000000"/>
          <w:sz w:val="20"/>
          <w:szCs w:val="20"/>
        </w:rPr>
        <w:t>timing of the transaction. Transactions of this nature are subject to m</w:t>
      </w:r>
      <w:r>
        <w:rPr>
          <w:rFonts w:eastAsia="Times New Roman"/>
          <w:color w:val="000000"/>
          <w:sz w:val="20"/>
          <w:szCs w:val="20"/>
        </w:rPr>
        <w:t xml:space="preserve">any variables that are highly uncertain, including the receipt of regulatory approvals and market conditions. </w:t>
      </w:r>
    </w:p>
    <w:p w:rsidR="00000000" w:rsidRDefault="0040289C">
      <w:pPr>
        <w:divId w:val="1559974018"/>
        <w:rPr>
          <w:rFonts w:eastAsia="Times New Roman"/>
        </w:rPr>
      </w:pPr>
    </w:p>
    <w:p w:rsidR="00000000" w:rsidRDefault="0040289C">
      <w:pPr>
        <w:divId w:val="889538492"/>
        <w:rPr>
          <w:rFonts w:eastAsia="Times New Roman"/>
        </w:rPr>
      </w:pPr>
      <w:r>
        <w:rPr>
          <w:rFonts w:eastAsia="Times New Roman"/>
          <w:color w:val="000000"/>
          <w:sz w:val="20"/>
          <w:szCs w:val="20"/>
        </w:rPr>
        <w:t>The table below details the significant assumptions used in determining the fair value of the market-based restricted stock units granted on De</w:t>
      </w:r>
      <w:r>
        <w:rPr>
          <w:rFonts w:eastAsia="Times New Roman"/>
          <w:color w:val="000000"/>
          <w:sz w:val="20"/>
          <w:szCs w:val="20"/>
        </w:rPr>
        <w:t xml:space="preserve">cember 21, 2022: </w:t>
      </w:r>
    </w:p>
    <w:tbl>
      <w:tblPr>
        <w:tblW w:w="5000" w:type="pct"/>
        <w:tblCellMar>
          <w:top w:w="15" w:type="dxa"/>
          <w:left w:w="15" w:type="dxa"/>
          <w:bottom w:w="15" w:type="dxa"/>
          <w:right w:w="15" w:type="dxa"/>
        </w:tblCellMar>
        <w:tblLook w:val="04A0" w:firstRow="1" w:lastRow="0" w:firstColumn="1" w:lastColumn="0" w:noHBand="0" w:noVBand="1"/>
      </w:tblPr>
      <w:tblGrid>
        <w:gridCol w:w="37"/>
        <w:gridCol w:w="6441"/>
        <w:gridCol w:w="36"/>
        <w:gridCol w:w="39"/>
        <w:gridCol w:w="1533"/>
        <w:gridCol w:w="220"/>
      </w:tblGrid>
      <w:tr w:rsidR="00000000">
        <w:trPr>
          <w:divId w:val="1688872814"/>
        </w:trPr>
        <w:tc>
          <w:tcPr>
            <w:tcW w:w="50" w:type="pct"/>
            <w:vAlign w:val="center"/>
            <w:hideMark/>
          </w:tcPr>
          <w:p w:rsidR="00000000" w:rsidRDefault="0040289C">
            <w:pPr>
              <w:rPr>
                <w:rFonts w:eastAsia="Times New Roman"/>
              </w:rPr>
            </w:pPr>
          </w:p>
        </w:tc>
        <w:tc>
          <w:tcPr>
            <w:tcW w:w="39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96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688872814"/>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Dividend yield</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r>
      <w:tr w:rsidR="00000000">
        <w:trPr>
          <w:divId w:val="1688872814"/>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r>
      <w:tr w:rsidR="00000000">
        <w:trPr>
          <w:divId w:val="1688872814"/>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r>
    </w:tbl>
    <w:p w:rsidR="00000000" w:rsidRDefault="0040289C">
      <w:pPr>
        <w:divId w:val="980159778"/>
        <w:rPr>
          <w:rFonts w:eastAsia="Times New Roman"/>
        </w:rPr>
      </w:pPr>
    </w:p>
    <w:p w:rsidR="00000000" w:rsidRDefault="0040289C">
      <w:pPr>
        <w:jc w:val="both"/>
        <w:rPr>
          <w:rFonts w:eastAsia="Times New Roman"/>
        </w:rPr>
      </w:pPr>
      <w:r>
        <w:rPr>
          <w:rFonts w:eastAsia="Times New Roman"/>
          <w:color w:val="000000"/>
          <w:sz w:val="20"/>
          <w:szCs w:val="20"/>
        </w:rPr>
        <w:t>Expected volatility for these restricted stock units is calculated as the historical volatility of the Company’s stock over a period of approximately three years, as management believes this is the best representation of prospective trends. The risk-free i</w:t>
      </w:r>
      <w:r>
        <w:rPr>
          <w:rFonts w:eastAsia="Times New Roman"/>
          <w:color w:val="000000"/>
          <w:sz w:val="20"/>
          <w:szCs w:val="20"/>
        </w:rPr>
        <w:t>nterest rate was determined based on a three year U.S. Treasury yield curve in effect at the time of the grant.</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Stock Options</w:t>
      </w:r>
    </w:p>
    <w:p w:rsidR="00000000" w:rsidRDefault="0040289C">
      <w:pPr>
        <w:divId w:val="1431899888"/>
        <w:rPr>
          <w:rFonts w:eastAsia="Times New Roman"/>
        </w:rPr>
      </w:pPr>
    </w:p>
    <w:p w:rsidR="00000000" w:rsidRDefault="0040289C">
      <w:pPr>
        <w:jc w:val="both"/>
        <w:rPr>
          <w:rFonts w:eastAsia="Times New Roman"/>
        </w:rPr>
      </w:pPr>
      <w:r>
        <w:rPr>
          <w:rFonts w:eastAsia="Times New Roman"/>
          <w:color w:val="000000"/>
          <w:sz w:val="20"/>
          <w:szCs w:val="20"/>
        </w:rPr>
        <w:t>The SIP also provides for the grant of stock options to purchase shares of NCR common stock. The Compensation and Human Resource Committee has discretion to determine the material terms and conditions of option awards under the SIP, provided that (i) the e</w:t>
      </w:r>
      <w:r>
        <w:rPr>
          <w:rFonts w:eastAsia="Times New Roman"/>
          <w:color w:val="000000"/>
          <w:sz w:val="20"/>
          <w:szCs w:val="20"/>
        </w:rPr>
        <w:t>xercise price must be no less than the fair market value of NCR common stock (defined as the closing price) on the date of grant, (ii) the term must be no longer than ten years, and (iii) in no event shall the normal vesting schedule provide for vesting in</w:t>
      </w:r>
      <w:r>
        <w:rPr>
          <w:rFonts w:eastAsia="Times New Roman"/>
          <w:color w:val="000000"/>
          <w:sz w:val="20"/>
          <w:szCs w:val="20"/>
        </w:rPr>
        <w:t xml:space="preserve"> less than one year. Other terms and conditions of an award of stock options will be determined by the Compensation and Human Resource Committee as set forth in the agreement relating to that award. The Compensation and Human Resource Committee has authori</w:t>
      </w:r>
      <w:r>
        <w:rPr>
          <w:rFonts w:eastAsia="Times New Roman"/>
          <w:color w:val="000000"/>
          <w:sz w:val="20"/>
          <w:szCs w:val="20"/>
        </w:rPr>
        <w:t xml:space="preserve">ty to administer the SIP, except that the Committee on Directors and Governance of the Company’s Board of Directors will administer the SIP with respect to non-employee members of the Board of Directors. New shares of the Company’s common stock are issued </w:t>
      </w:r>
      <w:r>
        <w:rPr>
          <w:rFonts w:eastAsia="Times New Roman"/>
          <w:color w:val="000000"/>
          <w:sz w:val="20"/>
          <w:szCs w:val="20"/>
        </w:rPr>
        <w:t xml:space="preserve">as a result of stock option exercises.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During the years ended December 31, 2022 and 2021, the Company did not grant any stock options. During the year ended December 31, 2022, as discussed in Note 2, “Business Combinations”, the Company converted certai</w:t>
      </w:r>
      <w:r>
        <w:rPr>
          <w:rFonts w:eastAsia="Times New Roman"/>
          <w:color w:val="000000"/>
          <w:sz w:val="20"/>
          <w:szCs w:val="20"/>
        </w:rPr>
        <w:t>n outstanding unvested LibertyX awards into NCR awards. LibertyX stock option awards were converted into NCR stock option awards with an exercise price per share for option awards equal to the exercise price per share of such stock option award immediately</w:t>
      </w:r>
      <w:r>
        <w:rPr>
          <w:rFonts w:eastAsia="Times New Roman"/>
          <w:color w:val="000000"/>
          <w:sz w:val="20"/>
          <w:szCs w:val="20"/>
        </w:rPr>
        <w:t xml:space="preserve"> prior to the completion of the acquisition divided by the exchange ratio (as defined in the acquisition agreement), and vested immediately. The value of the option awards was deemed attributable to services already rendered and was included as a portion o</w:t>
      </w:r>
      <w:r>
        <w:rPr>
          <w:rFonts w:eastAsia="Times New Roman"/>
          <w:color w:val="000000"/>
          <w:sz w:val="20"/>
          <w:szCs w:val="20"/>
        </w:rPr>
        <w:t>f the purchase price.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During the year ended December 31, 2021, as discussed in Note 2, “Business Combinations”, the Company converted certain outstanding unvested Cardtronics awards into NCR awards. Cardtronics stock option awards were converted into NCR</w:t>
      </w:r>
      <w:r>
        <w:rPr>
          <w:rFonts w:eastAsia="Times New Roman"/>
          <w:color w:val="000000"/>
          <w:sz w:val="20"/>
          <w:szCs w:val="20"/>
        </w:rPr>
        <w:t xml:space="preserve"> stock option awards with an exercise price per share for option awards equal to the exercise price per share of such stock option award immediately prior to the completion of the acquisition divided by the exchange ratio (as defined in the acquisition agr</w:t>
      </w:r>
      <w:r>
        <w:rPr>
          <w:rFonts w:eastAsia="Times New Roman"/>
          <w:color w:val="000000"/>
          <w:sz w:val="20"/>
          <w:szCs w:val="20"/>
        </w:rPr>
        <w:t>eement) and will continue to be governed generally by the same terms and conditions as were applicable prior to the acquisition. The fair value of options that the Company assumed in connection with the acquisition of Cardtronics were estimated using the B</w:t>
      </w:r>
      <w:r>
        <w:rPr>
          <w:rFonts w:eastAsia="Times New Roman"/>
          <w:color w:val="000000"/>
          <w:sz w:val="20"/>
          <w:szCs w:val="20"/>
        </w:rPr>
        <w:t>lack-Scholes model.</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following table summarizes the Company’s stock option activity for the year ended December 31, 2022:</w:t>
      </w:r>
    </w:p>
    <w:tbl>
      <w:tblPr>
        <w:tblW w:w="4970" w:type="pct"/>
        <w:jc w:val="center"/>
        <w:tblCellMar>
          <w:top w:w="15" w:type="dxa"/>
          <w:left w:w="15" w:type="dxa"/>
          <w:bottom w:w="15" w:type="dxa"/>
          <w:right w:w="15" w:type="dxa"/>
        </w:tblCellMar>
        <w:tblLook w:val="04A0" w:firstRow="1" w:lastRow="0" w:firstColumn="1" w:lastColumn="0" w:noHBand="0" w:noVBand="1"/>
      </w:tblPr>
      <w:tblGrid>
        <w:gridCol w:w="46"/>
        <w:gridCol w:w="3759"/>
        <w:gridCol w:w="37"/>
        <w:gridCol w:w="36"/>
        <w:gridCol w:w="36"/>
        <w:gridCol w:w="36"/>
        <w:gridCol w:w="43"/>
        <w:gridCol w:w="878"/>
        <w:gridCol w:w="36"/>
        <w:gridCol w:w="36"/>
        <w:gridCol w:w="36"/>
        <w:gridCol w:w="36"/>
        <w:gridCol w:w="121"/>
        <w:gridCol w:w="876"/>
        <w:gridCol w:w="36"/>
        <w:gridCol w:w="36"/>
        <w:gridCol w:w="36"/>
        <w:gridCol w:w="36"/>
        <w:gridCol w:w="70"/>
        <w:gridCol w:w="853"/>
        <w:gridCol w:w="36"/>
        <w:gridCol w:w="36"/>
        <w:gridCol w:w="36"/>
        <w:gridCol w:w="36"/>
        <w:gridCol w:w="121"/>
        <w:gridCol w:w="876"/>
        <w:gridCol w:w="36"/>
      </w:tblGrid>
      <w:tr w:rsidR="00000000">
        <w:trPr>
          <w:divId w:val="1833644052"/>
          <w:jc w:val="center"/>
        </w:trPr>
        <w:tc>
          <w:tcPr>
            <w:tcW w:w="50" w:type="pct"/>
            <w:vAlign w:val="center"/>
            <w:hideMark/>
          </w:tcPr>
          <w:p w:rsidR="00000000" w:rsidRDefault="0040289C">
            <w:pPr>
              <w:jc w:val="both"/>
              <w:rPr>
                <w:rFonts w:eastAsia="Times New Roman"/>
              </w:rPr>
            </w:pPr>
          </w:p>
        </w:tc>
        <w:tc>
          <w:tcPr>
            <w:tcW w:w="229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7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833644052"/>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Shares in thousands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Shares Under Option</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 Average Exercise Price per Share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Weighted Average Remaining Contractual Term (in years)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 xml:space="preserve">Aggregate Intrinsic Value </w:t>
            </w:r>
            <w:r>
              <w:rPr>
                <w:rFonts w:eastAsia="Times New Roman"/>
                <w:b/>
                <w:bCs/>
                <w:color w:val="000000"/>
                <w:sz w:val="16"/>
                <w:szCs w:val="16"/>
              </w:rPr>
              <w:br/>
              <w:t>(in millions)</w:t>
            </w:r>
          </w:p>
        </w:tc>
      </w:tr>
      <w:tr w:rsidR="00000000">
        <w:trPr>
          <w:divId w:val="183364405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Outstanding as of January 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3364405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3364405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Assumed through acquisition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3364405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Exercised</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(255)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3364405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Forfeited or expired</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33.87 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3364405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Outstanding as of December 31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3.29</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3364405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Fully vested and expected to vest as of December 31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1,863 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34.08 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3.97</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0.82 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3364405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Exercisable as of December 31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6,752 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32.43 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2.67 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1997762177"/>
        <w:rPr>
          <w:rFonts w:eastAsia="Times New Roman"/>
        </w:rPr>
      </w:pPr>
      <w:r>
        <w:rPr>
          <w:rFonts w:eastAsia="Times New Roman"/>
          <w:color w:val="000000"/>
          <w:sz w:val="20"/>
          <w:szCs w:val="20"/>
        </w:rPr>
        <w:t>95</w:t>
      </w:r>
    </w:p>
    <w:p w:rsidR="00000000" w:rsidRDefault="0040289C">
      <w:pPr>
        <w:rPr>
          <w:rFonts w:eastAsia="Times New Roman"/>
        </w:rPr>
      </w:pPr>
      <w:r>
        <w:rPr>
          <w:rFonts w:eastAsia="Times New Roman"/>
        </w:rPr>
        <w:pict>
          <v:rect id="_x0000_i1125" style="width:0;height:1.5pt" o:hralign="center" o:hrstd="t" o:hr="t" fillcolor="#a0a0a0" stroked="f"/>
        </w:pict>
      </w:r>
    </w:p>
    <w:p w:rsidR="00000000" w:rsidRDefault="0040289C">
      <w:pPr>
        <w:divId w:val="194939194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976490954"/>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of December 31, 2022, the total unrecognized compensation cost of $2 million related to unvested stock option grants is expected to be recognized over a weighted average period o</w:t>
      </w:r>
      <w:r>
        <w:rPr>
          <w:rFonts w:eastAsia="Times New Roman"/>
          <w:color w:val="000000"/>
          <w:sz w:val="20"/>
          <w:szCs w:val="20"/>
        </w:rPr>
        <w:t xml:space="preserve">f approximately 0.2 years.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total intrinsic value of all options exercised was $7 million in 2022, $9 million in 2021, and $1 million in 2020. Cash received from option exercises under all share-based payment arrangements was $2 million in 2022, $25 </w:t>
      </w:r>
      <w:r>
        <w:rPr>
          <w:rFonts w:eastAsia="Times New Roman"/>
          <w:color w:val="000000"/>
          <w:sz w:val="20"/>
          <w:szCs w:val="20"/>
        </w:rPr>
        <w:t xml:space="preserve">million in 2021, and $2 million in 2020. There was $1 million tax benefit realized from option exercises in 2021. There was no tax benefit realized from stock options exercised in 2022 or 2020. </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Employee Stock Purchase Plan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Company's amended Emplo</w:t>
      </w:r>
      <w:r>
        <w:rPr>
          <w:rFonts w:eastAsia="Times New Roman"/>
          <w:color w:val="000000"/>
          <w:sz w:val="20"/>
          <w:szCs w:val="20"/>
        </w:rPr>
        <w:t>yee Stock Purchase Plan ("ESPP") provides employees a 15% discount on stock purchases using a three-month look-back feature where the discount is applied to the stock price that represents the lower of NCR’s closing stock price on either the first day or t</w:t>
      </w:r>
      <w:r>
        <w:rPr>
          <w:rFonts w:eastAsia="Times New Roman"/>
          <w:color w:val="000000"/>
          <w:sz w:val="20"/>
          <w:szCs w:val="20"/>
        </w:rPr>
        <w:t>he last day of each calendar quarter. Participants can contribute between 1% and 10% of their compensation. The amended ESPP was approved by NCR stockholders in 2016 and became effective January 1, 2017.</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Employees purchased approximately 1.3 million shar</w:t>
      </w:r>
      <w:r>
        <w:rPr>
          <w:rFonts w:eastAsia="Times New Roman"/>
          <w:color w:val="000000"/>
          <w:sz w:val="20"/>
          <w:szCs w:val="20"/>
        </w:rPr>
        <w:t>es in 2022, 0.8 million shares in 2021, and 1.3 million shares in 2020, for approximately $29 million in 2022, $26 million in 2021 and $21 million in 2020. A total of 4 million shares were originally authorized to be issued under the ESPP before its amendm</w:t>
      </w:r>
      <w:r>
        <w:rPr>
          <w:rFonts w:eastAsia="Times New Roman"/>
          <w:color w:val="000000"/>
          <w:sz w:val="20"/>
          <w:szCs w:val="20"/>
        </w:rPr>
        <w:t>ent. Under the amended ESPP, 10 million shares were newly authorized to be issued, plus any shares remaining unissued under the prior ESPP after the last 2016 purchase date. Approximately 5.5 million authorized shares remain unissued under our amended ESPP</w:t>
      </w:r>
      <w:r>
        <w:rPr>
          <w:rFonts w:eastAsia="Times New Roman"/>
          <w:color w:val="000000"/>
          <w:sz w:val="20"/>
          <w:szCs w:val="20"/>
        </w:rPr>
        <w:t xml:space="preserve"> as of December 31, 2022.</w:t>
      </w:r>
    </w:p>
    <w:p w:rsidR="00000000" w:rsidRDefault="0040289C">
      <w:pPr>
        <w:jc w:val="both"/>
        <w:rPr>
          <w:rFonts w:eastAsia="Times New Roman"/>
        </w:rPr>
      </w:pPr>
    </w:p>
    <w:p w:rsidR="00000000" w:rsidRDefault="0040289C">
      <w:pPr>
        <w:divId w:val="175047749"/>
        <w:rPr>
          <w:rFonts w:eastAsia="Times New Roman"/>
        </w:rPr>
      </w:pPr>
      <w:r>
        <w:rPr>
          <w:rFonts w:eastAsia="Times New Roman"/>
          <w:b/>
          <w:bCs/>
          <w:color w:val="7ACE05"/>
          <w:sz w:val="20"/>
          <w:szCs w:val="20"/>
        </w:rPr>
        <w:t xml:space="preserve">9. EMPLOYEE BENEFIT PLANS </w:t>
      </w:r>
    </w:p>
    <w:p w:rsidR="00000000" w:rsidRDefault="0040289C">
      <w:pPr>
        <w:divId w:val="1563516155"/>
        <w:rPr>
          <w:rFonts w:eastAsia="Times New Roman"/>
        </w:rPr>
      </w:pPr>
    </w:p>
    <w:p w:rsidR="00000000" w:rsidRDefault="0040289C">
      <w:pPr>
        <w:jc w:val="both"/>
        <w:rPr>
          <w:rFonts w:eastAsia="Times New Roman"/>
        </w:rPr>
      </w:pPr>
      <w:r>
        <w:rPr>
          <w:rFonts w:eastAsia="Times New Roman"/>
          <w:i/>
          <w:iCs/>
          <w:color w:val="000000"/>
          <w:sz w:val="20"/>
          <w:szCs w:val="20"/>
        </w:rPr>
        <w:t>Pension, Postretirement and Postemployment Plans</w:t>
      </w:r>
      <w:r>
        <w:rPr>
          <w:rFonts w:eastAsia="Times New Roman"/>
          <w:color w:val="000000"/>
          <w:sz w:val="20"/>
          <w:szCs w:val="20"/>
        </w:rPr>
        <w:t xml:space="preserve"> NCR sponsors defined benefit pension plans. NCR’</w:t>
      </w:r>
      <w:r>
        <w:rPr>
          <w:rFonts w:eastAsia="Times New Roman"/>
          <w:color w:val="000000"/>
          <w:sz w:val="20"/>
          <w:szCs w:val="20"/>
        </w:rPr>
        <w:t>s U.S. pension plan no longer offers additional benefits and is closed to new participants. Internationally, the defined benefit plans are based primarily upon compensation and years of service. Certain international plans also no longer offer additional b</w:t>
      </w:r>
      <w:r>
        <w:rPr>
          <w:rFonts w:eastAsia="Times New Roman"/>
          <w:color w:val="000000"/>
          <w:sz w:val="20"/>
          <w:szCs w:val="20"/>
        </w:rPr>
        <w:t>enefits and are closed to new participants. NCR’s funding policy is to contribute annually no less than the minimum required by applicable laws and regulations. Assets of NCR’s defined benefit plans are primarily invested in common and commingled trusts, c</w:t>
      </w:r>
      <w:r>
        <w:rPr>
          <w:rFonts w:eastAsia="Times New Roman"/>
          <w:color w:val="000000"/>
          <w:sz w:val="20"/>
          <w:szCs w:val="20"/>
        </w:rPr>
        <w:t>orporate and government debt securities, publicly traded common stocks, real estate investments, and cash or cash equivalents.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recognizes the funded status of each applicable plan on the Consolidated Balance Sheets. Each overfunded plan is recognized</w:t>
      </w:r>
      <w:r>
        <w:rPr>
          <w:rFonts w:eastAsia="Times New Roman"/>
          <w:color w:val="000000"/>
          <w:sz w:val="20"/>
          <w:szCs w:val="20"/>
        </w:rPr>
        <w:t xml:space="preserve"> as an asset and each underfunded plan is recognized as a liability. For pension plans, changes in the fair value of plan assets and net actuarial gains or losses are recognized upon remeasurement, which is at least annually in the fourth quarter of each y</w:t>
      </w:r>
      <w:r>
        <w:rPr>
          <w:rFonts w:eastAsia="Times New Roman"/>
          <w:color w:val="000000"/>
          <w:sz w:val="20"/>
          <w:szCs w:val="20"/>
        </w:rPr>
        <w:t>ear. For postretirement and postemployment plans, changes to the funded status are recognized as a component of other comprehensive loss in stockholders' equity.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sponsors a U.S. postretirement benefit plan that no longer offers benefits to U.S. parti</w:t>
      </w:r>
      <w:r>
        <w:rPr>
          <w:rFonts w:eastAsia="Times New Roman"/>
          <w:color w:val="000000"/>
          <w:sz w:val="20"/>
          <w:szCs w:val="20"/>
        </w:rPr>
        <w:t>cipants who had not reached a certain age and years of service with NCR. The plan provides medical care benefits to retirees and their eligible dependents. Non-U.S. employees are typically covered under government-sponsored programs, and NCR generally does</w:t>
      </w:r>
      <w:r>
        <w:rPr>
          <w:rFonts w:eastAsia="Times New Roman"/>
          <w:color w:val="000000"/>
          <w:sz w:val="20"/>
          <w:szCs w:val="20"/>
        </w:rPr>
        <w:t xml:space="preserve"> not provide postretirement benefits other than pensions to non-U.S. retirees. NCR generally funds these benefits on a pay-as-you-go basis.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NCR offers various postemployment benefits to involuntarily terminated and certain inactive employees after emplo</w:t>
      </w:r>
      <w:r>
        <w:rPr>
          <w:rFonts w:eastAsia="Times New Roman"/>
          <w:color w:val="000000"/>
          <w:sz w:val="20"/>
          <w:szCs w:val="20"/>
        </w:rPr>
        <w:t>yment but before retirement. These benefits are paid in accordance with NCR’s established postemployment benefit practices and policies. Postemployment benefits include mainly severance as well as continuation of healthcare benefits and life insurance cove</w:t>
      </w:r>
      <w:r>
        <w:rPr>
          <w:rFonts w:eastAsia="Times New Roman"/>
          <w:color w:val="000000"/>
          <w:sz w:val="20"/>
          <w:szCs w:val="20"/>
        </w:rPr>
        <w:t>rage while on disability. NCR provides appropriate accruals for these postemployment benefits. These postemployment benefits are funded on a pay-as-you-go basis.</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621812106"/>
        <w:rPr>
          <w:rFonts w:eastAsia="Times New Roman"/>
        </w:rPr>
      </w:pPr>
      <w:r>
        <w:rPr>
          <w:rFonts w:eastAsia="Times New Roman"/>
          <w:color w:val="000000"/>
          <w:sz w:val="20"/>
          <w:szCs w:val="20"/>
        </w:rPr>
        <w:t>96</w:t>
      </w:r>
    </w:p>
    <w:p w:rsidR="00000000" w:rsidRDefault="0040289C">
      <w:pPr>
        <w:rPr>
          <w:rFonts w:eastAsia="Times New Roman"/>
        </w:rPr>
      </w:pPr>
      <w:r>
        <w:rPr>
          <w:rFonts w:eastAsia="Times New Roman"/>
        </w:rPr>
        <w:pict>
          <v:rect id="_x0000_i1126" style="width:0;height:1.5pt" o:hralign="center" o:hrstd="t" o:hr="t" fillcolor="#a0a0a0" stroked="f"/>
        </w:pict>
      </w:r>
    </w:p>
    <w:p w:rsidR="00000000" w:rsidRDefault="0040289C">
      <w:pPr>
        <w:divId w:val="67202923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607857379"/>
        <w:rPr>
          <w:rFonts w:eastAsia="Times New Roman"/>
        </w:rPr>
      </w:pPr>
    </w:p>
    <w:p w:rsidR="00000000" w:rsidRDefault="0040289C">
      <w:pPr>
        <w:jc w:val="both"/>
        <w:rPr>
          <w:rFonts w:eastAsia="Times New Roman"/>
        </w:rPr>
      </w:pPr>
      <w:r>
        <w:rPr>
          <w:rFonts w:eastAsia="Times New Roman"/>
          <w:i/>
          <w:iCs/>
          <w:color w:val="000000"/>
          <w:sz w:val="20"/>
          <w:szCs w:val="20"/>
        </w:rPr>
        <w:t xml:space="preserve">Pension Plans </w:t>
      </w:r>
      <w:r>
        <w:rPr>
          <w:rFonts w:eastAsia="Times New Roman"/>
          <w:color w:val="000000"/>
          <w:sz w:val="20"/>
          <w:szCs w:val="20"/>
        </w:rPr>
        <w:t xml:space="preserve">Reconciliation of the beginning and ending balances of the benefit obligations for NCR's pension plans are as follows: </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3382"/>
        <w:gridCol w:w="38"/>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186405137"/>
          <w:jc w:val="center"/>
        </w:trPr>
        <w:tc>
          <w:tcPr>
            <w:tcW w:w="50" w:type="pct"/>
            <w:vAlign w:val="center"/>
            <w:hideMark/>
          </w:tcPr>
          <w:p w:rsidR="00000000" w:rsidRDefault="0040289C">
            <w:pPr>
              <w:jc w:val="both"/>
              <w:rPr>
                <w:rFonts w:eastAsia="Times New Roman"/>
              </w:rPr>
            </w:pPr>
          </w:p>
        </w:tc>
        <w:tc>
          <w:tcPr>
            <w:tcW w:w="20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86405137"/>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 Pension Benefits</w:t>
            </w:r>
          </w:p>
        </w:tc>
      </w:tr>
      <w:tr w:rsidR="00000000">
        <w:trPr>
          <w:divId w:val="186405137"/>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18640513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640513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2,067 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1,246 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2,987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service cost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Amendment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Actuarial (gain)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(409)</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(631)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(159)</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Benefits paid</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w:t>
            </w:r>
            <w:r>
              <w:rPr>
                <w:rFonts w:eastAsia="Times New Roman"/>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Settlements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Plan participant contributions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Currency translation adjustments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640513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Accumulated benefit obligation as of December 31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1,397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1,882 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761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1,095 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2,158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2,977 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10638674"/>
        <w:rPr>
          <w:rFonts w:eastAsia="Times New Roman"/>
        </w:rPr>
      </w:pPr>
    </w:p>
    <w:p w:rsidR="00000000" w:rsidRDefault="0040289C">
      <w:pPr>
        <w:divId w:val="208230914"/>
        <w:rPr>
          <w:rFonts w:eastAsia="Times New Roman"/>
        </w:rPr>
      </w:pPr>
      <w:r>
        <w:rPr>
          <w:rFonts w:eastAsia="Times New Roman"/>
          <w:color w:val="000000"/>
          <w:sz w:val="20"/>
          <w:szCs w:val="20"/>
        </w:rPr>
        <w:t>A reconciliation of the beginning and ending balances of the fair value of the plan assets of NCR's pension plans are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383"/>
        <w:gridCol w:w="38"/>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1100490835"/>
          <w:jc w:val="center"/>
        </w:trPr>
        <w:tc>
          <w:tcPr>
            <w:tcW w:w="50" w:type="pct"/>
            <w:vAlign w:val="center"/>
            <w:hideMark/>
          </w:tcPr>
          <w:p w:rsidR="00000000" w:rsidRDefault="0040289C">
            <w:pPr>
              <w:rPr>
                <w:rFonts w:eastAsia="Times New Roman"/>
              </w:rPr>
            </w:pPr>
          </w:p>
        </w:tc>
        <w:tc>
          <w:tcPr>
            <w:tcW w:w="20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100490835"/>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 Pension Benefits</w:t>
            </w:r>
          </w:p>
        </w:tc>
      </w:tr>
      <w:tr w:rsidR="00000000">
        <w:trPr>
          <w:divId w:val="1100490835"/>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110049083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Change in plan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10049083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Fair value of plan assets as of January 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1,528 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2,485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2,646 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10049083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Actual return on plan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(324)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(225)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(549)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10049083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Company contributions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10049083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Benefits paid</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10049083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Settlement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10049083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10049083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Plan participant contributions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10049083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Fair value of plan assets as of December 31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354768643"/>
        <w:rPr>
          <w:rFonts w:eastAsia="Times New Roman"/>
        </w:rPr>
      </w:pPr>
      <w:r>
        <w:rPr>
          <w:rFonts w:eastAsia="Times New Roman"/>
          <w:color w:val="000000"/>
          <w:sz w:val="20"/>
          <w:szCs w:val="20"/>
        </w:rPr>
        <w:t xml:space="preserve">The following table presents the funded status and the reconciliation of the funded </w:t>
      </w:r>
      <w:r>
        <w:rPr>
          <w:rFonts w:eastAsia="Times New Roman"/>
          <w:color w:val="000000"/>
          <w:sz w:val="20"/>
          <w:szCs w:val="20"/>
        </w:rPr>
        <w:t>status to amounts recognized in the Consolidated Balance Sheets and in Accumulated other comprehensive loss as of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3394"/>
        <w:gridCol w:w="38"/>
        <w:gridCol w:w="36"/>
        <w:gridCol w:w="36"/>
        <w:gridCol w:w="36"/>
        <w:gridCol w:w="120"/>
        <w:gridCol w:w="526"/>
        <w:gridCol w:w="36"/>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0"/>
        <w:gridCol w:w="538"/>
        <w:gridCol w:w="36"/>
        <w:gridCol w:w="36"/>
        <w:gridCol w:w="36"/>
        <w:gridCol w:w="36"/>
        <w:gridCol w:w="120"/>
        <w:gridCol w:w="539"/>
        <w:gridCol w:w="36"/>
      </w:tblGrid>
      <w:tr w:rsidR="00000000">
        <w:trPr>
          <w:divId w:val="987515324"/>
          <w:jc w:val="center"/>
        </w:trPr>
        <w:tc>
          <w:tcPr>
            <w:tcW w:w="50" w:type="pct"/>
            <w:vAlign w:val="center"/>
            <w:hideMark/>
          </w:tcPr>
          <w:p w:rsidR="00000000" w:rsidRDefault="0040289C">
            <w:pPr>
              <w:rPr>
                <w:rFonts w:eastAsia="Times New Roman"/>
              </w:rPr>
            </w:pPr>
          </w:p>
        </w:tc>
        <w:tc>
          <w:tcPr>
            <w:tcW w:w="20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7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987515324"/>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 Pension Benefits</w:t>
            </w:r>
          </w:p>
        </w:tc>
      </w:tr>
      <w:tr w:rsidR="00000000">
        <w:trPr>
          <w:divId w:val="987515324"/>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987515324"/>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Funded Status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7515324"/>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987515324"/>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7515324"/>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7515324"/>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(614)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(789)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7515324"/>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amounts recognized</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7515324"/>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987515324"/>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Prior service cost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7515324"/>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1448498947"/>
        <w:rPr>
          <w:rFonts w:eastAsia="Times New Roman"/>
        </w:rPr>
      </w:pPr>
      <w:r>
        <w:rPr>
          <w:rFonts w:eastAsia="Times New Roman"/>
          <w:color w:val="000000"/>
          <w:sz w:val="20"/>
          <w:szCs w:val="20"/>
        </w:rPr>
        <w:t>97</w:t>
      </w:r>
    </w:p>
    <w:p w:rsidR="00000000" w:rsidRDefault="0040289C">
      <w:pPr>
        <w:rPr>
          <w:rFonts w:eastAsia="Times New Roman"/>
        </w:rPr>
      </w:pPr>
      <w:r>
        <w:rPr>
          <w:rFonts w:eastAsia="Times New Roman"/>
        </w:rPr>
        <w:pict>
          <v:rect id="_x0000_i1127" style="width:0;height:1.5pt" o:hralign="center" o:hrstd="t" o:hr="t" fillcolor="#a0a0a0" stroked="f"/>
        </w:pict>
      </w:r>
    </w:p>
    <w:p w:rsidR="00000000" w:rsidRDefault="0040289C">
      <w:pPr>
        <w:divId w:val="204756482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582643912"/>
        <w:rPr>
          <w:rFonts w:eastAsia="Times New Roman"/>
        </w:rPr>
      </w:pPr>
    </w:p>
    <w:p w:rsidR="00000000" w:rsidRDefault="0040289C">
      <w:pPr>
        <w:divId w:val="1363047986"/>
        <w:rPr>
          <w:rFonts w:eastAsia="Times New Roman"/>
        </w:rPr>
      </w:pPr>
    </w:p>
    <w:p w:rsidR="00000000" w:rsidRDefault="0040289C">
      <w:pPr>
        <w:jc w:val="both"/>
        <w:rPr>
          <w:rFonts w:eastAsia="Times New Roman"/>
        </w:rPr>
      </w:pPr>
      <w:r>
        <w:rPr>
          <w:rFonts w:eastAsia="Times New Roman"/>
          <w:color w:val="000000"/>
          <w:sz w:val="20"/>
          <w:szCs w:val="20"/>
        </w:rPr>
        <w:t>For</w:t>
      </w:r>
      <w:r>
        <w:rPr>
          <w:rFonts w:eastAsia="Times New Roman"/>
          <w:color w:val="000000"/>
          <w:sz w:val="20"/>
          <w:szCs w:val="20"/>
        </w:rPr>
        <w:t xml:space="preserve"> pension plans with accumulated benefit obligations in excess of plan assets, the projected benefit obligation, accumulated benefit obligation and fair value of assets were $1,584 million, $1,582 million, and $992 million, respectively, as of December 31, </w:t>
      </w:r>
      <w:r>
        <w:rPr>
          <w:rFonts w:eastAsia="Times New Roman"/>
          <w:color w:val="000000"/>
          <w:sz w:val="20"/>
          <w:szCs w:val="20"/>
        </w:rPr>
        <w:t>2022, and $2,151 million, $2,149 million and $1,382 million, respectively, as of December 31, 2021.</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net periodic benefit (income) cost of the pension plans for the years ended December 31 was as follows:</w:t>
      </w:r>
    </w:p>
    <w:tbl>
      <w:tblPr>
        <w:tblW w:w="4934" w:type="pct"/>
        <w:jc w:val="center"/>
        <w:tblCellMar>
          <w:top w:w="15" w:type="dxa"/>
          <w:left w:w="15" w:type="dxa"/>
          <w:bottom w:w="15" w:type="dxa"/>
          <w:right w:w="15" w:type="dxa"/>
        </w:tblCellMar>
        <w:tblLook w:val="04A0" w:firstRow="1" w:lastRow="0" w:firstColumn="1" w:lastColumn="0" w:noHBand="0" w:noVBand="1"/>
      </w:tblPr>
      <w:tblGrid>
        <w:gridCol w:w="39"/>
        <w:gridCol w:w="3035"/>
        <w:gridCol w:w="38"/>
        <w:gridCol w:w="120"/>
        <w:gridCol w:w="334"/>
        <w:gridCol w:w="36"/>
        <w:gridCol w:w="36"/>
        <w:gridCol w:w="36"/>
        <w:gridCol w:w="36"/>
        <w:gridCol w:w="120"/>
        <w:gridCol w:w="334"/>
        <w:gridCol w:w="36"/>
        <w:gridCol w:w="36"/>
        <w:gridCol w:w="36"/>
        <w:gridCol w:w="36"/>
        <w:gridCol w:w="120"/>
        <w:gridCol w:w="250"/>
        <w:gridCol w:w="36"/>
        <w:gridCol w:w="36"/>
        <w:gridCol w:w="36"/>
        <w:gridCol w:w="36"/>
        <w:gridCol w:w="120"/>
        <w:gridCol w:w="250"/>
        <w:gridCol w:w="36"/>
        <w:gridCol w:w="36"/>
        <w:gridCol w:w="36"/>
        <w:gridCol w:w="36"/>
        <w:gridCol w:w="120"/>
        <w:gridCol w:w="334"/>
        <w:gridCol w:w="36"/>
        <w:gridCol w:w="36"/>
        <w:gridCol w:w="36"/>
        <w:gridCol w:w="36"/>
        <w:gridCol w:w="121"/>
        <w:gridCol w:w="295"/>
        <w:gridCol w:w="36"/>
        <w:gridCol w:w="36"/>
        <w:gridCol w:w="36"/>
        <w:gridCol w:w="36"/>
        <w:gridCol w:w="120"/>
        <w:gridCol w:w="334"/>
        <w:gridCol w:w="36"/>
        <w:gridCol w:w="36"/>
        <w:gridCol w:w="36"/>
        <w:gridCol w:w="36"/>
        <w:gridCol w:w="120"/>
        <w:gridCol w:w="434"/>
        <w:gridCol w:w="36"/>
        <w:gridCol w:w="36"/>
        <w:gridCol w:w="36"/>
        <w:gridCol w:w="36"/>
        <w:gridCol w:w="120"/>
        <w:gridCol w:w="250"/>
        <w:gridCol w:w="36"/>
      </w:tblGrid>
      <w:tr w:rsidR="00000000">
        <w:trPr>
          <w:divId w:val="1190682108"/>
          <w:jc w:val="center"/>
        </w:trPr>
        <w:tc>
          <w:tcPr>
            <w:tcW w:w="50" w:type="pct"/>
            <w:vAlign w:val="center"/>
            <w:hideMark/>
          </w:tcPr>
          <w:p w:rsidR="00000000" w:rsidRDefault="0040289C">
            <w:pPr>
              <w:jc w:val="both"/>
              <w:rPr>
                <w:rFonts w:eastAsia="Times New Roman"/>
              </w:rPr>
            </w:pPr>
          </w:p>
        </w:tc>
        <w:tc>
          <w:tcPr>
            <w:tcW w:w="192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190682108"/>
          <w:trHeight w:val="480"/>
          <w:jc w:val="center"/>
        </w:trPr>
        <w:tc>
          <w:tcPr>
            <w:tcW w:w="0" w:type="auto"/>
            <w:gridSpan w:val="3"/>
            <w:vMerge w:val="restart"/>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 Pension Benefits</w:t>
            </w:r>
          </w:p>
        </w:tc>
      </w:tr>
      <w:tr w:rsidR="00000000">
        <w:trPr>
          <w:divId w:val="1190682108"/>
          <w:trHeight w:val="480"/>
          <w:jc w:val="center"/>
        </w:trPr>
        <w:tc>
          <w:tcPr>
            <w:tcW w:w="0" w:type="auto"/>
            <w:gridSpan w:val="3"/>
            <w:vMerge/>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40289C">
        <w:trPr>
          <w:divId w:val="119068210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119068210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119068210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119068210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190682108"/>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190682108"/>
          <w:jc w:val="center"/>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40289C">
        <w:trPr>
          <w:divId w:val="119068210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119068210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Net periodic benefit (income)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net actuarial loss in 2022 was primarily due to the impact of economic downturns on the value of plan assets, partially offset by an increase in discount rates in measuring the benefit obligation. Actuarial gains in 2021 w</w:t>
      </w:r>
      <w:r>
        <w:rPr>
          <w:rFonts w:eastAsia="Times New Roman"/>
          <w:color w:val="000000"/>
          <w:sz w:val="20"/>
          <w:szCs w:val="20"/>
          <w:shd w:val="clear" w:color="auto" w:fill="FFFFFF"/>
        </w:rPr>
        <w:t xml:space="preserve">ere primarily due </w:t>
      </w:r>
      <w:r>
        <w:rPr>
          <w:rFonts w:eastAsia="Times New Roman"/>
          <w:color w:val="000000"/>
          <w:sz w:val="20"/>
          <w:szCs w:val="20"/>
          <w:shd w:val="clear" w:color="auto" w:fill="FFFFFF"/>
        </w:rPr>
        <w:t xml:space="preserve">to an increase in discount rates as well as a favorable impact from an update to the mortality tables. </w:t>
      </w:r>
      <w:r>
        <w:rPr>
          <w:rFonts w:eastAsia="Times New Roman"/>
          <w:color w:val="000000"/>
          <w:sz w:val="20"/>
          <w:szCs w:val="20"/>
        </w:rPr>
        <w:t xml:space="preserve">Actuarial losses in 2020 </w:t>
      </w:r>
      <w:r>
        <w:rPr>
          <w:rFonts w:eastAsia="Times New Roman"/>
          <w:color w:val="000000"/>
          <w:sz w:val="20"/>
          <w:szCs w:val="20"/>
          <w:shd w:val="clear" w:color="auto" w:fill="FFFFFF"/>
        </w:rPr>
        <w:t xml:space="preserve">were primarily due to a decrease in the discount rate.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weighted average rates and assumptions used to determine benefit o</w:t>
      </w:r>
      <w:r>
        <w:rPr>
          <w:rFonts w:eastAsia="Times New Roman"/>
          <w:color w:val="000000"/>
          <w:sz w:val="20"/>
          <w:szCs w:val="20"/>
        </w:rPr>
        <w:t>bligations as of December 31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349"/>
        <w:gridCol w:w="36"/>
        <w:gridCol w:w="36"/>
        <w:gridCol w:w="36"/>
        <w:gridCol w:w="36"/>
        <w:gridCol w:w="42"/>
        <w:gridCol w:w="444"/>
        <w:gridCol w:w="221"/>
        <w:gridCol w:w="36"/>
        <w:gridCol w:w="36"/>
        <w:gridCol w:w="36"/>
        <w:gridCol w:w="41"/>
        <w:gridCol w:w="456"/>
        <w:gridCol w:w="188"/>
        <w:gridCol w:w="36"/>
        <w:gridCol w:w="36"/>
        <w:gridCol w:w="36"/>
        <w:gridCol w:w="52"/>
        <w:gridCol w:w="445"/>
        <w:gridCol w:w="221"/>
        <w:gridCol w:w="36"/>
        <w:gridCol w:w="36"/>
        <w:gridCol w:w="36"/>
        <w:gridCol w:w="51"/>
        <w:gridCol w:w="446"/>
        <w:gridCol w:w="187"/>
        <w:gridCol w:w="36"/>
        <w:gridCol w:w="36"/>
        <w:gridCol w:w="36"/>
        <w:gridCol w:w="41"/>
        <w:gridCol w:w="456"/>
        <w:gridCol w:w="221"/>
        <w:gridCol w:w="36"/>
        <w:gridCol w:w="36"/>
        <w:gridCol w:w="36"/>
        <w:gridCol w:w="41"/>
        <w:gridCol w:w="457"/>
        <w:gridCol w:w="188"/>
      </w:tblGrid>
      <w:tr w:rsidR="00000000">
        <w:trPr>
          <w:divId w:val="602154202"/>
          <w:jc w:val="center"/>
        </w:trPr>
        <w:tc>
          <w:tcPr>
            <w:tcW w:w="50" w:type="pct"/>
            <w:vAlign w:val="center"/>
            <w:hideMark/>
          </w:tcPr>
          <w:p w:rsidR="00000000" w:rsidRDefault="0040289C">
            <w:pPr>
              <w:jc w:val="both"/>
              <w:rPr>
                <w:rFonts w:eastAsia="Times New Roman"/>
              </w:rPr>
            </w:pPr>
          </w:p>
        </w:tc>
        <w:tc>
          <w:tcPr>
            <w:tcW w:w="20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7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602154202"/>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 Pension Benefits</w:t>
            </w:r>
          </w:p>
        </w:tc>
      </w:tr>
      <w:tr w:rsidR="00000000">
        <w:trPr>
          <w:divId w:val="602154202"/>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60215420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Discount rate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60215420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Rate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divId w:val="1513910613"/>
        <w:rPr>
          <w:rFonts w:eastAsia="Times New Roman"/>
        </w:rPr>
      </w:pPr>
    </w:p>
    <w:p w:rsidR="00000000" w:rsidRDefault="0040289C">
      <w:pPr>
        <w:jc w:val="both"/>
        <w:rPr>
          <w:rFonts w:eastAsia="Times New Roman"/>
        </w:rPr>
      </w:pPr>
      <w:r>
        <w:rPr>
          <w:rFonts w:eastAsia="Times New Roman"/>
          <w:color w:val="000000"/>
          <w:sz w:val="20"/>
          <w:szCs w:val="20"/>
        </w:rPr>
        <w:t>The weighted average rates and assumptions used to determine net periodic benefit (income) cost for the y</w:t>
      </w:r>
      <w:r>
        <w:rPr>
          <w:rFonts w:eastAsia="Times New Roman"/>
          <w:color w:val="000000"/>
          <w:sz w:val="20"/>
          <w:szCs w:val="20"/>
        </w:rPr>
        <w:t>ears ended December 31 were as follows:</w:t>
      </w:r>
    </w:p>
    <w:tbl>
      <w:tblPr>
        <w:tblW w:w="4948" w:type="pct"/>
        <w:jc w:val="center"/>
        <w:tblCellMar>
          <w:top w:w="15" w:type="dxa"/>
          <w:left w:w="15" w:type="dxa"/>
          <w:bottom w:w="15" w:type="dxa"/>
          <w:right w:w="15" w:type="dxa"/>
        </w:tblCellMar>
        <w:tblLook w:val="04A0" w:firstRow="1" w:lastRow="0" w:firstColumn="1" w:lastColumn="0" w:noHBand="0" w:noVBand="1"/>
      </w:tblPr>
      <w:tblGrid>
        <w:gridCol w:w="38"/>
        <w:gridCol w:w="1514"/>
        <w:gridCol w:w="37"/>
        <w:gridCol w:w="36"/>
        <w:gridCol w:w="36"/>
        <w:gridCol w:w="36"/>
        <w:gridCol w:w="77"/>
        <w:gridCol w:w="377"/>
        <w:gridCol w:w="221"/>
        <w:gridCol w:w="37"/>
        <w:gridCol w:w="40"/>
        <w:gridCol w:w="37"/>
        <w:gridCol w:w="76"/>
        <w:gridCol w:w="376"/>
        <w:gridCol w:w="187"/>
        <w:gridCol w:w="36"/>
        <w:gridCol w:w="39"/>
        <w:gridCol w:w="36"/>
        <w:gridCol w:w="76"/>
        <w:gridCol w:w="376"/>
        <w:gridCol w:w="187"/>
        <w:gridCol w:w="36"/>
        <w:gridCol w:w="36"/>
        <w:gridCol w:w="36"/>
        <w:gridCol w:w="60"/>
        <w:gridCol w:w="288"/>
        <w:gridCol w:w="221"/>
        <w:gridCol w:w="37"/>
        <w:gridCol w:w="37"/>
        <w:gridCol w:w="37"/>
        <w:gridCol w:w="60"/>
        <w:gridCol w:w="297"/>
        <w:gridCol w:w="188"/>
        <w:gridCol w:w="37"/>
        <w:gridCol w:w="37"/>
        <w:gridCol w:w="37"/>
        <w:gridCol w:w="59"/>
        <w:gridCol w:w="296"/>
        <w:gridCol w:w="187"/>
        <w:gridCol w:w="36"/>
        <w:gridCol w:w="36"/>
        <w:gridCol w:w="36"/>
        <w:gridCol w:w="81"/>
        <w:gridCol w:w="396"/>
        <w:gridCol w:w="221"/>
        <w:gridCol w:w="37"/>
        <w:gridCol w:w="41"/>
        <w:gridCol w:w="36"/>
        <w:gridCol w:w="80"/>
        <w:gridCol w:w="395"/>
        <w:gridCol w:w="187"/>
        <w:gridCol w:w="36"/>
        <w:gridCol w:w="41"/>
        <w:gridCol w:w="36"/>
        <w:gridCol w:w="80"/>
        <w:gridCol w:w="397"/>
        <w:gridCol w:w="187"/>
      </w:tblGrid>
      <w:tr w:rsidR="00000000">
        <w:trPr>
          <w:divId w:val="894773573"/>
          <w:jc w:val="center"/>
        </w:trPr>
        <w:tc>
          <w:tcPr>
            <w:tcW w:w="50" w:type="pct"/>
            <w:vAlign w:val="center"/>
            <w:hideMark/>
          </w:tcPr>
          <w:p w:rsidR="00000000" w:rsidRDefault="0040289C">
            <w:pPr>
              <w:jc w:val="both"/>
              <w:rPr>
                <w:rFonts w:eastAsia="Times New Roman"/>
              </w:rPr>
            </w:pPr>
          </w:p>
        </w:tc>
        <w:tc>
          <w:tcPr>
            <w:tcW w:w="189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894773573"/>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 Pension Benefits</w:t>
            </w:r>
          </w:p>
        </w:tc>
      </w:tr>
      <w:tr w:rsidR="00000000">
        <w:trPr>
          <w:divId w:val="894773573"/>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894773573"/>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Discount rate - Service Cost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40289C">
        <w:trPr>
          <w:divId w:val="894773573"/>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Discount rate - Interest Cost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40289C">
        <w:trPr>
          <w:divId w:val="894773573"/>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Expected return on plan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894773573"/>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Rate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divId w:val="1163009813"/>
        <w:rPr>
          <w:rFonts w:eastAsia="Times New Roman"/>
        </w:rPr>
      </w:pPr>
    </w:p>
    <w:p w:rsidR="00000000" w:rsidRDefault="0040289C">
      <w:pPr>
        <w:jc w:val="both"/>
        <w:rPr>
          <w:rFonts w:eastAsia="Times New Roman"/>
        </w:rPr>
      </w:pPr>
      <w:r>
        <w:rPr>
          <w:rFonts w:eastAsia="Times New Roman"/>
          <w:color w:val="000000"/>
          <w:sz w:val="20"/>
          <w:szCs w:val="20"/>
        </w:rPr>
        <w:t>The weighted-average cash balance interest crediting rate for the Company's cash balance defined benefit plans was 2.1% and 1.1% for the years ended December 31, 2022 and 2021, respectively.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disco</w:t>
      </w:r>
      <w:r>
        <w:rPr>
          <w:rFonts w:eastAsia="Times New Roman"/>
          <w:color w:val="000000"/>
          <w:sz w:val="20"/>
          <w:szCs w:val="20"/>
        </w:rPr>
        <w:t>unt rate used to determine U.S. benefit obligations as of December 31, 2022 was derived by matching the plans’ expected future cash flows to the corresponding yields from the Willis Tower Watson ("WTW") Rate:Link 10th-90th yield curve. In fiscal 2021 and 2</w:t>
      </w:r>
      <w:r>
        <w:rPr>
          <w:rFonts w:eastAsia="Times New Roman"/>
          <w:color w:val="000000"/>
          <w:sz w:val="20"/>
          <w:szCs w:val="20"/>
        </w:rPr>
        <w:t>020, the discount rate was determined using the Aon Hewitt AA Bond Universe Curve. The WTW Rate:Link 10th-90th yield curve has been constructed to represent the available yields on high-quality, fixed income investments across a broad range of future matur</w:t>
      </w:r>
      <w:r>
        <w:rPr>
          <w:rFonts w:eastAsia="Times New Roman"/>
          <w:color w:val="000000"/>
          <w:sz w:val="20"/>
          <w:szCs w:val="20"/>
        </w:rPr>
        <w:t xml:space="preserve">ities. International discount rates were determined by examining interest rate levels and trends within each country, particularly yields on high-quality, long-term corporate bonds, relative to our future expected cash flows. </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898322096"/>
        <w:rPr>
          <w:rFonts w:eastAsia="Times New Roman"/>
        </w:rPr>
      </w:pPr>
      <w:r>
        <w:rPr>
          <w:rFonts w:eastAsia="Times New Roman"/>
          <w:color w:val="000000"/>
          <w:sz w:val="20"/>
          <w:szCs w:val="20"/>
        </w:rPr>
        <w:t>98</w:t>
      </w:r>
    </w:p>
    <w:p w:rsidR="00000000" w:rsidRDefault="0040289C">
      <w:pPr>
        <w:rPr>
          <w:rFonts w:eastAsia="Times New Roman"/>
        </w:rPr>
      </w:pPr>
      <w:r>
        <w:rPr>
          <w:rFonts w:eastAsia="Times New Roman"/>
        </w:rPr>
        <w:pict>
          <v:rect id="_x0000_i1128" style="width:0;height:1.5pt" o:hralign="center" o:hrstd="t" o:hr="t" fillcolor="#a0a0a0" stroked="f"/>
        </w:pict>
      </w:r>
    </w:p>
    <w:p w:rsidR="00000000" w:rsidRDefault="0040289C">
      <w:pPr>
        <w:divId w:val="169819542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490976181"/>
        <w:rPr>
          <w:rFonts w:eastAsia="Times New Roman"/>
        </w:rPr>
      </w:pPr>
    </w:p>
    <w:p w:rsidR="00000000" w:rsidRDefault="0040289C">
      <w:pPr>
        <w:jc w:val="both"/>
        <w:rPr>
          <w:rFonts w:eastAsia="Times New Roman"/>
        </w:rPr>
      </w:pPr>
      <w:r>
        <w:rPr>
          <w:rFonts w:eastAsia="Times New Roman"/>
          <w:color w:val="000000"/>
          <w:sz w:val="20"/>
          <w:szCs w:val="20"/>
        </w:rPr>
        <w:t>NCR employs a building block approach as its primary approach in determining the long-term expected rate of return assumptions for plan asset</w:t>
      </w:r>
      <w:r>
        <w:rPr>
          <w:rFonts w:eastAsia="Times New Roman"/>
          <w:color w:val="000000"/>
          <w:sz w:val="20"/>
          <w:szCs w:val="20"/>
        </w:rPr>
        <w:t>s. Historical market returns are studied and long-term relationships between equities and fixed income are preserved consistent with the widely accepted capital market principle that assets with higher volatilities generate higher returns over the long run</w:t>
      </w:r>
      <w:r>
        <w:rPr>
          <w:rFonts w:eastAsia="Times New Roman"/>
          <w:color w:val="000000"/>
          <w:sz w:val="20"/>
          <w:szCs w:val="20"/>
        </w:rPr>
        <w:t>. Current market factors, such as inflation and interest rates are evaluated before long-term capital market assumptions are determined. The expected long-term portfolio return is established for each plan via a building block approach with proper rebalanc</w:t>
      </w:r>
      <w:r>
        <w:rPr>
          <w:rFonts w:eastAsia="Times New Roman"/>
          <w:color w:val="000000"/>
          <w:sz w:val="20"/>
          <w:szCs w:val="20"/>
        </w:rPr>
        <w:t>ing consideration. The result is then adjusted to reflect additional expected return from active management net of plan expenses. Historical plan returns, the expectations of other capital market participants, and peer data may be used to review and assess</w:t>
      </w:r>
      <w:r>
        <w:rPr>
          <w:rFonts w:eastAsia="Times New Roman"/>
          <w:color w:val="000000"/>
          <w:sz w:val="20"/>
          <w:szCs w:val="20"/>
        </w:rPr>
        <w:t xml:space="preserve"> the results for reasonableness and appropriateness. </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Plan Assets </w:t>
      </w:r>
      <w:r>
        <w:rPr>
          <w:rFonts w:eastAsia="Times New Roman"/>
          <w:color w:val="000000"/>
          <w:sz w:val="20"/>
          <w:szCs w:val="20"/>
        </w:rPr>
        <w:t>The weighted average asset allocations as of December 31, 2022 and 2021 by asset category are as follows:</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3504"/>
        <w:gridCol w:w="36"/>
        <w:gridCol w:w="36"/>
        <w:gridCol w:w="36"/>
        <w:gridCol w:w="36"/>
        <w:gridCol w:w="49"/>
        <w:gridCol w:w="385"/>
        <w:gridCol w:w="221"/>
        <w:gridCol w:w="37"/>
        <w:gridCol w:w="37"/>
        <w:gridCol w:w="37"/>
        <w:gridCol w:w="49"/>
        <w:gridCol w:w="384"/>
        <w:gridCol w:w="188"/>
        <w:gridCol w:w="36"/>
        <w:gridCol w:w="36"/>
        <w:gridCol w:w="36"/>
        <w:gridCol w:w="76"/>
        <w:gridCol w:w="660"/>
        <w:gridCol w:w="36"/>
        <w:gridCol w:w="36"/>
        <w:gridCol w:w="36"/>
        <w:gridCol w:w="36"/>
        <w:gridCol w:w="49"/>
        <w:gridCol w:w="322"/>
        <w:gridCol w:w="221"/>
        <w:gridCol w:w="37"/>
        <w:gridCol w:w="37"/>
        <w:gridCol w:w="37"/>
        <w:gridCol w:w="49"/>
        <w:gridCol w:w="377"/>
        <w:gridCol w:w="187"/>
        <w:gridCol w:w="36"/>
        <w:gridCol w:w="36"/>
        <w:gridCol w:w="36"/>
        <w:gridCol w:w="76"/>
        <w:gridCol w:w="660"/>
        <w:gridCol w:w="36"/>
      </w:tblGrid>
      <w:tr w:rsidR="00000000">
        <w:trPr>
          <w:divId w:val="1835796271"/>
          <w:jc w:val="center"/>
        </w:trPr>
        <w:tc>
          <w:tcPr>
            <w:tcW w:w="50" w:type="pct"/>
            <w:vAlign w:val="center"/>
            <w:hideMark/>
          </w:tcPr>
          <w:p w:rsidR="00000000" w:rsidRDefault="0040289C">
            <w:pPr>
              <w:jc w:val="both"/>
              <w:rPr>
                <w:rFonts w:eastAsia="Times New Roman"/>
              </w:rPr>
            </w:pPr>
          </w:p>
        </w:tc>
        <w:tc>
          <w:tcPr>
            <w:tcW w:w="218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835796271"/>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 Pension Fund</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Pension Fund</w:t>
            </w:r>
          </w:p>
        </w:tc>
      </w:tr>
      <w:tr w:rsidR="00000000">
        <w:trPr>
          <w:divId w:val="1835796271"/>
          <w:trHeight w:val="660"/>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Actual Allocation of Plan Assets as of 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Target Asset Allocation</w:t>
            </w:r>
            <w:r>
              <w:rPr>
                <w:rFonts w:eastAsia="Times New Roman"/>
                <w:b/>
                <w:bCs/>
                <w:color w:val="000000"/>
                <w:sz w:val="16"/>
                <w:szCs w:val="16"/>
              </w:rPr>
              <w:t xml:space="preserve"> </w:t>
            </w:r>
            <w:r>
              <w:rPr>
                <w:rFonts w:eastAsia="Times New Roman"/>
                <w:b/>
                <w:bCs/>
                <w:color w:val="000000"/>
                <w:sz w:val="10"/>
                <w:szCs w:val="10"/>
              </w:rPr>
              <w:t>(3</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Actual Allocation of Plan Assets as of December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Target Asset Allocation</w:t>
            </w:r>
          </w:p>
        </w:tc>
      </w:tr>
      <w:tr w:rsidR="00000000">
        <w:trPr>
          <w:divId w:val="1835796271"/>
          <w:trHeight w:val="300"/>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40289C">
            <w:pPr>
              <w:spacing w:after="100"/>
              <w:rPr>
                <w:rFonts w:eastAsia="Times New Roman"/>
              </w:rPr>
            </w:pPr>
          </w:p>
        </w:tc>
      </w:tr>
      <w:tr w:rsidR="00000000">
        <w:trPr>
          <w:divId w:val="1835796271"/>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divId w:val="1062603299"/>
              <w:rPr>
                <w:rFonts w:eastAsia="Times New Roman"/>
              </w:rPr>
            </w:pPr>
            <w:r>
              <w:rPr>
                <w:rFonts w:eastAsia="Times New Roman"/>
                <w:color w:val="000000"/>
                <w:sz w:val="20"/>
                <w:szCs w:val="20"/>
              </w:rPr>
              <w:t>Equity and other investments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60 - 85%</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10 - 30%</w:t>
            </w:r>
          </w:p>
        </w:tc>
      </w:tr>
      <w:tr w:rsidR="00000000">
        <w:trPr>
          <w:divId w:val="1835796271"/>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890144880"/>
              <w:rPr>
                <w:rFonts w:eastAsia="Times New Roman"/>
              </w:rPr>
            </w:pPr>
            <w:r>
              <w:rPr>
                <w:rFonts w:eastAsia="Times New Roman"/>
                <w:color w:val="000000"/>
                <w:sz w:val="20"/>
                <w:szCs w:val="20"/>
              </w:rPr>
              <w:t>Debt securities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5 - 20%</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50 - 70%</w:t>
            </w:r>
          </w:p>
        </w:tc>
      </w:tr>
      <w:tr w:rsidR="00000000">
        <w:trPr>
          <w:divId w:val="1835796271"/>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Real estate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0 - 20%</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10 - 20%</w:t>
            </w:r>
          </w:p>
        </w:tc>
      </w:tr>
      <w:tr w:rsidR="00000000">
        <w:trPr>
          <w:divId w:val="1835796271"/>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10 - 30%</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5 - 15%</w:t>
            </w:r>
          </w:p>
        </w:tc>
      </w:tr>
      <w:tr w:rsidR="00000000">
        <w:trPr>
          <w:divId w:val="1835796271"/>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Includes equity securities and equities held in comingled trusts.</w:t>
      </w:r>
    </w:p>
    <w:p w:rsidR="00000000" w:rsidRDefault="0040289C">
      <w:pPr>
        <w:jc w:val="both"/>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xml:space="preserve"> Includes debt securities and debt held in comingled trusts.</w:t>
      </w:r>
    </w:p>
    <w:p w:rsidR="00000000" w:rsidRDefault="0040289C">
      <w:pPr>
        <w:jc w:val="both"/>
        <w:rPr>
          <w:rFonts w:eastAsia="Times New Roman"/>
        </w:rPr>
      </w:pPr>
      <w:r>
        <w:rPr>
          <w:rFonts w:eastAsia="Times New Roman"/>
          <w:color w:val="000000"/>
          <w:sz w:val="13"/>
          <w:szCs w:val="13"/>
        </w:rPr>
        <w:t>(3)</w:t>
      </w:r>
      <w:r>
        <w:rPr>
          <w:rFonts w:eastAsia="Times New Roman"/>
          <w:color w:val="000000"/>
          <w:sz w:val="13"/>
          <w:szCs w:val="13"/>
        </w:rPr>
        <w:t xml:space="preserve"> </w:t>
      </w:r>
      <w:r>
        <w:rPr>
          <w:rFonts w:eastAsia="Times New Roman"/>
          <w:color w:val="000000"/>
          <w:sz w:val="20"/>
          <w:szCs w:val="20"/>
        </w:rPr>
        <w:t xml:space="preserve">In 2022, </w:t>
      </w:r>
      <w:r>
        <w:rPr>
          <w:rFonts w:eastAsia="Times New Roman"/>
          <w:color w:val="000000"/>
          <w:sz w:val="20"/>
          <w:szCs w:val="20"/>
        </w:rPr>
        <w:t>the Company had a change in investment strategy for the U.S. pension plan. Refer to the</w:t>
      </w:r>
      <w:r>
        <w:rPr>
          <w:rFonts w:eastAsia="Times New Roman"/>
          <w:i/>
          <w:iCs/>
          <w:color w:val="000000"/>
          <w:sz w:val="20"/>
          <w:szCs w:val="20"/>
        </w:rPr>
        <w:t xml:space="preserve"> Investment Strategy </w:t>
      </w:r>
      <w:r>
        <w:rPr>
          <w:rFonts w:eastAsia="Times New Roman"/>
          <w:color w:val="000000"/>
          <w:sz w:val="20"/>
          <w:szCs w:val="20"/>
        </w:rPr>
        <w:t>section below.</w:t>
      </w: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549607957"/>
        <w:rPr>
          <w:rFonts w:eastAsia="Times New Roman"/>
        </w:rPr>
      </w:pPr>
      <w:r>
        <w:rPr>
          <w:rFonts w:eastAsia="Times New Roman"/>
          <w:color w:val="000000"/>
          <w:sz w:val="20"/>
          <w:szCs w:val="20"/>
        </w:rPr>
        <w:t>99</w:t>
      </w:r>
    </w:p>
    <w:p w:rsidR="00000000" w:rsidRDefault="0040289C">
      <w:pPr>
        <w:rPr>
          <w:rFonts w:eastAsia="Times New Roman"/>
        </w:rPr>
      </w:pPr>
      <w:r>
        <w:rPr>
          <w:rFonts w:eastAsia="Times New Roman"/>
        </w:rPr>
        <w:pict>
          <v:rect id="_x0000_i1129" style="width:0;height:1.5pt" o:hralign="center" o:hrstd="t" o:hr="t" fillcolor="#a0a0a0" stroked="f"/>
        </w:pict>
      </w:r>
    </w:p>
    <w:p w:rsidR="00000000" w:rsidRDefault="0040289C">
      <w:pPr>
        <w:divId w:val="130727322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16939742"/>
        <w:rPr>
          <w:rFonts w:eastAsia="Times New Roman"/>
        </w:rPr>
      </w:pPr>
    </w:p>
    <w:p w:rsidR="00000000" w:rsidRDefault="0040289C">
      <w:pPr>
        <w:jc w:val="both"/>
        <w:rPr>
          <w:rFonts w:eastAsia="Times New Roman"/>
        </w:rPr>
      </w:pPr>
      <w:r>
        <w:rPr>
          <w:rFonts w:eastAsia="Times New Roman"/>
          <w:color w:val="000000"/>
          <w:sz w:val="20"/>
          <w:szCs w:val="20"/>
        </w:rPr>
        <w:t>The fair value of plan assets as of December 31, 2022 and 2021 by asset category is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91"/>
        <w:gridCol w:w="1128"/>
        <w:gridCol w:w="38"/>
        <w:gridCol w:w="83"/>
        <w:gridCol w:w="284"/>
        <w:gridCol w:w="36"/>
        <w:gridCol w:w="101"/>
        <w:gridCol w:w="555"/>
        <w:gridCol w:w="36"/>
        <w:gridCol w:w="101"/>
        <w:gridCol w:w="478"/>
        <w:gridCol w:w="36"/>
        <w:gridCol w:w="101"/>
        <w:gridCol w:w="640"/>
        <w:gridCol w:w="36"/>
        <w:gridCol w:w="101"/>
        <w:gridCol w:w="774"/>
        <w:gridCol w:w="36"/>
        <w:gridCol w:w="101"/>
        <w:gridCol w:w="465"/>
        <w:gridCol w:w="36"/>
        <w:gridCol w:w="36"/>
        <w:gridCol w:w="36"/>
        <w:gridCol w:w="36"/>
        <w:gridCol w:w="101"/>
        <w:gridCol w:w="564"/>
        <w:gridCol w:w="36"/>
        <w:gridCol w:w="101"/>
        <w:gridCol w:w="478"/>
        <w:gridCol w:w="36"/>
        <w:gridCol w:w="101"/>
        <w:gridCol w:w="630"/>
        <w:gridCol w:w="36"/>
        <w:gridCol w:w="101"/>
        <w:gridCol w:w="764"/>
        <w:gridCol w:w="36"/>
        <w:gridCol w:w="101"/>
        <w:gridCol w:w="458"/>
        <w:gridCol w:w="36"/>
      </w:tblGrid>
      <w:tr w:rsidR="00000000">
        <w:trPr>
          <w:divId w:val="497500139"/>
          <w:jc w:val="center"/>
        </w:trPr>
        <w:tc>
          <w:tcPr>
            <w:tcW w:w="50" w:type="pct"/>
            <w:vAlign w:val="center"/>
            <w:hideMark/>
          </w:tcPr>
          <w:p w:rsidR="00000000" w:rsidRDefault="0040289C">
            <w:pPr>
              <w:jc w:val="both"/>
              <w:rPr>
                <w:rFonts w:eastAsia="Times New Roman"/>
              </w:rPr>
            </w:pPr>
          </w:p>
        </w:tc>
        <w:tc>
          <w:tcPr>
            <w:tcW w:w="6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1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7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497500139"/>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U.S.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International</w:t>
            </w:r>
          </w:p>
        </w:tc>
      </w:tr>
      <w:tr w:rsidR="00000000">
        <w:trPr>
          <w:divId w:val="497500139"/>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4"/>
                <w:szCs w:val="14"/>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Notes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Fair Value as of December 31, 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Significant Other Observable Inputs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Not Subject to Leveling</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Fair Value as of December 31, 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Significant Other Observable Inpu</w:t>
            </w:r>
            <w:r>
              <w:rPr>
                <w:rFonts w:eastAsia="Times New Roman"/>
                <w:b/>
                <w:bCs/>
                <w:color w:val="000000"/>
                <w:sz w:val="14"/>
                <w:szCs w:val="14"/>
              </w:rPr>
              <w:t>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 xml:space="preserve">Not Subject to Leveling </w:t>
            </w:r>
          </w:p>
        </w:tc>
      </w:tr>
      <w:tr w:rsidR="00000000">
        <w:trPr>
          <w:divId w:val="497500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9750013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i/>
                <w:iCs/>
                <w:color w:val="000000"/>
                <w:sz w:val="16"/>
                <w:szCs w:val="16"/>
              </w:rPr>
              <w:t>Equity securities and other investments: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40289C">
        <w:trPr>
          <w:divId w:val="497500139"/>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stock</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88 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88 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and commingled trusts - Equities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603 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603 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i/>
                <w:iCs/>
                <w:color w:val="000000"/>
                <w:sz w:val="16"/>
                <w:szCs w:val="16"/>
              </w:rPr>
              <w:t>Fixed income securities: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97500139"/>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Government securities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Corporate debt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and commingled trusts - Bonds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330 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330 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Insurance products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i/>
                <w:iCs/>
                <w:color w:val="000000"/>
                <w:sz w:val="16"/>
                <w:szCs w:val="16"/>
              </w:rPr>
              <w:t>Real Estate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97500139"/>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Partnership/joint venture interests - Real estate</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Real estate and other</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i/>
                <w:iCs/>
                <w:color w:val="000000"/>
                <w:sz w:val="16"/>
                <w:szCs w:val="16"/>
              </w:rPr>
              <w:t>Other types of investments: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97500139"/>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and commingled trusts - 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and commingled trusts - Balanced</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Part</w:t>
            </w:r>
            <w:r>
              <w:rPr>
                <w:rFonts w:eastAsia="Times New Roman"/>
                <w:color w:val="000000"/>
                <w:sz w:val="16"/>
                <w:szCs w:val="16"/>
              </w:rPr>
              <w:t>nership/joint venture interests - Other</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Mutual funds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497500139"/>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Hedge Funds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114 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114 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497500139"/>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Money market funds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497500139"/>
          <w:jc w:val="center"/>
        </w:trPr>
        <w:tc>
          <w:tcPr>
            <w:tcW w:w="0" w:type="auto"/>
            <w:gridSpan w:val="3"/>
            <w:shd w:val="clear" w:color="auto" w:fill="FFFF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990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990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760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154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546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1128430826"/>
        <w:rPr>
          <w:rFonts w:eastAsia="Times New Roman"/>
        </w:rPr>
      </w:pPr>
      <w:r>
        <w:rPr>
          <w:rFonts w:eastAsia="Times New Roman"/>
          <w:color w:val="000000"/>
          <w:sz w:val="20"/>
          <w:szCs w:val="20"/>
        </w:rPr>
        <w:t>100</w:t>
      </w:r>
    </w:p>
    <w:p w:rsidR="00000000" w:rsidRDefault="0040289C">
      <w:pPr>
        <w:rPr>
          <w:rFonts w:eastAsia="Times New Roman"/>
        </w:rPr>
      </w:pPr>
      <w:r>
        <w:rPr>
          <w:rFonts w:eastAsia="Times New Roman"/>
        </w:rPr>
        <w:pict>
          <v:rect id="_x0000_i1130" style="width:0;height:1.5pt" o:hralign="center" o:hrstd="t" o:hr="t" fillcolor="#a0a0a0" stroked="f"/>
        </w:pict>
      </w:r>
    </w:p>
    <w:p w:rsidR="00000000" w:rsidRDefault="0040289C">
      <w:pPr>
        <w:divId w:val="118196568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26597069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5"/>
        <w:gridCol w:w="1146"/>
        <w:gridCol w:w="39"/>
        <w:gridCol w:w="83"/>
        <w:gridCol w:w="284"/>
        <w:gridCol w:w="36"/>
        <w:gridCol w:w="101"/>
        <w:gridCol w:w="547"/>
        <w:gridCol w:w="36"/>
        <w:gridCol w:w="101"/>
        <w:gridCol w:w="472"/>
        <w:gridCol w:w="36"/>
        <w:gridCol w:w="101"/>
        <w:gridCol w:w="628"/>
        <w:gridCol w:w="36"/>
        <w:gridCol w:w="101"/>
        <w:gridCol w:w="768"/>
        <w:gridCol w:w="36"/>
        <w:gridCol w:w="101"/>
        <w:gridCol w:w="459"/>
        <w:gridCol w:w="36"/>
        <w:gridCol w:w="36"/>
        <w:gridCol w:w="36"/>
        <w:gridCol w:w="36"/>
        <w:gridCol w:w="101"/>
        <w:gridCol w:w="547"/>
        <w:gridCol w:w="36"/>
        <w:gridCol w:w="101"/>
        <w:gridCol w:w="488"/>
        <w:gridCol w:w="36"/>
        <w:gridCol w:w="101"/>
        <w:gridCol w:w="629"/>
        <w:gridCol w:w="36"/>
        <w:gridCol w:w="101"/>
        <w:gridCol w:w="764"/>
        <w:gridCol w:w="36"/>
        <w:gridCol w:w="101"/>
        <w:gridCol w:w="461"/>
        <w:gridCol w:w="36"/>
      </w:tblGrid>
      <w:tr w:rsidR="00000000">
        <w:trPr>
          <w:jc w:val="center"/>
        </w:trPr>
        <w:tc>
          <w:tcPr>
            <w:tcW w:w="50" w:type="pct"/>
            <w:vAlign w:val="center"/>
            <w:hideMark/>
          </w:tcPr>
          <w:p w:rsidR="00000000" w:rsidRDefault="0040289C">
            <w:pPr>
              <w:jc w:val="right"/>
              <w:rPr>
                <w:rFonts w:eastAsia="Times New Roman"/>
              </w:rPr>
            </w:pPr>
          </w:p>
        </w:tc>
        <w:tc>
          <w:tcPr>
            <w:tcW w:w="7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7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0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5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6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7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0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6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7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U.S.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International</w:t>
            </w: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4"/>
                <w:szCs w:val="14"/>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Notes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Fair Value as of December 31,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Significant Other Observable Inputs (Level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Not Subject to Leveling</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Fair Value as of December 31,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Quoted Prices in Active Markets for Identical Assets (Level 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 xml:space="preserve">Significant Other Observable Inputs </w:t>
            </w:r>
            <w:r>
              <w:rPr>
                <w:rFonts w:eastAsia="Times New Roman"/>
                <w:b/>
                <w:bCs/>
                <w:color w:val="000000"/>
                <w:sz w:val="14"/>
                <w:szCs w:val="14"/>
              </w:rPr>
              <w:br/>
              <w:t>(Level 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Significant Unobservable Inputs</w:t>
            </w:r>
            <w:r>
              <w:rPr>
                <w:rFonts w:eastAsia="Times New Roman"/>
                <w:b/>
                <w:bCs/>
                <w:color w:val="000000"/>
                <w:sz w:val="14"/>
                <w:szCs w:val="14"/>
              </w:rPr>
              <w:br/>
              <w:t>(Level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4"/>
                <w:szCs w:val="14"/>
              </w:rPr>
              <w:t>Not Subject to Leveling</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i/>
                <w:iCs/>
                <w:color w:val="000000"/>
                <w:sz w:val="16"/>
                <w:szCs w:val="16"/>
              </w:rPr>
              <w:t>Equity securities: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40289C">
        <w:trPr>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stock</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194 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and commingled trusts - Equities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145 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145 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i/>
                <w:iCs/>
                <w:color w:val="000000"/>
                <w:sz w:val="16"/>
                <w:szCs w:val="16"/>
              </w:rPr>
              <w:t>Fixed income securities: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Government securities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201 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Corporate debt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752 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752 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87 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87 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and commingled trusts - Bonds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457 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457 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Insurance products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i/>
                <w:iCs/>
                <w:color w:val="000000"/>
                <w:sz w:val="16"/>
                <w:szCs w:val="16"/>
              </w:rPr>
              <w:t>Real Estate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Partnership/joint venture interests - Real estate</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Real estate and other</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151 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i/>
                <w:iCs/>
                <w:color w:val="000000"/>
                <w:sz w:val="16"/>
                <w:szCs w:val="16"/>
              </w:rPr>
              <w:t>Other types of investments: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and commingled trusts - 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Common and commingled trusts - Balanced</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185 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185 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Partnership/joint venture interests - Other</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Mutual funds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jc w:val="center"/>
        </w:trPr>
        <w:tc>
          <w:tcPr>
            <w:tcW w:w="0" w:type="auto"/>
            <w:gridSpan w:val="3"/>
            <w:shd w:val="clear" w:color="auto" w:fill="CCEE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1,379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224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953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202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1,106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26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151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6"/>
                <w:szCs w:val="16"/>
              </w:rPr>
              <w:t>841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121070751"/>
        <w:rPr>
          <w:rFonts w:eastAsia="Times New Roman"/>
        </w:rPr>
      </w:pPr>
    </w:p>
    <w:p w:rsidR="00000000" w:rsidRDefault="0040289C">
      <w:pPr>
        <w:jc w:val="both"/>
        <w:rPr>
          <w:rFonts w:eastAsia="Times New Roman"/>
        </w:rPr>
      </w:pPr>
      <w:r>
        <w:rPr>
          <w:rFonts w:eastAsia="Times New Roman"/>
          <w:color w:val="000000"/>
          <w:sz w:val="20"/>
          <w:szCs w:val="20"/>
          <w:u w:val="single"/>
        </w:rPr>
        <w:t>Notes:</w:t>
      </w:r>
    </w:p>
    <w:p w:rsidR="00000000" w:rsidRDefault="0040289C">
      <w:pPr>
        <w:ind w:hanging="360"/>
        <w:jc w:val="both"/>
        <w:rPr>
          <w:rFonts w:eastAsia="Times New Roman"/>
        </w:rPr>
      </w:pPr>
      <w:r>
        <w:rPr>
          <w:rFonts w:eastAsia="Times New Roman"/>
          <w:color w:val="000000"/>
          <w:sz w:val="20"/>
          <w:szCs w:val="20"/>
        </w:rPr>
        <w:t>1.</w:t>
      </w:r>
      <w:r>
        <w:rPr>
          <w:rFonts w:eastAsia="Times New Roman"/>
          <w:color w:val="000000"/>
          <w:sz w:val="20"/>
          <w:szCs w:val="20"/>
        </w:rPr>
        <w:t>Common stocks are valued based on quoted market prices at the closing price as reported on the active market on which the individual securities are traded.</w:t>
      </w:r>
    </w:p>
    <w:p w:rsidR="00000000" w:rsidRDefault="0040289C">
      <w:pPr>
        <w:ind w:hanging="360"/>
        <w:jc w:val="both"/>
        <w:rPr>
          <w:rFonts w:eastAsia="Times New Roman"/>
        </w:rPr>
      </w:pPr>
      <w:r>
        <w:rPr>
          <w:rFonts w:eastAsia="Times New Roman"/>
          <w:color w:val="000000"/>
          <w:sz w:val="20"/>
          <w:szCs w:val="20"/>
        </w:rPr>
        <w:t>2.Government securities are valued based on yields currently available on comparable securities of i</w:t>
      </w:r>
      <w:r>
        <w:rPr>
          <w:rFonts w:eastAsia="Times New Roman"/>
          <w:color w:val="000000"/>
          <w:sz w:val="20"/>
          <w:szCs w:val="20"/>
        </w:rPr>
        <w:t xml:space="preserve">ssuers with similar credit ratings. When quoted prices are not available for identical or similar securities, the security is valued under a discounted cash flows approach that maximizes observable inputs, such as current yields on similar instruments but </w:t>
      </w:r>
      <w:r>
        <w:rPr>
          <w:rFonts w:eastAsia="Times New Roman"/>
          <w:color w:val="000000"/>
          <w:sz w:val="20"/>
          <w:szCs w:val="20"/>
        </w:rPr>
        <w:t>includes adjustments for certain risks that may not be observable, such as credit and liquidity risks.</w:t>
      </w:r>
    </w:p>
    <w:p w:rsidR="00000000" w:rsidRDefault="0040289C">
      <w:pPr>
        <w:ind w:hanging="360"/>
        <w:jc w:val="both"/>
        <w:rPr>
          <w:rFonts w:eastAsia="Times New Roman"/>
        </w:rPr>
      </w:pPr>
      <w:r>
        <w:rPr>
          <w:rFonts w:eastAsia="Times New Roman"/>
          <w:color w:val="000000"/>
          <w:sz w:val="20"/>
          <w:szCs w:val="20"/>
        </w:rPr>
        <w:t xml:space="preserve">3.Corporate debt is valued primarily based on observable market quotations for similar bonds at the closing price reported on the active market on which </w:t>
      </w:r>
      <w:r>
        <w:rPr>
          <w:rFonts w:eastAsia="Times New Roman"/>
          <w:color w:val="000000"/>
          <w:sz w:val="20"/>
          <w:szCs w:val="20"/>
        </w:rPr>
        <w:t>the individual securities are traded. When such quoted prices are not available, the bonds are valued using a discounted cash flows approach using current yields on similar instruments of issuers with similar credit ratings.</w:t>
      </w:r>
    </w:p>
    <w:p w:rsidR="00000000" w:rsidRDefault="0040289C">
      <w:pPr>
        <w:ind w:hanging="360"/>
        <w:jc w:val="both"/>
        <w:rPr>
          <w:rFonts w:eastAsia="Times New Roman"/>
        </w:rPr>
      </w:pPr>
      <w:r>
        <w:rPr>
          <w:rFonts w:eastAsia="Times New Roman"/>
          <w:color w:val="000000"/>
          <w:sz w:val="20"/>
          <w:szCs w:val="20"/>
        </w:rPr>
        <w:t xml:space="preserve">4.Common/collective trusts and </w:t>
      </w:r>
      <w:r>
        <w:rPr>
          <w:rFonts w:eastAsia="Times New Roman"/>
          <w:color w:val="000000"/>
          <w:sz w:val="20"/>
          <w:szCs w:val="20"/>
        </w:rPr>
        <w:t>registered investment companies (RICs) such as mutual funds are valued using a Net Asset Value (NAV) provided by the manager of each fund. The NAV is based on the underlying net assets owned by the fund, divided by the number of shares or units outstanding</w:t>
      </w:r>
      <w:r>
        <w:rPr>
          <w:rFonts w:eastAsia="Times New Roman"/>
          <w:color w:val="000000"/>
          <w:sz w:val="20"/>
          <w:szCs w:val="20"/>
        </w:rPr>
        <w:t>. The fair value of the underlying securities within the fund, which are generally traded on an active market, are valued at the closing price reported on the active market on which those individual securities are traded. For investments not traded on an a</w:t>
      </w:r>
      <w:r>
        <w:rPr>
          <w:rFonts w:eastAsia="Times New Roman"/>
          <w:color w:val="000000"/>
          <w:sz w:val="20"/>
          <w:szCs w:val="20"/>
        </w:rPr>
        <w:t xml:space="preserve">ctive market, or for which a quoted price is not publicly </w:t>
      </w:r>
    </w:p>
    <w:p w:rsidR="00000000" w:rsidRDefault="0040289C">
      <w:pPr>
        <w:jc w:val="center"/>
        <w:divId w:val="648245295"/>
        <w:rPr>
          <w:rFonts w:eastAsia="Times New Roman"/>
        </w:rPr>
      </w:pPr>
      <w:r>
        <w:rPr>
          <w:rFonts w:eastAsia="Times New Roman"/>
          <w:color w:val="000000"/>
          <w:sz w:val="20"/>
          <w:szCs w:val="20"/>
        </w:rPr>
        <w:t>101</w:t>
      </w:r>
    </w:p>
    <w:p w:rsidR="00000000" w:rsidRDefault="0040289C">
      <w:pPr>
        <w:rPr>
          <w:rFonts w:eastAsia="Times New Roman"/>
        </w:rPr>
      </w:pPr>
      <w:r>
        <w:rPr>
          <w:rFonts w:eastAsia="Times New Roman"/>
        </w:rPr>
        <w:pict>
          <v:rect id="_x0000_i1131" style="width:0;height:1.5pt" o:hralign="center" o:hrstd="t" o:hr="t" fillcolor="#a0a0a0" stroked="f"/>
        </w:pict>
      </w:r>
    </w:p>
    <w:p w:rsidR="00000000" w:rsidRDefault="0040289C">
      <w:pPr>
        <w:divId w:val="85526464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373500490"/>
        <w:rPr>
          <w:rFonts w:eastAsia="Times New Roman"/>
        </w:rPr>
      </w:pPr>
    </w:p>
    <w:p w:rsidR="00000000" w:rsidRDefault="0040289C">
      <w:pPr>
        <w:jc w:val="both"/>
        <w:rPr>
          <w:rFonts w:eastAsia="Times New Roman"/>
        </w:rPr>
      </w:pPr>
      <w:r>
        <w:rPr>
          <w:rFonts w:eastAsia="Times New Roman"/>
          <w:color w:val="000000"/>
          <w:sz w:val="20"/>
          <w:szCs w:val="20"/>
        </w:rPr>
        <w:t>available, a variety of unobservable valuation methodologies, including disco</w:t>
      </w:r>
      <w:r>
        <w:rPr>
          <w:rFonts w:eastAsia="Times New Roman"/>
          <w:color w:val="000000"/>
          <w:sz w:val="20"/>
          <w:szCs w:val="20"/>
        </w:rPr>
        <w:t xml:space="preserve">unted cash flow, market multiple and cost valuation approaches, are employed by the fund manager or independent third party to value investments. </w:t>
      </w:r>
    </w:p>
    <w:p w:rsidR="00000000" w:rsidRDefault="0040289C">
      <w:pPr>
        <w:ind w:hanging="360"/>
        <w:jc w:val="both"/>
        <w:rPr>
          <w:rFonts w:eastAsia="Times New Roman"/>
        </w:rPr>
      </w:pPr>
      <w:r>
        <w:rPr>
          <w:rFonts w:eastAsia="Times New Roman"/>
          <w:color w:val="000000"/>
          <w:sz w:val="20"/>
          <w:szCs w:val="20"/>
        </w:rPr>
        <w:t>5.Partnership/joint ventures are valued based on the fair value of the underlying securities within the fund,</w:t>
      </w:r>
      <w:r>
        <w:rPr>
          <w:rFonts w:eastAsia="Times New Roman"/>
          <w:color w:val="000000"/>
          <w:sz w:val="20"/>
          <w:szCs w:val="20"/>
        </w:rPr>
        <w:t xml:space="preserve"> which include investments both traded on an active market and not traded on an active market. For those investments that are traded on an active market, the values are based on the closing price reported on the active market on which those individual secu</w:t>
      </w:r>
      <w:r>
        <w:rPr>
          <w:rFonts w:eastAsia="Times New Roman"/>
          <w:color w:val="000000"/>
          <w:sz w:val="20"/>
          <w:szCs w:val="20"/>
        </w:rPr>
        <w:t>rities are traded. For investments not traded on an active market, or for which a quoted price is not publicly available, a variety of unobservable valuation methodologies, including discounted cash flow, market multiples and cost valuation approaches, are</w:t>
      </w:r>
      <w:r>
        <w:rPr>
          <w:rFonts w:eastAsia="Times New Roman"/>
          <w:color w:val="000000"/>
          <w:sz w:val="20"/>
          <w:szCs w:val="20"/>
        </w:rPr>
        <w:t xml:space="preserve"> employed by the fund manager to value investments.</w:t>
      </w:r>
    </w:p>
    <w:p w:rsidR="00000000" w:rsidRDefault="0040289C">
      <w:pPr>
        <w:ind w:hanging="360"/>
        <w:jc w:val="both"/>
        <w:rPr>
          <w:rFonts w:eastAsia="Times New Roman"/>
        </w:rPr>
      </w:pPr>
    </w:p>
    <w:p w:rsidR="00000000" w:rsidRDefault="0040289C">
      <w:pPr>
        <w:jc w:val="both"/>
        <w:rPr>
          <w:rFonts w:eastAsia="Times New Roman"/>
        </w:rPr>
      </w:pPr>
      <w:r>
        <w:rPr>
          <w:rFonts w:eastAsia="Times New Roman"/>
          <w:color w:val="000000"/>
          <w:sz w:val="20"/>
          <w:szCs w:val="20"/>
        </w:rPr>
        <w:t>The following table presents the reconciliation of the beginning and ending balances of those plan assets classified within Level 3 of the valuation hierarchy. When the determination is made to classify</w:t>
      </w:r>
      <w:r>
        <w:rPr>
          <w:rFonts w:eastAsia="Times New Roman"/>
          <w:color w:val="000000"/>
          <w:sz w:val="20"/>
          <w:szCs w:val="20"/>
        </w:rPr>
        <w:t xml:space="preserve"> the plan assets within Level 3, the determination is based upon the significance of the unobservable inputs to the overall fair value measurement.</w:t>
      </w:r>
    </w:p>
    <w:tbl>
      <w:tblPr>
        <w:tblW w:w="4722" w:type="pct"/>
        <w:jc w:val="center"/>
        <w:tblCellMar>
          <w:top w:w="15" w:type="dxa"/>
          <w:left w:w="15" w:type="dxa"/>
          <w:bottom w:w="15" w:type="dxa"/>
          <w:right w:w="15" w:type="dxa"/>
        </w:tblCellMar>
        <w:tblLook w:val="04A0" w:firstRow="1" w:lastRow="0" w:firstColumn="1" w:lastColumn="0" w:noHBand="0" w:noVBand="1"/>
      </w:tblPr>
      <w:tblGrid>
        <w:gridCol w:w="43"/>
        <w:gridCol w:w="6181"/>
        <w:gridCol w:w="37"/>
        <w:gridCol w:w="36"/>
        <w:gridCol w:w="36"/>
        <w:gridCol w:w="36"/>
        <w:gridCol w:w="121"/>
        <w:gridCol w:w="1318"/>
        <w:gridCol w:w="36"/>
      </w:tblGrid>
      <w:tr w:rsidR="00000000">
        <w:trPr>
          <w:divId w:val="390081212"/>
          <w:jc w:val="center"/>
        </w:trPr>
        <w:tc>
          <w:tcPr>
            <w:tcW w:w="50" w:type="pct"/>
            <w:vAlign w:val="center"/>
            <w:hideMark/>
          </w:tcPr>
          <w:p w:rsidR="00000000" w:rsidRDefault="0040289C">
            <w:pPr>
              <w:jc w:val="both"/>
              <w:rPr>
                <w:rFonts w:eastAsia="Times New Roman"/>
              </w:rPr>
            </w:pPr>
          </w:p>
        </w:tc>
        <w:tc>
          <w:tcPr>
            <w:tcW w:w="401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7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390081212"/>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Pension Plans</w:t>
            </w:r>
          </w:p>
        </w:tc>
      </w:tr>
      <w:tr w:rsidR="00000000">
        <w:trPr>
          <w:divId w:val="39008121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Balance, December 31, 2020</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9008121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Realized and unrealized gains and losses, net</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9008121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Purchases, sales and settlements, net</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9008121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Transfers, net</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9008121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Balance, December 31, 2021</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9008121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Realized and unrealized gains and losses, net</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9008121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Purchases, sales and settlements, net</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9008121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Transfers, net</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39008121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Balance, December 31, 2022</w:t>
            </w:r>
          </w:p>
        </w:tc>
        <w:tc>
          <w:tcPr>
            <w:tcW w:w="0" w:type="auto"/>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2096245521"/>
        <w:rPr>
          <w:rFonts w:eastAsia="Times New Roman"/>
        </w:rPr>
      </w:pPr>
    </w:p>
    <w:p w:rsidR="00000000" w:rsidRDefault="0040289C">
      <w:pPr>
        <w:jc w:val="both"/>
        <w:rPr>
          <w:rFonts w:eastAsia="Times New Roman"/>
        </w:rPr>
      </w:pPr>
      <w:r>
        <w:rPr>
          <w:rFonts w:eastAsia="Times New Roman"/>
          <w:i/>
          <w:iCs/>
          <w:color w:val="000000"/>
          <w:sz w:val="20"/>
          <w:szCs w:val="20"/>
        </w:rPr>
        <w:t>Investment Strategy</w:t>
      </w:r>
      <w:r>
        <w:rPr>
          <w:rFonts w:eastAsia="Times New Roman"/>
          <w:color w:val="000000"/>
          <w:sz w:val="20"/>
          <w:szCs w:val="20"/>
        </w:rPr>
        <w:t xml:space="preserve"> </w:t>
      </w:r>
      <w:r>
        <w:rPr>
          <w:rFonts w:eastAsia="Times New Roman"/>
          <w:color w:val="000000"/>
          <w:sz w:val="20"/>
          <w:szCs w:val="20"/>
        </w:rPr>
        <w:t>NCR has historically employed a total return investment approach, whereby a mix of fixed-income, equities and real estate investments are used to maximize the long-term return of plan assets subject to a prudent level of risk. The risk tolerance is establi</w:t>
      </w:r>
      <w:r>
        <w:rPr>
          <w:rFonts w:eastAsia="Times New Roman"/>
          <w:color w:val="000000"/>
          <w:sz w:val="20"/>
          <w:szCs w:val="20"/>
        </w:rPr>
        <w:t>shed for each plan through a careful consideration of plan liabilities, plan funded status and corporate financial condition. During 2022, in consultation with an independent advisor on asset allocation strategy investment policy and objectives, we chose t</w:t>
      </w:r>
      <w:r>
        <w:rPr>
          <w:rFonts w:eastAsia="Times New Roman"/>
          <w:color w:val="000000"/>
          <w:sz w:val="20"/>
          <w:szCs w:val="20"/>
        </w:rPr>
        <w:t xml:space="preserve">o diversify the asset allocation held by the U.S. pension plan to capture additional returns to reduce future cash funding requirements.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investment portfolios contain a diversified mix of asset classes, including, fixed-income investments, which are</w:t>
      </w:r>
      <w:r>
        <w:rPr>
          <w:rFonts w:eastAsia="Times New Roman"/>
          <w:color w:val="000000"/>
          <w:sz w:val="20"/>
          <w:szCs w:val="20"/>
        </w:rPr>
        <w:t xml:space="preserve"> diversified across U.S. and non-U.S. issuers, type of fixed-income security (i.e., government bonds, corporate bonds, mortgage-backed securities) and credit quality. The investment portfolios also contain a blend of equity investments, which are diversifi</w:t>
      </w:r>
      <w:r>
        <w:rPr>
          <w:rFonts w:eastAsia="Times New Roman"/>
          <w:color w:val="000000"/>
          <w:sz w:val="20"/>
          <w:szCs w:val="20"/>
        </w:rPr>
        <w:t>ed across U.S. and non-U.S. stocks, small and large capitalization stocks, and growth and value stocks, primarily of non-U.S. issuers. Where applicable, real estate investments are made through real estate securities, partnership interests or direct invest</w:t>
      </w:r>
      <w:r>
        <w:rPr>
          <w:rFonts w:eastAsia="Times New Roman"/>
          <w:color w:val="000000"/>
          <w:sz w:val="20"/>
          <w:szCs w:val="20"/>
        </w:rPr>
        <w:t>ment and are diversified by property type and location. Other assets, such as cash or private equity are used judiciously to improve portfolio diversification and enhance risk-adjusted portfolio returns. Derivatives may be used to adjust market exposures i</w:t>
      </w:r>
      <w:r>
        <w:rPr>
          <w:rFonts w:eastAsia="Times New Roman"/>
          <w:color w:val="000000"/>
          <w:sz w:val="20"/>
          <w:szCs w:val="20"/>
        </w:rPr>
        <w:t>n an efficient and timely manner. Due to the timing of security purchases and sales, cash held by fund managers is classified in the same asset category as the related investment. Rebalancing algorithms are applied to keep the asset mix of the plans from d</w:t>
      </w:r>
      <w:r>
        <w:rPr>
          <w:rFonts w:eastAsia="Times New Roman"/>
          <w:color w:val="000000"/>
          <w:sz w:val="20"/>
          <w:szCs w:val="20"/>
        </w:rPr>
        <w:t>eviating excessively from their targets. Investment risk is measured and monitored on an ongoing basis through regular performance reporting, investment manager reviews, actuarial liability measurements and periodic investment strategy reviews.</w:t>
      </w:r>
    </w:p>
    <w:p w:rsidR="00000000" w:rsidRDefault="0040289C">
      <w:pPr>
        <w:jc w:val="both"/>
        <w:rPr>
          <w:rFonts w:eastAsia="Times New Roman"/>
        </w:rPr>
      </w:pPr>
    </w:p>
    <w:p w:rsidR="00000000" w:rsidRDefault="0040289C">
      <w:pPr>
        <w:divId w:val="1026294989"/>
        <w:rPr>
          <w:rFonts w:eastAsia="Times New Roman"/>
        </w:rPr>
      </w:pPr>
    </w:p>
    <w:p w:rsidR="00000000" w:rsidRDefault="0040289C">
      <w:pPr>
        <w:divId w:val="643894976"/>
        <w:rPr>
          <w:rFonts w:eastAsia="Times New Roman"/>
        </w:rPr>
      </w:pPr>
    </w:p>
    <w:p w:rsidR="00000000" w:rsidRDefault="0040289C">
      <w:pPr>
        <w:divId w:val="1769544446"/>
        <w:rPr>
          <w:rFonts w:eastAsia="Times New Roman"/>
        </w:rPr>
      </w:pPr>
    </w:p>
    <w:p w:rsidR="00000000" w:rsidRDefault="0040289C">
      <w:pPr>
        <w:divId w:val="585311825"/>
        <w:rPr>
          <w:rFonts w:eastAsia="Times New Roman"/>
        </w:rPr>
      </w:pPr>
    </w:p>
    <w:p w:rsidR="00000000" w:rsidRDefault="0040289C">
      <w:pPr>
        <w:divId w:val="2054230075"/>
        <w:rPr>
          <w:rFonts w:eastAsia="Times New Roman"/>
        </w:rPr>
      </w:pPr>
    </w:p>
    <w:p w:rsidR="00000000" w:rsidRDefault="0040289C">
      <w:pPr>
        <w:divId w:val="914586623"/>
        <w:rPr>
          <w:rFonts w:eastAsia="Times New Roman"/>
        </w:rPr>
      </w:pPr>
    </w:p>
    <w:p w:rsidR="00000000" w:rsidRDefault="0040289C">
      <w:pPr>
        <w:divId w:val="196742027"/>
        <w:rPr>
          <w:rFonts w:eastAsia="Times New Roman"/>
        </w:rPr>
      </w:pPr>
    </w:p>
    <w:p w:rsidR="00000000" w:rsidRDefault="0040289C">
      <w:pPr>
        <w:divId w:val="1786460408"/>
        <w:rPr>
          <w:rFonts w:eastAsia="Times New Roman"/>
        </w:rPr>
      </w:pPr>
    </w:p>
    <w:p w:rsidR="00000000" w:rsidRDefault="0040289C">
      <w:pPr>
        <w:divId w:val="626551487"/>
        <w:rPr>
          <w:rFonts w:eastAsia="Times New Roman"/>
        </w:rPr>
      </w:pPr>
    </w:p>
    <w:p w:rsidR="00000000" w:rsidRDefault="0040289C">
      <w:pPr>
        <w:divId w:val="1188569739"/>
        <w:rPr>
          <w:rFonts w:eastAsia="Times New Roman"/>
        </w:rPr>
      </w:pPr>
    </w:p>
    <w:p w:rsidR="00000000" w:rsidRDefault="0040289C">
      <w:pPr>
        <w:jc w:val="center"/>
        <w:divId w:val="771122964"/>
        <w:rPr>
          <w:rFonts w:eastAsia="Times New Roman"/>
        </w:rPr>
      </w:pPr>
      <w:r>
        <w:rPr>
          <w:rFonts w:eastAsia="Times New Roman"/>
          <w:color w:val="000000"/>
          <w:sz w:val="20"/>
          <w:szCs w:val="20"/>
        </w:rPr>
        <w:t>102</w:t>
      </w:r>
    </w:p>
    <w:p w:rsidR="00000000" w:rsidRDefault="0040289C">
      <w:pPr>
        <w:rPr>
          <w:rFonts w:eastAsia="Times New Roman"/>
        </w:rPr>
      </w:pPr>
      <w:r>
        <w:rPr>
          <w:rFonts w:eastAsia="Times New Roman"/>
        </w:rPr>
        <w:pict>
          <v:rect id="_x0000_i1132" style="width:0;height:1.5pt" o:hralign="center" o:hrstd="t" o:hr="t" fillcolor="#a0a0a0" stroked="f"/>
        </w:pict>
      </w:r>
    </w:p>
    <w:p w:rsidR="00000000" w:rsidRDefault="0040289C">
      <w:pPr>
        <w:divId w:val="36379542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468287346"/>
        <w:rPr>
          <w:rFonts w:eastAsia="Times New Roman"/>
        </w:rPr>
      </w:pPr>
    </w:p>
    <w:p w:rsidR="00000000" w:rsidRDefault="0040289C">
      <w:pPr>
        <w:divId w:val="1907451484"/>
        <w:rPr>
          <w:rFonts w:eastAsia="Times New Roman"/>
        </w:rPr>
      </w:pPr>
      <w:r>
        <w:rPr>
          <w:rFonts w:eastAsia="Times New Roman"/>
          <w:i/>
          <w:iCs/>
          <w:color w:val="000000"/>
          <w:sz w:val="20"/>
          <w:szCs w:val="20"/>
        </w:rPr>
        <w:t>Postretirement Plans</w:t>
      </w:r>
      <w:r>
        <w:rPr>
          <w:rFonts w:eastAsia="Times New Roman"/>
          <w:color w:val="000000"/>
          <w:sz w:val="20"/>
          <w:szCs w:val="20"/>
        </w:rPr>
        <w:t xml:space="preserve"> </w:t>
      </w:r>
      <w:r>
        <w:rPr>
          <w:rFonts w:eastAsia="Times New Roman"/>
          <w:color w:val="000000"/>
          <w:sz w:val="20"/>
          <w:szCs w:val="20"/>
        </w:rPr>
        <w:t>Reconciliation of the beginning and ending balances of the benefit obligation for NCR's U.S. postretirement plan is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925"/>
        <w:gridCol w:w="37"/>
        <w:gridCol w:w="36"/>
        <w:gridCol w:w="36"/>
        <w:gridCol w:w="36"/>
        <w:gridCol w:w="121"/>
        <w:gridCol w:w="881"/>
        <w:gridCol w:w="37"/>
        <w:gridCol w:w="36"/>
        <w:gridCol w:w="36"/>
        <w:gridCol w:w="36"/>
        <w:gridCol w:w="120"/>
        <w:gridCol w:w="881"/>
        <w:gridCol w:w="36"/>
      </w:tblGrid>
      <w:tr w:rsidR="00000000">
        <w:trPr>
          <w:divId w:val="870190633"/>
          <w:jc w:val="center"/>
        </w:trPr>
        <w:tc>
          <w:tcPr>
            <w:tcW w:w="50" w:type="pct"/>
            <w:vAlign w:val="center"/>
            <w:hideMark/>
          </w:tcPr>
          <w:p w:rsidR="00000000" w:rsidRDefault="0040289C">
            <w:pPr>
              <w:rPr>
                <w:rFonts w:eastAsia="Times New Roman"/>
              </w:rPr>
            </w:pPr>
          </w:p>
        </w:tc>
        <w:tc>
          <w:tcPr>
            <w:tcW w:w="359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870190633"/>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Postretirement Benefits</w:t>
            </w:r>
          </w:p>
        </w:tc>
      </w:tr>
      <w:tr w:rsidR="00000000">
        <w:trPr>
          <w:divId w:val="870190633"/>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870190633"/>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870190633"/>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70190633"/>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870190633"/>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cost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70190633"/>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Actuarial gain</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70190633"/>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Plan participant contributions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70190633"/>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Benefits paid</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70190633"/>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ind w:firstLine="720"/>
        <w:divId w:val="1476684649"/>
        <w:rPr>
          <w:rFonts w:eastAsia="Times New Roman"/>
        </w:rPr>
      </w:pPr>
    </w:p>
    <w:p w:rsidR="00000000" w:rsidRDefault="0040289C">
      <w:pPr>
        <w:jc w:val="both"/>
        <w:rPr>
          <w:rFonts w:eastAsia="Times New Roman"/>
        </w:rPr>
      </w:pPr>
      <w:r>
        <w:rPr>
          <w:rFonts w:eastAsia="Times New Roman"/>
          <w:color w:val="000000"/>
          <w:sz w:val="20"/>
          <w:szCs w:val="20"/>
        </w:rPr>
        <w:t>The following table presents the funded status and the reconciliation of the funded status to amounts recognized in the Consolidated Balance Sheets and in Accumulated other comprehensive loss as of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3"/>
        <w:gridCol w:w="38"/>
        <w:gridCol w:w="36"/>
        <w:gridCol w:w="36"/>
        <w:gridCol w:w="36"/>
        <w:gridCol w:w="121"/>
        <w:gridCol w:w="881"/>
        <w:gridCol w:w="37"/>
        <w:gridCol w:w="36"/>
        <w:gridCol w:w="36"/>
        <w:gridCol w:w="36"/>
        <w:gridCol w:w="120"/>
        <w:gridCol w:w="881"/>
        <w:gridCol w:w="36"/>
      </w:tblGrid>
      <w:tr w:rsidR="00000000">
        <w:trPr>
          <w:divId w:val="81876468"/>
          <w:jc w:val="center"/>
        </w:trPr>
        <w:tc>
          <w:tcPr>
            <w:tcW w:w="50" w:type="pct"/>
            <w:vAlign w:val="center"/>
            <w:hideMark/>
          </w:tcPr>
          <w:p w:rsidR="00000000" w:rsidRDefault="0040289C">
            <w:pPr>
              <w:jc w:val="both"/>
              <w:rPr>
                <w:rFonts w:eastAsia="Times New Roman"/>
              </w:rPr>
            </w:pPr>
          </w:p>
        </w:tc>
        <w:tc>
          <w:tcPr>
            <w:tcW w:w="359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81876468"/>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Postretirement Benefits</w:t>
            </w:r>
          </w:p>
        </w:tc>
      </w:tr>
      <w:tr w:rsidR="00000000">
        <w:trPr>
          <w:divId w:val="81876468"/>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818764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 obligation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8764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818764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8764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8764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amounts recognized</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8764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818764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actuarial loss (gain)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87646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Prior service benefit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87646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458187505"/>
        <w:rPr>
          <w:rFonts w:eastAsia="Times New Roman"/>
        </w:rPr>
      </w:pPr>
    </w:p>
    <w:p w:rsidR="00000000" w:rsidRDefault="0040289C">
      <w:pPr>
        <w:jc w:val="both"/>
        <w:rPr>
          <w:rFonts w:eastAsia="Times New Roman"/>
        </w:rPr>
      </w:pPr>
      <w:r>
        <w:rPr>
          <w:rFonts w:eastAsia="Times New Roman"/>
          <w:color w:val="000000"/>
          <w:sz w:val="20"/>
          <w:szCs w:val="20"/>
        </w:rPr>
        <w:t>The net periodic benefit cost (income) of the postretirement plan for the years ended December 31 was: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774"/>
        <w:gridCol w:w="36"/>
        <w:gridCol w:w="36"/>
        <w:gridCol w:w="36"/>
        <w:gridCol w:w="36"/>
        <w:gridCol w:w="120"/>
        <w:gridCol w:w="545"/>
        <w:gridCol w:w="36"/>
        <w:gridCol w:w="36"/>
        <w:gridCol w:w="36"/>
        <w:gridCol w:w="36"/>
        <w:gridCol w:w="120"/>
        <w:gridCol w:w="547"/>
        <w:gridCol w:w="36"/>
        <w:gridCol w:w="36"/>
        <w:gridCol w:w="36"/>
        <w:gridCol w:w="36"/>
        <w:gridCol w:w="120"/>
        <w:gridCol w:w="549"/>
        <w:gridCol w:w="36"/>
      </w:tblGrid>
      <w:tr w:rsidR="00000000">
        <w:trPr>
          <w:divId w:val="1435173237"/>
          <w:jc w:val="center"/>
        </w:trPr>
        <w:tc>
          <w:tcPr>
            <w:tcW w:w="50" w:type="pct"/>
            <w:vAlign w:val="center"/>
            <w:hideMark/>
          </w:tcPr>
          <w:p w:rsidR="00000000" w:rsidRDefault="0040289C">
            <w:pPr>
              <w:jc w:val="both"/>
              <w:rPr>
                <w:rFonts w:eastAsia="Times New Roman"/>
              </w:rPr>
            </w:pPr>
          </w:p>
        </w:tc>
        <w:tc>
          <w:tcPr>
            <w:tcW w:w="351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435173237"/>
          <w:trHeight w:val="240"/>
          <w:jc w:val="center"/>
        </w:trPr>
        <w:tc>
          <w:tcPr>
            <w:tcW w:w="0" w:type="auto"/>
            <w:gridSpan w:val="3"/>
            <w:vMerge w:val="restart"/>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Postretirement Benefits</w:t>
            </w:r>
          </w:p>
        </w:tc>
      </w:tr>
      <w:tr w:rsidR="00000000">
        <w:trPr>
          <w:divId w:val="1435173237"/>
          <w:trHeight w:val="240"/>
          <w:jc w:val="center"/>
        </w:trPr>
        <w:tc>
          <w:tcPr>
            <w:tcW w:w="0" w:type="auto"/>
            <w:gridSpan w:val="3"/>
            <w:vMerge/>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435173237"/>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Interest cost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435173237"/>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435173237"/>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435173237"/>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   Prior service benefit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435173237"/>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   Actuarial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435173237"/>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Net periodic benefit cost (income)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2129926133"/>
        <w:rPr>
          <w:rFonts w:eastAsia="Times New Roman"/>
        </w:rPr>
      </w:pPr>
    </w:p>
    <w:p w:rsidR="00000000" w:rsidRDefault="0040289C">
      <w:pPr>
        <w:jc w:val="both"/>
        <w:rPr>
          <w:rFonts w:eastAsia="Times New Roman"/>
        </w:rPr>
      </w:pPr>
      <w:r>
        <w:rPr>
          <w:rFonts w:eastAsia="Times New Roman"/>
          <w:color w:val="000000"/>
          <w:sz w:val="20"/>
          <w:szCs w:val="20"/>
        </w:rPr>
        <w:t>The assumptions utilized in accounting for postretirement benefit obligations as of December 31 and for postretirement benefit income for the years ended Decem</w:t>
      </w:r>
      <w:r>
        <w:rPr>
          <w:rFonts w:eastAsia="Times New Roman"/>
          <w:color w:val="000000"/>
          <w:sz w:val="20"/>
          <w:szCs w:val="20"/>
        </w:rPr>
        <w:t>ber 31 were:</w:t>
      </w:r>
    </w:p>
    <w:tbl>
      <w:tblPr>
        <w:tblW w:w="4934" w:type="pct"/>
        <w:jc w:val="center"/>
        <w:tblCellMar>
          <w:top w:w="15" w:type="dxa"/>
          <w:left w:w="15" w:type="dxa"/>
          <w:bottom w:w="15" w:type="dxa"/>
          <w:right w:w="15" w:type="dxa"/>
        </w:tblCellMar>
        <w:tblLook w:val="04A0" w:firstRow="1" w:lastRow="0" w:firstColumn="1" w:lastColumn="0" w:noHBand="0" w:noVBand="1"/>
      </w:tblPr>
      <w:tblGrid>
        <w:gridCol w:w="37"/>
        <w:gridCol w:w="3591"/>
        <w:gridCol w:w="36"/>
        <w:gridCol w:w="36"/>
        <w:gridCol w:w="36"/>
        <w:gridCol w:w="36"/>
        <w:gridCol w:w="39"/>
        <w:gridCol w:w="450"/>
        <w:gridCol w:w="221"/>
        <w:gridCol w:w="37"/>
        <w:gridCol w:w="37"/>
        <w:gridCol w:w="37"/>
        <w:gridCol w:w="39"/>
        <w:gridCol w:w="451"/>
        <w:gridCol w:w="188"/>
        <w:gridCol w:w="37"/>
        <w:gridCol w:w="37"/>
        <w:gridCol w:w="36"/>
        <w:gridCol w:w="38"/>
        <w:gridCol w:w="452"/>
        <w:gridCol w:w="187"/>
        <w:gridCol w:w="36"/>
        <w:gridCol w:w="36"/>
        <w:gridCol w:w="36"/>
        <w:gridCol w:w="44"/>
        <w:gridCol w:w="362"/>
        <w:gridCol w:w="221"/>
        <w:gridCol w:w="37"/>
        <w:gridCol w:w="36"/>
        <w:gridCol w:w="36"/>
        <w:gridCol w:w="43"/>
        <w:gridCol w:w="363"/>
        <w:gridCol w:w="187"/>
        <w:gridCol w:w="36"/>
        <w:gridCol w:w="36"/>
        <w:gridCol w:w="36"/>
        <w:gridCol w:w="43"/>
        <w:gridCol w:w="363"/>
        <w:gridCol w:w="187"/>
      </w:tblGrid>
      <w:tr w:rsidR="00000000">
        <w:trPr>
          <w:divId w:val="1169834538"/>
          <w:jc w:val="center"/>
        </w:trPr>
        <w:tc>
          <w:tcPr>
            <w:tcW w:w="50" w:type="pct"/>
            <w:vAlign w:val="center"/>
            <w:hideMark/>
          </w:tcPr>
          <w:p w:rsidR="00000000" w:rsidRDefault="0040289C">
            <w:pPr>
              <w:jc w:val="both"/>
              <w:rPr>
                <w:rFonts w:eastAsia="Times New Roman"/>
              </w:rPr>
            </w:pPr>
          </w:p>
        </w:tc>
        <w:tc>
          <w:tcPr>
            <w:tcW w:w="225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169834538"/>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Postretirement Benefit Obligations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Postretirement Benefit Costs</w:t>
            </w:r>
          </w:p>
        </w:tc>
      </w:tr>
      <w:tr w:rsidR="00000000">
        <w:trPr>
          <w:divId w:val="1169834538"/>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16983453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Discount rate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divId w:val="1916551310"/>
        <w:rPr>
          <w:rFonts w:eastAsia="Times New Roman"/>
        </w:rPr>
      </w:pPr>
    </w:p>
    <w:p w:rsidR="00000000" w:rsidRDefault="0040289C">
      <w:pPr>
        <w:jc w:val="center"/>
        <w:divId w:val="738140513"/>
        <w:rPr>
          <w:rFonts w:eastAsia="Times New Roman"/>
        </w:rPr>
      </w:pPr>
      <w:r>
        <w:rPr>
          <w:rFonts w:eastAsia="Times New Roman"/>
          <w:color w:val="000000"/>
          <w:sz w:val="20"/>
          <w:szCs w:val="20"/>
        </w:rPr>
        <w:t>103</w:t>
      </w:r>
    </w:p>
    <w:p w:rsidR="00000000" w:rsidRDefault="0040289C">
      <w:pPr>
        <w:rPr>
          <w:rFonts w:eastAsia="Times New Roman"/>
        </w:rPr>
      </w:pPr>
      <w:r>
        <w:rPr>
          <w:rFonts w:eastAsia="Times New Roman"/>
        </w:rPr>
        <w:pict>
          <v:rect id="_x0000_i1133" style="width:0;height:1.5pt" o:hralign="center" o:hrstd="t" o:hr="t" fillcolor="#a0a0a0" stroked="f"/>
        </w:pict>
      </w:r>
    </w:p>
    <w:p w:rsidR="00000000" w:rsidRDefault="0040289C">
      <w:pPr>
        <w:divId w:val="7898344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2315878"/>
        <w:rPr>
          <w:rFonts w:eastAsia="Times New Roman"/>
        </w:rPr>
      </w:pPr>
    </w:p>
    <w:p w:rsidR="00000000" w:rsidRDefault="0040289C">
      <w:pPr>
        <w:jc w:val="both"/>
        <w:rPr>
          <w:rFonts w:eastAsia="Times New Roman"/>
        </w:rPr>
      </w:pPr>
      <w:r>
        <w:rPr>
          <w:rFonts w:eastAsia="Times New Roman"/>
          <w:color w:val="000000"/>
          <w:sz w:val="20"/>
          <w:szCs w:val="20"/>
        </w:rPr>
        <w:t>Assumed healthcare cost trend rates as of December 31 were:</w:t>
      </w:r>
    </w:p>
    <w:tbl>
      <w:tblPr>
        <w:tblW w:w="4970" w:type="pct"/>
        <w:jc w:val="center"/>
        <w:tblCellMar>
          <w:top w:w="15" w:type="dxa"/>
          <w:left w:w="15" w:type="dxa"/>
          <w:bottom w:w="15" w:type="dxa"/>
          <w:right w:w="15" w:type="dxa"/>
        </w:tblCellMar>
        <w:tblLook w:val="04A0" w:firstRow="1" w:lastRow="0" w:firstColumn="1" w:lastColumn="0" w:noHBand="0" w:noVBand="1"/>
      </w:tblPr>
      <w:tblGrid>
        <w:gridCol w:w="37"/>
        <w:gridCol w:w="4205"/>
        <w:gridCol w:w="36"/>
        <w:gridCol w:w="36"/>
        <w:gridCol w:w="36"/>
        <w:gridCol w:w="36"/>
        <w:gridCol w:w="65"/>
        <w:gridCol w:w="618"/>
        <w:gridCol w:w="220"/>
        <w:gridCol w:w="36"/>
        <w:gridCol w:w="36"/>
        <w:gridCol w:w="36"/>
        <w:gridCol w:w="65"/>
        <w:gridCol w:w="618"/>
        <w:gridCol w:w="220"/>
        <w:gridCol w:w="36"/>
        <w:gridCol w:w="36"/>
        <w:gridCol w:w="36"/>
        <w:gridCol w:w="65"/>
        <w:gridCol w:w="618"/>
        <w:gridCol w:w="187"/>
        <w:gridCol w:w="36"/>
        <w:gridCol w:w="36"/>
        <w:gridCol w:w="36"/>
        <w:gridCol w:w="65"/>
        <w:gridCol w:w="618"/>
        <w:gridCol w:w="187"/>
      </w:tblGrid>
      <w:tr w:rsidR="00000000">
        <w:trPr>
          <w:divId w:val="1658799102"/>
          <w:jc w:val="center"/>
        </w:trPr>
        <w:tc>
          <w:tcPr>
            <w:tcW w:w="50" w:type="pct"/>
            <w:vAlign w:val="center"/>
            <w:hideMark/>
          </w:tcPr>
          <w:p w:rsidR="00000000" w:rsidRDefault="0040289C">
            <w:pPr>
              <w:jc w:val="both"/>
              <w:rPr>
                <w:rFonts w:eastAsia="Times New Roman"/>
              </w:rPr>
            </w:pPr>
          </w:p>
        </w:tc>
        <w:tc>
          <w:tcPr>
            <w:tcW w:w="265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658799102"/>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1658799102"/>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Pre-65 Coverage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Post-65 Coverage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Pre-65 Coverage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Post-65 Coverage</w:t>
            </w:r>
          </w:p>
        </w:tc>
      </w:tr>
      <w:tr w:rsidR="00000000">
        <w:trPr>
          <w:divId w:val="165879910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Healthcare cost trend rate assumed for next year</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58799102"/>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Rate to which the cost trend rate is assumed to decline (the ultimate trend rate)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1658799102"/>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Year that the rate reaches the ultimate rate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2033</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2033</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2028</w:t>
            </w:r>
          </w:p>
        </w:tc>
      </w:tr>
    </w:tbl>
    <w:p w:rsidR="00000000" w:rsidRDefault="0040289C">
      <w:pPr>
        <w:divId w:val="177163776"/>
        <w:rPr>
          <w:rFonts w:eastAsia="Times New Roman"/>
        </w:rPr>
      </w:pPr>
    </w:p>
    <w:p w:rsidR="00000000" w:rsidRDefault="0040289C">
      <w:pPr>
        <w:jc w:val="both"/>
        <w:rPr>
          <w:rFonts w:eastAsia="Times New Roman"/>
        </w:rPr>
      </w:pPr>
      <w:r>
        <w:rPr>
          <w:rFonts w:eastAsia="Times New Roman"/>
          <w:i/>
          <w:iCs/>
          <w:color w:val="000000"/>
          <w:sz w:val="20"/>
          <w:szCs w:val="20"/>
        </w:rPr>
        <w:t xml:space="preserve">Postemployment Benefits </w:t>
      </w:r>
      <w:r>
        <w:rPr>
          <w:rFonts w:eastAsia="Times New Roman"/>
          <w:color w:val="000000"/>
          <w:sz w:val="20"/>
          <w:szCs w:val="20"/>
        </w:rPr>
        <w:t>Reconciliation of the beginning and ending balances of the benefit obligation for NCR's postemployment plan was: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5926"/>
        <w:gridCol w:w="36"/>
        <w:gridCol w:w="36"/>
        <w:gridCol w:w="36"/>
        <w:gridCol w:w="36"/>
        <w:gridCol w:w="121"/>
        <w:gridCol w:w="881"/>
        <w:gridCol w:w="37"/>
        <w:gridCol w:w="36"/>
        <w:gridCol w:w="36"/>
        <w:gridCol w:w="36"/>
        <w:gridCol w:w="120"/>
        <w:gridCol w:w="882"/>
        <w:gridCol w:w="36"/>
      </w:tblGrid>
      <w:tr w:rsidR="00000000">
        <w:trPr>
          <w:divId w:val="812403719"/>
          <w:jc w:val="center"/>
        </w:trPr>
        <w:tc>
          <w:tcPr>
            <w:tcW w:w="50" w:type="pct"/>
            <w:vAlign w:val="center"/>
            <w:hideMark/>
          </w:tcPr>
          <w:p w:rsidR="00000000" w:rsidRDefault="0040289C">
            <w:pPr>
              <w:jc w:val="both"/>
              <w:rPr>
                <w:rFonts w:eastAsia="Times New Roman"/>
              </w:rPr>
            </w:pPr>
          </w:p>
        </w:tc>
        <w:tc>
          <w:tcPr>
            <w:tcW w:w="359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812403719"/>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Postemployment Benefits</w:t>
            </w:r>
          </w:p>
        </w:tc>
      </w:tr>
      <w:tr w:rsidR="00000000">
        <w:trPr>
          <w:divId w:val="812403719"/>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81240371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81240371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 obligation as of January 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2403719"/>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81240371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divId w:val="1986739831"/>
              <w:rPr>
                <w:rFonts w:eastAsia="Times New Roman"/>
              </w:rPr>
            </w:pPr>
            <w:r>
              <w:rPr>
                <w:rFonts w:eastAsia="Times New Roman"/>
                <w:color w:val="000000"/>
                <w:sz w:val="20"/>
                <w:szCs w:val="20"/>
              </w:rPr>
              <w:t>Service cost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240371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cost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2403719"/>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81240371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Benefits paid</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240371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 currency exchange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240371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Actuarial (gain) loss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1240371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 obligation as of December 31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ind w:hanging="180"/>
        <w:divId w:val="1432898062"/>
        <w:rPr>
          <w:rFonts w:eastAsia="Times New Roman"/>
        </w:rPr>
      </w:pPr>
      <w:r>
        <w:rPr>
          <w:rFonts w:eastAsia="Times New Roman"/>
          <w:color w:val="000000"/>
          <w:sz w:val="13"/>
          <w:szCs w:val="13"/>
        </w:rPr>
        <w:t>(</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16"/>
          <w:szCs w:val="16"/>
        </w:rPr>
        <w:t>During the year ended December 31, 2022, the Company recorded approximately $56 million in employee severance charges related to actions taken in the second half of the year</w:t>
      </w:r>
      <w:r>
        <w:rPr>
          <w:rFonts w:eastAsia="Times New Roman"/>
          <w:i/>
          <w:iCs/>
          <w:color w:val="000000"/>
          <w:sz w:val="16"/>
          <w:szCs w:val="16"/>
        </w:rPr>
        <w:t xml:space="preserve">. </w:t>
      </w:r>
    </w:p>
    <w:p w:rsidR="00000000" w:rsidRDefault="0040289C">
      <w:pPr>
        <w:divId w:val="239292949"/>
        <w:rPr>
          <w:rFonts w:eastAsia="Times New Roman"/>
        </w:rPr>
      </w:pPr>
    </w:p>
    <w:p w:rsidR="00000000" w:rsidRDefault="0040289C">
      <w:pPr>
        <w:jc w:val="both"/>
        <w:rPr>
          <w:rFonts w:eastAsia="Times New Roman"/>
        </w:rPr>
      </w:pPr>
      <w:r>
        <w:rPr>
          <w:rFonts w:eastAsia="Times New Roman"/>
          <w:color w:val="000000"/>
          <w:sz w:val="20"/>
          <w:szCs w:val="20"/>
        </w:rPr>
        <w:t>The following table presents the funded status and the reconciliation of th</w:t>
      </w:r>
      <w:r>
        <w:rPr>
          <w:rFonts w:eastAsia="Times New Roman"/>
          <w:color w:val="000000"/>
          <w:sz w:val="20"/>
          <w:szCs w:val="20"/>
        </w:rPr>
        <w:t>e unfunded status to amounts recognized in the Consolidated Balance Sheets and in Accumulated other comprehensive loss at December 31:</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4"/>
        <w:gridCol w:w="38"/>
        <w:gridCol w:w="36"/>
        <w:gridCol w:w="36"/>
        <w:gridCol w:w="36"/>
        <w:gridCol w:w="120"/>
        <w:gridCol w:w="881"/>
        <w:gridCol w:w="36"/>
        <w:gridCol w:w="36"/>
        <w:gridCol w:w="36"/>
        <w:gridCol w:w="36"/>
        <w:gridCol w:w="120"/>
        <w:gridCol w:w="882"/>
        <w:gridCol w:w="36"/>
      </w:tblGrid>
      <w:tr w:rsidR="00000000">
        <w:trPr>
          <w:divId w:val="1763650320"/>
          <w:jc w:val="center"/>
        </w:trPr>
        <w:tc>
          <w:tcPr>
            <w:tcW w:w="50" w:type="pct"/>
            <w:vAlign w:val="center"/>
            <w:hideMark/>
          </w:tcPr>
          <w:p w:rsidR="00000000" w:rsidRDefault="0040289C">
            <w:pPr>
              <w:jc w:val="both"/>
              <w:rPr>
                <w:rFonts w:eastAsia="Times New Roman"/>
              </w:rPr>
            </w:pPr>
          </w:p>
        </w:tc>
        <w:tc>
          <w:tcPr>
            <w:tcW w:w="359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76365032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Postemployment Benefits</w:t>
            </w:r>
          </w:p>
        </w:tc>
      </w:tr>
      <w:tr w:rsidR="00000000">
        <w:trPr>
          <w:divId w:val="1763650320"/>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r>
      <w:tr w:rsidR="00000000">
        <w:trPr>
          <w:divId w:val="176365032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Benefit obligation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365032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Amounts recognized in the Consolidated Balance Sheets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76365032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365032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365032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amounts recognized</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365032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Amounts recognized in 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76365032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actuarial gain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3650320"/>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Prior service benefit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3650320"/>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682365826"/>
        <w:rPr>
          <w:rFonts w:eastAsia="Times New Roman"/>
        </w:rPr>
      </w:pPr>
    </w:p>
    <w:p w:rsidR="00000000" w:rsidRDefault="0040289C">
      <w:pPr>
        <w:jc w:val="center"/>
        <w:divId w:val="1767118699"/>
        <w:rPr>
          <w:rFonts w:eastAsia="Times New Roman"/>
        </w:rPr>
      </w:pPr>
      <w:r>
        <w:rPr>
          <w:rFonts w:eastAsia="Times New Roman"/>
          <w:color w:val="000000"/>
          <w:sz w:val="20"/>
          <w:szCs w:val="20"/>
        </w:rPr>
        <w:t>104</w:t>
      </w:r>
    </w:p>
    <w:p w:rsidR="00000000" w:rsidRDefault="0040289C">
      <w:pPr>
        <w:rPr>
          <w:rFonts w:eastAsia="Times New Roman"/>
        </w:rPr>
      </w:pPr>
      <w:r>
        <w:rPr>
          <w:rFonts w:eastAsia="Times New Roman"/>
        </w:rPr>
        <w:pict>
          <v:rect id="_x0000_i1134" style="width:0;height:1.5pt" o:hralign="center" o:hrstd="t" o:hr="t" fillcolor="#a0a0a0" stroked="f"/>
        </w:pict>
      </w:r>
    </w:p>
    <w:p w:rsidR="00000000" w:rsidRDefault="0040289C">
      <w:pPr>
        <w:divId w:val="147609610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945965628"/>
        <w:rPr>
          <w:rFonts w:eastAsia="Times New Roman"/>
        </w:rPr>
      </w:pPr>
    </w:p>
    <w:p w:rsidR="00000000" w:rsidRDefault="0040289C">
      <w:pPr>
        <w:jc w:val="both"/>
        <w:rPr>
          <w:rFonts w:eastAsia="Times New Roman"/>
        </w:rPr>
      </w:pPr>
      <w:r>
        <w:rPr>
          <w:rFonts w:eastAsia="Times New Roman"/>
          <w:color w:val="000000"/>
          <w:sz w:val="20"/>
          <w:szCs w:val="20"/>
        </w:rPr>
        <w:t>The net periodic benefit cost of the postemployment plan for the years ended December 31 was: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863"/>
        <w:gridCol w:w="36"/>
        <w:gridCol w:w="120"/>
        <w:gridCol w:w="917"/>
        <w:gridCol w:w="36"/>
        <w:gridCol w:w="36"/>
        <w:gridCol w:w="36"/>
        <w:gridCol w:w="36"/>
        <w:gridCol w:w="120"/>
        <w:gridCol w:w="877"/>
        <w:gridCol w:w="36"/>
        <w:gridCol w:w="36"/>
        <w:gridCol w:w="36"/>
        <w:gridCol w:w="36"/>
        <w:gridCol w:w="120"/>
        <w:gridCol w:w="878"/>
        <w:gridCol w:w="36"/>
      </w:tblGrid>
      <w:tr w:rsidR="00000000">
        <w:trPr>
          <w:divId w:val="1020738357"/>
          <w:jc w:val="center"/>
        </w:trPr>
        <w:tc>
          <w:tcPr>
            <w:tcW w:w="50" w:type="pct"/>
            <w:vAlign w:val="center"/>
            <w:hideMark/>
          </w:tcPr>
          <w:p w:rsidR="00000000" w:rsidRDefault="0040289C">
            <w:pPr>
              <w:jc w:val="both"/>
              <w:rPr>
                <w:rFonts w:eastAsia="Times New Roman"/>
              </w:rPr>
            </w:pPr>
          </w:p>
        </w:tc>
        <w:tc>
          <w:tcPr>
            <w:tcW w:w="296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8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020738357"/>
          <w:trHeight w:val="240"/>
          <w:jc w:val="center"/>
        </w:trPr>
        <w:tc>
          <w:tcPr>
            <w:tcW w:w="0" w:type="auto"/>
            <w:gridSpan w:val="3"/>
            <w:vMerge w:val="restart"/>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Postemployment Benefits</w:t>
            </w:r>
          </w:p>
        </w:tc>
      </w:tr>
      <w:tr w:rsidR="00000000">
        <w:trPr>
          <w:divId w:val="1020738357"/>
          <w:trHeight w:val="240"/>
          <w:jc w:val="center"/>
        </w:trPr>
        <w:tc>
          <w:tcPr>
            <w:tcW w:w="0" w:type="auto"/>
            <w:gridSpan w:val="3"/>
            <w:vMerge/>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020738357"/>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20738357"/>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20738357"/>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020738357"/>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20738357"/>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   Actuarial gain</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20738357"/>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Net periodic benefit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992826754"/>
        <w:rPr>
          <w:rFonts w:eastAsia="Times New Roman"/>
        </w:rPr>
      </w:pPr>
    </w:p>
    <w:p w:rsidR="00000000" w:rsidRDefault="0040289C">
      <w:pPr>
        <w:jc w:val="both"/>
        <w:rPr>
          <w:rFonts w:eastAsia="Times New Roman"/>
        </w:rPr>
      </w:pPr>
      <w:r>
        <w:rPr>
          <w:rFonts w:eastAsia="Times New Roman"/>
          <w:color w:val="000000"/>
          <w:sz w:val="20"/>
          <w:szCs w:val="20"/>
        </w:rPr>
        <w:t>The weighted average assumptions utilized in accounting for postemployment benefit obligations as of December 31 and for postemployment benefit costs for the years ended December 31 were:</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3753"/>
        <w:gridCol w:w="37"/>
        <w:gridCol w:w="36"/>
        <w:gridCol w:w="36"/>
        <w:gridCol w:w="36"/>
        <w:gridCol w:w="59"/>
        <w:gridCol w:w="526"/>
        <w:gridCol w:w="221"/>
        <w:gridCol w:w="37"/>
        <w:gridCol w:w="37"/>
        <w:gridCol w:w="37"/>
        <w:gridCol w:w="58"/>
        <w:gridCol w:w="506"/>
        <w:gridCol w:w="187"/>
        <w:gridCol w:w="36"/>
        <w:gridCol w:w="36"/>
        <w:gridCol w:w="36"/>
        <w:gridCol w:w="39"/>
        <w:gridCol w:w="526"/>
        <w:gridCol w:w="221"/>
        <w:gridCol w:w="37"/>
        <w:gridCol w:w="37"/>
        <w:gridCol w:w="37"/>
        <w:gridCol w:w="39"/>
        <w:gridCol w:w="548"/>
        <w:gridCol w:w="188"/>
        <w:gridCol w:w="37"/>
        <w:gridCol w:w="36"/>
        <w:gridCol w:w="36"/>
        <w:gridCol w:w="38"/>
        <w:gridCol w:w="551"/>
        <w:gridCol w:w="187"/>
      </w:tblGrid>
      <w:tr w:rsidR="00000000">
        <w:trPr>
          <w:divId w:val="2026470998"/>
          <w:jc w:val="center"/>
        </w:trPr>
        <w:tc>
          <w:tcPr>
            <w:tcW w:w="50" w:type="pct"/>
            <w:vAlign w:val="center"/>
            <w:hideMark/>
          </w:tcPr>
          <w:p w:rsidR="00000000" w:rsidRDefault="0040289C">
            <w:pPr>
              <w:jc w:val="both"/>
              <w:rPr>
                <w:rFonts w:eastAsia="Times New Roman"/>
              </w:rPr>
            </w:pPr>
          </w:p>
        </w:tc>
        <w:tc>
          <w:tcPr>
            <w:tcW w:w="233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2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2026470998"/>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Postemployment Benefit Obligations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Postemployment Benefit Costs</w:t>
            </w:r>
          </w:p>
        </w:tc>
      </w:tr>
      <w:tr w:rsidR="00000000">
        <w:trPr>
          <w:divId w:val="2026470998"/>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202647099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Discount rate for severance plan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2026470998"/>
          <w:jc w:val="center"/>
        </w:trPr>
        <w:tc>
          <w:tcPr>
            <w:tcW w:w="0" w:type="auto"/>
            <w:gridSpan w:val="3"/>
            <w:vAlign w:val="center"/>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2026470998"/>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Salary increase rate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r w:rsidR="00000000">
        <w:trPr>
          <w:divId w:val="2026470998"/>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Involuntary turnover rate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r>
    </w:tbl>
    <w:p w:rsidR="00000000" w:rsidRDefault="0040289C">
      <w:pPr>
        <w:divId w:val="1651053540"/>
        <w:rPr>
          <w:rFonts w:eastAsia="Times New Roman"/>
        </w:rPr>
      </w:pPr>
    </w:p>
    <w:p w:rsidR="00000000" w:rsidRDefault="0040289C">
      <w:pPr>
        <w:jc w:val="both"/>
        <w:rPr>
          <w:rFonts w:eastAsia="Times New Roman"/>
        </w:rPr>
      </w:pPr>
      <w:r>
        <w:rPr>
          <w:rFonts w:eastAsia="Times New Roman"/>
          <w:i/>
          <w:iCs/>
          <w:color w:val="000000"/>
          <w:sz w:val="20"/>
          <w:szCs w:val="20"/>
        </w:rPr>
        <w:t>Cash Flows Related to Employee Benefit Plans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Cash Contributions</w:t>
      </w:r>
      <w:r>
        <w:rPr>
          <w:rFonts w:eastAsia="Times New Roman"/>
          <w:color w:val="000000"/>
          <w:sz w:val="20"/>
          <w:szCs w:val="20"/>
        </w:rPr>
        <w:t xml:space="preserve"> </w:t>
      </w:r>
      <w:r>
        <w:rPr>
          <w:rFonts w:eastAsia="Times New Roman"/>
          <w:color w:val="000000"/>
          <w:sz w:val="20"/>
          <w:szCs w:val="20"/>
        </w:rPr>
        <w:t>NCR does not plan to contribute to the U.S. qualified pension plan in 2023, and plans to contribute approximately $20 million to the international pension plans in 2023. The Company also plans to make contributions of approximately $2 million to the U.S. p</w:t>
      </w:r>
      <w:r>
        <w:rPr>
          <w:rFonts w:eastAsia="Times New Roman"/>
          <w:color w:val="000000"/>
          <w:sz w:val="20"/>
          <w:szCs w:val="20"/>
        </w:rPr>
        <w:t>ostretirement plan and approximately $75 million to the postemployment plan in 2023.</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Estimated Future Benefit Payments</w:t>
      </w:r>
      <w:r>
        <w:rPr>
          <w:rFonts w:eastAsia="Times New Roman"/>
          <w:color w:val="000000"/>
          <w:sz w:val="20"/>
          <w:szCs w:val="20"/>
        </w:rPr>
        <w:t xml:space="preserve"> NCR expects to make the following benefit payments reflecting past and future service from its pension, postretirement and postemployme</w:t>
      </w:r>
      <w:r>
        <w:rPr>
          <w:rFonts w:eastAsia="Times New Roman"/>
          <w:color w:val="000000"/>
          <w:sz w:val="20"/>
          <w:szCs w:val="20"/>
        </w:rPr>
        <w:t>nt plans: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1343"/>
        <w:gridCol w:w="36"/>
        <w:gridCol w:w="36"/>
        <w:gridCol w:w="36"/>
        <w:gridCol w:w="36"/>
        <w:gridCol w:w="121"/>
        <w:gridCol w:w="1110"/>
        <w:gridCol w:w="36"/>
        <w:gridCol w:w="36"/>
        <w:gridCol w:w="36"/>
        <w:gridCol w:w="36"/>
        <w:gridCol w:w="121"/>
        <w:gridCol w:w="1110"/>
        <w:gridCol w:w="36"/>
        <w:gridCol w:w="36"/>
        <w:gridCol w:w="36"/>
        <w:gridCol w:w="36"/>
        <w:gridCol w:w="121"/>
        <w:gridCol w:w="1110"/>
        <w:gridCol w:w="36"/>
        <w:gridCol w:w="36"/>
        <w:gridCol w:w="36"/>
        <w:gridCol w:w="36"/>
        <w:gridCol w:w="121"/>
        <w:gridCol w:w="1110"/>
        <w:gridCol w:w="36"/>
        <w:gridCol w:w="36"/>
        <w:gridCol w:w="36"/>
        <w:gridCol w:w="36"/>
        <w:gridCol w:w="121"/>
        <w:gridCol w:w="1112"/>
        <w:gridCol w:w="36"/>
      </w:tblGrid>
      <w:tr w:rsidR="00000000">
        <w:trPr>
          <w:divId w:val="1934389977"/>
          <w:jc w:val="center"/>
        </w:trPr>
        <w:tc>
          <w:tcPr>
            <w:tcW w:w="50" w:type="pct"/>
            <w:vAlign w:val="center"/>
            <w:hideMark/>
          </w:tcPr>
          <w:p w:rsidR="00000000" w:rsidRDefault="0040289C">
            <w:pPr>
              <w:jc w:val="both"/>
              <w:rPr>
                <w:rFonts w:eastAsia="Times New Roman"/>
              </w:rPr>
            </w:pPr>
          </w:p>
        </w:tc>
        <w:tc>
          <w:tcPr>
            <w:tcW w:w="84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2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2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2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2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2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34389977"/>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Postretirement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Postemployment Benefits</w:t>
            </w:r>
          </w:p>
        </w:tc>
      </w:tr>
      <w:tr w:rsidR="00000000">
        <w:trPr>
          <w:divId w:val="193438997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Year</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3438997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3438997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3438997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3438997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34389977"/>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2027</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34389977"/>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2028-2032</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539 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235 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774 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75510316"/>
        <w:rPr>
          <w:rFonts w:eastAsia="Times New Roman"/>
        </w:rPr>
      </w:pPr>
    </w:p>
    <w:p w:rsidR="00000000" w:rsidRDefault="0040289C">
      <w:pPr>
        <w:jc w:val="both"/>
        <w:rPr>
          <w:rFonts w:eastAsia="Times New Roman"/>
        </w:rPr>
      </w:pPr>
      <w:r>
        <w:rPr>
          <w:rFonts w:eastAsia="Times New Roman"/>
          <w:i/>
          <w:iCs/>
          <w:color w:val="000000"/>
          <w:sz w:val="20"/>
          <w:szCs w:val="20"/>
        </w:rPr>
        <w:t>Savings Plans</w:t>
      </w:r>
      <w:r>
        <w:rPr>
          <w:rFonts w:eastAsia="Times New Roman"/>
          <w:color w:val="000000"/>
          <w:sz w:val="20"/>
          <w:szCs w:val="20"/>
        </w:rPr>
        <w:t xml:space="preserve"> U.S. employees and m</w:t>
      </w:r>
      <w:r>
        <w:rPr>
          <w:rFonts w:eastAsia="Times New Roman"/>
          <w:color w:val="000000"/>
          <w:sz w:val="20"/>
          <w:szCs w:val="20"/>
        </w:rPr>
        <w:t>any international employees participate in defined contribution savings plans. These plans generally provide either a specified percent of pay or a matching contribution on participating employees’ voluntary elections. NCR’s matching contributions typicall</w:t>
      </w:r>
      <w:r>
        <w:rPr>
          <w:rFonts w:eastAsia="Times New Roman"/>
          <w:color w:val="000000"/>
          <w:sz w:val="20"/>
          <w:szCs w:val="20"/>
        </w:rPr>
        <w:t>y are subject to a maximum percentage or level of compensation. Employee contributions can be made pre-tax, after-tax or a combination thereof. The expense under the U.S. plan was approximately $37 million in 2022, $31 million in 2021, and $32 million in 2</w:t>
      </w:r>
      <w:r>
        <w:rPr>
          <w:rFonts w:eastAsia="Times New Roman"/>
          <w:color w:val="000000"/>
          <w:sz w:val="20"/>
          <w:szCs w:val="20"/>
        </w:rPr>
        <w:t>020. The expense under international and subsidiary savings plans was $33 million in 2022, $31 million in 2021, and $25 million in 2020.</w:t>
      </w:r>
    </w:p>
    <w:p w:rsidR="00000000" w:rsidRDefault="0040289C">
      <w:pPr>
        <w:divId w:val="211426275"/>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806385653"/>
        <w:rPr>
          <w:rFonts w:eastAsia="Times New Roman"/>
        </w:rPr>
      </w:pPr>
      <w:r>
        <w:rPr>
          <w:rFonts w:eastAsia="Times New Roman"/>
          <w:color w:val="000000"/>
          <w:sz w:val="20"/>
          <w:szCs w:val="20"/>
        </w:rPr>
        <w:t>105</w:t>
      </w:r>
    </w:p>
    <w:p w:rsidR="00000000" w:rsidRDefault="0040289C">
      <w:pPr>
        <w:rPr>
          <w:rFonts w:eastAsia="Times New Roman"/>
        </w:rPr>
      </w:pPr>
      <w:r>
        <w:rPr>
          <w:rFonts w:eastAsia="Times New Roman"/>
        </w:rPr>
        <w:pict>
          <v:rect id="_x0000_i1135" style="width:0;height:1.5pt" o:hralign="center" o:hrstd="t" o:hr="t" fillcolor="#a0a0a0" stroked="f"/>
        </w:pict>
      </w:r>
    </w:p>
    <w:p w:rsidR="00000000" w:rsidRDefault="0040289C">
      <w:pPr>
        <w:divId w:val="1977025273"/>
        <w:rPr>
          <w:rFonts w:eastAsia="Times New Roman"/>
        </w:rPr>
      </w:pPr>
      <w:hyperlink w:anchor="if07fd8a5a4294970a048ac5c5178b1ea_10" w:history="1">
        <w:r>
          <w:rPr>
            <w:rStyle w:val="a3"/>
            <w:rFonts w:eastAsia="Times New Roman"/>
            <w:sz w:val="16"/>
            <w:szCs w:val="16"/>
          </w:rPr>
          <w:t>Table</w:t>
        </w:r>
        <w:r>
          <w:rPr>
            <w:rStyle w:val="a3"/>
            <w:rFonts w:eastAsia="Times New Roman"/>
            <w:sz w:val="16"/>
            <w:szCs w:val="16"/>
          </w:rPr>
          <w:t xml:space="preserve"> of Contents</w:t>
        </w:r>
      </w:hyperlink>
    </w:p>
    <w:p w:rsidR="00000000" w:rsidRDefault="0040289C">
      <w:pPr>
        <w:jc w:val="right"/>
        <w:divId w:val="597296012"/>
        <w:rPr>
          <w:rFonts w:eastAsia="Times New Roman"/>
        </w:rPr>
      </w:pPr>
    </w:p>
    <w:p w:rsidR="00000000" w:rsidRDefault="0040289C">
      <w:pPr>
        <w:jc w:val="both"/>
        <w:rPr>
          <w:rFonts w:eastAsia="Times New Roman"/>
        </w:rPr>
      </w:pPr>
      <w:r>
        <w:rPr>
          <w:rFonts w:eastAsia="Times New Roman"/>
          <w:i/>
          <w:iCs/>
          <w:color w:val="000000"/>
          <w:sz w:val="20"/>
          <w:szCs w:val="20"/>
        </w:rPr>
        <w:t xml:space="preserve">Amounts to be Recognized </w:t>
      </w:r>
      <w:r>
        <w:rPr>
          <w:rFonts w:eastAsia="Times New Roman"/>
          <w:color w:val="000000"/>
          <w:sz w:val="20"/>
          <w:szCs w:val="20"/>
        </w:rPr>
        <w:t>The amounts in Accumulated other comprehensive loss that are expected to be recognized as components of net periodic benefit cost (income) during 2023 are as follows:</w:t>
      </w: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1457"/>
        <w:gridCol w:w="38"/>
        <w:gridCol w:w="36"/>
        <w:gridCol w:w="36"/>
        <w:gridCol w:w="36"/>
        <w:gridCol w:w="121"/>
        <w:gridCol w:w="1069"/>
        <w:gridCol w:w="36"/>
        <w:gridCol w:w="36"/>
        <w:gridCol w:w="36"/>
        <w:gridCol w:w="36"/>
        <w:gridCol w:w="121"/>
        <w:gridCol w:w="1069"/>
        <w:gridCol w:w="36"/>
        <w:gridCol w:w="36"/>
        <w:gridCol w:w="36"/>
        <w:gridCol w:w="36"/>
        <w:gridCol w:w="121"/>
        <w:gridCol w:w="1070"/>
        <w:gridCol w:w="36"/>
        <w:gridCol w:w="36"/>
        <w:gridCol w:w="36"/>
        <w:gridCol w:w="36"/>
        <w:gridCol w:w="121"/>
        <w:gridCol w:w="1070"/>
        <w:gridCol w:w="36"/>
        <w:gridCol w:w="36"/>
        <w:gridCol w:w="36"/>
        <w:gridCol w:w="36"/>
        <w:gridCol w:w="121"/>
        <w:gridCol w:w="1094"/>
        <w:gridCol w:w="36"/>
      </w:tblGrid>
      <w:tr w:rsidR="00000000">
        <w:trPr>
          <w:jc w:val="center"/>
        </w:trPr>
        <w:tc>
          <w:tcPr>
            <w:tcW w:w="50" w:type="pct"/>
            <w:vAlign w:val="center"/>
            <w:hideMark/>
          </w:tcPr>
          <w:p w:rsidR="00000000" w:rsidRDefault="0040289C">
            <w:pPr>
              <w:jc w:val="both"/>
              <w:rPr>
                <w:rFonts w:eastAsia="Times New Roman"/>
              </w:rPr>
            </w:pPr>
          </w:p>
        </w:tc>
        <w:tc>
          <w:tcPr>
            <w:tcW w:w="9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1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1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1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1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1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U.S.</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Pension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Postretirement Benefits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Postemployment Benefits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Prior service cost (benefit)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Actuarial loss (gain)</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39034571"/>
        <w:rPr>
          <w:rFonts w:eastAsia="Times New Roman"/>
        </w:rPr>
      </w:pPr>
    </w:p>
    <w:p w:rsidR="00000000" w:rsidRDefault="0040289C">
      <w:pPr>
        <w:divId w:val="1143542310"/>
        <w:rPr>
          <w:rFonts w:eastAsia="Times New Roman"/>
        </w:rPr>
      </w:pPr>
      <w:r>
        <w:rPr>
          <w:rFonts w:eastAsia="Times New Roman"/>
          <w:b/>
          <w:bCs/>
          <w:color w:val="7ACE05"/>
          <w:sz w:val="20"/>
          <w:szCs w:val="20"/>
        </w:rPr>
        <w:t>10. COMMITMENTS AND CONTINGENCIES</w:t>
      </w:r>
      <w:r>
        <w:rPr>
          <w:rFonts w:eastAsia="Times New Roman"/>
          <w:b/>
          <w:bCs/>
          <w:color w:val="7ACE05"/>
          <w:sz w:val="20"/>
          <w:szCs w:val="20"/>
        </w:rPr>
        <w:t xml:space="preserve"> </w:t>
      </w:r>
    </w:p>
    <w:p w:rsidR="00000000" w:rsidRDefault="0040289C">
      <w:pPr>
        <w:divId w:val="1545410656"/>
        <w:rPr>
          <w:rFonts w:eastAsia="Times New Roman"/>
        </w:rPr>
      </w:pPr>
    </w:p>
    <w:p w:rsidR="00000000" w:rsidRDefault="0040289C">
      <w:pPr>
        <w:jc w:val="both"/>
        <w:rPr>
          <w:rFonts w:eastAsia="Times New Roman"/>
        </w:rPr>
      </w:pPr>
      <w:r>
        <w:rPr>
          <w:rFonts w:eastAsia="Times New Roman"/>
          <w:color w:val="000000"/>
          <w:sz w:val="20"/>
          <w:szCs w:val="20"/>
        </w:rPr>
        <w:t>In the normal course of business, NCR is subject to various proceedings, lawsuits, claims and other matters, including, for example, those that relate to the environment and health and safety, labor and employment, employee benefits, import/export comp</w:t>
      </w:r>
      <w:r>
        <w:rPr>
          <w:rFonts w:eastAsia="Times New Roman"/>
          <w:color w:val="000000"/>
          <w:sz w:val="20"/>
          <w:szCs w:val="20"/>
        </w:rPr>
        <w:t>liance, patents or other intellectual property, data privacy and security, product liability, commercial disputes and regulatory compliance, among others. Additionally, NCR is subject to diverse and complex laws and regulations, including those relating to</w:t>
      </w:r>
      <w:r>
        <w:rPr>
          <w:rFonts w:eastAsia="Times New Roman"/>
          <w:color w:val="000000"/>
          <w:sz w:val="20"/>
          <w:szCs w:val="20"/>
        </w:rPr>
        <w:t xml:space="preserve"> corporate governance, public disclosure and reporting, environmental safety and the discharge of materials into the environment, product safety, import and export compliance, data privacy and security, antitrust and competition, government contracting, an</w:t>
      </w:r>
      <w:r>
        <w:rPr>
          <w:rFonts w:eastAsia="Times New Roman"/>
          <w:color w:val="000000"/>
          <w:sz w:val="20"/>
          <w:szCs w:val="20"/>
        </w:rPr>
        <w:t>ti-corruption, and labor and human resources, which are rapidly changing and subject to many possible changes in the future. Compliance with these laws and regulations, including changes in accounting standards, taxation requirements, and federal securitie</w:t>
      </w:r>
      <w:r>
        <w:rPr>
          <w:rFonts w:eastAsia="Times New Roman"/>
          <w:color w:val="000000"/>
          <w:sz w:val="20"/>
          <w:szCs w:val="20"/>
        </w:rPr>
        <w:t>s laws among others, may create a substantial burden on, and substantially increase costs to NCR or could have an impact on NCR's future operating results. The Company has reflected all liabilities when a loss is considered probable and reasonably estimabl</w:t>
      </w:r>
      <w:r>
        <w:rPr>
          <w:rFonts w:eastAsia="Times New Roman"/>
          <w:color w:val="000000"/>
          <w:sz w:val="20"/>
          <w:szCs w:val="20"/>
        </w:rPr>
        <w:t>e in the Consolidated Financial Statements. We do not believe there is a reasonable possibility that losses exceeding amounts already recognized have been incurred, but there can be no assurances that the amounts required to satisfy alleged liabilities fro</w:t>
      </w:r>
      <w:r>
        <w:rPr>
          <w:rFonts w:eastAsia="Times New Roman"/>
          <w:color w:val="000000"/>
          <w:sz w:val="20"/>
          <w:szCs w:val="20"/>
        </w:rPr>
        <w:t>m such matters will not impact future operating results.</w:t>
      </w:r>
      <w:r>
        <w:rPr>
          <w:rFonts w:eastAsia="Times New Roman"/>
          <w:color w:val="000000"/>
        </w:rPr>
        <w:t xml:space="preserve"> </w:t>
      </w:r>
      <w:r>
        <w:rPr>
          <w:rFonts w:eastAsia="Times New Roman"/>
          <w:color w:val="000000"/>
          <w:sz w:val="20"/>
          <w:szCs w:val="20"/>
        </w:rPr>
        <w:t>Other than as stated below, the Company does not currently expect to incur material capital expenditures related to such matters.</w:t>
      </w:r>
      <w:r>
        <w:rPr>
          <w:rFonts w:eastAsia="Times New Roman"/>
          <w:color w:val="000000"/>
        </w:rPr>
        <w:t xml:space="preserve"> </w:t>
      </w:r>
      <w:r>
        <w:rPr>
          <w:rFonts w:eastAsia="Times New Roman"/>
          <w:color w:val="000000"/>
          <w:sz w:val="20"/>
          <w:szCs w:val="20"/>
        </w:rPr>
        <w:t xml:space="preserve">However, there can be no assurances that the actual amounts required </w:t>
      </w:r>
      <w:r>
        <w:rPr>
          <w:rFonts w:eastAsia="Times New Roman"/>
          <w:color w:val="000000"/>
          <w:sz w:val="20"/>
          <w:szCs w:val="20"/>
        </w:rPr>
        <w:t>to satisfy alleged liabilities from various lawsuits, claims, legal proceedings and other matters, including, but not limited to the Kalamazoo River environmental matter and other matters discussed below, and to comply with applicable laws and regulations,</w:t>
      </w:r>
      <w:r>
        <w:rPr>
          <w:rFonts w:eastAsia="Times New Roman"/>
          <w:color w:val="000000"/>
          <w:sz w:val="20"/>
          <w:szCs w:val="20"/>
        </w:rPr>
        <w:t xml:space="preserve"> will not exceed the amounts reflected in NCR’s Consolidated Financial Statements or will not have a material adverse effect on its consolidated results of operations, capital expenditures, competitive position, financial condition or cash flows.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Legal M</w:t>
      </w:r>
      <w:r>
        <w:rPr>
          <w:rFonts w:eastAsia="Times New Roman"/>
          <w:b/>
          <w:bCs/>
          <w:color w:val="000000"/>
          <w:sz w:val="20"/>
          <w:szCs w:val="20"/>
        </w:rPr>
        <w:t>atters</w:t>
      </w:r>
      <w:r>
        <w:rPr>
          <w:rFonts w:eastAsia="Times New Roman"/>
          <w:color w:val="000000"/>
          <w:sz w:val="20"/>
          <w:szCs w:val="20"/>
        </w:rPr>
        <w:t xml:space="preserve"> During August 2019, a suit was filed against the Company by Pennsylvania-based CloudofChange LLC alleging willful infringement by NCR for its use of its NCR Silver point-of-sale offering. On October 27, 2022, the court in the Western District of Tex</w:t>
      </w:r>
      <w:r>
        <w:rPr>
          <w:rFonts w:eastAsia="Times New Roman"/>
          <w:color w:val="000000"/>
          <w:sz w:val="20"/>
          <w:szCs w:val="20"/>
        </w:rPr>
        <w:t xml:space="preserve">as denied the Company's post-trial motion in this matter for judgment as a matter of law or alternatively for a new trial, resulting in a ruling against the Company in an amount of $13 million. The Company remains committed to its position that NCR Silver </w:t>
      </w:r>
      <w:r>
        <w:rPr>
          <w:rFonts w:eastAsia="Times New Roman"/>
          <w:color w:val="000000"/>
          <w:sz w:val="20"/>
          <w:szCs w:val="20"/>
        </w:rPr>
        <w:t>does not infringe the CloudofChange LLC patents and will vigorously defend its position on appeal. The Company has already engaged experienced appellate counsel and immediately filed its notice of appeal. The Company evaluated the matter in accordance with</w:t>
      </w:r>
      <w:r>
        <w:rPr>
          <w:rFonts w:eastAsia="Times New Roman"/>
          <w:color w:val="000000"/>
          <w:sz w:val="20"/>
          <w:szCs w:val="20"/>
        </w:rPr>
        <w:t xml:space="preserve"> ASC 450, </w:t>
      </w:r>
      <w:r>
        <w:rPr>
          <w:rFonts w:eastAsia="Times New Roman"/>
          <w:i/>
          <w:iCs/>
          <w:color w:val="000000"/>
          <w:sz w:val="20"/>
          <w:szCs w:val="20"/>
        </w:rPr>
        <w:t>Contingencies</w:t>
      </w:r>
      <w:r>
        <w:rPr>
          <w:rFonts w:eastAsia="Times New Roman"/>
          <w:color w:val="000000"/>
          <w:sz w:val="20"/>
          <w:szCs w:val="20"/>
        </w:rPr>
        <w:t>, and concluded that, as of December 31, 2022, a loss of up to $13 million is reasonably possible, but not probable and, therefore, no accrual has been recorded.</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Environmental Matters</w:t>
      </w:r>
      <w:r>
        <w:rPr>
          <w:rFonts w:eastAsia="Times New Roman"/>
          <w:color w:val="000000"/>
          <w:sz w:val="20"/>
          <w:szCs w:val="20"/>
        </w:rPr>
        <w:t xml:space="preserve"> NCR's facilities and operations are subject to </w:t>
      </w:r>
      <w:r>
        <w:rPr>
          <w:rFonts w:eastAsia="Times New Roman"/>
          <w:color w:val="000000"/>
          <w:sz w:val="20"/>
          <w:szCs w:val="20"/>
        </w:rPr>
        <w:t>a wide range of environmental protection laws, and NCR has investigatory and remedial activities underway at a number of facilities that it currently owns or operates, or formerly owned or operated, to comply, or to determine compliance, with such laws. Al</w:t>
      </w:r>
      <w:r>
        <w:rPr>
          <w:rFonts w:eastAsia="Times New Roman"/>
          <w:color w:val="000000"/>
          <w:sz w:val="20"/>
          <w:szCs w:val="20"/>
        </w:rPr>
        <w:t xml:space="preserve">so, NCR has been identified, either by a government agency or by a private party seeking contribution to site clean-up costs, as a potentially responsible party (“PRP”) at a number of sites pursuant to various state and federal laws, including the Federal </w:t>
      </w:r>
      <w:r>
        <w:rPr>
          <w:rFonts w:eastAsia="Times New Roman"/>
          <w:color w:val="000000"/>
          <w:sz w:val="20"/>
          <w:szCs w:val="20"/>
        </w:rPr>
        <w:t>Water Pollution Control Act, the Comprehensive Environmental Response, Compensation and Liability Act (CERCLA) and comparable state statutes. Other than the Kalamazoo River matter and the Ebina matter discussed below, we currently do not anticipate materia</w:t>
      </w:r>
      <w:r>
        <w:rPr>
          <w:rFonts w:eastAsia="Times New Roman"/>
          <w:color w:val="000000"/>
          <w:sz w:val="20"/>
          <w:szCs w:val="20"/>
        </w:rPr>
        <w:t>l expenses and liabilities from these environmental matters.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Fox River</w:t>
      </w:r>
      <w:r>
        <w:rPr>
          <w:rFonts w:eastAsia="Times New Roman"/>
          <w:color w:val="000000"/>
          <w:sz w:val="20"/>
          <w:szCs w:val="20"/>
        </w:rPr>
        <w:t xml:space="preserve"> NCR was one of eight entities that was formally notified by governmental and other entities that it was a PRP for environmental claims (under CERCLA and other statutes) arising out of</w:t>
      </w:r>
      <w:r>
        <w:rPr>
          <w:rFonts w:eastAsia="Times New Roman"/>
          <w:color w:val="000000"/>
          <w:sz w:val="20"/>
          <w:szCs w:val="20"/>
        </w:rPr>
        <w:t xml:space="preserve"> the presence of polychlorinated biphenyls (“PCBs”) in sediments in the lower Fox River and in the Bay of Green Bay in Wisconsin. NCR was identified as a PRP because of alleged PCB discharges from two carbonless copy paper manufacturing facilities it previ</w:t>
      </w:r>
      <w:r>
        <w:rPr>
          <w:rFonts w:eastAsia="Times New Roman"/>
          <w:color w:val="000000"/>
          <w:sz w:val="20"/>
          <w:szCs w:val="20"/>
        </w:rPr>
        <w:t xml:space="preserve">ously owned, which were located along the Fox River, and carbonless copy paper “broke” the Company allegedly sold to other mills as raw material. In 2017, the Company entered into a Consent Decree with the federal and state governments for the clean-up of </w:t>
      </w:r>
      <w:r>
        <w:rPr>
          <w:rFonts w:eastAsia="Times New Roman"/>
          <w:color w:val="000000"/>
          <w:sz w:val="20"/>
          <w:szCs w:val="20"/>
        </w:rPr>
        <w:t>the Fox River, which was approved on August 22, 2017 by the federal district court in Wisconsin presiding over this matter. The Consent Decree resolved the Company’s disputes with the enforcement agencies as well as the other PRPs.</w:t>
      </w:r>
    </w:p>
    <w:p w:rsidR="00000000" w:rsidRDefault="0040289C">
      <w:pPr>
        <w:jc w:val="both"/>
        <w:rPr>
          <w:rFonts w:eastAsia="Times New Roman"/>
        </w:rPr>
      </w:pPr>
    </w:p>
    <w:p w:rsidR="00000000" w:rsidRDefault="0040289C">
      <w:pPr>
        <w:jc w:val="center"/>
        <w:divId w:val="900293482"/>
        <w:rPr>
          <w:rFonts w:eastAsia="Times New Roman"/>
        </w:rPr>
      </w:pPr>
      <w:r>
        <w:rPr>
          <w:rFonts w:eastAsia="Times New Roman"/>
          <w:color w:val="000000"/>
          <w:sz w:val="20"/>
          <w:szCs w:val="20"/>
        </w:rPr>
        <w:t>106</w:t>
      </w:r>
    </w:p>
    <w:p w:rsidR="00000000" w:rsidRDefault="0040289C">
      <w:pPr>
        <w:rPr>
          <w:rFonts w:eastAsia="Times New Roman"/>
        </w:rPr>
      </w:pPr>
      <w:r>
        <w:rPr>
          <w:rFonts w:eastAsia="Times New Roman"/>
        </w:rPr>
        <w:pict>
          <v:rect id="_x0000_i1136" style="width:0;height:1.5pt" o:hralign="center" o:hrstd="t" o:hr="t" fillcolor="#a0a0a0" stroked="f"/>
        </w:pict>
      </w:r>
    </w:p>
    <w:p w:rsidR="00000000" w:rsidRDefault="0040289C">
      <w:pPr>
        <w:divId w:val="163960611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161233320"/>
        <w:rPr>
          <w:rFonts w:eastAsia="Times New Roman"/>
        </w:rPr>
      </w:pPr>
    </w:p>
    <w:p w:rsidR="00000000" w:rsidRDefault="0040289C">
      <w:pPr>
        <w:jc w:val="both"/>
        <w:rPr>
          <w:rFonts w:eastAsia="Times New Roman"/>
        </w:rPr>
      </w:pPr>
      <w:r>
        <w:rPr>
          <w:rFonts w:eastAsia="Times New Roman"/>
          <w:color w:val="000000"/>
          <w:sz w:val="20"/>
          <w:szCs w:val="20"/>
        </w:rPr>
        <w:t>All litigation relating to the contribution and enforcement of remediation obligations on the Fox River has been concluded. On October 3, 202</w:t>
      </w:r>
      <w:r>
        <w:rPr>
          <w:rFonts w:eastAsia="Times New Roman"/>
          <w:color w:val="000000"/>
          <w:sz w:val="20"/>
          <w:szCs w:val="20"/>
        </w:rPr>
        <w:t>2, the Environmental Protection Agency issued the Company a Certificate of Completion certifying that all of the Company’s remedial obligations under the Consent Decree have been completed.</w:t>
      </w:r>
    </w:p>
    <w:p w:rsidR="00000000" w:rsidRDefault="0040289C">
      <w:pPr>
        <w:divId w:val="1093010420"/>
        <w:rPr>
          <w:rFonts w:eastAsia="Times New Roman"/>
        </w:rPr>
      </w:pPr>
    </w:p>
    <w:p w:rsidR="00000000" w:rsidRDefault="0040289C">
      <w:pPr>
        <w:jc w:val="both"/>
        <w:rPr>
          <w:rFonts w:eastAsia="Times New Roman"/>
        </w:rPr>
      </w:pPr>
      <w:r>
        <w:rPr>
          <w:rFonts w:eastAsia="Times New Roman"/>
          <w:color w:val="000000"/>
          <w:sz w:val="20"/>
          <w:szCs w:val="20"/>
        </w:rPr>
        <w:t>The cost of the Fox River remediation has been shared with three</w:t>
      </w:r>
      <w:r>
        <w:rPr>
          <w:rFonts w:eastAsia="Times New Roman"/>
          <w:color w:val="000000"/>
          <w:sz w:val="20"/>
          <w:szCs w:val="20"/>
        </w:rPr>
        <w:t xml:space="preserve"> parties (the previously reported API having fully satisfied its obligations in 2016, and is now bankrupt): B.A.T. Industries p.l.c. (“BAT”) as co-obligor, and AT&amp;T Corp. (“AT&amp;T”) and Nokia (as the successor to Lucent Technologies and Alcatel-Lucent USA) a</w:t>
      </w:r>
      <w:r>
        <w:rPr>
          <w:rFonts w:eastAsia="Times New Roman"/>
          <w:color w:val="000000"/>
          <w:sz w:val="20"/>
          <w:szCs w:val="20"/>
        </w:rPr>
        <w:t>s indemnitors. Under a 1998 Cost Sharing Agreement and subsequent 2005 arbitration award (collectively, the “Cost Sharing Agreement”), from 2008 through 2014, BAT paid 60% of the cost of the Fox River clean-up and natural resource damages (“NRD”). Pursuant</w:t>
      </w:r>
      <w:r>
        <w:rPr>
          <w:rFonts w:eastAsia="Times New Roman"/>
          <w:color w:val="000000"/>
          <w:sz w:val="20"/>
          <w:szCs w:val="20"/>
        </w:rPr>
        <w:t xml:space="preserve"> to a September 30, 2014 Funding Agreement (the “Funding Agreement”), BAT funded 50% of NCR’s Fox River remediation costs from October 1, 2014 forward; the Funding Agreement also provides NCR contractual avenues for a future payment of, via direct and thir</w:t>
      </w:r>
      <w:r>
        <w:rPr>
          <w:rFonts w:eastAsia="Times New Roman"/>
          <w:color w:val="000000"/>
          <w:sz w:val="20"/>
          <w:szCs w:val="20"/>
        </w:rPr>
        <w:t>d-party sources, (1) the difference between BAT’s 60% obligation under the Cost Sharing Agreement on the one hand and their ongoing (since September 2014) 50% payments under the Funding Agreement on the other, as well as (2) the difference between the amou</w:t>
      </w:r>
      <w:r>
        <w:rPr>
          <w:rFonts w:eastAsia="Times New Roman"/>
          <w:color w:val="000000"/>
          <w:sz w:val="20"/>
          <w:szCs w:val="20"/>
        </w:rPr>
        <w:t>nt NCR received under the Funding Agreement and the amount owed to it under the Cost Sharing Agreement for the period from April 2012 through September 2014 (collectively, the “Funding Agreement Receivable”). Pursuant to a June 12, 2015 Letter Agreement, N</w:t>
      </w:r>
      <w:r>
        <w:rPr>
          <w:rFonts w:eastAsia="Times New Roman"/>
          <w:color w:val="000000"/>
          <w:sz w:val="20"/>
          <w:szCs w:val="20"/>
        </w:rPr>
        <w:t>CR's contractual avenue for direct payment by BAT was effectively stayed pending completion of other unrelated lawsuits by BAT against third-parties. As of December 31, 2022 and 2021, the Funding Agreement Receivable was approximately $54 million and was i</w:t>
      </w:r>
      <w:r>
        <w:rPr>
          <w:rFonts w:eastAsia="Times New Roman"/>
          <w:color w:val="000000"/>
          <w:sz w:val="20"/>
          <w:szCs w:val="20"/>
        </w:rPr>
        <w:t>ncluded in Other assets in the Consolidated Balance Sheets. The timing of collection of sums related to the receivable is uncertain, subject and pursuant to the terms of the Funding Agreement and related agreements. This receivable is not taken into accoun</w:t>
      </w:r>
      <w:r>
        <w:rPr>
          <w:rFonts w:eastAsia="Times New Roman"/>
          <w:color w:val="000000"/>
          <w:sz w:val="20"/>
          <w:szCs w:val="20"/>
        </w:rPr>
        <w:t>t in calculating the Company’s Fox River remaining reserve.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Additionally, under a 1996 Divestiture Agreement, AT&amp;T and Nokia have been responsible severally (not jointly) for indemnifying NCR for certain portions of the amounts paid by NCR for the Fox Ri</w:t>
      </w:r>
      <w:r>
        <w:rPr>
          <w:rFonts w:eastAsia="Times New Roman"/>
          <w:color w:val="000000"/>
          <w:sz w:val="20"/>
          <w:szCs w:val="20"/>
        </w:rPr>
        <w:t xml:space="preserve">ver matter over a defined threshold and subject to certain offsets for insurance recoveries and net tax benefits (the “Divestiture Agreement Offsets”), if any. (The Divestiture Agreement governs certain aspects of AT&amp;T's divestiture of NCR and of what was </w:t>
      </w:r>
      <w:r>
        <w:rPr>
          <w:rFonts w:eastAsia="Times New Roman"/>
          <w:color w:val="000000"/>
          <w:sz w:val="20"/>
          <w:szCs w:val="20"/>
        </w:rPr>
        <w:t>then known as Lucent Technologies.) Those companies have made the payments requested of them by the Company on an ongoing basis.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There could be additional changes to some elements of the Company's remaining obligation over upcoming periods, in view of a </w:t>
      </w:r>
      <w:r>
        <w:rPr>
          <w:rFonts w:eastAsia="Times New Roman"/>
          <w:color w:val="000000"/>
          <w:sz w:val="20"/>
          <w:szCs w:val="20"/>
        </w:rPr>
        <w:t xml:space="preserve">final reconciliation of the Funding Agreement Receivable and the Divestiture Agreement Offsets. Thus, there can be no assurance that unexpected expenditures and liabilities will not have a material effect on NCR's capital expenditures, earnings, financial </w:t>
      </w:r>
      <w:r>
        <w:rPr>
          <w:rFonts w:eastAsia="Times New Roman"/>
          <w:color w:val="000000"/>
          <w:sz w:val="20"/>
          <w:szCs w:val="20"/>
        </w:rPr>
        <w:t>condition, cash flows, or competitive position. As of December 31, 2022, we have no remaining liability for remedial obligations for the Fox River matter. As of December 31, 2021, the reserve for the Fox River matter was approximately $4 million. As of Dec</w:t>
      </w:r>
      <w:r>
        <w:rPr>
          <w:rFonts w:eastAsia="Times New Roman"/>
          <w:color w:val="000000"/>
          <w:sz w:val="20"/>
          <w:szCs w:val="20"/>
        </w:rPr>
        <w:t>ember 31, 2022 and 2021, the liability subject to final reconciliation with indemnitors under the Divestiture Agreement was approximately $22 million.</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Kalamazoo River </w:t>
      </w:r>
      <w:r>
        <w:rPr>
          <w:rFonts w:eastAsia="Times New Roman"/>
          <w:color w:val="000000"/>
          <w:sz w:val="20"/>
          <w:szCs w:val="20"/>
        </w:rPr>
        <w:t xml:space="preserve">In November 2010, The United States Environmental Protection Agency (“USEPA”) issued a </w:t>
      </w:r>
      <w:r>
        <w:rPr>
          <w:rFonts w:eastAsia="Times New Roman"/>
          <w:color w:val="000000"/>
          <w:sz w:val="20"/>
          <w:szCs w:val="20"/>
        </w:rPr>
        <w:t>“general notice letter” to NCR with respect to the Allied Paper, Inc./Portage Creek/Kalamazoo River Superfund Site (“Kalamazoo River site”) in Michigan. Three other companies - International Paper, Mead Corporation, and Consumers Energy - also received gen</w:t>
      </w:r>
      <w:r>
        <w:rPr>
          <w:rFonts w:eastAsia="Times New Roman"/>
          <w:color w:val="000000"/>
          <w:sz w:val="20"/>
          <w:szCs w:val="20"/>
        </w:rPr>
        <w:t>eral notice letters at or about the same time. USEPA asserts that the site is contaminated by various substances, primarily PCBs, as a result of discharges by various paper mills located along the river. USEPA does not claim that the Company made direct di</w:t>
      </w:r>
      <w:r>
        <w:rPr>
          <w:rFonts w:eastAsia="Times New Roman"/>
          <w:color w:val="000000"/>
          <w:sz w:val="20"/>
          <w:szCs w:val="20"/>
        </w:rPr>
        <w:t>scharges into the Kalamazoo River, and NCR never had facilities at or near the Kalamazoo River site, but USEPA indicated that “NCR may be liable under Section 107 of CERCLA ... as an arranger, who by contract or agreement, arranged for the disposal, treatm</w:t>
      </w:r>
      <w:r>
        <w:rPr>
          <w:rFonts w:eastAsia="Times New Roman"/>
          <w:color w:val="000000"/>
          <w:sz w:val="20"/>
          <w:szCs w:val="20"/>
        </w:rPr>
        <w:t>ent and/or transportation of hazardous substances at the Site.” USEPA stated that it “may issue special notice letters to [NCR] and other PRPs for future RI/FS [remedial investigation / feasibility studies] and RD/RA [remedial design / remedial action] neg</w:t>
      </w:r>
      <w:r>
        <w:rPr>
          <w:rFonts w:eastAsia="Times New Roman"/>
          <w:color w:val="000000"/>
          <w:sz w:val="20"/>
          <w:szCs w:val="20"/>
        </w:rPr>
        <w:t>otiations.”</w:t>
      </w:r>
    </w:p>
    <w:p w:rsidR="00000000" w:rsidRDefault="0040289C">
      <w:pPr>
        <w:divId w:val="871650627"/>
        <w:rPr>
          <w:rFonts w:eastAsia="Times New Roman"/>
        </w:rPr>
      </w:pPr>
    </w:p>
    <w:p w:rsidR="00000000" w:rsidRDefault="0040289C">
      <w:pPr>
        <w:jc w:val="both"/>
        <w:rPr>
          <w:rFonts w:eastAsia="Times New Roman"/>
        </w:rPr>
      </w:pPr>
      <w:r>
        <w:rPr>
          <w:rFonts w:eastAsia="Times New Roman"/>
          <w:color w:val="000000"/>
          <w:sz w:val="20"/>
          <w:szCs w:val="20"/>
        </w:rPr>
        <w:t xml:space="preserve">In connection with the Kalamazoo River site, in December 2010 the Company, along with two other defendants, was sued in federal court by three </w:t>
      </w:r>
      <w:r>
        <w:rPr>
          <w:rFonts w:eastAsia="Times New Roman"/>
          <w:color w:val="000000"/>
          <w:sz w:val="20"/>
          <w:szCs w:val="20"/>
        </w:rPr>
        <w:t>GP affiliate corporations in a private-party contribution and cost recovery action for alleged pollution. The suit, pending in Michigan, asks that the Company and other defendants pay a “fair portion” of these companies’ costs. Various removal and remedial</w:t>
      </w:r>
      <w:r>
        <w:rPr>
          <w:rFonts w:eastAsia="Times New Roman"/>
          <w:color w:val="000000"/>
          <w:sz w:val="20"/>
          <w:szCs w:val="20"/>
        </w:rPr>
        <w:t xml:space="preserve"> actions remain to be decided upon and performed at the Kalamazoo River site, the total costs for which generally remain undetermined; in 2017, Records of Decisions were issued for two parts of the river, and in 2018 such a decision was issued for another </w:t>
      </w:r>
      <w:r>
        <w:rPr>
          <w:rFonts w:eastAsia="Times New Roman"/>
          <w:color w:val="000000"/>
          <w:sz w:val="20"/>
          <w:szCs w:val="20"/>
        </w:rPr>
        <w:t>part of the river, but such decisions for the majority of the work are expected to be made only over the next several years. The suit alleges that the Company is liable to the GP entities as an “arranger” under CERCLA. The initial phase of the case was tri</w:t>
      </w:r>
      <w:r>
        <w:rPr>
          <w:rFonts w:eastAsia="Times New Roman"/>
          <w:color w:val="000000"/>
          <w:sz w:val="20"/>
          <w:szCs w:val="20"/>
        </w:rPr>
        <w:t>ed in a Michigan federal court in February 2013; on September 26, 2013 the court issued a decision that held NCR was liable as an “arranger” as of at least March 1969. (PCB-containing carbonless copy paper was produced from approximately 1954 to April 1971</w:t>
      </w:r>
      <w:r>
        <w:rPr>
          <w:rFonts w:eastAsia="Times New Roman"/>
          <w:color w:val="000000"/>
          <w:sz w:val="20"/>
          <w:szCs w:val="20"/>
        </w:rPr>
        <w:t>, and the majority of contamination at the Kalamazoo River site had occurred prior to 1969). NCR preserved its right to appeal the September 2013 decision.</w:t>
      </w:r>
    </w:p>
    <w:p w:rsidR="00000000" w:rsidRDefault="0040289C">
      <w:pPr>
        <w:jc w:val="both"/>
        <w:rPr>
          <w:rFonts w:eastAsia="Times New Roman"/>
        </w:rPr>
      </w:pPr>
    </w:p>
    <w:p w:rsidR="00000000" w:rsidRDefault="0040289C">
      <w:pPr>
        <w:jc w:val="center"/>
        <w:divId w:val="18972362"/>
        <w:rPr>
          <w:rFonts w:eastAsia="Times New Roman"/>
        </w:rPr>
      </w:pPr>
      <w:r>
        <w:rPr>
          <w:rFonts w:eastAsia="Times New Roman"/>
          <w:color w:val="000000"/>
          <w:sz w:val="20"/>
          <w:szCs w:val="20"/>
        </w:rPr>
        <w:t>107</w:t>
      </w:r>
    </w:p>
    <w:p w:rsidR="00000000" w:rsidRDefault="0040289C">
      <w:pPr>
        <w:rPr>
          <w:rFonts w:eastAsia="Times New Roman"/>
        </w:rPr>
      </w:pPr>
      <w:r>
        <w:rPr>
          <w:rFonts w:eastAsia="Times New Roman"/>
        </w:rPr>
        <w:pict>
          <v:rect id="_x0000_i1137" style="width:0;height:1.5pt" o:hralign="center" o:hrstd="t" o:hr="t" fillcolor="#a0a0a0" stroked="f"/>
        </w:pict>
      </w:r>
    </w:p>
    <w:p w:rsidR="00000000" w:rsidRDefault="0040289C">
      <w:pPr>
        <w:divId w:val="177039238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640112749"/>
        <w:rPr>
          <w:rFonts w:eastAsia="Times New Roman"/>
        </w:rPr>
      </w:pPr>
    </w:p>
    <w:p w:rsidR="00000000" w:rsidRDefault="0040289C">
      <w:pPr>
        <w:jc w:val="both"/>
        <w:rPr>
          <w:rFonts w:eastAsia="Times New Roman"/>
        </w:rPr>
      </w:pPr>
      <w:r>
        <w:rPr>
          <w:rFonts w:eastAsia="Times New Roman"/>
          <w:color w:val="000000"/>
          <w:sz w:val="20"/>
          <w:szCs w:val="20"/>
        </w:rPr>
        <w:t>In the 2013 decision the Court did not determine NCR’s share of the overall liability. Relative shares of liability for the four companies were tried to the court in a subsequent phase of the case in December 2015. In a ruling issued o</w:t>
      </w:r>
      <w:r>
        <w:rPr>
          <w:rFonts w:eastAsia="Times New Roman"/>
          <w:color w:val="000000"/>
          <w:sz w:val="20"/>
          <w:szCs w:val="20"/>
        </w:rPr>
        <w:t>n March 29, 2018, the court addressed responsibility for the costs that GP had incurred in the past, totaling to approximately $50 million (GP had sought approximately $105 million, but $55 million of those claims were removed by the court upon motions fil</w:t>
      </w:r>
      <w:r>
        <w:rPr>
          <w:rFonts w:eastAsia="Times New Roman"/>
          <w:color w:val="000000"/>
          <w:sz w:val="20"/>
          <w:szCs w:val="20"/>
        </w:rPr>
        <w:t>ed by the Company and other parties); NCR and GP were each assigned a 40% share of those costs, and the other two companies were assigned 15% and 5% as their allocations. The court entered a judgment in the case on June 19, 2018, in which it indicated that</w:t>
      </w:r>
      <w:r>
        <w:rPr>
          <w:rFonts w:eastAsia="Times New Roman"/>
          <w:color w:val="000000"/>
          <w:sz w:val="20"/>
          <w:szCs w:val="20"/>
        </w:rPr>
        <w:t xml:space="preserve"> it would not allocate future costs, but would enter a declaratory judgment that the four companies together had responsibility for future costs, in amounts and shares to be determined. Cross-proceedings have been commenced to obtain recoveries from the ot</w:t>
      </w:r>
      <w:r>
        <w:rPr>
          <w:rFonts w:eastAsia="Times New Roman"/>
          <w:color w:val="000000"/>
          <w:sz w:val="20"/>
          <w:szCs w:val="20"/>
        </w:rPr>
        <w:t>her parties pursuant to the judgment; those proceedings were stayed pending the appeal referenced below.</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In July 2018, the Company appealed to the United States Court of Appeals for the Sixth Circuit both the 2013 court decision, which it believes is in </w:t>
      </w:r>
      <w:r>
        <w:rPr>
          <w:rFonts w:eastAsia="Times New Roman"/>
          <w:color w:val="000000"/>
          <w:sz w:val="20"/>
          <w:szCs w:val="20"/>
        </w:rPr>
        <w:t>conflict with a decision from the Fox River trial court as to Operable Unit 1 of that site and an affirmance of that decision from the Court of Appeals for the Seventh Circuit, and the 2018 court decision, on various legal grounds. The Company filed a bond</w:t>
      </w:r>
      <w:r>
        <w:rPr>
          <w:rFonts w:eastAsia="Times New Roman"/>
          <w:color w:val="000000"/>
          <w:sz w:val="20"/>
          <w:szCs w:val="20"/>
        </w:rPr>
        <w:t xml:space="preserve"> to stay any execution of the judgment pending the appeal, and its application for a stay was approved by the court and remains stayed until the Company filed its dismissal of the appeal on December 31, 2020 pursuant to a Consent Decree, noted below.</w:t>
      </w:r>
    </w:p>
    <w:p w:rsidR="00000000" w:rsidRDefault="0040289C">
      <w:pPr>
        <w:jc w:val="both"/>
        <w:rPr>
          <w:rFonts w:eastAsia="Times New Roman"/>
        </w:rPr>
      </w:pPr>
    </w:p>
    <w:p w:rsidR="00000000" w:rsidRDefault="0040289C">
      <w:pPr>
        <w:jc w:val="both"/>
        <w:rPr>
          <w:rFonts w:eastAsia="Times New Roman"/>
        </w:rPr>
      </w:pPr>
      <w:r>
        <w:rPr>
          <w:rFonts w:eastAsia="Times New Roman"/>
          <w:color w:val="212529"/>
          <w:sz w:val="20"/>
          <w:szCs w:val="20"/>
        </w:rPr>
        <w:t>Dur</w:t>
      </w:r>
      <w:r>
        <w:rPr>
          <w:rFonts w:eastAsia="Times New Roman"/>
          <w:color w:val="212529"/>
          <w:sz w:val="20"/>
          <w:szCs w:val="20"/>
        </w:rPr>
        <w:t>ing the pendency of the Sixth Circuit stay, the Company negotiated a settlement of the Kalamazoo River matter with the USEPA and other government agencies having oversight over the river. On December 5, 2019, the Company entered into a Consent Decree, file</w:t>
      </w:r>
      <w:r>
        <w:rPr>
          <w:rFonts w:eastAsia="Times New Roman"/>
          <w:color w:val="212529"/>
          <w:sz w:val="20"/>
          <w:szCs w:val="20"/>
        </w:rPr>
        <w:t>d with the District Court on December 11, 2019, and on December 2, 2020, the District Court approved the Consent Decree, which has now resolved all litigation associated with the river clean-up, including the Sixth Circuit appeal. The Consent Decree requir</w:t>
      </w:r>
      <w:r>
        <w:rPr>
          <w:rFonts w:eastAsia="Times New Roman"/>
          <w:color w:val="212529"/>
          <w:sz w:val="20"/>
          <w:szCs w:val="20"/>
        </w:rPr>
        <w:t>es the Company to pay GP its 40% share of past costs, to pay the USEPA and state agencies their past and future administrative costs, and to dismiss its Sixth Circuit appeal. The Consent Decree further requires the Company to take responsibility for the re</w:t>
      </w:r>
      <w:r>
        <w:rPr>
          <w:rFonts w:eastAsia="Times New Roman"/>
          <w:color w:val="212529"/>
          <w:sz w:val="20"/>
          <w:szCs w:val="20"/>
        </w:rPr>
        <w:t>mediation of a portion, but not all, of the Kalamazoo River. The Consent Decree further provides the Company protection from other PRPs, including GP, seeking contribution for their costs associated with the clean-up anywhere on the river, thereby resolvin</w:t>
      </w:r>
      <w:r>
        <w:rPr>
          <w:rFonts w:eastAsia="Times New Roman"/>
          <w:color w:val="212529"/>
          <w:sz w:val="20"/>
          <w:szCs w:val="20"/>
        </w:rPr>
        <w:t>g the allocation of future costs left unresolved by the June 19, 2019 judgment.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believes it has meritorious claims against BAT under the Cost Sharing Agreement, discussed above, for the Kalamazoo River remediation expenses as a so-called “fut</w:t>
      </w:r>
      <w:r>
        <w:rPr>
          <w:rFonts w:eastAsia="Times New Roman"/>
          <w:color w:val="000000"/>
          <w:sz w:val="20"/>
          <w:szCs w:val="20"/>
        </w:rPr>
        <w:t xml:space="preserve">ure site.” To date, BAT has denied that the Kalamazoo River is a “future site.” On February 10, 2023, the Company filed an action against BAT in the Southern District of New York seeking a declaration that the Kalamazoo River is indeed a future site under </w:t>
      </w:r>
      <w:r>
        <w:rPr>
          <w:rFonts w:eastAsia="Times New Roman"/>
          <w:color w:val="000000"/>
          <w:sz w:val="20"/>
          <w:szCs w:val="20"/>
        </w:rPr>
        <w:t>the Cost Sharing Agreement. The Company will also have indemnity or reimbursement claims against AT&amp;T and Nokia under the arrangement discussed above in connection with the Fox River matter after expenses have met a contractual threshold set out in the 199</w:t>
      </w:r>
      <w:r>
        <w:rPr>
          <w:rFonts w:eastAsia="Times New Roman"/>
          <w:color w:val="000000"/>
          <w:sz w:val="20"/>
          <w:szCs w:val="20"/>
        </w:rPr>
        <w:t>6 Divestiture Agreement referenced above in the Fox River discussion. The Company believes that contractual threshold was, or was nearly, met in December 2022.</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of December 31, 2022 and 2021, the total reserve for Kalamazoo was $90 million and $99 mill</w:t>
      </w:r>
      <w:r>
        <w:rPr>
          <w:rFonts w:eastAsia="Times New Roman"/>
          <w:color w:val="000000"/>
          <w:sz w:val="20"/>
          <w:szCs w:val="20"/>
        </w:rPr>
        <w:t>ion, respectively. The reserve is reported on a basis that is net of expected contributions from the Company's co-obligors and indemnitors, subject to when the applicable threshold is reached. While the Company believes its co-obligors' and indemnitors' ob</w:t>
      </w:r>
      <w:r>
        <w:rPr>
          <w:rFonts w:eastAsia="Times New Roman"/>
          <w:color w:val="000000"/>
          <w:sz w:val="20"/>
          <w:szCs w:val="20"/>
        </w:rPr>
        <w:t>ligations are as previously reported, the reserve reflects changes in positions taken by some of those co-obligors and indemnitors with respect to the Kalamazoo River. The contributions from its co-obligors and indemnitors are expected to range from $70 mi</w:t>
      </w:r>
      <w:r>
        <w:rPr>
          <w:rFonts w:eastAsia="Times New Roman"/>
          <w:color w:val="000000"/>
          <w:sz w:val="20"/>
          <w:szCs w:val="20"/>
        </w:rPr>
        <w:t xml:space="preserve">llion to $155 million and the Company will continue to pursue such contribution.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many aspects of the costs of remediation will not be determined for several years (and thus the high end of a range of possible costs for many areas of the site cannot b</w:t>
      </w:r>
      <w:r>
        <w:rPr>
          <w:rFonts w:eastAsia="Times New Roman"/>
          <w:color w:val="000000"/>
          <w:sz w:val="20"/>
          <w:szCs w:val="20"/>
        </w:rPr>
        <w:t>e quantified at this time), the Company has made what it considers to be reasonable estimates of the low end of a range for such costs where remedies are identified, and/or of the costs of investigations and studies for areas of the river where remedies ha</w:t>
      </w:r>
      <w:r>
        <w:rPr>
          <w:rFonts w:eastAsia="Times New Roman"/>
          <w:color w:val="000000"/>
          <w:sz w:val="20"/>
          <w:szCs w:val="20"/>
        </w:rPr>
        <w:t>ve not yet been determined, and the reserve is informed by those estimates. The extent of NCR’s potential liability remains subject to many uncertainties, notwithstanding the settlement of this matter and related Consent Decree noted above, particularly in</w:t>
      </w:r>
      <w:r>
        <w:rPr>
          <w:rFonts w:eastAsia="Times New Roman"/>
          <w:color w:val="000000"/>
          <w:sz w:val="20"/>
          <w:szCs w:val="20"/>
        </w:rPr>
        <w:t xml:space="preserve"> as much as remedy decisions and cost estimates will not be generated until times in the future and as most of the work to be performed will take place through the 2030s. Under other assumptions or estimates for possible costs of remediation, which the Com</w:t>
      </w:r>
      <w:r>
        <w:rPr>
          <w:rFonts w:eastAsia="Times New Roman"/>
          <w:color w:val="000000"/>
          <w:sz w:val="20"/>
          <w:szCs w:val="20"/>
        </w:rPr>
        <w:t>pany does not at this point consider to be reasonably estimable or verifiable, it is possible that the reserve the Company has taken to discontinued operations reflected in this paragraph could more than approximately double the reflected reserve.</w:t>
      </w:r>
    </w:p>
    <w:p w:rsidR="00000000" w:rsidRDefault="0040289C">
      <w:pPr>
        <w:divId w:val="1147166238"/>
        <w:rPr>
          <w:rFonts w:eastAsia="Times New Roman"/>
        </w:rPr>
      </w:pPr>
    </w:p>
    <w:p w:rsidR="00000000" w:rsidRDefault="0040289C">
      <w:pPr>
        <w:jc w:val="both"/>
        <w:rPr>
          <w:rFonts w:eastAsia="Times New Roman"/>
        </w:rPr>
      </w:pPr>
      <w:r>
        <w:rPr>
          <w:rFonts w:eastAsia="Times New Roman"/>
          <w:i/>
          <w:iCs/>
          <w:color w:val="000000"/>
          <w:sz w:val="20"/>
          <w:szCs w:val="20"/>
        </w:rPr>
        <w:t>Ebina</w:t>
      </w:r>
      <w:r>
        <w:rPr>
          <w:rFonts w:eastAsia="Times New Roman"/>
          <w:color w:val="000000"/>
          <w:sz w:val="20"/>
          <w:szCs w:val="20"/>
        </w:rPr>
        <w:t xml:space="preserve"> </w:t>
      </w:r>
      <w:r>
        <w:rPr>
          <w:rFonts w:eastAsia="Times New Roman"/>
          <w:color w:val="000000"/>
          <w:sz w:val="20"/>
          <w:szCs w:val="20"/>
        </w:rPr>
        <w:t>The Company is engaged in cooperative regulatory compliance activities with the government of Japan in connection with certain environmental contaminants generated in its past operations in that country. The Company has quantities of PCB and other wastes p</w:t>
      </w:r>
      <w:r>
        <w:rPr>
          <w:rFonts w:eastAsia="Times New Roman"/>
          <w:color w:val="000000"/>
          <w:sz w:val="20"/>
          <w:szCs w:val="20"/>
        </w:rPr>
        <w:t xml:space="preserve">rimarily from its former plant at Oiso, Japan, including capsulated undiluted solutions manufactured in the past, capacitors, light ballasts and PCB-affected soil from the Oiso plant that was excavated and placed in steel drums. These wastes are stored in </w:t>
      </w:r>
      <w:r>
        <w:rPr>
          <w:rFonts w:eastAsia="Times New Roman"/>
          <w:color w:val="000000"/>
          <w:sz w:val="20"/>
          <w:szCs w:val="20"/>
        </w:rPr>
        <w:t xml:space="preserve">a facility at Ebina, Japan in accordance with Japanese regulations governing such materials. Over the past </w:t>
      </w:r>
    </w:p>
    <w:p w:rsidR="00000000" w:rsidRDefault="0040289C">
      <w:pPr>
        <w:jc w:val="center"/>
        <w:divId w:val="1361272799"/>
        <w:rPr>
          <w:rFonts w:eastAsia="Times New Roman"/>
        </w:rPr>
      </w:pPr>
      <w:r>
        <w:rPr>
          <w:rFonts w:eastAsia="Times New Roman"/>
          <w:color w:val="000000"/>
          <w:sz w:val="20"/>
          <w:szCs w:val="20"/>
        </w:rPr>
        <w:t>108</w:t>
      </w:r>
    </w:p>
    <w:p w:rsidR="00000000" w:rsidRDefault="0040289C">
      <w:pPr>
        <w:rPr>
          <w:rFonts w:eastAsia="Times New Roman"/>
        </w:rPr>
      </w:pPr>
      <w:r>
        <w:rPr>
          <w:rFonts w:eastAsia="Times New Roman"/>
        </w:rPr>
        <w:pict>
          <v:rect id="_x0000_i1138" style="width:0;height:1.5pt" o:hralign="center" o:hrstd="t" o:hr="t" fillcolor="#a0a0a0" stroked="f"/>
        </w:pict>
      </w:r>
    </w:p>
    <w:p w:rsidR="00000000" w:rsidRDefault="0040289C">
      <w:pPr>
        <w:divId w:val="37154096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36623018"/>
        <w:rPr>
          <w:rFonts w:eastAsia="Times New Roman"/>
        </w:rPr>
      </w:pPr>
    </w:p>
    <w:p w:rsidR="00000000" w:rsidRDefault="0040289C">
      <w:pPr>
        <w:jc w:val="both"/>
        <w:rPr>
          <w:rFonts w:eastAsia="Times New Roman"/>
        </w:rPr>
      </w:pPr>
      <w:r>
        <w:rPr>
          <w:rFonts w:eastAsia="Times New Roman"/>
          <w:color w:val="000000"/>
          <w:sz w:val="20"/>
          <w:szCs w:val="20"/>
        </w:rPr>
        <w:t>several years Japan has enact</w:t>
      </w:r>
      <w:r>
        <w:rPr>
          <w:rFonts w:eastAsia="Times New Roman"/>
          <w:color w:val="000000"/>
          <w:sz w:val="20"/>
          <w:szCs w:val="20"/>
        </w:rPr>
        <w:t>ed and amended legislation governing such wastes, and has set a current deadline for treating and disposing of (at government-constructed disposal facilities) the highest-concentration wastes by 2027. Lower-concentration wastes can be and have been dispose</w:t>
      </w:r>
      <w:r>
        <w:rPr>
          <w:rFonts w:eastAsia="Times New Roman"/>
          <w:color w:val="000000"/>
          <w:sz w:val="20"/>
          <w:szCs w:val="20"/>
        </w:rPr>
        <w:t>d of via private contractors, and as of December 31, 2022, NCR had disposed of approximately 96% of its lower-concentration wastes and approximately 62% of its higher-concentration wastes.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and its consultants have met and communicated regular</w:t>
      </w:r>
      <w:r>
        <w:rPr>
          <w:rFonts w:eastAsia="Times New Roman"/>
          <w:color w:val="000000"/>
          <w:sz w:val="20"/>
          <w:szCs w:val="20"/>
        </w:rPr>
        <w:t>ly with the Japanese agency charged with administration of the law, and are working with that agency on a program to manage disposal of the high-concentration wastes, including tests of technologies to make the disposal more efficient. The government has g</w:t>
      </w:r>
      <w:r>
        <w:rPr>
          <w:rFonts w:eastAsia="Times New Roman"/>
          <w:color w:val="000000"/>
          <w:sz w:val="20"/>
          <w:szCs w:val="20"/>
        </w:rPr>
        <w:t>iven its final approvals, and the Company started to dispose of the high-concentration wastes in 2021, with final deadlines for various of the government-constructed disposal sites currently set for 2022, 2023 and later. Low-concentration wastes are requir</w:t>
      </w:r>
      <w:r>
        <w:rPr>
          <w:rFonts w:eastAsia="Times New Roman"/>
          <w:color w:val="000000"/>
          <w:sz w:val="20"/>
          <w:szCs w:val="20"/>
        </w:rPr>
        <w:t>ed to be contracted for disposal by 2027, a timetable that the Company expects to meet. In September 2019, the Company’s environmental consultants, following a series of communications and meetings with the Japanese agency, at the Company’s request prepare</w:t>
      </w:r>
      <w:r>
        <w:rPr>
          <w:rFonts w:eastAsia="Times New Roman"/>
          <w:color w:val="000000"/>
          <w:sz w:val="20"/>
          <w:szCs w:val="20"/>
        </w:rPr>
        <w:t>d an estimate of remaining disposal costs over the coming several years. While the estimate is subject to a range of assumptions and uncertainties, including prospects of cost reduction in coordination with the agency as certain field testing to separate h</w:t>
      </w:r>
      <w:r>
        <w:rPr>
          <w:rFonts w:eastAsia="Times New Roman"/>
          <w:color w:val="000000"/>
          <w:sz w:val="20"/>
          <w:szCs w:val="20"/>
        </w:rPr>
        <w:t>igh-concentration and low-concentration waste progresses over the coming years, the Company adjusted its existing reserve for the matter to take into account this cost estimate. The reserve as of December 31, 2022 and 2021 is $7 million and $16 million, re</w:t>
      </w:r>
      <w:r>
        <w:rPr>
          <w:rFonts w:eastAsia="Times New Roman"/>
          <w:color w:val="000000"/>
          <w:sz w:val="20"/>
          <w:szCs w:val="20"/>
        </w:rPr>
        <w:t>spectively. The Japan environmental waste issue is treated as a compliance matter and not as litigation or enforcement, and the Company has received no threats of litigation or enforcement.</w:t>
      </w:r>
    </w:p>
    <w:p w:rsidR="00000000" w:rsidRDefault="0040289C">
      <w:pPr>
        <w:jc w:val="both"/>
        <w:rPr>
          <w:rFonts w:eastAsia="Times New Roman"/>
        </w:rPr>
      </w:pPr>
    </w:p>
    <w:p w:rsidR="00000000" w:rsidRDefault="0040289C">
      <w:pPr>
        <w:jc w:val="both"/>
        <w:divId w:val="820460047"/>
        <w:rPr>
          <w:rFonts w:eastAsia="Times New Roman"/>
        </w:rPr>
      </w:pPr>
      <w:r>
        <w:rPr>
          <w:rFonts w:eastAsia="Times New Roman"/>
          <w:i/>
          <w:iCs/>
          <w:color w:val="000000"/>
          <w:sz w:val="20"/>
          <w:szCs w:val="20"/>
        </w:rPr>
        <w:t>Environmental-Related Insurance Recoveries</w:t>
      </w:r>
      <w:r>
        <w:rPr>
          <w:rFonts w:eastAsia="Times New Roman"/>
          <w:color w:val="000000"/>
          <w:sz w:val="20"/>
          <w:szCs w:val="20"/>
        </w:rPr>
        <w:t xml:space="preserve"> In connection with the Fox River and other environmental sites, through December 31, 2022, NCR has received a combined gross total of approximately $212 million in settlements reached with various of its insurance</w:t>
      </w:r>
      <w:r>
        <w:rPr>
          <w:rFonts w:eastAsia="Times New Roman"/>
          <w:color w:val="000000"/>
          <w:sz w:val="20"/>
          <w:szCs w:val="20"/>
        </w:rPr>
        <w:t xml:space="preserve"> carriers. Portions of many of these settlements agreed in the 2010 through 2013 timeframe are payable to a law firm that litigated the claims on the Company's behalf. Some of the settlements cover not only the Fox River but also other environmental sites;</w:t>
      </w:r>
      <w:r>
        <w:rPr>
          <w:rFonts w:eastAsia="Times New Roman"/>
          <w:color w:val="000000"/>
          <w:sz w:val="20"/>
          <w:szCs w:val="20"/>
        </w:rPr>
        <w:t xml:space="preserve"> some are limited to either the Fox River or the Kalamazoo River site. Some of the settlements are directed to defense costs and some are directed to indemnity; some settlements cover both defense costs and indemnity. The Company does not anticipate that f</w:t>
      </w:r>
      <w:r>
        <w:rPr>
          <w:rFonts w:eastAsia="Times New Roman"/>
          <w:color w:val="000000"/>
          <w:sz w:val="20"/>
          <w:szCs w:val="20"/>
        </w:rPr>
        <w:t>urther material insurance recoveries specific to Kalamazoo River remediation costs will be available to it, but it has recovered some amounts as a result of settlement discussions with certain carriers. In December 2021, the Company recovered approximately</w:t>
      </w:r>
      <w:r>
        <w:rPr>
          <w:rFonts w:eastAsia="Times New Roman"/>
          <w:color w:val="000000"/>
          <w:sz w:val="20"/>
          <w:szCs w:val="20"/>
        </w:rPr>
        <w:t xml:space="preserve"> $3 million as a result of those discussions and, as of December 31, 2022, has recovered an additional $7 million. Claims with respect to Kalamazoo River defense costs have now been settled, with the amounts of those settlements included in the sum reporte</w:t>
      </w:r>
      <w:r>
        <w:rPr>
          <w:rFonts w:eastAsia="Times New Roman"/>
          <w:color w:val="000000"/>
          <w:sz w:val="20"/>
          <w:szCs w:val="20"/>
        </w:rPr>
        <w:t>d above.</w:t>
      </w:r>
    </w:p>
    <w:p w:rsidR="00000000" w:rsidRDefault="0040289C">
      <w:pPr>
        <w:jc w:val="both"/>
        <w:divId w:val="2041081502"/>
        <w:rPr>
          <w:rFonts w:eastAsia="Times New Roman"/>
        </w:rPr>
      </w:pPr>
      <w:r>
        <w:rPr>
          <w:rFonts w:eastAsia="Times New Roman"/>
          <w:i/>
          <w:iCs/>
          <w:color w:val="000000"/>
          <w:sz w:val="20"/>
          <w:szCs w:val="20"/>
        </w:rPr>
        <w:t>Environmental Remediation Estimates</w:t>
      </w:r>
      <w:r>
        <w:rPr>
          <w:rFonts w:eastAsia="Times New Roman"/>
          <w:color w:val="000000"/>
          <w:sz w:val="20"/>
          <w:szCs w:val="20"/>
        </w:rPr>
        <w:t xml:space="preserve"> It is difficult to estimate the future financial impact of environmental laws, including potential liabilities. NCR records environmental provisions when it is probable that a liability has been incurred and the</w:t>
      </w:r>
      <w:r>
        <w:rPr>
          <w:rFonts w:eastAsia="Times New Roman"/>
          <w:color w:val="000000"/>
          <w:sz w:val="20"/>
          <w:szCs w:val="20"/>
        </w:rPr>
        <w:t xml:space="preserve"> amount or range of the liability is reasonably estimable; in accordance with accounting guidance, where liabilities are not expected to be quantifiable or estimable for a period of years, the estimated costs of investigating those liabilities are recorded</w:t>
      </w:r>
      <w:r>
        <w:rPr>
          <w:rFonts w:eastAsia="Times New Roman"/>
          <w:color w:val="000000"/>
          <w:sz w:val="20"/>
          <w:szCs w:val="20"/>
        </w:rPr>
        <w:t xml:space="preserve"> as a component of the reserve for that particular site. Provisions for estimated losses from environmental restoration and remediation are, depending on the site, based generally on internal and third-party environmental studies, estimates as to the numbe</w:t>
      </w:r>
      <w:r>
        <w:rPr>
          <w:rFonts w:eastAsia="Times New Roman"/>
          <w:color w:val="000000"/>
          <w:sz w:val="20"/>
          <w:szCs w:val="20"/>
        </w:rPr>
        <w:t>r and participation level of other PRPs, the extent of contamination, estimated amounts for attorney and other fees, and the nature of required clean-up and restoration actions. Reserves are adjusted as further information develops or circumstances change.</w:t>
      </w:r>
      <w:r>
        <w:rPr>
          <w:rFonts w:eastAsia="Times New Roman"/>
          <w:color w:val="000000"/>
          <w:sz w:val="20"/>
          <w:szCs w:val="20"/>
        </w:rPr>
        <w:t xml:space="preserve"> Management expects that the amounts reserved from time to time will be paid out over the period of investigation, negotiation, remediation and restoration for the applicable sites. The amounts provided for environmental matters in NCR's Consolidated Finan</w:t>
      </w:r>
      <w:r>
        <w:rPr>
          <w:rFonts w:eastAsia="Times New Roman"/>
          <w:color w:val="000000"/>
          <w:sz w:val="20"/>
          <w:szCs w:val="20"/>
        </w:rPr>
        <w:t>cial Statements are the estimated gross undiscounted amounts of such liabilities, without deductions for indemnity insurance, third-party indemnity claims or recoveries from other PRPs, except as qualified in the following sentences. In those cases where i</w:t>
      </w:r>
      <w:r>
        <w:rPr>
          <w:rFonts w:eastAsia="Times New Roman"/>
          <w:color w:val="000000"/>
          <w:sz w:val="20"/>
          <w:szCs w:val="20"/>
        </w:rPr>
        <w:t>nsurance carriers or third-party indemnitors have agreed to pay any amounts and management believes that collectability of such amounts is probable, the amounts are recorded in the Consolidated Financial Statements. For the Fox River and Kalamazoo River si</w:t>
      </w:r>
      <w:r>
        <w:rPr>
          <w:rFonts w:eastAsia="Times New Roman"/>
          <w:color w:val="000000"/>
          <w:sz w:val="20"/>
          <w:szCs w:val="20"/>
        </w:rPr>
        <w:t>tes, as described above, assets relating to the AT&amp;T and Nokia indemnities and to the BAT obligations are recorded as payment is supported by contractual agreements, public filings and/or payment history.</w:t>
      </w:r>
    </w:p>
    <w:p w:rsidR="00000000" w:rsidRDefault="0040289C">
      <w:pPr>
        <w:jc w:val="both"/>
        <w:rPr>
          <w:rFonts w:eastAsia="Times New Roman"/>
        </w:rPr>
      </w:pPr>
      <w:r>
        <w:rPr>
          <w:rFonts w:eastAsia="Times New Roman"/>
          <w:b/>
          <w:bCs/>
          <w:color w:val="000000"/>
          <w:sz w:val="20"/>
          <w:szCs w:val="20"/>
        </w:rPr>
        <w:t>Guarantees and Product Warranties</w:t>
      </w:r>
      <w:r>
        <w:rPr>
          <w:rFonts w:eastAsia="Times New Roman"/>
          <w:color w:val="000000"/>
          <w:sz w:val="20"/>
          <w:szCs w:val="20"/>
        </w:rPr>
        <w:t xml:space="preserve"> In the ordinary c</w:t>
      </w:r>
      <w:r>
        <w:rPr>
          <w:rFonts w:eastAsia="Times New Roman"/>
          <w:color w:val="000000"/>
          <w:sz w:val="20"/>
          <w:szCs w:val="20"/>
        </w:rPr>
        <w:t>ourse of business, NCR may issue performance guarantees on behalf of its subsidiaries to certain of its customers and other parties. Some of those guarantees may be backed by standby letters of credit, surety bonds, or similar instruments. In general, unde</w:t>
      </w:r>
      <w:r>
        <w:rPr>
          <w:rFonts w:eastAsia="Times New Roman"/>
          <w:color w:val="000000"/>
          <w:sz w:val="20"/>
          <w:szCs w:val="20"/>
        </w:rPr>
        <w:t>r the guarantees, NCR would be obligated to perform, or cause performance, over the term of the underlying contract in the event of an unexcused, uncured breach by its subsidiary, or some other specified triggering event, in each case as defined by the app</w:t>
      </w:r>
      <w:r>
        <w:rPr>
          <w:rFonts w:eastAsia="Times New Roman"/>
          <w:color w:val="000000"/>
          <w:sz w:val="20"/>
          <w:szCs w:val="20"/>
        </w:rPr>
        <w:t>licable guarantee. NCR believes the likelihood of having to perform under any such guarantee is remote. As of December 31, 2022 and 2021, NCR had no material obligations related to such guarantees, and therefore its Consolidated Financial Statements do not</w:t>
      </w:r>
      <w:r>
        <w:rPr>
          <w:rFonts w:eastAsia="Times New Roman"/>
          <w:color w:val="000000"/>
          <w:sz w:val="20"/>
          <w:szCs w:val="20"/>
        </w:rPr>
        <w:t xml:space="preserve"> have any associated liability balance.</w:t>
      </w:r>
    </w:p>
    <w:p w:rsidR="00000000" w:rsidRDefault="0040289C">
      <w:pPr>
        <w:divId w:val="1277443756"/>
        <w:rPr>
          <w:rFonts w:eastAsia="Times New Roman"/>
        </w:rPr>
      </w:pPr>
    </w:p>
    <w:p w:rsidR="00000000" w:rsidRDefault="0040289C">
      <w:pPr>
        <w:jc w:val="both"/>
        <w:rPr>
          <w:rFonts w:eastAsia="Times New Roman"/>
        </w:rPr>
      </w:pPr>
      <w:r>
        <w:rPr>
          <w:rFonts w:eastAsia="Times New Roman"/>
          <w:color w:val="000000"/>
          <w:sz w:val="20"/>
          <w:szCs w:val="20"/>
        </w:rPr>
        <w:t>NCR provides its customers a standard manufacturer’s warranty and records, at the time of the sale, a corresponding estimated liability for potential warranty costs. Estimated future obligations due to warranty cla</w:t>
      </w:r>
      <w:r>
        <w:rPr>
          <w:rFonts w:eastAsia="Times New Roman"/>
          <w:color w:val="000000"/>
          <w:sz w:val="20"/>
          <w:szCs w:val="20"/>
        </w:rPr>
        <w:t xml:space="preserve">ims are based upon historical factors, such </w:t>
      </w:r>
    </w:p>
    <w:p w:rsidR="00000000" w:rsidRDefault="0040289C">
      <w:pPr>
        <w:jc w:val="center"/>
        <w:divId w:val="1862743556"/>
        <w:rPr>
          <w:rFonts w:eastAsia="Times New Roman"/>
        </w:rPr>
      </w:pPr>
      <w:r>
        <w:rPr>
          <w:rFonts w:eastAsia="Times New Roman"/>
          <w:color w:val="000000"/>
          <w:sz w:val="20"/>
          <w:szCs w:val="20"/>
        </w:rPr>
        <w:t>109</w:t>
      </w:r>
    </w:p>
    <w:p w:rsidR="00000000" w:rsidRDefault="0040289C">
      <w:pPr>
        <w:rPr>
          <w:rFonts w:eastAsia="Times New Roman"/>
        </w:rPr>
      </w:pPr>
      <w:r>
        <w:rPr>
          <w:rFonts w:eastAsia="Times New Roman"/>
        </w:rPr>
        <w:pict>
          <v:rect id="_x0000_i1139" style="width:0;height:1.5pt" o:hralign="center" o:hrstd="t" o:hr="t" fillcolor="#a0a0a0" stroked="f"/>
        </w:pict>
      </w:r>
    </w:p>
    <w:p w:rsidR="00000000" w:rsidRDefault="0040289C">
      <w:pPr>
        <w:divId w:val="119276996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539733124"/>
        <w:rPr>
          <w:rFonts w:eastAsia="Times New Roman"/>
        </w:rPr>
      </w:pPr>
    </w:p>
    <w:p w:rsidR="00000000" w:rsidRDefault="0040289C">
      <w:pPr>
        <w:jc w:val="both"/>
        <w:rPr>
          <w:rFonts w:eastAsia="Times New Roman"/>
        </w:rPr>
      </w:pPr>
      <w:r>
        <w:rPr>
          <w:rFonts w:eastAsia="Times New Roman"/>
          <w:color w:val="000000"/>
          <w:sz w:val="20"/>
          <w:szCs w:val="20"/>
        </w:rPr>
        <w:t>as labor rates, average repair time, travel time, number of service calls per machine and c</w:t>
      </w:r>
      <w:r>
        <w:rPr>
          <w:rFonts w:eastAsia="Times New Roman"/>
          <w:color w:val="000000"/>
          <w:sz w:val="20"/>
          <w:szCs w:val="20"/>
        </w:rPr>
        <w:t>ost of replacement parts. When a sale is consummated, the total customer revenue is recognized, provided that all revenue recognition criteria are otherwise satisfied, and the associated warranty liability is recorded using pre-established warranty percent</w:t>
      </w:r>
      <w:r>
        <w:rPr>
          <w:rFonts w:eastAsia="Times New Roman"/>
          <w:color w:val="000000"/>
          <w:sz w:val="20"/>
          <w:szCs w:val="20"/>
        </w:rPr>
        <w:t xml:space="preserve">ages for the respective product classes.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From time to time, product design or quality corrections are accomplished through modification programs. When identified, associated costs of labor and parts for such programs are estimated and accrued as part of</w:t>
      </w:r>
      <w:r>
        <w:rPr>
          <w:rFonts w:eastAsia="Times New Roman"/>
          <w:color w:val="000000"/>
          <w:sz w:val="20"/>
          <w:szCs w:val="20"/>
        </w:rPr>
        <w:t xml:space="preserve"> the warranty reserve.</w:t>
      </w:r>
    </w:p>
    <w:p w:rsidR="00000000" w:rsidRDefault="0040289C">
      <w:pPr>
        <w:divId w:val="1281450812"/>
        <w:rPr>
          <w:rFonts w:eastAsia="Times New Roman"/>
        </w:rPr>
      </w:pPr>
    </w:p>
    <w:p w:rsidR="00000000" w:rsidRDefault="0040289C">
      <w:pPr>
        <w:divId w:val="711539774"/>
        <w:rPr>
          <w:rFonts w:eastAsia="Times New Roman"/>
        </w:rPr>
      </w:pPr>
      <w:r>
        <w:rPr>
          <w:rFonts w:eastAsia="Times New Roman"/>
          <w:color w:val="000000"/>
          <w:sz w:val="20"/>
          <w:szCs w:val="20"/>
        </w:rPr>
        <w:t>The Company recorded the activity related to the warranty reserve for the years ended December 31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285"/>
        <w:gridCol w:w="37"/>
        <w:gridCol w:w="120"/>
        <w:gridCol w:w="772"/>
        <w:gridCol w:w="36"/>
        <w:gridCol w:w="36"/>
        <w:gridCol w:w="36"/>
        <w:gridCol w:w="36"/>
        <w:gridCol w:w="120"/>
        <w:gridCol w:w="732"/>
        <w:gridCol w:w="36"/>
        <w:gridCol w:w="36"/>
        <w:gridCol w:w="36"/>
        <w:gridCol w:w="36"/>
        <w:gridCol w:w="120"/>
        <w:gridCol w:w="757"/>
        <w:gridCol w:w="36"/>
      </w:tblGrid>
      <w:tr w:rsidR="00000000">
        <w:trPr>
          <w:divId w:val="199126182"/>
          <w:jc w:val="center"/>
        </w:trPr>
        <w:tc>
          <w:tcPr>
            <w:tcW w:w="50" w:type="pct"/>
            <w:vAlign w:val="center"/>
            <w:hideMark/>
          </w:tcPr>
          <w:p w:rsidR="00000000" w:rsidRDefault="0040289C">
            <w:pPr>
              <w:rPr>
                <w:rFonts w:eastAsia="Times New Roman"/>
              </w:rPr>
            </w:pPr>
          </w:p>
        </w:tc>
        <w:tc>
          <w:tcPr>
            <w:tcW w:w="321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9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9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0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99126182"/>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9912618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Warranty reserve liability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99126182"/>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Beginning balance as of January 1</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912618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Accruals for warranties issued</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25</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9126182"/>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Settlements (in cash or in kind)</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b/>
                <w:bCs/>
                <w:color w:val="000000"/>
                <w:sz w:val="20"/>
                <w:szCs w:val="20"/>
              </w:rPr>
              <w:t>(31)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9912618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Ending balance as of December 31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259634076"/>
        <w:rPr>
          <w:rFonts w:eastAsia="Times New Roman"/>
        </w:rPr>
      </w:pPr>
    </w:p>
    <w:p w:rsidR="00000000" w:rsidRDefault="0040289C">
      <w:pPr>
        <w:jc w:val="both"/>
        <w:rPr>
          <w:rFonts w:eastAsia="Times New Roman"/>
        </w:rPr>
      </w:pPr>
      <w:r>
        <w:rPr>
          <w:rFonts w:eastAsia="Times New Roman"/>
          <w:color w:val="000000"/>
          <w:sz w:val="20"/>
          <w:szCs w:val="20"/>
        </w:rPr>
        <w:t>In addition, NCR provides its customers with certain indemnification rights. In general, NCR agrees to indemnify the customer if a third party asserts patent or other infringement o</w:t>
      </w:r>
      <w:r>
        <w:rPr>
          <w:rFonts w:eastAsia="Times New Roman"/>
          <w:color w:val="000000"/>
          <w:sz w:val="20"/>
          <w:szCs w:val="20"/>
        </w:rPr>
        <w:t>n the part of its customers for its use of the Company’s products subject to certain conditions that are generally standard within the Company’s industries. On limited occasions the Company will undertake additional indemnification obligations for business</w:t>
      </w:r>
      <w:r>
        <w:rPr>
          <w:rFonts w:eastAsia="Times New Roman"/>
          <w:color w:val="000000"/>
          <w:sz w:val="20"/>
          <w:szCs w:val="20"/>
        </w:rPr>
        <w:t xml:space="preserve"> reasons. From time to time, NCR also enters into agreements in connection with its acquisition and divestiture activities that include indemnification obligations by the Company. The fair value of these indemnification obligations is not readily determina</w:t>
      </w:r>
      <w:r>
        <w:rPr>
          <w:rFonts w:eastAsia="Times New Roman"/>
          <w:color w:val="000000"/>
          <w:sz w:val="20"/>
          <w:szCs w:val="20"/>
        </w:rPr>
        <w:t>ble due to the conditional nature of the Company’s potential obligations and the specific facts and circumstances involved with each particular agreement. The Company has not recorded a liability in connection with these indemnifications, and no current in</w:t>
      </w:r>
      <w:r>
        <w:rPr>
          <w:rFonts w:eastAsia="Times New Roman"/>
          <w:color w:val="000000"/>
          <w:sz w:val="20"/>
          <w:szCs w:val="20"/>
        </w:rPr>
        <w:t>demnification instance is material to the Company’s financial position. Historically, payments made by the Company under these types of agreements have not had a material effect on the Company’s consolidated financial condition, results of operations or ca</w:t>
      </w:r>
      <w:r>
        <w:rPr>
          <w:rFonts w:eastAsia="Times New Roman"/>
          <w:color w:val="000000"/>
          <w:sz w:val="20"/>
          <w:szCs w:val="20"/>
        </w:rPr>
        <w:t>sh flows.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Purchase Commitments</w:t>
      </w:r>
      <w:r>
        <w:rPr>
          <w:rFonts w:eastAsia="Times New Roman"/>
          <w:color w:val="000000"/>
          <w:sz w:val="20"/>
          <w:szCs w:val="20"/>
        </w:rPr>
        <w:t> </w:t>
      </w:r>
      <w:r>
        <w:rPr>
          <w:rFonts w:eastAsia="Times New Roman"/>
          <w:color w:val="000000"/>
          <w:sz w:val="20"/>
          <w:szCs w:val="20"/>
        </w:rPr>
        <w:t>The Company has purchase commitments for materials, supplies, services, and property, plant and equipment as part of the normal course of business. This includes a long-term service agreement with Accenture, under which many of NCR's key transaction proces</w:t>
      </w:r>
      <w:r>
        <w:rPr>
          <w:rFonts w:eastAsia="Times New Roman"/>
          <w:color w:val="000000"/>
          <w:sz w:val="20"/>
          <w:szCs w:val="20"/>
        </w:rPr>
        <w:t>sing activities and functions are performed.</w:t>
      </w:r>
    </w:p>
    <w:p w:rsidR="00000000" w:rsidRDefault="0040289C">
      <w:pPr>
        <w:jc w:val="both"/>
        <w:rPr>
          <w:rFonts w:eastAsia="Times New Roman"/>
        </w:rPr>
      </w:pPr>
    </w:p>
    <w:p w:rsidR="00000000" w:rsidRDefault="0040289C">
      <w:pPr>
        <w:jc w:val="center"/>
        <w:divId w:val="60178379"/>
        <w:rPr>
          <w:rFonts w:eastAsia="Times New Roman"/>
        </w:rPr>
      </w:pPr>
      <w:r>
        <w:rPr>
          <w:rFonts w:eastAsia="Times New Roman"/>
          <w:color w:val="000000"/>
          <w:sz w:val="20"/>
          <w:szCs w:val="20"/>
        </w:rPr>
        <w:t>110</w:t>
      </w:r>
    </w:p>
    <w:p w:rsidR="00000000" w:rsidRDefault="0040289C">
      <w:pPr>
        <w:rPr>
          <w:rFonts w:eastAsia="Times New Roman"/>
        </w:rPr>
      </w:pPr>
      <w:r>
        <w:rPr>
          <w:rFonts w:eastAsia="Times New Roman"/>
        </w:rPr>
        <w:pict>
          <v:rect id="_x0000_i1140" style="width:0;height:1.5pt" o:hralign="center" o:hrstd="t" o:hr="t" fillcolor="#a0a0a0" stroked="f"/>
        </w:pict>
      </w:r>
    </w:p>
    <w:p w:rsidR="00000000" w:rsidRDefault="0040289C">
      <w:pPr>
        <w:divId w:val="144199805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355616865"/>
        <w:rPr>
          <w:rFonts w:eastAsia="Times New Roman"/>
        </w:rPr>
      </w:pPr>
    </w:p>
    <w:p w:rsidR="00000000" w:rsidRDefault="0040289C">
      <w:pPr>
        <w:divId w:val="408770400"/>
        <w:rPr>
          <w:rFonts w:eastAsia="Times New Roman"/>
        </w:rPr>
      </w:pPr>
    </w:p>
    <w:p w:rsidR="00000000" w:rsidRDefault="0040289C">
      <w:pPr>
        <w:divId w:val="788478708"/>
        <w:rPr>
          <w:rFonts w:eastAsia="Times New Roman"/>
        </w:rPr>
      </w:pPr>
      <w:r>
        <w:rPr>
          <w:rFonts w:eastAsia="Times New Roman"/>
          <w:b/>
          <w:bCs/>
          <w:color w:val="7ACE05"/>
          <w:sz w:val="20"/>
          <w:szCs w:val="20"/>
        </w:rPr>
        <w:t>11. LEASING</w:t>
      </w:r>
      <w:r>
        <w:rPr>
          <w:rFonts w:eastAsia="Times New Roman"/>
          <w:color w:val="000000"/>
          <w:sz w:val="20"/>
          <w:szCs w:val="20"/>
        </w:rPr>
        <w:t xml:space="preserve"> </w:t>
      </w:r>
    </w:p>
    <w:p w:rsidR="00000000" w:rsidRDefault="0040289C">
      <w:pPr>
        <w:divId w:val="1072198713"/>
        <w:rPr>
          <w:rFonts w:eastAsia="Times New Roman"/>
        </w:rPr>
      </w:pPr>
    </w:p>
    <w:p w:rsidR="00000000" w:rsidRDefault="0040289C">
      <w:pPr>
        <w:jc w:val="both"/>
        <w:rPr>
          <w:rFonts w:eastAsia="Times New Roman"/>
        </w:rPr>
      </w:pPr>
      <w:r>
        <w:rPr>
          <w:rFonts w:eastAsia="Times New Roman"/>
          <w:color w:val="000000"/>
          <w:sz w:val="20"/>
          <w:szCs w:val="20"/>
        </w:rPr>
        <w:t>The following table presents our lease balances as of December 31:</w:t>
      </w:r>
    </w:p>
    <w:tbl>
      <w:tblPr>
        <w:tblW w:w="4817" w:type="pct"/>
        <w:jc w:val="center"/>
        <w:tblCellMar>
          <w:top w:w="15" w:type="dxa"/>
          <w:left w:w="15" w:type="dxa"/>
          <w:bottom w:w="15" w:type="dxa"/>
          <w:right w:w="15" w:type="dxa"/>
        </w:tblCellMar>
        <w:tblLook w:val="04A0" w:firstRow="1" w:lastRow="0" w:firstColumn="1" w:lastColumn="0" w:noHBand="0" w:noVBand="1"/>
      </w:tblPr>
      <w:tblGrid>
        <w:gridCol w:w="44"/>
        <w:gridCol w:w="3528"/>
        <w:gridCol w:w="37"/>
        <w:gridCol w:w="44"/>
        <w:gridCol w:w="2392"/>
        <w:gridCol w:w="36"/>
        <w:gridCol w:w="36"/>
        <w:gridCol w:w="36"/>
        <w:gridCol w:w="36"/>
        <w:gridCol w:w="121"/>
        <w:gridCol w:w="729"/>
        <w:gridCol w:w="36"/>
        <w:gridCol w:w="121"/>
        <w:gridCol w:w="734"/>
        <w:gridCol w:w="36"/>
        <w:gridCol w:w="36"/>
      </w:tblGrid>
      <w:tr w:rsidR="00000000">
        <w:trPr>
          <w:jc w:val="center"/>
        </w:trPr>
        <w:tc>
          <w:tcPr>
            <w:tcW w:w="50" w:type="pct"/>
            <w:vAlign w:val="center"/>
            <w:hideMark/>
          </w:tcPr>
          <w:p w:rsidR="00000000" w:rsidRDefault="0040289C">
            <w:pPr>
              <w:jc w:val="both"/>
              <w:rPr>
                <w:rFonts w:eastAsia="Times New Roman"/>
              </w:rPr>
            </w:pPr>
          </w:p>
        </w:tc>
        <w:tc>
          <w:tcPr>
            <w:tcW w:w="223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52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9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8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Location in the Consolidated Balance Sheet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40289C">
            <w:pPr>
              <w:spacing w:after="100"/>
              <w:jc w:val="center"/>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w:t>
            </w:r>
            <w:r>
              <w:rPr>
                <w:rFonts w:eastAsia="Times New Roman"/>
                <w:color w:val="000000"/>
                <w:sz w:val="20"/>
                <w:szCs w:val="20"/>
              </w:rPr>
              <w:t>Operating lease assets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Operating lease assets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Finance lease assets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Property, plant and equipment, ne</w:t>
            </w:r>
            <w:r>
              <w:rPr>
                <w:rFonts w:eastAsia="Times New Roman"/>
                <w:color w:val="000000"/>
                <w:sz w:val="20"/>
                <w:szCs w:val="20"/>
              </w:rPr>
              <w:t>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w:t>
            </w:r>
            <w:r>
              <w:rPr>
                <w:rFonts w:eastAsia="Times New Roman"/>
                <w:color w:val="000000"/>
                <w:sz w:val="20"/>
                <w:szCs w:val="20"/>
              </w:rPr>
              <w:t>Accumulated Amortization of Finance lease assets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Property, plant and equipment, net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382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w:t>
            </w:r>
            <w:r>
              <w:rPr>
                <w:rFonts w:eastAsia="Times New Roman"/>
                <w:color w:val="000000"/>
                <w:sz w:val="20"/>
                <w:szCs w:val="20"/>
              </w:rPr>
              <w:t>Operating lease liabilities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Finance lease liabilities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Noncurrent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Finance lease liabilities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r>
    </w:tbl>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following table presents our lease costs for operating and finance leases:</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4271"/>
        <w:gridCol w:w="37"/>
        <w:gridCol w:w="121"/>
        <w:gridCol w:w="1126"/>
        <w:gridCol w:w="36"/>
        <w:gridCol w:w="121"/>
        <w:gridCol w:w="1175"/>
        <w:gridCol w:w="36"/>
        <w:gridCol w:w="121"/>
        <w:gridCol w:w="1114"/>
        <w:gridCol w:w="36"/>
      </w:tblGrid>
      <w:tr w:rsidR="00000000">
        <w:trPr>
          <w:jc w:val="center"/>
        </w:trPr>
        <w:tc>
          <w:tcPr>
            <w:tcW w:w="50" w:type="pct"/>
            <w:vAlign w:val="center"/>
            <w:hideMark/>
          </w:tcPr>
          <w:p w:rsidR="00000000" w:rsidRDefault="0040289C">
            <w:pPr>
              <w:jc w:val="both"/>
              <w:rPr>
                <w:rFonts w:eastAsia="Times New Roman"/>
              </w:rPr>
            </w:pPr>
          </w:p>
        </w:tc>
        <w:tc>
          <w:tcPr>
            <w:tcW w:w="262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1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0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2022</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Amortization of leased assets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13</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Interest on lease liabilities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Short-Term lease cost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5</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Variable lease cost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24</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27</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Total lease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w:t>
      </w:r>
      <w:r>
        <w:rPr>
          <w:rFonts w:eastAsia="Times New Roman"/>
          <w:color w:val="000000"/>
          <w:sz w:val="20"/>
          <w:szCs w:val="20"/>
        </w:rPr>
        <w:t xml:space="preserve"> following table presents the supplemental cash flow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4187"/>
        <w:gridCol w:w="37"/>
        <w:gridCol w:w="121"/>
        <w:gridCol w:w="1235"/>
        <w:gridCol w:w="36"/>
        <w:gridCol w:w="121"/>
        <w:gridCol w:w="1162"/>
        <w:gridCol w:w="36"/>
        <w:gridCol w:w="121"/>
        <w:gridCol w:w="1162"/>
        <w:gridCol w:w="36"/>
      </w:tblGrid>
      <w:tr w:rsidR="00000000">
        <w:trPr>
          <w:jc w:val="center"/>
        </w:trPr>
        <w:tc>
          <w:tcPr>
            <w:tcW w:w="50" w:type="pct"/>
            <w:vAlign w:val="center"/>
            <w:hideMark/>
          </w:tcPr>
          <w:p w:rsidR="00000000" w:rsidRDefault="0040289C">
            <w:pPr>
              <w:jc w:val="both"/>
              <w:rPr>
                <w:rFonts w:eastAsia="Times New Roman"/>
              </w:rPr>
            </w:pPr>
          </w:p>
        </w:tc>
        <w:tc>
          <w:tcPr>
            <w:tcW w:w="255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7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2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2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2022</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2020</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Operating cash flows from operating leases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Operating cash flows from finance leases</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w:t>
            </w:r>
            <w:r>
              <w:rPr>
                <w:rFonts w:eastAsia="Times New Roman"/>
                <w:color w:val="000000"/>
                <w:sz w:val="20"/>
                <w:szCs w:val="20"/>
              </w:rPr>
              <w:t>Financing cash flows from finance leases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Lease Assets Obtained in Exchange for Lease Obligations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Operating Leases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Finance Leases</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p>
    <w:p w:rsidR="00000000" w:rsidRDefault="0040289C">
      <w:pPr>
        <w:jc w:val="both"/>
        <w:rPr>
          <w:rFonts w:eastAsia="Times New Roman"/>
        </w:rPr>
      </w:pPr>
    </w:p>
    <w:p w:rsidR="00000000" w:rsidRDefault="0040289C">
      <w:pPr>
        <w:jc w:val="center"/>
        <w:divId w:val="1823228866"/>
        <w:rPr>
          <w:rFonts w:eastAsia="Times New Roman"/>
        </w:rPr>
      </w:pPr>
      <w:r>
        <w:rPr>
          <w:rFonts w:eastAsia="Times New Roman"/>
          <w:color w:val="000000"/>
          <w:sz w:val="20"/>
          <w:szCs w:val="20"/>
        </w:rPr>
        <w:t>111</w:t>
      </w:r>
    </w:p>
    <w:p w:rsidR="00000000" w:rsidRDefault="0040289C">
      <w:pPr>
        <w:rPr>
          <w:rFonts w:eastAsia="Times New Roman"/>
        </w:rPr>
      </w:pPr>
      <w:r>
        <w:rPr>
          <w:rFonts w:eastAsia="Times New Roman"/>
        </w:rPr>
        <w:pict>
          <v:rect id="_x0000_i1141" style="width:0;height:1.5pt" o:hralign="center" o:hrstd="t" o:hr="t" fillcolor="#a0a0a0" stroked="f"/>
        </w:pict>
      </w:r>
    </w:p>
    <w:p w:rsidR="00000000" w:rsidRDefault="0040289C">
      <w:pPr>
        <w:divId w:val="75393524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445080221"/>
        <w:rPr>
          <w:rFonts w:eastAsia="Times New Roman"/>
        </w:rPr>
      </w:pPr>
    </w:p>
    <w:p w:rsidR="00000000" w:rsidRDefault="0040289C">
      <w:pPr>
        <w:jc w:val="both"/>
        <w:rPr>
          <w:rFonts w:eastAsia="Times New Roman"/>
        </w:rPr>
      </w:pPr>
      <w:r>
        <w:rPr>
          <w:rFonts w:eastAsia="Times New Roman"/>
          <w:color w:val="000000"/>
          <w:sz w:val="20"/>
          <w:szCs w:val="20"/>
        </w:rPr>
        <w:t>The following table reconciles the undiscounted cash flows for each of the first five years and total of the remaining years to the finance l</w:t>
      </w:r>
      <w:r>
        <w:rPr>
          <w:rFonts w:eastAsia="Times New Roman"/>
          <w:color w:val="000000"/>
          <w:sz w:val="20"/>
          <w:szCs w:val="20"/>
        </w:rPr>
        <w:t>ease liabilities and operating lease liabilities recorded on the Consolidated Balance Sheet as of December 31,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964"/>
        <w:gridCol w:w="37"/>
        <w:gridCol w:w="36"/>
        <w:gridCol w:w="36"/>
        <w:gridCol w:w="36"/>
        <w:gridCol w:w="121"/>
        <w:gridCol w:w="1367"/>
        <w:gridCol w:w="36"/>
        <w:gridCol w:w="36"/>
        <w:gridCol w:w="36"/>
        <w:gridCol w:w="36"/>
        <w:gridCol w:w="121"/>
        <w:gridCol w:w="1369"/>
        <w:gridCol w:w="36"/>
      </w:tblGrid>
      <w:tr w:rsidR="00000000">
        <w:trPr>
          <w:jc w:val="center"/>
        </w:trPr>
        <w:tc>
          <w:tcPr>
            <w:tcW w:w="50" w:type="pct"/>
            <w:vAlign w:val="center"/>
            <w:hideMark/>
          </w:tcPr>
          <w:p w:rsidR="00000000" w:rsidRDefault="0040289C">
            <w:pPr>
              <w:jc w:val="both"/>
              <w:rPr>
                <w:rFonts w:eastAsia="Times New Roman"/>
              </w:rPr>
            </w:pPr>
          </w:p>
        </w:tc>
        <w:tc>
          <w:tcPr>
            <w:tcW w:w="301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7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7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Finance Leases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Less: Amount representing interest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of December 31, 2022, all material operating leases had commenced.</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The following table presents the weighted average remaining lease term and interest rates: </w:t>
      </w:r>
    </w:p>
    <w:tbl>
      <w:tblPr>
        <w:tblW w:w="4934" w:type="pct"/>
        <w:jc w:val="center"/>
        <w:tblCellMar>
          <w:top w:w="15" w:type="dxa"/>
          <w:left w:w="15" w:type="dxa"/>
          <w:bottom w:w="15" w:type="dxa"/>
          <w:right w:w="15" w:type="dxa"/>
        </w:tblCellMar>
        <w:tblLook w:val="04A0" w:firstRow="1" w:lastRow="0" w:firstColumn="1" w:lastColumn="0" w:noHBand="0" w:noVBand="1"/>
      </w:tblPr>
      <w:tblGrid>
        <w:gridCol w:w="38"/>
        <w:gridCol w:w="5331"/>
        <w:gridCol w:w="37"/>
        <w:gridCol w:w="36"/>
        <w:gridCol w:w="36"/>
        <w:gridCol w:w="36"/>
        <w:gridCol w:w="47"/>
        <w:gridCol w:w="1088"/>
        <w:gridCol w:w="187"/>
        <w:gridCol w:w="47"/>
        <w:gridCol w:w="1090"/>
        <w:gridCol w:w="187"/>
        <w:gridCol w:w="36"/>
      </w:tblGrid>
      <w:tr w:rsidR="00000000">
        <w:trPr>
          <w:divId w:val="1800874549"/>
          <w:jc w:val="center"/>
        </w:trPr>
        <w:tc>
          <w:tcPr>
            <w:tcW w:w="50" w:type="pct"/>
            <w:vAlign w:val="center"/>
            <w:hideMark/>
          </w:tcPr>
          <w:p w:rsidR="00000000" w:rsidRDefault="0040289C">
            <w:pPr>
              <w:jc w:val="both"/>
              <w:rPr>
                <w:rFonts w:eastAsia="Times New Roman"/>
              </w:rPr>
            </w:pPr>
          </w:p>
        </w:tc>
        <w:tc>
          <w:tcPr>
            <w:tcW w:w="33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7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1800874549"/>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40289C">
            <w:pPr>
              <w:spacing w:after="100"/>
              <w:jc w:val="center"/>
              <w:rPr>
                <w:rFonts w:eastAsia="Times New Roman"/>
              </w:rPr>
            </w:pPr>
          </w:p>
        </w:tc>
      </w:tr>
      <w:tr w:rsidR="00000000">
        <w:trPr>
          <w:divId w:val="180087454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Weighted average lease term:</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180087454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Operating leases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7.9 years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8.4 years</w:t>
            </w:r>
          </w:p>
        </w:tc>
        <w:tc>
          <w:tcPr>
            <w:tcW w:w="0" w:type="auto"/>
            <w:vAlign w:val="center"/>
            <w:hideMark/>
          </w:tcPr>
          <w:p w:rsidR="00000000" w:rsidRDefault="0040289C">
            <w:pPr>
              <w:spacing w:after="100"/>
              <w:jc w:val="right"/>
              <w:rPr>
                <w:rFonts w:eastAsia="Times New Roman"/>
              </w:rPr>
            </w:pPr>
          </w:p>
        </w:tc>
      </w:tr>
      <w:tr w:rsidR="00000000">
        <w:trPr>
          <w:divId w:val="180087454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Finance leases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1.2 years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2.0 years</w:t>
            </w:r>
          </w:p>
        </w:tc>
        <w:tc>
          <w:tcPr>
            <w:tcW w:w="0" w:type="auto"/>
            <w:vAlign w:val="center"/>
            <w:hideMark/>
          </w:tcPr>
          <w:p w:rsidR="00000000" w:rsidRDefault="0040289C">
            <w:pPr>
              <w:spacing w:after="100"/>
              <w:jc w:val="right"/>
              <w:rPr>
                <w:rFonts w:eastAsia="Times New Roman"/>
              </w:rPr>
            </w:pPr>
          </w:p>
        </w:tc>
      </w:tr>
      <w:tr w:rsidR="00000000">
        <w:trPr>
          <w:divId w:val="180087454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Weighted average interest rates: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180087454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Operating leases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5.70 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40289C">
            <w:pPr>
              <w:spacing w:after="100"/>
              <w:jc w:val="right"/>
              <w:rPr>
                <w:rFonts w:eastAsia="Times New Roman"/>
              </w:rPr>
            </w:pPr>
          </w:p>
        </w:tc>
      </w:tr>
      <w:tr w:rsidR="00000000">
        <w:trPr>
          <w:divId w:val="180087454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       Finance leases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3.78 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40289C">
            <w:pPr>
              <w:spacing w:after="100"/>
              <w:jc w:val="right"/>
              <w:rPr>
                <w:rFonts w:eastAsia="Times New Roman"/>
              </w:rPr>
            </w:pPr>
          </w:p>
        </w:tc>
      </w:tr>
    </w:tbl>
    <w:p w:rsidR="00000000" w:rsidRDefault="0040289C">
      <w:pPr>
        <w:jc w:val="center"/>
        <w:divId w:val="1115322152"/>
        <w:rPr>
          <w:rFonts w:eastAsia="Times New Roman"/>
        </w:rPr>
      </w:pPr>
    </w:p>
    <w:p w:rsidR="00000000" w:rsidRDefault="0040289C">
      <w:pPr>
        <w:divId w:val="1590576534"/>
        <w:rPr>
          <w:rFonts w:eastAsia="Times New Roman"/>
        </w:rPr>
      </w:pPr>
      <w:r>
        <w:rPr>
          <w:rFonts w:eastAsia="Times New Roman"/>
          <w:b/>
          <w:bCs/>
          <w:color w:val="7ACE05"/>
          <w:sz w:val="20"/>
          <w:szCs w:val="20"/>
        </w:rPr>
        <w:t xml:space="preserve">12. SERIES A PREFERRED STOCK </w:t>
      </w:r>
    </w:p>
    <w:p w:rsidR="00000000" w:rsidRDefault="0040289C">
      <w:pPr>
        <w:divId w:val="799372872"/>
        <w:rPr>
          <w:rFonts w:eastAsia="Times New Roman"/>
        </w:rPr>
      </w:pPr>
    </w:p>
    <w:p w:rsidR="00000000" w:rsidRDefault="0040289C">
      <w:pPr>
        <w:jc w:val="both"/>
        <w:rPr>
          <w:rFonts w:eastAsia="Times New Roman"/>
        </w:rPr>
      </w:pPr>
      <w:r>
        <w:rPr>
          <w:rFonts w:eastAsia="Times New Roman"/>
          <w:color w:val="000000"/>
          <w:sz w:val="20"/>
          <w:szCs w:val="20"/>
        </w:rPr>
        <w:t>On December 4, 2015, NCR issued 820,000 </w:t>
      </w:r>
      <w:r>
        <w:rPr>
          <w:rFonts w:eastAsia="Times New Roman"/>
          <w:color w:val="000000"/>
          <w:sz w:val="20"/>
          <w:szCs w:val="20"/>
        </w:rPr>
        <w:t xml:space="preserve">shares of Series A Convertible Preferred Stock to certain entities affiliated with the Blackstone Group L.P. (collectively, "Blackstone") for an aggregate purchase price of $820 million, or $1,000 per share, pursuant to an Investment Agreement between the </w:t>
      </w:r>
      <w:r>
        <w:rPr>
          <w:rFonts w:eastAsia="Times New Roman"/>
          <w:color w:val="000000"/>
          <w:sz w:val="20"/>
          <w:szCs w:val="20"/>
        </w:rPr>
        <w:t>Company and Blackstone, dated November 11, 2015. In connection with the issuance of the Series A Convertible Preferred Stock, the Company incurred direct and incremental expenses of $26 million, including financial advisory fees, closing costs, legal expen</w:t>
      </w:r>
      <w:r>
        <w:rPr>
          <w:rFonts w:eastAsia="Times New Roman"/>
          <w:color w:val="000000"/>
          <w:sz w:val="20"/>
          <w:szCs w:val="20"/>
        </w:rPr>
        <w:t>ses and other offering-related expenses. These direct and incremental expenses originally reduced the Series A Convertible Preferred Stock, and will be accreted through retained earnings as a deemed dividend from the date of issuance through the first poss</w:t>
      </w:r>
      <w:r>
        <w:rPr>
          <w:rFonts w:eastAsia="Times New Roman"/>
          <w:color w:val="000000"/>
          <w:sz w:val="20"/>
          <w:szCs w:val="20"/>
        </w:rPr>
        <w:t xml:space="preserve">ible known redemption date, March 16, 2024.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2017, in connection with the early release of the lock-up included in the Investment Agreement, Blackstone offered for sale 342,000 shares of Series A Convertible Preferred Stock in an underwritten public o</w:t>
      </w:r>
      <w:r>
        <w:rPr>
          <w:rFonts w:eastAsia="Times New Roman"/>
          <w:color w:val="000000"/>
          <w:sz w:val="20"/>
          <w:szCs w:val="20"/>
        </w:rPr>
        <w:t>ffering. In addition, Blackstone converted 90,000 shares of Series A Convertible Preferred Stock into shares of our common stock and we repurchased those shares of common stock for $48.47 per share. The underwritten offering and the stock repurchase were c</w:t>
      </w:r>
      <w:r>
        <w:rPr>
          <w:rFonts w:eastAsia="Times New Roman"/>
          <w:color w:val="000000"/>
          <w:sz w:val="20"/>
          <w:szCs w:val="20"/>
        </w:rPr>
        <w:t>onsummated on March 17, 2017.</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On September 18, 2019, NCR entered into an agreement to repurchase and convert the outstanding 512,221 </w:t>
      </w:r>
      <w:r>
        <w:rPr>
          <w:rFonts w:eastAsia="Times New Roman"/>
          <w:color w:val="000000"/>
          <w:sz w:val="20"/>
          <w:szCs w:val="20"/>
        </w:rPr>
        <w:t>shares of Series A Convertible Preferred Stock owned by Blackstone. NCR repurchased 237,673 shares of Series A Convertible Preferred Stock for total cash consideration of $302 million. The remaining shares of Blackstone's Series A Convertible Preferred Sto</w:t>
      </w:r>
      <w:r>
        <w:rPr>
          <w:rFonts w:eastAsia="Times New Roman"/>
          <w:color w:val="000000"/>
          <w:sz w:val="20"/>
          <w:szCs w:val="20"/>
        </w:rPr>
        <w:t>ck, including accrued dividends, were converted to approximately 9.2 million shares of common stock at a conversion price of $30.00 per share.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For the repurchase of Series A Convertible Preferred Stock, the excess of the fair value of consideration transferred over the carrying value was approximately $67 million, and has been included as a deemed dividend in adjusting the income from common stoc</w:t>
      </w:r>
      <w:r>
        <w:rPr>
          <w:rFonts w:eastAsia="Times New Roman"/>
          <w:color w:val="000000"/>
          <w:sz w:val="20"/>
          <w:szCs w:val="20"/>
        </w:rPr>
        <w:t>kholders in calculating earnings per share. In this analysis, we determined the fair value of the consideration transferred was not in excess of the fair value of the redeemed Series A Convertible Preferred Stock. As a result, there was no inducement provi</w:t>
      </w:r>
      <w:r>
        <w:rPr>
          <w:rFonts w:eastAsia="Times New Roman"/>
          <w:color w:val="000000"/>
          <w:sz w:val="20"/>
          <w:szCs w:val="20"/>
        </w:rPr>
        <w:t>ded to Blackstone for the conversion of the remaining preferred shares into common stock.</w:t>
      </w:r>
    </w:p>
    <w:p w:rsidR="00000000" w:rsidRDefault="0040289C">
      <w:pPr>
        <w:jc w:val="center"/>
        <w:divId w:val="1626810452"/>
        <w:rPr>
          <w:rFonts w:eastAsia="Times New Roman"/>
        </w:rPr>
      </w:pPr>
      <w:r>
        <w:rPr>
          <w:rFonts w:eastAsia="Times New Roman"/>
          <w:color w:val="000000"/>
          <w:sz w:val="20"/>
          <w:szCs w:val="20"/>
        </w:rPr>
        <w:t>112</w:t>
      </w:r>
    </w:p>
    <w:p w:rsidR="00000000" w:rsidRDefault="0040289C">
      <w:pPr>
        <w:rPr>
          <w:rFonts w:eastAsia="Times New Roman"/>
        </w:rPr>
      </w:pPr>
      <w:r>
        <w:rPr>
          <w:rFonts w:eastAsia="Times New Roman"/>
        </w:rPr>
        <w:pict>
          <v:rect id="_x0000_i1142" style="width:0;height:1.5pt" o:hralign="center" o:hrstd="t" o:hr="t" fillcolor="#a0a0a0" stroked="f"/>
        </w:pict>
      </w:r>
    </w:p>
    <w:p w:rsidR="00000000" w:rsidRDefault="0040289C">
      <w:pPr>
        <w:divId w:val="47356607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905919161"/>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On October 6, 2020, NCR entered into a defini</w:t>
      </w:r>
      <w:r>
        <w:rPr>
          <w:rFonts w:eastAsia="Times New Roman"/>
          <w:color w:val="000000"/>
          <w:sz w:val="20"/>
          <w:szCs w:val="20"/>
          <w:shd w:val="clear" w:color="auto" w:fill="FFFFFF"/>
        </w:rPr>
        <w:t>tive agreement to repurchase 67,000 shares of Series A Convertible Preferred Stock from two affiliated shareholders for a total cash consideration of $72 million. The transaction closed on October 7, 2020. On October 12, 2020, NCR entered into a definitive</w:t>
      </w:r>
      <w:r>
        <w:rPr>
          <w:rFonts w:eastAsia="Times New Roman"/>
          <w:color w:val="000000"/>
          <w:sz w:val="20"/>
          <w:szCs w:val="20"/>
          <w:shd w:val="clear" w:color="auto" w:fill="FFFFFF"/>
        </w:rPr>
        <w:t xml:space="preserve"> agreement to repurchase 65,365 shares of Series A Convertible Preferred Stock owned by two affiliated shareholders for a total cash consideration of $72 million. The transaction closed on October 13, 2020. The excess of the fair value of consideration tra</w:t>
      </w:r>
      <w:r>
        <w:rPr>
          <w:rFonts w:eastAsia="Times New Roman"/>
          <w:color w:val="000000"/>
          <w:sz w:val="20"/>
          <w:szCs w:val="20"/>
          <w:shd w:val="clear" w:color="auto" w:fill="FFFFFF"/>
        </w:rPr>
        <w:t>nsferred over the carrying value was approximately $12 million, and has been included as a deemed dividend in adjusting the income from common stockholders in calculating earnings per share.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Dividend Rights </w:t>
      </w:r>
      <w:r>
        <w:rPr>
          <w:rFonts w:eastAsia="Times New Roman"/>
          <w:color w:val="000000"/>
          <w:sz w:val="20"/>
          <w:szCs w:val="20"/>
        </w:rPr>
        <w:t xml:space="preserve">The Series A Convertible Preferred Stock ranks </w:t>
      </w:r>
      <w:r>
        <w:rPr>
          <w:rFonts w:eastAsia="Times New Roman"/>
          <w:color w:val="000000"/>
          <w:sz w:val="20"/>
          <w:szCs w:val="20"/>
        </w:rPr>
        <w:t>senior to the shares of the Company’s common stock, with respect to dividend rights and rights on the distribution of assets on any voluntary or involuntary liquidation, dissolution or winding up of the affairs of the Company. The Series A Convertible Pref</w:t>
      </w:r>
      <w:r>
        <w:rPr>
          <w:rFonts w:eastAsia="Times New Roman"/>
          <w:color w:val="000000"/>
          <w:sz w:val="20"/>
          <w:szCs w:val="20"/>
        </w:rPr>
        <w:t>erred Stock has a liquidation preference of $1,000 per share. Holders of Series A Convertible Preferred Stock are entitled to a cumulative dividend at the rate of 5.5% per annum, which was payable quarterly in arrears. Beginning in the first quarter of 202</w:t>
      </w:r>
      <w:r>
        <w:rPr>
          <w:rFonts w:eastAsia="Times New Roman"/>
          <w:color w:val="000000"/>
          <w:sz w:val="20"/>
          <w:szCs w:val="20"/>
        </w:rPr>
        <w:t xml:space="preserve">0, dividends are payable in cash or in-kind at the option of the Company. If the Company does not declare and pay a dividend, the dividend rate will increase to 8.0% per annum until all accrued but unpaid dividends have been paid in full. During the years </w:t>
      </w:r>
      <w:r>
        <w:rPr>
          <w:rFonts w:eastAsia="Times New Roman"/>
          <w:color w:val="000000"/>
          <w:sz w:val="20"/>
          <w:szCs w:val="20"/>
        </w:rPr>
        <w:t xml:space="preserve">ended December 31, 2022 and 2021, the Company did not pay dividends-in-kind associated with the Series A Convertible Preferred Stock. During the year ended December 31 2020, the Company paid dividends-in-kind of </w:t>
      </w:r>
      <w:r>
        <w:rPr>
          <w:rFonts w:eastAsia="Times New Roman"/>
          <w:color w:val="000000"/>
          <w:sz w:val="20"/>
          <w:szCs w:val="20"/>
          <w:shd w:val="clear" w:color="auto" w:fill="FFFFFF"/>
        </w:rPr>
        <w:t xml:space="preserve">$10 million </w:t>
      </w:r>
      <w:r>
        <w:rPr>
          <w:rFonts w:eastAsia="Times New Roman"/>
          <w:color w:val="000000"/>
          <w:sz w:val="20"/>
          <w:szCs w:val="20"/>
        </w:rPr>
        <w:t>associated with the Series A Con</w:t>
      </w:r>
      <w:r>
        <w:rPr>
          <w:rFonts w:eastAsia="Times New Roman"/>
          <w:color w:val="000000"/>
          <w:sz w:val="20"/>
          <w:szCs w:val="20"/>
        </w:rPr>
        <w:t xml:space="preserve">vertible Preferred Stock. Cash dividends of </w:t>
      </w:r>
      <w:r>
        <w:rPr>
          <w:rFonts w:eastAsia="Times New Roman"/>
          <w:color w:val="000000"/>
          <w:sz w:val="20"/>
          <w:szCs w:val="20"/>
          <w:shd w:val="clear" w:color="auto" w:fill="FFFFFF"/>
        </w:rPr>
        <w:t>$15 million</w:t>
      </w:r>
      <w:r>
        <w:rPr>
          <w:rFonts w:eastAsia="Times New Roman"/>
          <w:color w:val="000000"/>
          <w:sz w:val="20"/>
          <w:szCs w:val="20"/>
        </w:rPr>
        <w:t xml:space="preserve"> were declared during the years ended December 31, 2022 and 2021, and $9 million during the year ended December 31, 2020.</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Conversion Features </w:t>
      </w:r>
      <w:r>
        <w:rPr>
          <w:rFonts w:eastAsia="Times New Roman"/>
          <w:color w:val="000000"/>
          <w:sz w:val="20"/>
          <w:szCs w:val="20"/>
        </w:rPr>
        <w:t>The Series A Convertible Preferred Stock is convertible a</w:t>
      </w:r>
      <w:r>
        <w:rPr>
          <w:rFonts w:eastAsia="Times New Roman"/>
          <w:color w:val="000000"/>
          <w:sz w:val="20"/>
          <w:szCs w:val="20"/>
        </w:rPr>
        <w:t>t the option of the holders at any time into shares of common stock at a conversion price of $30.00 per share or a conversion rate of 33.333 shares of common stock per share of Series A Convertible Preferred Stock. As of December 31, 2022 and 2021, the max</w:t>
      </w:r>
      <w:r>
        <w:rPr>
          <w:rFonts w:eastAsia="Times New Roman"/>
          <w:color w:val="000000"/>
          <w:sz w:val="20"/>
          <w:szCs w:val="20"/>
        </w:rPr>
        <w:t>imum number of common shares that could be required to be issued upon conversion of the outstanding shares of Series A Convertible Preferred Stock was 9.2 million shares. The conversion rate is subject to the following customary anti-dilution and other adj</w:t>
      </w:r>
      <w:r>
        <w:rPr>
          <w:rFonts w:eastAsia="Times New Roman"/>
          <w:color w:val="000000"/>
          <w:sz w:val="20"/>
          <w:szCs w:val="20"/>
        </w:rPr>
        <w:t>ustments:</w:t>
      </w:r>
    </w:p>
    <w:p w:rsidR="00000000" w:rsidRDefault="0040289C">
      <w:pPr>
        <w:jc w:val="both"/>
        <w:rPr>
          <w:rFonts w:eastAsia="Times New Roman"/>
        </w:rPr>
      </w:pPr>
    </w:p>
    <w:p w:rsidR="00000000" w:rsidRDefault="0040289C">
      <w:pPr>
        <w:ind w:hanging="360"/>
        <w:jc w:val="both"/>
        <w:rPr>
          <w:rFonts w:eastAsia="Times New Roman"/>
        </w:rPr>
      </w:pPr>
      <w:r>
        <w:rPr>
          <w:rFonts w:eastAsia="Times New Roman"/>
          <w:color w:val="000000"/>
          <w:sz w:val="20"/>
          <w:szCs w:val="20"/>
        </w:rPr>
        <w:t>•the issuance of common stock as a dividend or the subdivision, combination, or reclassification of common stock into a greater or lesser number of shares of common stock;</w:t>
      </w:r>
    </w:p>
    <w:p w:rsidR="00000000" w:rsidRDefault="0040289C">
      <w:pPr>
        <w:ind w:hanging="360"/>
        <w:jc w:val="both"/>
        <w:rPr>
          <w:rFonts w:eastAsia="Times New Roman"/>
        </w:rPr>
      </w:pPr>
      <w:r>
        <w:rPr>
          <w:rFonts w:eastAsia="Times New Roman"/>
          <w:color w:val="000000"/>
          <w:sz w:val="20"/>
          <w:szCs w:val="20"/>
        </w:rPr>
        <w:t>•the dividend, distribution or other issuance of rights, options or warr</w:t>
      </w:r>
      <w:r>
        <w:rPr>
          <w:rFonts w:eastAsia="Times New Roman"/>
          <w:color w:val="000000"/>
          <w:sz w:val="20"/>
          <w:szCs w:val="20"/>
        </w:rPr>
        <w:t>ants to holders of Common Stock entitling them to subscribe for or purchase shares of common stock at a price per share that is less than the volume-weighted average price per share of common stock;</w:t>
      </w:r>
    </w:p>
    <w:p w:rsidR="00000000" w:rsidRDefault="0040289C">
      <w:pPr>
        <w:ind w:hanging="360"/>
        <w:jc w:val="both"/>
        <w:rPr>
          <w:rFonts w:eastAsia="Times New Roman"/>
        </w:rPr>
      </w:pPr>
      <w:r>
        <w:rPr>
          <w:rFonts w:eastAsia="Times New Roman"/>
          <w:color w:val="000000"/>
          <w:sz w:val="20"/>
          <w:szCs w:val="20"/>
        </w:rPr>
        <w:t>•the completion of a tender offer or exchange offer of sh</w:t>
      </w:r>
      <w:r>
        <w:rPr>
          <w:rFonts w:eastAsia="Times New Roman"/>
          <w:color w:val="000000"/>
          <w:sz w:val="20"/>
          <w:szCs w:val="20"/>
        </w:rPr>
        <w:t>ares of common stock at a premium to the volume-weighted average price per share of common stock and certain other above-market purchases of common stock;</w:t>
      </w:r>
    </w:p>
    <w:p w:rsidR="00000000" w:rsidRDefault="0040289C">
      <w:pPr>
        <w:ind w:hanging="360"/>
        <w:jc w:val="both"/>
        <w:rPr>
          <w:rFonts w:eastAsia="Times New Roman"/>
        </w:rPr>
      </w:pPr>
      <w:r>
        <w:rPr>
          <w:rFonts w:eastAsia="Times New Roman"/>
          <w:color w:val="000000"/>
          <w:sz w:val="20"/>
          <w:szCs w:val="20"/>
        </w:rPr>
        <w:t>•the issuance of a dividend or similar distribution in-kind, which can include shares of any class of</w:t>
      </w:r>
      <w:r>
        <w:rPr>
          <w:rFonts w:eastAsia="Times New Roman"/>
          <w:color w:val="000000"/>
          <w:sz w:val="20"/>
          <w:szCs w:val="20"/>
        </w:rPr>
        <w:t xml:space="preserve"> capital stock, evidences of the Company's indebtedness, assets or other property or securities, to holders of common stock;</w:t>
      </w:r>
    </w:p>
    <w:p w:rsidR="00000000" w:rsidRDefault="0040289C">
      <w:pPr>
        <w:ind w:hanging="360"/>
        <w:jc w:val="both"/>
        <w:rPr>
          <w:rFonts w:eastAsia="Times New Roman"/>
        </w:rPr>
      </w:pPr>
      <w:r>
        <w:rPr>
          <w:rFonts w:eastAsia="Times New Roman"/>
          <w:color w:val="000000"/>
          <w:sz w:val="20"/>
          <w:szCs w:val="20"/>
        </w:rPr>
        <w:t>•a transaction in which a subsidiary of the Company ceases to be a subsidiary of the Company as a result of the distribution of the</w:t>
      </w:r>
      <w:r>
        <w:rPr>
          <w:rFonts w:eastAsia="Times New Roman"/>
          <w:color w:val="000000"/>
          <w:sz w:val="20"/>
          <w:szCs w:val="20"/>
        </w:rPr>
        <w:t xml:space="preserve"> equity interests of the subsidiary to the holders of the Company’s common stock; and</w:t>
      </w:r>
    </w:p>
    <w:p w:rsidR="00000000" w:rsidRDefault="0040289C">
      <w:pPr>
        <w:ind w:hanging="360"/>
        <w:divId w:val="1605458762"/>
        <w:rPr>
          <w:rFonts w:eastAsia="Times New Roman"/>
        </w:rPr>
      </w:pPr>
      <w:r>
        <w:rPr>
          <w:rFonts w:eastAsia="Times New Roman"/>
          <w:color w:val="000000"/>
          <w:sz w:val="20"/>
          <w:szCs w:val="20"/>
        </w:rPr>
        <w:t>•the payment of a cash dividend to the holders of common stock.</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At any time after December 4, 2018, all outstanding shares of Series A Convertible Preferred Stock are c</w:t>
      </w:r>
      <w:r>
        <w:rPr>
          <w:rFonts w:eastAsia="Times New Roman"/>
          <w:color w:val="000000"/>
          <w:sz w:val="20"/>
          <w:szCs w:val="20"/>
        </w:rPr>
        <w:t>onvertible at the option of the Company if the volume-weighted average price of the common stock exceeds $54.00 for at least 30 trading days in any period of 45 consecutive trading days. The $54.00 may be adjusted pursuant to the anti-dilution provisions a</w:t>
      </w:r>
      <w:r>
        <w:rPr>
          <w:rFonts w:eastAsia="Times New Roman"/>
          <w:color w:val="000000"/>
          <w:sz w:val="20"/>
          <w:szCs w:val="20"/>
        </w:rPr>
        <w:t>bove.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Series A Convertible Preferred Stock, and the associated dividends for the first sixteen payments, did not generate a beneficial conversion feature ("BCF") upon issuance as the fair value of the Company's common stock was greater than the conve</w:t>
      </w:r>
      <w:r>
        <w:rPr>
          <w:rFonts w:eastAsia="Times New Roman"/>
          <w:color w:val="000000"/>
          <w:sz w:val="20"/>
          <w:szCs w:val="20"/>
        </w:rPr>
        <w:t>rsion price. The Company will determine and, if required, measure a BCF based on the fair value of our stock price on the date dividends are declared subsequent to the sixteenth dividend. If a BCF is recognized, a reduction to retained earnings and the Ser</w:t>
      </w:r>
      <w:r>
        <w:rPr>
          <w:rFonts w:eastAsia="Times New Roman"/>
          <w:color w:val="000000"/>
          <w:sz w:val="20"/>
          <w:szCs w:val="20"/>
        </w:rPr>
        <w:t>ies A Convertible Preferred Stock will be recorded, and then subsequently accreted through the first redemption date.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Additionally, the Company determined that the nature of the Series A Convertible Preferred Stock was more akin to an equity instrument a</w:t>
      </w:r>
      <w:r>
        <w:rPr>
          <w:rFonts w:eastAsia="Times New Roman"/>
          <w:color w:val="000000"/>
          <w:sz w:val="20"/>
          <w:szCs w:val="20"/>
        </w:rPr>
        <w:t xml:space="preserve">nd that the economic characteristics and risks of the embedded conversion options were clearly and closely related to the Series A Convertible Preferred Stock. As such, the conversion options were not required to be bifurcated from the host under ASC 815, </w:t>
      </w:r>
      <w:r>
        <w:rPr>
          <w:rFonts w:eastAsia="Times New Roman"/>
          <w:i/>
          <w:iCs/>
          <w:color w:val="000000"/>
          <w:sz w:val="20"/>
          <w:szCs w:val="20"/>
        </w:rPr>
        <w:t>Derivatives and Hedging.</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Redemption Rights</w:t>
      </w:r>
      <w:r>
        <w:rPr>
          <w:rFonts w:eastAsia="Times New Roman"/>
          <w:color w:val="000000"/>
          <w:sz w:val="20"/>
          <w:szCs w:val="20"/>
        </w:rPr>
        <w:t xml:space="preserve"> </w:t>
      </w:r>
      <w:r>
        <w:rPr>
          <w:rFonts w:eastAsia="Times New Roman"/>
          <w:color w:val="000000"/>
          <w:sz w:val="20"/>
          <w:szCs w:val="20"/>
        </w:rPr>
        <w:t>On any date during the three months commencing on and immediately following March 16, 2024 and the three months commencing on and immediately following every third anniversary of March 16, 2024, holders of Series A Convertible Preferred Stock have the righ</w:t>
      </w:r>
      <w:r>
        <w:rPr>
          <w:rFonts w:eastAsia="Times New Roman"/>
          <w:color w:val="000000"/>
          <w:sz w:val="20"/>
          <w:szCs w:val="20"/>
        </w:rPr>
        <w:t xml:space="preserve">t to require the Company to repurchase all or any portion of the Series A Convertible </w:t>
      </w:r>
    </w:p>
    <w:p w:rsidR="00000000" w:rsidRDefault="0040289C">
      <w:pPr>
        <w:jc w:val="center"/>
        <w:divId w:val="1355963616"/>
        <w:rPr>
          <w:rFonts w:eastAsia="Times New Roman"/>
        </w:rPr>
      </w:pPr>
      <w:r>
        <w:rPr>
          <w:rFonts w:eastAsia="Times New Roman"/>
          <w:color w:val="000000"/>
          <w:sz w:val="20"/>
          <w:szCs w:val="20"/>
        </w:rPr>
        <w:t>113</w:t>
      </w:r>
    </w:p>
    <w:p w:rsidR="00000000" w:rsidRDefault="0040289C">
      <w:pPr>
        <w:rPr>
          <w:rFonts w:eastAsia="Times New Roman"/>
        </w:rPr>
      </w:pPr>
      <w:r>
        <w:rPr>
          <w:rFonts w:eastAsia="Times New Roman"/>
        </w:rPr>
        <w:pict>
          <v:rect id="_x0000_i1143" style="width:0;height:1.5pt" o:hralign="center" o:hrstd="t" o:hr="t" fillcolor="#a0a0a0" stroked="f"/>
        </w:pict>
      </w:r>
    </w:p>
    <w:p w:rsidR="00000000" w:rsidRDefault="0040289C">
      <w:pPr>
        <w:divId w:val="1266496460"/>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663363179"/>
        <w:rPr>
          <w:rFonts w:eastAsia="Times New Roman"/>
        </w:rPr>
      </w:pPr>
    </w:p>
    <w:p w:rsidR="00000000" w:rsidRDefault="0040289C">
      <w:pPr>
        <w:jc w:val="both"/>
        <w:rPr>
          <w:rFonts w:eastAsia="Times New Roman"/>
        </w:rPr>
      </w:pPr>
      <w:r>
        <w:rPr>
          <w:rFonts w:eastAsia="Times New Roman"/>
          <w:color w:val="000000"/>
          <w:sz w:val="20"/>
          <w:szCs w:val="20"/>
        </w:rPr>
        <w:t>Preferred Stock at 100</w:t>
      </w:r>
      <w:r>
        <w:rPr>
          <w:rFonts w:eastAsia="Times New Roman"/>
          <w:color w:val="000000"/>
          <w:sz w:val="20"/>
          <w:szCs w:val="20"/>
        </w:rPr>
        <w:t>% of the liquidation preference thereof plus all accrued but unpaid dividends. Upon certain change of control events involving the Company, holders of Series A Convertible Preferred Stock can require the Company to repurchase, subject to certain exceptions</w:t>
      </w:r>
      <w:r>
        <w:rPr>
          <w:rFonts w:eastAsia="Times New Roman"/>
          <w:color w:val="000000"/>
          <w:sz w:val="20"/>
          <w:szCs w:val="20"/>
        </w:rPr>
        <w:t xml:space="preserve">, all or any portion of the Series A Convertible Preferred Stock at the greater of (1) an amount in cash equal to 100% of the liquidation preference thereof plus all accrued but unpaid dividends and (2) the consideration the holders would have received if </w:t>
      </w:r>
      <w:r>
        <w:rPr>
          <w:rFonts w:eastAsia="Times New Roman"/>
          <w:color w:val="000000"/>
          <w:sz w:val="20"/>
          <w:szCs w:val="20"/>
        </w:rPr>
        <w:t>they had converted their shares of Series A Convertible Preferred Stock into common stock immediately prior to the change of control event.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 has the right, upon certain change of control events involving the Company, to redeem the Series A Con</w:t>
      </w:r>
      <w:r>
        <w:rPr>
          <w:rFonts w:eastAsia="Times New Roman"/>
          <w:color w:val="000000"/>
          <w:sz w:val="20"/>
          <w:szCs w:val="20"/>
        </w:rPr>
        <w:t>vertible Preferred Stock at the greater of (1) an amount in cash equal to the sum of the liquidation preference of the Series A Convertible Preferred Stock, all accrued but unpaid dividends and the present value, discounted at a rate of 10%, of any remaini</w:t>
      </w:r>
      <w:r>
        <w:rPr>
          <w:rFonts w:eastAsia="Times New Roman"/>
          <w:color w:val="000000"/>
          <w:sz w:val="20"/>
          <w:szCs w:val="20"/>
        </w:rPr>
        <w:t>ng scheduled dividends through the fifth anniversary of the first dividend payment date, assuming the Company chose to pay such dividends in cash (the “make-whole provision”) and (2) the consideration the holders would have received if they had converted t</w:t>
      </w:r>
      <w:r>
        <w:rPr>
          <w:rFonts w:eastAsia="Times New Roman"/>
          <w:color w:val="000000"/>
          <w:sz w:val="20"/>
          <w:szCs w:val="20"/>
        </w:rPr>
        <w:t>heir shares of Series A Convertible Preferred Stock into common stock immediately prior to the change of control event.</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Since the redemption of the Series A Convertible Preferred Stock is contingently or optionally redeemable and therefore not certain to</w:t>
      </w:r>
      <w:r>
        <w:rPr>
          <w:rFonts w:eastAsia="Times New Roman"/>
          <w:color w:val="000000"/>
          <w:sz w:val="20"/>
          <w:szCs w:val="20"/>
        </w:rPr>
        <w:t xml:space="preserve"> occur, the Series A Convertible Preferred Stock is not required to be classified as a liability under ASC 480, </w:t>
      </w:r>
      <w:r>
        <w:rPr>
          <w:rFonts w:eastAsia="Times New Roman"/>
          <w:i/>
          <w:iCs/>
          <w:color w:val="000000"/>
          <w:sz w:val="20"/>
          <w:szCs w:val="20"/>
        </w:rPr>
        <w:t>Distinguishing Liabilities from Equity</w:t>
      </w:r>
      <w:r>
        <w:rPr>
          <w:rFonts w:eastAsia="Times New Roman"/>
          <w:color w:val="000000"/>
          <w:sz w:val="20"/>
          <w:szCs w:val="20"/>
        </w:rPr>
        <w:t xml:space="preserve">. As the Series A Convertible Preferred Stock is redeemable in certain circumstances at the option of the </w:t>
      </w:r>
      <w:r>
        <w:rPr>
          <w:rFonts w:eastAsia="Times New Roman"/>
          <w:color w:val="000000"/>
          <w:sz w:val="20"/>
          <w:szCs w:val="20"/>
        </w:rPr>
        <w:t>holder and is redeemable in certain circumstances upon the occurrence of an event that is not solely within our control, we have classified the Series A Convertible Preferred Stock in mezzanine equity in the Consolidated Balance Sheets.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As noted above, t</w:t>
      </w:r>
      <w:r>
        <w:rPr>
          <w:rFonts w:eastAsia="Times New Roman"/>
          <w:color w:val="000000"/>
          <w:sz w:val="20"/>
          <w:szCs w:val="20"/>
        </w:rPr>
        <w:t>he Company determined that the nature of the Series A Convertible Preferred Stock was more akin to an equity instrument. However, the Company determined that the economic characteristics and risks of the embedded put options, call option and make-whole pro</w:t>
      </w:r>
      <w:r>
        <w:rPr>
          <w:rFonts w:eastAsia="Times New Roman"/>
          <w:color w:val="000000"/>
          <w:sz w:val="20"/>
          <w:szCs w:val="20"/>
        </w:rPr>
        <w:t xml:space="preserve">vision were not clearly and closely related to the Series A Convertible Preferred Stock. Therefore, the Company assessed the put and call options further, and determined they did not meet the definition of a derivative under ASC 815, </w:t>
      </w:r>
      <w:r>
        <w:rPr>
          <w:rFonts w:eastAsia="Times New Roman"/>
          <w:i/>
          <w:iCs/>
          <w:color w:val="000000"/>
          <w:sz w:val="20"/>
          <w:szCs w:val="20"/>
        </w:rPr>
        <w:t>Derivatives and Hedgin</w:t>
      </w:r>
      <w:r>
        <w:rPr>
          <w:rFonts w:eastAsia="Times New Roman"/>
          <w:i/>
          <w:iCs/>
          <w:color w:val="000000"/>
          <w:sz w:val="20"/>
          <w:szCs w:val="20"/>
        </w:rPr>
        <w:t>g.</w:t>
      </w:r>
      <w:r>
        <w:rPr>
          <w:rFonts w:eastAsia="Times New Roman"/>
          <w:color w:val="000000"/>
          <w:sz w:val="20"/>
          <w:szCs w:val="20"/>
        </w:rPr>
        <w:t xml:space="preserve"> Under the same analysis, the Company determined the make-whole provision did meet the definition of a derivative, but that the value of the derivative was minimal due to the expectations surrounding the scenarios under which the call option and make-who</w:t>
      </w:r>
      <w:r>
        <w:rPr>
          <w:rFonts w:eastAsia="Times New Roman"/>
          <w:color w:val="000000"/>
          <w:sz w:val="20"/>
          <w:szCs w:val="20"/>
        </w:rPr>
        <w:t>le provision would be exercised.</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Voting Rights</w:t>
      </w:r>
      <w:r>
        <w:rPr>
          <w:rFonts w:eastAsia="Times New Roman"/>
          <w:color w:val="000000"/>
          <w:sz w:val="20"/>
          <w:szCs w:val="20"/>
        </w:rPr>
        <w:t xml:space="preserve"> Holders of Series A Convertible Preferred Stock are entitled to vote with the holders of the common stock on an as-converted basis. Holders of Series A Convertible Preferred Stock are entitled to a separate </w:t>
      </w:r>
      <w:r>
        <w:rPr>
          <w:rFonts w:eastAsia="Times New Roman"/>
          <w:color w:val="000000"/>
          <w:sz w:val="20"/>
          <w:szCs w:val="20"/>
        </w:rPr>
        <w:t>class vote with respect to amendments to the Company’s organizational documents that have an adverse effect on the Series A Convertible Preferred Stock and issuances by the Company of securities that are senior to, or equal in priority with, the Series A C</w:t>
      </w:r>
      <w:r>
        <w:rPr>
          <w:rFonts w:eastAsia="Times New Roman"/>
          <w:color w:val="000000"/>
          <w:sz w:val="20"/>
          <w:szCs w:val="20"/>
        </w:rPr>
        <w:t>onvertible Preferred Stock.</w:t>
      </w:r>
    </w:p>
    <w:p w:rsidR="00000000" w:rsidRDefault="0040289C">
      <w:pPr>
        <w:divId w:val="184833074"/>
        <w:rPr>
          <w:rFonts w:eastAsia="Times New Roman"/>
        </w:rPr>
      </w:pPr>
    </w:p>
    <w:p w:rsidR="00000000" w:rsidRDefault="0040289C">
      <w:pPr>
        <w:divId w:val="643509400"/>
        <w:rPr>
          <w:rFonts w:eastAsia="Times New Roman"/>
        </w:rPr>
      </w:pPr>
      <w:r>
        <w:rPr>
          <w:rFonts w:eastAsia="Times New Roman"/>
          <w:b/>
          <w:bCs/>
          <w:color w:val="7ACE05"/>
          <w:sz w:val="20"/>
          <w:szCs w:val="20"/>
        </w:rPr>
        <w:t>13. EARNINGS PER SHARE</w:t>
      </w:r>
    </w:p>
    <w:p w:rsidR="00000000" w:rsidRDefault="0040289C">
      <w:pPr>
        <w:divId w:val="1225876339"/>
        <w:rPr>
          <w:rFonts w:eastAsia="Times New Roman"/>
        </w:rPr>
      </w:pPr>
    </w:p>
    <w:p w:rsidR="00000000" w:rsidRDefault="0040289C">
      <w:pPr>
        <w:jc w:val="both"/>
        <w:rPr>
          <w:rFonts w:eastAsia="Times New Roman"/>
        </w:rPr>
      </w:pPr>
      <w:r>
        <w:rPr>
          <w:rFonts w:eastAsia="Times New Roman"/>
          <w:color w:val="000000"/>
          <w:sz w:val="20"/>
          <w:szCs w:val="20"/>
        </w:rPr>
        <w:t>Basic earnings per share (“EPS”) is calculated by dividing net income or loss attributable to NCR, less any dividends (declared or cumulative undeclared), deemed dividends, accretion or decretion, rede</w:t>
      </w:r>
      <w:r>
        <w:rPr>
          <w:rFonts w:eastAsia="Times New Roman"/>
          <w:color w:val="000000"/>
          <w:sz w:val="20"/>
          <w:szCs w:val="20"/>
        </w:rPr>
        <w:t xml:space="preserve">mption or induced conversion on our Series A Convertible Preferred Stock, by the weighted average number of shares outstanding during the period.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In computing diluted EPS, we evaluate and reflect the maximum potential dilution, for each issue or series </w:t>
      </w:r>
      <w:r>
        <w:rPr>
          <w:rFonts w:eastAsia="Times New Roman"/>
          <w:color w:val="000000"/>
          <w:sz w:val="20"/>
          <w:szCs w:val="20"/>
        </w:rPr>
        <w:t>of issues of potential common shares in sequence from the most dilutive to the least dilutive. We adjust the numerator used in the basic EPS computation, subject to anti-dilution requirements, to add back the dividends (declared or cumulative undeclared) a</w:t>
      </w:r>
      <w:r>
        <w:rPr>
          <w:rFonts w:eastAsia="Times New Roman"/>
          <w:color w:val="000000"/>
          <w:sz w:val="20"/>
          <w:szCs w:val="20"/>
        </w:rPr>
        <w:t>pplicable to the Series A Convertible Preferred Stock. Such add-back would also include any adjustments to equity in the period to accrete the Series A Convertible Preferred Stock to its redemption price, or recorded upon a redemption or induced conversion</w:t>
      </w:r>
      <w:r>
        <w:rPr>
          <w:rFonts w:eastAsia="Times New Roman"/>
          <w:color w:val="000000"/>
          <w:sz w:val="20"/>
          <w:szCs w:val="20"/>
        </w:rPr>
        <w:t>. We adjust the denominator used in the basic EPS computation, subject to anti-dilution requirements, to include the dilution from potential shares resulting from the issuance of the Series A Convertible Preferred Stock, restricted stock units, and stock o</w:t>
      </w:r>
      <w:r>
        <w:rPr>
          <w:rFonts w:eastAsia="Times New Roman"/>
          <w:color w:val="000000"/>
          <w:sz w:val="20"/>
          <w:szCs w:val="20"/>
        </w:rPr>
        <w:t xml:space="preserve">ptions.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holders of Series A Convertible Preferred Stock, unvested restricted stock units and stock options do not have non-forfeitable rights to common stock dividends or common stock dividend equivalents. Accordingly, the Series A Convertible Prefe</w:t>
      </w:r>
      <w:r>
        <w:rPr>
          <w:rFonts w:eastAsia="Times New Roman"/>
          <w:color w:val="000000"/>
          <w:sz w:val="20"/>
          <w:szCs w:val="20"/>
        </w:rPr>
        <w:t>rred Stock, unvested restricted stock units and stock options do not qualify as participating securities. See Note 8, “Stock Compensation Plans”, for share information on NCR’s stock compensation plans.</w:t>
      </w:r>
    </w:p>
    <w:p w:rsidR="00000000" w:rsidRDefault="0040289C">
      <w:pPr>
        <w:jc w:val="both"/>
        <w:rPr>
          <w:rFonts w:eastAsia="Times New Roman"/>
        </w:rPr>
      </w:pPr>
    </w:p>
    <w:p w:rsidR="00000000" w:rsidRDefault="0040289C">
      <w:pPr>
        <w:jc w:val="center"/>
        <w:divId w:val="1759979338"/>
        <w:rPr>
          <w:rFonts w:eastAsia="Times New Roman"/>
        </w:rPr>
      </w:pPr>
      <w:r>
        <w:rPr>
          <w:rFonts w:eastAsia="Times New Roman"/>
          <w:color w:val="000000"/>
          <w:sz w:val="20"/>
          <w:szCs w:val="20"/>
        </w:rPr>
        <w:t>114</w:t>
      </w:r>
    </w:p>
    <w:p w:rsidR="00000000" w:rsidRDefault="0040289C">
      <w:pPr>
        <w:rPr>
          <w:rFonts w:eastAsia="Times New Roman"/>
        </w:rPr>
      </w:pPr>
      <w:r>
        <w:rPr>
          <w:rFonts w:eastAsia="Times New Roman"/>
        </w:rPr>
        <w:pict>
          <v:rect id="_x0000_i1144" style="width:0;height:1.5pt" o:hralign="center" o:hrstd="t" o:hr="t" fillcolor="#a0a0a0" stroked="f"/>
        </w:pict>
      </w:r>
    </w:p>
    <w:p w:rsidR="00000000" w:rsidRDefault="0040289C">
      <w:pPr>
        <w:divId w:val="29271500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67209512"/>
        <w:rPr>
          <w:rFonts w:eastAsia="Times New Roman"/>
        </w:rPr>
      </w:pP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components of basic earnings (loss)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421"/>
        <w:gridCol w:w="40"/>
        <w:gridCol w:w="120"/>
        <w:gridCol w:w="721"/>
        <w:gridCol w:w="36"/>
        <w:gridCol w:w="36"/>
        <w:gridCol w:w="36"/>
        <w:gridCol w:w="36"/>
        <w:gridCol w:w="120"/>
        <w:gridCol w:w="680"/>
        <w:gridCol w:w="36"/>
        <w:gridCol w:w="36"/>
        <w:gridCol w:w="36"/>
        <w:gridCol w:w="36"/>
        <w:gridCol w:w="120"/>
        <w:gridCol w:w="719"/>
        <w:gridCol w:w="36"/>
      </w:tblGrid>
      <w:tr w:rsidR="00000000">
        <w:tc>
          <w:tcPr>
            <w:tcW w:w="50" w:type="pct"/>
            <w:vAlign w:val="center"/>
            <w:hideMark/>
          </w:tcPr>
          <w:p w:rsidR="00000000" w:rsidRDefault="0040289C">
            <w:pPr>
              <w:jc w:val="both"/>
              <w:rPr>
                <w:rFonts w:eastAsia="Times New Roman"/>
              </w:rPr>
            </w:pPr>
          </w:p>
        </w:tc>
        <w:tc>
          <w:tcPr>
            <w:tcW w:w="329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trHeight w:val="360"/>
        </w:trPr>
        <w:tc>
          <w:tcPr>
            <w:tcW w:w="0" w:type="auto"/>
            <w:gridSpan w:val="3"/>
            <w:vMerge w:val="restart"/>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 except per share amounts</w:t>
            </w: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Year ended December 31</w:t>
            </w:r>
          </w:p>
        </w:tc>
      </w:tr>
      <w:tr w:rsidR="00000000">
        <w:trPr>
          <w:trHeight w:val="360"/>
        </w:trPr>
        <w:tc>
          <w:tcPr>
            <w:tcW w:w="0" w:type="auto"/>
            <w:gridSpan w:val="3"/>
            <w:vMerge/>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Net 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trHeight w:val="300"/>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131.2 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trHeight w:val="300"/>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Basic earnings (loss) per share: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From continuing operations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0.62 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(0.30)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From 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(0.03)</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(0.56)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Total basic earnings per share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components of diluted earnings (loss)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33"/>
        <w:gridCol w:w="40"/>
        <w:gridCol w:w="120"/>
        <w:gridCol w:w="721"/>
        <w:gridCol w:w="36"/>
        <w:gridCol w:w="36"/>
        <w:gridCol w:w="36"/>
        <w:gridCol w:w="36"/>
        <w:gridCol w:w="120"/>
        <w:gridCol w:w="680"/>
        <w:gridCol w:w="36"/>
        <w:gridCol w:w="36"/>
        <w:gridCol w:w="36"/>
        <w:gridCol w:w="36"/>
        <w:gridCol w:w="120"/>
        <w:gridCol w:w="707"/>
        <w:gridCol w:w="36"/>
      </w:tblGrid>
      <w:tr w:rsidR="00000000">
        <w:trPr>
          <w:divId w:val="1285388522"/>
          <w:jc w:val="center"/>
        </w:trPr>
        <w:tc>
          <w:tcPr>
            <w:tcW w:w="50" w:type="pct"/>
            <w:vAlign w:val="center"/>
            <w:hideMark/>
          </w:tcPr>
          <w:p w:rsidR="00000000" w:rsidRDefault="0040289C">
            <w:pPr>
              <w:jc w:val="both"/>
              <w:rPr>
                <w:rFonts w:eastAsia="Times New Roman"/>
              </w:rPr>
            </w:pPr>
          </w:p>
        </w:tc>
        <w:tc>
          <w:tcPr>
            <w:tcW w:w="330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6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285388522"/>
          <w:trHeight w:val="360"/>
          <w:jc w:val="center"/>
        </w:trPr>
        <w:tc>
          <w:tcPr>
            <w:tcW w:w="0" w:type="auto"/>
            <w:gridSpan w:val="3"/>
            <w:vMerge w:val="restart"/>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 except per share amounts</w:t>
            </w:r>
          </w:p>
        </w:tc>
        <w:tc>
          <w:tcPr>
            <w:tcW w:w="0" w:type="auto"/>
            <w:gridSpan w:val="15"/>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Year ended December 31</w:t>
            </w:r>
          </w:p>
        </w:tc>
      </w:tr>
      <w:tr w:rsidR="00000000">
        <w:trPr>
          <w:divId w:val="1285388522"/>
          <w:trHeight w:val="360"/>
          <w:jc w:val="center"/>
        </w:trPr>
        <w:tc>
          <w:tcPr>
            <w:tcW w:w="0" w:type="auto"/>
            <w:gridSpan w:val="3"/>
            <w:vMerge/>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285388522"/>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285388522"/>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Income (loss) from continuing operations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Series A convertible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Net income (loss) from continuing operations attributable to NCR common stockholders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Loss from discontinued operations, net of tax</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Net income (loss) attributable to NCR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285388522"/>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285388522"/>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Basic weighted average number of shares outstanding</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131.2 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128.4 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FFFF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Dilutive effect of as-if Series A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CCEEFF"/>
            <w:tcMar>
              <w:top w:w="30" w:type="dxa"/>
              <w:left w:w="245" w:type="dxa"/>
              <w:bottom w:w="30" w:type="dxa"/>
              <w:right w:w="20" w:type="dxa"/>
            </w:tcMar>
            <w:hideMark/>
          </w:tcPr>
          <w:p w:rsidR="00000000" w:rsidRDefault="0040289C">
            <w:pPr>
              <w:spacing w:after="100"/>
              <w:rPr>
                <w:rFonts w:eastAsia="Times New Roman"/>
              </w:rPr>
            </w:pPr>
            <w:r>
              <w:rPr>
                <w:rFonts w:eastAsia="Times New Roman"/>
                <w:color w:val="000000"/>
                <w:sz w:val="20"/>
                <w:szCs w:val="20"/>
              </w:rPr>
              <w:t>Dilutive effect of employee stock options and restricted stock units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Weighted average diluted shares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141.2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285388522"/>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Diluted earnings (loss) per share: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285388522"/>
          <w:jc w:val="center"/>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From continuing operations</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0.58 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(0.30)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(0.03)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(0.56)</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285388522"/>
          <w:jc w:val="center"/>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color w:val="000000"/>
                <w:sz w:val="20"/>
                <w:szCs w:val="20"/>
              </w:rPr>
              <w:t>Total diluted earnings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0.31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(0.86)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324426986"/>
        <w:rPr>
          <w:rFonts w:eastAsia="Times New Roman"/>
        </w:rPr>
      </w:pPr>
    </w:p>
    <w:p w:rsidR="00000000" w:rsidRDefault="0040289C">
      <w:pPr>
        <w:jc w:val="both"/>
        <w:rPr>
          <w:rFonts w:eastAsia="Times New Roman"/>
        </w:rPr>
      </w:pPr>
      <w:r>
        <w:rPr>
          <w:rFonts w:eastAsia="Times New Roman"/>
          <w:color w:val="000000"/>
          <w:sz w:val="20"/>
          <w:szCs w:val="20"/>
        </w:rPr>
        <w:t xml:space="preserve">For 2022, the weighted average outstanding shares of common stock were not adjusted by 9.2 </w:t>
      </w:r>
      <w:r>
        <w:rPr>
          <w:rFonts w:eastAsia="Times New Roman"/>
          <w:color w:val="000000"/>
          <w:sz w:val="20"/>
          <w:szCs w:val="20"/>
        </w:rPr>
        <w:t>million for the as-if converted Series A Convertible Preferred Stock because the effect would be anti-dilutive. Additionally, for 2022, weighted average restricted stock units and stock options of 6.5 million were excluded from the diluted share count beca</w:t>
      </w:r>
      <w:r>
        <w:rPr>
          <w:rFonts w:eastAsia="Times New Roman"/>
          <w:color w:val="000000"/>
          <w:sz w:val="20"/>
          <w:szCs w:val="20"/>
        </w:rPr>
        <w:t xml:space="preserve">use their effect would have been anti-dilutive. </w:t>
      </w:r>
    </w:p>
    <w:p w:rsidR="00000000" w:rsidRDefault="0040289C">
      <w:pPr>
        <w:divId w:val="1739938136"/>
        <w:rPr>
          <w:rFonts w:eastAsia="Times New Roman"/>
        </w:rPr>
      </w:pPr>
    </w:p>
    <w:p w:rsidR="00000000" w:rsidRDefault="0040289C">
      <w:pPr>
        <w:jc w:val="center"/>
        <w:divId w:val="630521865"/>
        <w:rPr>
          <w:rFonts w:eastAsia="Times New Roman"/>
        </w:rPr>
      </w:pPr>
      <w:r>
        <w:rPr>
          <w:rFonts w:eastAsia="Times New Roman"/>
          <w:color w:val="000000"/>
          <w:sz w:val="20"/>
          <w:szCs w:val="20"/>
        </w:rPr>
        <w:t>115</w:t>
      </w:r>
    </w:p>
    <w:p w:rsidR="00000000" w:rsidRDefault="0040289C">
      <w:pPr>
        <w:rPr>
          <w:rFonts w:eastAsia="Times New Roman"/>
        </w:rPr>
      </w:pPr>
      <w:r>
        <w:rPr>
          <w:rFonts w:eastAsia="Times New Roman"/>
        </w:rPr>
        <w:pict>
          <v:rect id="_x0000_i1145" style="width:0;height:1.5pt" o:hralign="center" o:hrstd="t" o:hr="t" fillcolor="#a0a0a0" stroked="f"/>
        </w:pict>
      </w:r>
    </w:p>
    <w:p w:rsidR="00000000" w:rsidRDefault="0040289C">
      <w:pPr>
        <w:divId w:val="76199532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539587123"/>
        <w:rPr>
          <w:rFonts w:eastAsia="Times New Roman"/>
        </w:rPr>
      </w:pPr>
    </w:p>
    <w:p w:rsidR="00000000" w:rsidRDefault="0040289C">
      <w:pPr>
        <w:jc w:val="both"/>
        <w:rPr>
          <w:rFonts w:eastAsia="Times New Roman"/>
        </w:rPr>
      </w:pPr>
      <w:r>
        <w:rPr>
          <w:rFonts w:eastAsia="Times New Roman"/>
          <w:color w:val="000000"/>
          <w:sz w:val="20"/>
          <w:szCs w:val="20"/>
        </w:rPr>
        <w:t>For 2021, the weighted average outstanding shares of common stock were not adjusted b</w:t>
      </w:r>
      <w:r>
        <w:rPr>
          <w:rFonts w:eastAsia="Times New Roman"/>
          <w:color w:val="000000"/>
          <w:sz w:val="20"/>
          <w:szCs w:val="20"/>
        </w:rPr>
        <w:t>y 9.2 million for the as-if converted Series A Convertible Preferred Stock because the effect would be anti-dilutive. Additionally, for 2021, weighted average restricted stock units and stock options of 4.7 million were excluded from the diluted share coun</w:t>
      </w:r>
      <w:r>
        <w:rPr>
          <w:rFonts w:eastAsia="Times New Roman"/>
          <w:color w:val="000000"/>
          <w:sz w:val="20"/>
          <w:szCs w:val="20"/>
        </w:rPr>
        <w:t>t because their effect would have been anti-dilutive.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For 2020, due to the net loss attributable to NCR common stockholders, potential common shares that would cause dilution, such as Series A Convertible Preferred Stock, restricted stock units and s</w:t>
      </w:r>
      <w:r>
        <w:rPr>
          <w:rFonts w:eastAsia="Times New Roman"/>
          <w:color w:val="000000"/>
          <w:sz w:val="20"/>
          <w:szCs w:val="20"/>
        </w:rPr>
        <w:t>tock options, were excluded from the diluted share count because their effect would have been anti-dilutive. The weighted average outstanding shares of common stock were not adjusted by 9.1 million for the as-if converted Series A Convertible Preferred Sto</w:t>
      </w:r>
      <w:r>
        <w:rPr>
          <w:rFonts w:eastAsia="Times New Roman"/>
          <w:color w:val="000000"/>
          <w:sz w:val="20"/>
          <w:szCs w:val="20"/>
        </w:rPr>
        <w:t>ck because the effect would have been anti-dilutive. Additionally, for 2020, weighted average restricted stock units and stock options of 11.2 million were excluded from the diluted share count because their effect would have been anti-dilutive. Refer to N</w:t>
      </w:r>
      <w:r>
        <w:rPr>
          <w:rFonts w:eastAsia="Times New Roman"/>
          <w:color w:val="000000"/>
          <w:sz w:val="20"/>
          <w:szCs w:val="20"/>
        </w:rPr>
        <w:t>ote 12, “Series A Convertible Preferred Stock”, for additional discussion related to the transaction impacting the Series A Convertible Preferred Stock.</w:t>
      </w:r>
    </w:p>
    <w:p w:rsidR="00000000" w:rsidRDefault="0040289C">
      <w:pPr>
        <w:jc w:val="both"/>
        <w:rPr>
          <w:rFonts w:eastAsia="Times New Roman"/>
        </w:rPr>
      </w:pPr>
    </w:p>
    <w:p w:rsidR="00000000" w:rsidRDefault="0040289C">
      <w:pPr>
        <w:jc w:val="both"/>
        <w:rPr>
          <w:rFonts w:eastAsia="Times New Roman"/>
        </w:rPr>
      </w:pPr>
    </w:p>
    <w:p w:rsidR="00000000" w:rsidRDefault="0040289C">
      <w:pPr>
        <w:divId w:val="991638159"/>
        <w:rPr>
          <w:rFonts w:eastAsia="Times New Roman"/>
        </w:rPr>
      </w:pPr>
      <w:r>
        <w:rPr>
          <w:rFonts w:eastAsia="Times New Roman"/>
          <w:b/>
          <w:bCs/>
          <w:color w:val="7ACE05"/>
          <w:sz w:val="20"/>
          <w:szCs w:val="20"/>
        </w:rPr>
        <w:t xml:space="preserve">14. DERIVATIVES AND HEDGING INSTRUMENTS </w:t>
      </w:r>
    </w:p>
    <w:p w:rsidR="00000000" w:rsidRDefault="0040289C">
      <w:pPr>
        <w:divId w:val="795295615"/>
        <w:rPr>
          <w:rFonts w:eastAsia="Times New Roman"/>
        </w:rPr>
      </w:pPr>
    </w:p>
    <w:p w:rsidR="00000000" w:rsidRDefault="0040289C">
      <w:pPr>
        <w:jc w:val="both"/>
        <w:rPr>
          <w:rFonts w:eastAsia="Times New Roman"/>
        </w:rPr>
      </w:pPr>
      <w:r>
        <w:rPr>
          <w:rFonts w:eastAsia="Times New Roman"/>
          <w:color w:val="000000"/>
          <w:sz w:val="20"/>
          <w:szCs w:val="20"/>
        </w:rPr>
        <w:t>NCR is exposed to certain risks arising from both our bu</w:t>
      </w:r>
      <w:r>
        <w:rPr>
          <w:rFonts w:eastAsia="Times New Roman"/>
          <w:color w:val="000000"/>
          <w:sz w:val="20"/>
          <w:szCs w:val="20"/>
        </w:rPr>
        <w:t>siness operations and economic conditions. We principally manage exposures to a wide variety of business and operational risk through management of core business activities. We manage interest rate risk associated with our vault cash rental obligations and</w:t>
      </w:r>
      <w:r>
        <w:rPr>
          <w:rFonts w:eastAsia="Times New Roman"/>
          <w:color w:val="000000"/>
          <w:sz w:val="20"/>
          <w:szCs w:val="20"/>
        </w:rPr>
        <w:t xml:space="preserve"> floating rate-debt by managing the amount, sources, and duration of debt funding and the use of derivative financial instruments. The Company uses interest rate cap agreements or interest rate swap contracts (“Interest Rate Derivatives”) to manage differe</w:t>
      </w:r>
      <w:r>
        <w:rPr>
          <w:rFonts w:eastAsia="Times New Roman"/>
          <w:color w:val="000000"/>
          <w:sz w:val="20"/>
          <w:szCs w:val="20"/>
        </w:rPr>
        <w:t>nces in the amount, timing and duration of known or expected cash payments related to our existing TLA Facility and vault cash agreements.</w:t>
      </w:r>
    </w:p>
    <w:p w:rsidR="00000000" w:rsidRDefault="0040289C">
      <w:pPr>
        <w:divId w:val="328140706"/>
        <w:rPr>
          <w:rFonts w:eastAsia="Times New Roman"/>
        </w:rPr>
      </w:pPr>
    </w:p>
    <w:p w:rsidR="00000000" w:rsidRDefault="0040289C">
      <w:pPr>
        <w:jc w:val="both"/>
        <w:rPr>
          <w:rFonts w:eastAsia="Times New Roman"/>
        </w:rPr>
      </w:pPr>
      <w:r>
        <w:rPr>
          <w:rFonts w:eastAsia="Times New Roman"/>
          <w:color w:val="000000"/>
          <w:sz w:val="20"/>
          <w:szCs w:val="20"/>
        </w:rPr>
        <w:t xml:space="preserve">Further, a substantial portion of our operations and revenue occur outside the United States and, as such, NCR has </w:t>
      </w:r>
      <w:r>
        <w:rPr>
          <w:rFonts w:eastAsia="Times New Roman"/>
          <w:color w:val="000000"/>
          <w:sz w:val="20"/>
          <w:szCs w:val="20"/>
        </w:rPr>
        <w:t>exposure to approximately 45 functional currencies. Our results can be significantly impacted, both positively and negatively, by changes in foreign currency exchange rates. The Company seeks to mitigate such impact by hedging its foreign currency transact</w:t>
      </w:r>
      <w:r>
        <w:rPr>
          <w:rFonts w:eastAsia="Times New Roman"/>
          <w:color w:val="000000"/>
          <w:sz w:val="20"/>
          <w:szCs w:val="20"/>
        </w:rPr>
        <w:t>ion exposure using foreign currency forward and option contracts. We do not enter into hedges for speculative purposes.</w:t>
      </w:r>
    </w:p>
    <w:p w:rsidR="00000000" w:rsidRDefault="0040289C">
      <w:pPr>
        <w:divId w:val="1725788678"/>
        <w:rPr>
          <w:rFonts w:eastAsia="Times New Roman"/>
        </w:rPr>
      </w:pPr>
    </w:p>
    <w:p w:rsidR="00000000" w:rsidRDefault="0040289C">
      <w:pPr>
        <w:jc w:val="both"/>
        <w:rPr>
          <w:rFonts w:eastAsia="Times New Roman"/>
        </w:rPr>
      </w:pPr>
      <w:r>
        <w:rPr>
          <w:rFonts w:eastAsia="Times New Roman"/>
          <w:b/>
          <w:bCs/>
          <w:color w:val="000000"/>
          <w:sz w:val="20"/>
          <w:szCs w:val="20"/>
        </w:rPr>
        <w:t>Foreign Currency Exchange Risk</w:t>
      </w:r>
      <w:r>
        <w:rPr>
          <w:rFonts w:eastAsia="Times New Roman"/>
          <w:color w:val="000000"/>
          <w:sz w:val="20"/>
          <w:szCs w:val="20"/>
        </w:rPr>
        <w:t xml:space="preserve"> The accounting guidance for derivatives and hedging requires companies to recognize all derivative inst</w:t>
      </w:r>
      <w:r>
        <w:rPr>
          <w:rFonts w:eastAsia="Times New Roman"/>
          <w:color w:val="000000"/>
          <w:sz w:val="20"/>
          <w:szCs w:val="20"/>
        </w:rPr>
        <w:t>ruments as either assets or liabilities at fair value in the Consolidated Balance Sheets. The Company designates foreign exchange contracts as cash flow hedges of forecasted transactions when they are determined to be highly effective at inception.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Our r</w:t>
      </w:r>
      <w:r>
        <w:rPr>
          <w:rFonts w:eastAsia="Times New Roman"/>
          <w:color w:val="000000"/>
          <w:sz w:val="20"/>
          <w:szCs w:val="20"/>
        </w:rPr>
        <w:t>isk management strategy includes hedging, on behalf of certain subsidiaries, a portion of our forecasted, non-functional currency denominated cash flows for a period of up to 15 months. As a result, some of the impact of currency fluctuations on non-functi</w:t>
      </w:r>
      <w:r>
        <w:rPr>
          <w:rFonts w:eastAsia="Times New Roman"/>
          <w:color w:val="000000"/>
          <w:sz w:val="20"/>
          <w:szCs w:val="20"/>
        </w:rPr>
        <w:t>onal currency denominated transactions (and hence on subsidiary operating income, as stated in the functional currency), is mitigated in the near term. In the longer term (greater than 15 months), the subsidiaries are still subject to the effect of transla</w:t>
      </w:r>
      <w:r>
        <w:rPr>
          <w:rFonts w:eastAsia="Times New Roman"/>
          <w:color w:val="000000"/>
          <w:sz w:val="20"/>
          <w:szCs w:val="20"/>
        </w:rPr>
        <w:t>ting the functional currency results to United States Dollars. To manage our exposures and mitigate the impact of currency fluctuations on the operations of our foreign subsidiaries, we hedge our main transactional exposures through the use of foreign exch</w:t>
      </w:r>
      <w:r>
        <w:rPr>
          <w:rFonts w:eastAsia="Times New Roman"/>
          <w:color w:val="000000"/>
          <w:sz w:val="20"/>
          <w:szCs w:val="20"/>
        </w:rPr>
        <w:t>ange forward and option contracts. This is primarily done through the hedging of foreign currency denominated inter-company inventory purchases by NCR’s marketing units and the foreign currency denominated inputs to our manufacturing units. If the hedge is</w:t>
      </w:r>
      <w:r>
        <w:rPr>
          <w:rFonts w:eastAsia="Times New Roman"/>
          <w:color w:val="000000"/>
          <w:sz w:val="20"/>
          <w:szCs w:val="20"/>
        </w:rPr>
        <w:t xml:space="preserve"> designated as a highly effective cash flow hedge, the gains or losses are deferred into accumulated other comprehensive income (“AOCI”). The gains or losses from derivative contracts that are designated as highly effective cash flow hedges related to inve</w:t>
      </w:r>
      <w:r>
        <w:rPr>
          <w:rFonts w:eastAsia="Times New Roman"/>
          <w:color w:val="000000"/>
          <w:sz w:val="20"/>
          <w:szCs w:val="20"/>
        </w:rPr>
        <w:t>ntory purchases are recorded in cost of products when the inventory is sold to an unrelated third party. Otherwise, they are recorded in earnings when the exchange rates change. As of December 31, 2022, the balance in AOCI related to foreign exchange deriv</w:t>
      </w:r>
      <w:r>
        <w:rPr>
          <w:rFonts w:eastAsia="Times New Roman"/>
          <w:color w:val="000000"/>
          <w:sz w:val="20"/>
          <w:szCs w:val="20"/>
        </w:rPr>
        <w:t xml:space="preserve">ative transactions was zero.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also utilize foreign exchange contracts to hedge our exposure of assets and liabilities denominated in non-functional currencies. We recognize the gains and losses on these types of hedges in earnings as exchange rates ch</w:t>
      </w:r>
      <w:r>
        <w:rPr>
          <w:rFonts w:eastAsia="Times New Roman"/>
          <w:color w:val="000000"/>
          <w:sz w:val="20"/>
          <w:szCs w:val="20"/>
        </w:rPr>
        <w:t>ange.</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 xml:space="preserve">Interest Rate Risk </w:t>
      </w:r>
      <w:r>
        <w:rPr>
          <w:rFonts w:eastAsia="Times New Roman"/>
          <w:color w:val="000000"/>
          <w:sz w:val="20"/>
          <w:szCs w:val="20"/>
        </w:rPr>
        <w:t>The Company designates Interest Rate Derivative contracts as cash flow hedges of forecasted transactions when they are determined to be highly effective at inception.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utilize interest rate swap contracts or interest rate cap</w:t>
      </w:r>
      <w:r>
        <w:rPr>
          <w:rFonts w:eastAsia="Times New Roman"/>
          <w:color w:val="000000"/>
          <w:sz w:val="20"/>
          <w:szCs w:val="20"/>
        </w:rPr>
        <w:t xml:space="preserve"> agreements to add stability to interest cost and to manage exposure to interest rate movements as part of our interest rate risk management strategy. Payments and receipts related to Interest Rate Derivatives are included in cash flows from operating acti</w:t>
      </w:r>
      <w:r>
        <w:rPr>
          <w:rFonts w:eastAsia="Times New Roman"/>
          <w:color w:val="000000"/>
          <w:sz w:val="20"/>
          <w:szCs w:val="20"/>
        </w:rPr>
        <w:t xml:space="preserve">vities in the Consolidated Statements of Cash Flows. </w:t>
      </w:r>
    </w:p>
    <w:p w:rsidR="00000000" w:rsidRDefault="0040289C">
      <w:pPr>
        <w:jc w:val="both"/>
        <w:rPr>
          <w:rFonts w:eastAsia="Times New Roman"/>
        </w:rPr>
      </w:pPr>
    </w:p>
    <w:p w:rsidR="00000000" w:rsidRDefault="0040289C">
      <w:pPr>
        <w:jc w:val="center"/>
        <w:divId w:val="1931549251"/>
        <w:rPr>
          <w:rFonts w:eastAsia="Times New Roman"/>
        </w:rPr>
      </w:pPr>
      <w:r>
        <w:rPr>
          <w:rFonts w:eastAsia="Times New Roman"/>
          <w:color w:val="000000"/>
          <w:sz w:val="20"/>
          <w:szCs w:val="20"/>
        </w:rPr>
        <w:t>116</w:t>
      </w:r>
    </w:p>
    <w:p w:rsidR="00000000" w:rsidRDefault="0040289C">
      <w:pPr>
        <w:rPr>
          <w:rFonts w:eastAsia="Times New Roman"/>
        </w:rPr>
      </w:pPr>
      <w:r>
        <w:rPr>
          <w:rFonts w:eastAsia="Times New Roman"/>
        </w:rPr>
        <w:pict>
          <v:rect id="_x0000_i1146" style="width:0;height:1.5pt" o:hralign="center" o:hrstd="t" o:hr="t" fillcolor="#a0a0a0" stroked="f"/>
        </w:pict>
      </w:r>
    </w:p>
    <w:p w:rsidR="00000000" w:rsidRDefault="0040289C">
      <w:pPr>
        <w:divId w:val="141389407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146892561"/>
        <w:rPr>
          <w:rFonts w:eastAsia="Times New Roman"/>
        </w:rPr>
      </w:pPr>
    </w:p>
    <w:p w:rsidR="00000000" w:rsidRDefault="0040289C">
      <w:pPr>
        <w:jc w:val="both"/>
        <w:rPr>
          <w:rFonts w:eastAsia="Times New Roman"/>
        </w:rPr>
      </w:pPr>
      <w:r>
        <w:rPr>
          <w:rFonts w:eastAsia="Times New Roman"/>
          <w:color w:val="000000"/>
          <w:sz w:val="20"/>
          <w:szCs w:val="20"/>
        </w:rPr>
        <w:t>In January 2022, the Company executed a $250 million notional amount interest rate swap contract originally terminating on January 1, 2025. T</w:t>
      </w:r>
      <w:r>
        <w:rPr>
          <w:rFonts w:eastAsia="Times New Roman"/>
          <w:color w:val="000000"/>
          <w:sz w:val="20"/>
          <w:szCs w:val="20"/>
        </w:rPr>
        <w:t>he interest rate swap contract had a fixed rate of 1.43% and was designated as a cash flow hedge of floating interest rate cost associated with the Company's U.S. Dollar vault cash agreements.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March 2022, the Company terminated the outstanding $2 bill</w:t>
      </w:r>
      <w:r>
        <w:rPr>
          <w:rFonts w:eastAsia="Times New Roman"/>
          <w:color w:val="000000"/>
          <w:sz w:val="20"/>
          <w:szCs w:val="20"/>
        </w:rPr>
        <w:t>ion notional amount interest rate cap agreements maturing in 2024 for proceeds of $64 million. The gains will be recognized ratably through July 1, 2024, corresponding to the term of the original interest rate cap agreements.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March 2022, the Company executed $2.2 billion aggregate notional amount interest rate swap contracts that began April 1, 2022 and had an original termination date of April 1, 2025. These interest rate swap contracts had fixed rates ranging from 2.078% t</w:t>
      </w:r>
      <w:r>
        <w:rPr>
          <w:rFonts w:eastAsia="Times New Roman"/>
          <w:color w:val="000000"/>
          <w:sz w:val="20"/>
          <w:szCs w:val="20"/>
        </w:rPr>
        <w:t xml:space="preserve">o 2.443%, and were designated as cash flow hedges of the floating rate interest associated with the Company’s U.S. Dollar and U.K. Pound Sterling vault cash agreements and TLA Facility.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June 2022, the Company terminated the outstanding $2.4 billion a</w:t>
      </w:r>
      <w:r>
        <w:rPr>
          <w:rFonts w:eastAsia="Times New Roman"/>
          <w:color w:val="000000"/>
          <w:sz w:val="20"/>
          <w:szCs w:val="20"/>
        </w:rPr>
        <w:t>ggregate notional interest rate swap contracts maturing in 2025 for proceeds of $55 million. The gains will be recognized ratably primarily through April 1, 2025, corresponding to the term of the original interest rate swap agreements.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In June 2022, the </w:t>
      </w:r>
      <w:r>
        <w:rPr>
          <w:rFonts w:eastAsia="Times New Roman"/>
          <w:color w:val="000000"/>
          <w:sz w:val="20"/>
          <w:szCs w:val="20"/>
        </w:rPr>
        <w:t>Company executed $2.4 billion aggregate notional amount interest rate swap contracts effective June 1, 2022 and terminating on April 1, 2025. These interest rate swap contracts have fixed rates ranging from 2.790% to 3.251%, and have been designated as cas</w:t>
      </w:r>
      <w:r>
        <w:rPr>
          <w:rFonts w:eastAsia="Times New Roman"/>
          <w:color w:val="000000"/>
          <w:sz w:val="20"/>
          <w:szCs w:val="20"/>
        </w:rPr>
        <w:t>h flow hedges of the floating rate interest associated with the Company's U.S. Dollar and U.K. Pound Sterling vault cash agreements.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At December 31, 2022,</w:t>
      </w:r>
      <w:r>
        <w:rPr>
          <w:rFonts w:eastAsia="Times New Roman"/>
          <w:color w:val="000000"/>
          <w:sz w:val="20"/>
          <w:szCs w:val="20"/>
          <w:shd w:val="clear" w:color="auto" w:fill="FFFFFF"/>
        </w:rPr>
        <w:t xml:space="preserve"> each of our outstanding Interest Rate Derivative agreements were determined to be highly effective.</w:t>
      </w:r>
      <w:r>
        <w:rPr>
          <w:rFonts w:eastAsia="Times New Roman"/>
          <w:color w:val="000000"/>
          <w:sz w:val="20"/>
          <w:szCs w:val="20"/>
          <w:shd w:val="clear" w:color="auto" w:fill="FFFFFF"/>
        </w:rPr>
        <w:t xml:space="preserve"> Amounts reported in Accumulated other comprehensive income related to these derivatives will be reclassified to Cost of services as payments are made on the Company’s vault cash rental obligations. Unrealized gains on terminated interest rate swap and cap</w:t>
      </w:r>
      <w:r>
        <w:rPr>
          <w:rFonts w:eastAsia="Times New Roman"/>
          <w:color w:val="000000"/>
          <w:sz w:val="20"/>
          <w:szCs w:val="20"/>
          <w:shd w:val="clear" w:color="auto" w:fill="FFFFFF"/>
        </w:rPr>
        <w:t xml:space="preserve"> agreements reported in Accumulated other comprehensive income will be reclassified to Interest expense and Cost of services ratably over terms corresponding to the original agreements, as described above. </w:t>
      </w:r>
      <w:r>
        <w:rPr>
          <w:rFonts w:eastAsia="Times New Roman"/>
          <w:color w:val="000000"/>
          <w:sz w:val="20"/>
          <w:szCs w:val="20"/>
        </w:rPr>
        <w:t>As of December 31, 2022 and December 31, 2021, the</w:t>
      </w:r>
      <w:r>
        <w:rPr>
          <w:rFonts w:eastAsia="Times New Roman"/>
          <w:color w:val="000000"/>
          <w:sz w:val="20"/>
          <w:szCs w:val="20"/>
        </w:rPr>
        <w:t xml:space="preserve"> balance in AOCI related to Interest Rate Derivatives was $109 million and $8 million, respectively. </w:t>
      </w:r>
    </w:p>
    <w:p w:rsidR="00000000" w:rsidRDefault="0040289C">
      <w:pPr>
        <w:jc w:val="both"/>
        <w:rPr>
          <w:rFonts w:eastAsia="Times New Roman"/>
        </w:rPr>
      </w:pPr>
    </w:p>
    <w:p w:rsidR="00000000" w:rsidRDefault="0040289C">
      <w:pPr>
        <w:jc w:val="center"/>
        <w:divId w:val="1726030550"/>
        <w:rPr>
          <w:rFonts w:eastAsia="Times New Roman"/>
        </w:rPr>
      </w:pPr>
      <w:r>
        <w:rPr>
          <w:rFonts w:eastAsia="Times New Roman"/>
          <w:color w:val="000000"/>
          <w:sz w:val="20"/>
          <w:szCs w:val="20"/>
        </w:rPr>
        <w:t>117</w:t>
      </w:r>
    </w:p>
    <w:p w:rsidR="00000000" w:rsidRDefault="0040289C">
      <w:pPr>
        <w:rPr>
          <w:rFonts w:eastAsia="Times New Roman"/>
        </w:rPr>
      </w:pPr>
      <w:r>
        <w:rPr>
          <w:rFonts w:eastAsia="Times New Roman"/>
        </w:rPr>
        <w:pict>
          <v:rect id="_x0000_i1147" style="width:0;height:1.5pt" o:hralign="center" o:hrstd="t" o:hr="t" fillcolor="#a0a0a0" stroked="f"/>
        </w:pict>
      </w:r>
    </w:p>
    <w:p w:rsidR="00000000" w:rsidRDefault="0040289C">
      <w:pPr>
        <w:divId w:val="1366373518"/>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179739837"/>
        <w:rPr>
          <w:rFonts w:eastAsia="Times New Roman"/>
        </w:rPr>
      </w:pPr>
    </w:p>
    <w:p w:rsidR="00000000" w:rsidRDefault="0040289C">
      <w:pPr>
        <w:jc w:val="both"/>
        <w:divId w:val="184294314"/>
        <w:rPr>
          <w:rFonts w:eastAsia="Times New Roman"/>
        </w:rPr>
      </w:pPr>
      <w:r>
        <w:rPr>
          <w:rFonts w:eastAsia="Times New Roman"/>
          <w:color w:val="000000"/>
          <w:sz w:val="20"/>
          <w:szCs w:val="20"/>
        </w:rPr>
        <w:t>The following tables provide info</w:t>
      </w:r>
      <w:r>
        <w:rPr>
          <w:rFonts w:eastAsia="Times New Roman"/>
          <w:color w:val="000000"/>
          <w:sz w:val="20"/>
          <w:szCs w:val="20"/>
        </w:rPr>
        <w:t>rmation on the location and amounts of derivative fair values in the Consolidated Balance Sheets:</w:t>
      </w:r>
    </w:p>
    <w:tbl>
      <w:tblPr>
        <w:tblW w:w="4978" w:type="pct"/>
        <w:tblCellMar>
          <w:top w:w="15" w:type="dxa"/>
          <w:left w:w="15" w:type="dxa"/>
          <w:bottom w:w="15" w:type="dxa"/>
          <w:right w:w="15" w:type="dxa"/>
        </w:tblCellMar>
        <w:tblLook w:val="04A0" w:firstRow="1" w:lastRow="0" w:firstColumn="1" w:lastColumn="0" w:noHBand="0" w:noVBand="1"/>
      </w:tblPr>
      <w:tblGrid>
        <w:gridCol w:w="38"/>
        <w:gridCol w:w="2274"/>
        <w:gridCol w:w="36"/>
        <w:gridCol w:w="53"/>
        <w:gridCol w:w="1384"/>
        <w:gridCol w:w="36"/>
        <w:gridCol w:w="36"/>
        <w:gridCol w:w="36"/>
        <w:gridCol w:w="36"/>
        <w:gridCol w:w="120"/>
        <w:gridCol w:w="500"/>
        <w:gridCol w:w="36"/>
        <w:gridCol w:w="36"/>
        <w:gridCol w:w="36"/>
        <w:gridCol w:w="36"/>
        <w:gridCol w:w="121"/>
        <w:gridCol w:w="357"/>
        <w:gridCol w:w="36"/>
        <w:gridCol w:w="36"/>
        <w:gridCol w:w="36"/>
        <w:gridCol w:w="36"/>
        <w:gridCol w:w="46"/>
        <w:gridCol w:w="1454"/>
        <w:gridCol w:w="36"/>
        <w:gridCol w:w="36"/>
        <w:gridCol w:w="36"/>
        <w:gridCol w:w="36"/>
        <w:gridCol w:w="121"/>
        <w:gridCol w:w="531"/>
        <w:gridCol w:w="36"/>
        <w:gridCol w:w="36"/>
        <w:gridCol w:w="36"/>
        <w:gridCol w:w="36"/>
        <w:gridCol w:w="121"/>
        <w:gridCol w:w="357"/>
        <w:gridCol w:w="36"/>
      </w:tblGrid>
      <w:tr w:rsidR="00000000">
        <w:trPr>
          <w:divId w:val="1636913412"/>
        </w:trPr>
        <w:tc>
          <w:tcPr>
            <w:tcW w:w="50" w:type="pct"/>
            <w:vAlign w:val="center"/>
            <w:hideMark/>
          </w:tcPr>
          <w:p w:rsidR="00000000" w:rsidRDefault="0040289C">
            <w:pPr>
              <w:jc w:val="both"/>
              <w:rPr>
                <w:rFonts w:eastAsia="Times New Roman"/>
              </w:rPr>
            </w:pPr>
          </w:p>
        </w:tc>
        <w:tc>
          <w:tcPr>
            <w:tcW w:w="142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9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0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03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0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636913412"/>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Values of Derivative Instruments</w:t>
            </w:r>
          </w:p>
        </w:tc>
      </w:tr>
      <w:tr w:rsidR="00000000">
        <w:trPr>
          <w:divId w:val="1636913412"/>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r>
      <w:tr w:rsidR="00000000">
        <w:trPr>
          <w:divId w:val="1636913412"/>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divId w:val="1274479790"/>
              <w:rPr>
                <w:rFonts w:eastAsia="Times New Roman"/>
              </w:rPr>
            </w:pPr>
            <w:r>
              <w:rPr>
                <w:rFonts w:eastAsia="Times New Roman"/>
                <w:b/>
                <w:bCs/>
                <w:color w:val="000000"/>
                <w:sz w:val="16"/>
                <w:szCs w:val="16"/>
              </w:rPr>
              <w:t>Balance Sheet</w:t>
            </w:r>
          </w:p>
          <w:p w:rsidR="00000000" w:rsidRDefault="0040289C">
            <w:pPr>
              <w:spacing w:after="100"/>
              <w:jc w:val="center"/>
              <w:divId w:val="390202882"/>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divId w:val="293222812"/>
              <w:rPr>
                <w:rFonts w:eastAsia="Times New Roman"/>
              </w:rPr>
            </w:pPr>
            <w:r>
              <w:rPr>
                <w:rFonts w:eastAsia="Times New Roman"/>
                <w:b/>
                <w:bCs/>
                <w:color w:val="000000"/>
                <w:sz w:val="16"/>
                <w:szCs w:val="16"/>
              </w:rPr>
              <w:t>Balance Sheet</w:t>
            </w:r>
          </w:p>
          <w:p w:rsidR="00000000" w:rsidRDefault="0040289C">
            <w:pPr>
              <w:spacing w:after="100"/>
              <w:jc w:val="center"/>
              <w:divId w:val="787361719"/>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1636913412"/>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636913412"/>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rate swap contracts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Prepaid and other current asset</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current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rate swap contracts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636913412"/>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$2,423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636913412"/>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 exchange contracts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Prepaid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derivatives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Height w:val="280"/>
        </w:trPr>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636913412"/>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Values of Derivative Instruments</w:t>
            </w:r>
          </w:p>
        </w:tc>
      </w:tr>
      <w:tr w:rsidR="00000000">
        <w:trPr>
          <w:divId w:val="1636913412"/>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r>
      <w:tr w:rsidR="00000000">
        <w:trPr>
          <w:divId w:val="1636913412"/>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divId w:val="522984084"/>
              <w:rPr>
                <w:rFonts w:eastAsia="Times New Roman"/>
              </w:rPr>
            </w:pPr>
            <w:r>
              <w:rPr>
                <w:rFonts w:eastAsia="Times New Roman"/>
                <w:b/>
                <w:bCs/>
                <w:color w:val="000000"/>
                <w:sz w:val="16"/>
                <w:szCs w:val="16"/>
              </w:rPr>
              <w:t>Balance Sheet</w:t>
            </w:r>
          </w:p>
          <w:p w:rsidR="00000000" w:rsidRDefault="0040289C">
            <w:pPr>
              <w:spacing w:after="100"/>
              <w:jc w:val="center"/>
              <w:divId w:val="897547708"/>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r>
            <w:r>
              <w:rPr>
                <w:rFonts w:eastAsia="Times New Roman"/>
                <w:b/>
                <w:bCs/>
                <w:color w:val="000000"/>
                <w:sz w:val="16"/>
                <w:szCs w:val="16"/>
              </w:rP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divId w:val="1064720878"/>
              <w:rPr>
                <w:rFonts w:eastAsia="Times New Roman"/>
              </w:rPr>
            </w:pPr>
            <w:r>
              <w:rPr>
                <w:rFonts w:eastAsia="Times New Roman"/>
                <w:b/>
                <w:bCs/>
                <w:color w:val="000000"/>
                <w:sz w:val="16"/>
                <w:szCs w:val="16"/>
              </w:rPr>
              <w:t>Balance Sheet</w:t>
            </w:r>
          </w:p>
          <w:p w:rsidR="00000000" w:rsidRDefault="0040289C">
            <w:pPr>
              <w:spacing w:after="100"/>
              <w:jc w:val="center"/>
              <w:divId w:val="822430859"/>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1636913412"/>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636913412"/>
        </w:trPr>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636913412"/>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rate contracts</w:t>
            </w: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2,000 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636913412"/>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Prepaid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636913412"/>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811404539"/>
        <w:rPr>
          <w:rFonts w:eastAsia="Times New Roman"/>
        </w:rPr>
      </w:pPr>
      <w:r>
        <w:rPr>
          <w:rFonts w:eastAsia="Times New Roman"/>
          <w:color w:val="000000"/>
          <w:sz w:val="20"/>
          <w:szCs w:val="20"/>
        </w:rPr>
        <w:t>118</w:t>
      </w:r>
    </w:p>
    <w:p w:rsidR="00000000" w:rsidRDefault="0040289C">
      <w:pPr>
        <w:rPr>
          <w:rFonts w:eastAsia="Times New Roman"/>
        </w:rPr>
      </w:pPr>
      <w:r>
        <w:rPr>
          <w:rFonts w:eastAsia="Times New Roman"/>
        </w:rPr>
        <w:pict>
          <v:rect id="_x0000_i1148" style="width:0;height:1.5pt" o:hralign="center" o:hrstd="t" o:hr="t" fillcolor="#a0a0a0" stroked="f"/>
        </w:pict>
      </w:r>
    </w:p>
    <w:p w:rsidR="00000000" w:rsidRDefault="0040289C">
      <w:pPr>
        <w:divId w:val="46939696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944994748"/>
        <w:rPr>
          <w:rFonts w:eastAsia="Times New Roman"/>
        </w:rPr>
      </w:pPr>
    </w:p>
    <w:p w:rsidR="00000000" w:rsidRDefault="0040289C">
      <w:pPr>
        <w:divId w:val="1314528806"/>
        <w:rPr>
          <w:rFonts w:eastAsia="Times New Roman"/>
        </w:rPr>
      </w:pPr>
    </w:p>
    <w:p w:rsidR="00000000" w:rsidRDefault="0040289C">
      <w:pPr>
        <w:jc w:val="both"/>
        <w:rPr>
          <w:rFonts w:eastAsia="Times New Roman"/>
        </w:rPr>
      </w:pPr>
      <w:r>
        <w:rPr>
          <w:rFonts w:eastAsia="Times New Roman"/>
          <w:color w:val="000000"/>
          <w:sz w:val="20"/>
          <w:szCs w:val="20"/>
        </w:rPr>
        <w:t>The effects of derivative instruments on the Consolidated Statements of Operations and Consolidated Statements of Comprehensive Income for the years ended December 31, 2022, 2021, and 2020 were as follows:</w:t>
      </w:r>
    </w:p>
    <w:tbl>
      <w:tblPr>
        <w:tblW w:w="4956" w:type="pct"/>
        <w:tblCellMar>
          <w:top w:w="15" w:type="dxa"/>
          <w:left w:w="15" w:type="dxa"/>
          <w:bottom w:w="15" w:type="dxa"/>
          <w:right w:w="15" w:type="dxa"/>
        </w:tblCellMar>
        <w:tblLook w:val="04A0" w:firstRow="1" w:lastRow="0" w:firstColumn="1" w:lastColumn="0" w:noHBand="0" w:noVBand="1"/>
      </w:tblPr>
      <w:tblGrid>
        <w:gridCol w:w="62"/>
        <w:gridCol w:w="82"/>
        <w:gridCol w:w="980"/>
        <w:gridCol w:w="36"/>
        <w:gridCol w:w="121"/>
        <w:gridCol w:w="663"/>
        <w:gridCol w:w="37"/>
        <w:gridCol w:w="36"/>
        <w:gridCol w:w="25"/>
        <w:gridCol w:w="11"/>
        <w:gridCol w:w="36"/>
        <w:gridCol w:w="97"/>
        <w:gridCol w:w="24"/>
        <w:gridCol w:w="120"/>
        <w:gridCol w:w="568"/>
        <w:gridCol w:w="37"/>
        <w:gridCol w:w="36"/>
        <w:gridCol w:w="36"/>
        <w:gridCol w:w="36"/>
        <w:gridCol w:w="121"/>
        <w:gridCol w:w="665"/>
        <w:gridCol w:w="37"/>
        <w:gridCol w:w="36"/>
        <w:gridCol w:w="36"/>
        <w:gridCol w:w="36"/>
        <w:gridCol w:w="52"/>
        <w:gridCol w:w="726"/>
        <w:gridCol w:w="144"/>
        <w:gridCol w:w="144"/>
        <w:gridCol w:w="144"/>
        <w:gridCol w:w="112"/>
        <w:gridCol w:w="32"/>
        <w:gridCol w:w="4"/>
        <w:gridCol w:w="36"/>
        <w:gridCol w:w="36"/>
        <w:gridCol w:w="36"/>
        <w:gridCol w:w="32"/>
        <w:gridCol w:w="89"/>
        <w:gridCol w:w="750"/>
        <w:gridCol w:w="37"/>
        <w:gridCol w:w="36"/>
        <w:gridCol w:w="36"/>
        <w:gridCol w:w="36"/>
        <w:gridCol w:w="121"/>
        <w:gridCol w:w="16"/>
        <w:gridCol w:w="144"/>
        <w:gridCol w:w="144"/>
        <w:gridCol w:w="144"/>
        <w:gridCol w:w="144"/>
        <w:gridCol w:w="109"/>
        <w:gridCol w:w="35"/>
        <w:gridCol w:w="2"/>
        <w:gridCol w:w="36"/>
        <w:gridCol w:w="36"/>
        <w:gridCol w:w="36"/>
        <w:gridCol w:w="121"/>
        <w:gridCol w:w="652"/>
        <w:gridCol w:w="37"/>
        <w:gridCol w:w="201"/>
        <w:gridCol w:w="144"/>
        <w:gridCol w:w="144"/>
        <w:gridCol w:w="144"/>
        <w:gridCol w:w="144"/>
        <w:gridCol w:w="144"/>
        <w:gridCol w:w="1122"/>
        <w:gridCol w:w="144"/>
      </w:tblGrid>
      <w:tr w:rsidR="00000000">
        <w:trPr>
          <w:gridAfter w:val="8"/>
          <w:divId w:val="1468668280"/>
        </w:trPr>
        <w:tc>
          <w:tcPr>
            <w:tcW w:w="50" w:type="pct"/>
            <w:vAlign w:val="center"/>
            <w:hideMark/>
          </w:tcPr>
          <w:p w:rsidR="00000000" w:rsidRDefault="0040289C">
            <w:pPr>
              <w:jc w:val="both"/>
              <w:rPr>
                <w:rFonts w:eastAsia="Times New Roman"/>
              </w:rPr>
            </w:pPr>
          </w:p>
        </w:tc>
        <w:tc>
          <w:tcPr>
            <w:tcW w:w="734" w:type="pct"/>
            <w:gridSpan w:val="2"/>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gridSpan w:val="2"/>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gridSpan w:val="2"/>
            <w:vAlign w:val="center"/>
            <w:hideMark/>
          </w:tcPr>
          <w:p w:rsidR="00000000" w:rsidRDefault="0040289C">
            <w:pPr>
              <w:spacing w:after="100"/>
              <w:rPr>
                <w:rFonts w:eastAsia="Times New Roman"/>
                <w:sz w:val="20"/>
                <w:szCs w:val="20"/>
              </w:rPr>
            </w:pPr>
          </w:p>
        </w:tc>
        <w:tc>
          <w:tcPr>
            <w:tcW w:w="468" w:type="pct"/>
            <w:gridSpan w:val="2"/>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852" w:type="pct"/>
            <w:gridSpan w:val="5"/>
            <w:vAlign w:val="center"/>
            <w:hideMark/>
          </w:tcPr>
          <w:p w:rsidR="00000000" w:rsidRDefault="0040289C">
            <w:pPr>
              <w:spacing w:after="100"/>
              <w:rPr>
                <w:rFonts w:eastAsia="Times New Roman"/>
                <w:sz w:val="20"/>
                <w:szCs w:val="20"/>
              </w:rPr>
            </w:pPr>
          </w:p>
        </w:tc>
        <w:tc>
          <w:tcPr>
            <w:tcW w:w="5" w:type="pct"/>
            <w:gridSpan w:val="2"/>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gridSpan w:val="2"/>
            <w:vAlign w:val="center"/>
            <w:hideMark/>
          </w:tcPr>
          <w:p w:rsidR="00000000" w:rsidRDefault="0040289C">
            <w:pPr>
              <w:spacing w:after="100"/>
              <w:rPr>
                <w:rFonts w:eastAsia="Times New Roman"/>
                <w:sz w:val="20"/>
                <w:szCs w:val="20"/>
              </w:rPr>
            </w:pPr>
          </w:p>
        </w:tc>
        <w:tc>
          <w:tcPr>
            <w:tcW w:w="50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75" w:type="pct"/>
            <w:gridSpan w:val="6"/>
            <w:vAlign w:val="center"/>
            <w:hideMark/>
          </w:tcPr>
          <w:p w:rsidR="00000000" w:rsidRDefault="0040289C">
            <w:pPr>
              <w:spacing w:after="100"/>
              <w:rPr>
                <w:rFonts w:eastAsia="Times New Roman"/>
                <w:sz w:val="20"/>
                <w:szCs w:val="20"/>
              </w:rPr>
            </w:pPr>
          </w:p>
        </w:tc>
        <w:tc>
          <w:tcPr>
            <w:tcW w:w="5" w:type="pct"/>
            <w:gridSpan w:val="2"/>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6"/>
            <w:vAlign w:val="center"/>
            <w:hideMark/>
          </w:tcPr>
          <w:p w:rsidR="00000000" w:rsidRDefault="0040289C">
            <w:pPr>
              <w:spacing w:after="100"/>
              <w:rPr>
                <w:rFonts w:eastAsia="Times New Roman"/>
                <w:sz w:val="20"/>
                <w:szCs w:val="20"/>
              </w:rPr>
            </w:pPr>
          </w:p>
        </w:tc>
        <w:tc>
          <w:tcPr>
            <w:tcW w:w="0" w:type="auto"/>
            <w:gridSpan w:val="2"/>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6"/>
            <w:vAlign w:val="center"/>
            <w:hideMark/>
          </w:tcPr>
          <w:p w:rsidR="00000000" w:rsidRDefault="0040289C">
            <w:pPr>
              <w:spacing w:after="100"/>
              <w:rPr>
                <w:rFonts w:eastAsia="Times New Roman"/>
                <w:sz w:val="20"/>
                <w:szCs w:val="20"/>
              </w:rPr>
            </w:pPr>
          </w:p>
        </w:tc>
        <w:tc>
          <w:tcPr>
            <w:tcW w:w="0" w:type="auto"/>
            <w:gridSpan w:val="2"/>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gridAfter w:val="8"/>
          <w:divId w:val="1468668280"/>
        </w:trPr>
        <w:tc>
          <w:tcPr>
            <w:tcW w:w="0" w:type="auto"/>
            <w:gridSpan w:val="4"/>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18"/>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Amount of Gain (Loss) Recognized in Other Comprehensive Income (OCI) on Derivative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8"/>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2"/>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Amount of (Gain) Loss Reclassified from AOCI into the Consolidated Statements of Operations</w:t>
            </w:r>
          </w:p>
        </w:tc>
      </w:tr>
      <w:tr w:rsidR="00000000">
        <w:trPr>
          <w:gridAfter w:val="8"/>
          <w:divId w:val="1468668280"/>
        </w:trPr>
        <w:tc>
          <w:tcPr>
            <w:tcW w:w="0" w:type="auto"/>
            <w:gridSpan w:val="4"/>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2022</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Location of (Gain) Loss Reclassified from AOCI into the Consolidated Statements of Operations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2020</w:t>
            </w:r>
          </w:p>
        </w:tc>
      </w:tr>
      <w:tr w:rsidR="0040289C">
        <w:trPr>
          <w:gridAfter w:val="8"/>
          <w:divId w:val="1468668280"/>
        </w:trPr>
        <w:tc>
          <w:tcPr>
            <w:tcW w:w="0" w:type="auto"/>
            <w:gridSpan w:val="4"/>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Interest rate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8"/>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Cost of services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gridAfter w:val="8"/>
          <w:divId w:val="1468668280"/>
        </w:trPr>
        <w:tc>
          <w:tcPr>
            <w:tcW w:w="0" w:type="auto"/>
            <w:gridSpan w:val="4"/>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Interest rate contracts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8"/>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gridSpan w:val="6"/>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gridAfter w:val="8"/>
          <w:divId w:val="1468668280"/>
        </w:trPr>
        <w:tc>
          <w:tcPr>
            <w:tcW w:w="0" w:type="auto"/>
            <w:gridSpan w:val="4"/>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5"/>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8"/>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9"/>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40289C">
        <w:trPr>
          <w:gridAfter w:val="8"/>
          <w:divId w:val="1468668280"/>
        </w:trPr>
        <w:tc>
          <w:tcPr>
            <w:tcW w:w="0" w:type="auto"/>
            <w:gridSpan w:val="4"/>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Foreign exchange contracts</w:t>
            </w: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8"/>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gridSpan w:val="6"/>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blPrEx>
          <w:tblW w:w="5000" w:type="pct"/>
        </w:tblPrEx>
        <w:tc>
          <w:tcPr>
            <w:tcW w:w="50" w:type="pct"/>
            <w:gridSpan w:val="2"/>
            <w:vAlign w:val="center"/>
            <w:hideMark/>
          </w:tcPr>
          <w:p w:rsidR="00000000" w:rsidRDefault="0040289C">
            <w:pPr>
              <w:jc w:val="both"/>
              <w:rPr>
                <w:rFonts w:eastAsia="Times New Roman"/>
              </w:rPr>
            </w:pPr>
          </w:p>
        </w:tc>
        <w:tc>
          <w:tcPr>
            <w:tcW w:w="1143" w:type="pct"/>
            <w:gridSpan w:val="7"/>
            <w:vAlign w:val="center"/>
            <w:hideMark/>
          </w:tcPr>
          <w:p w:rsidR="00000000" w:rsidRDefault="0040289C">
            <w:pPr>
              <w:spacing w:after="100"/>
              <w:rPr>
                <w:rFonts w:eastAsia="Times New Roman"/>
                <w:sz w:val="20"/>
                <w:szCs w:val="20"/>
              </w:rPr>
            </w:pPr>
          </w:p>
        </w:tc>
        <w:tc>
          <w:tcPr>
            <w:tcW w:w="5" w:type="pct"/>
            <w:gridSpan w:val="3"/>
            <w:vAlign w:val="center"/>
            <w:hideMark/>
          </w:tcPr>
          <w:p w:rsidR="00000000" w:rsidRDefault="0040289C">
            <w:pPr>
              <w:spacing w:after="100"/>
              <w:rPr>
                <w:rFonts w:eastAsia="Times New Roman"/>
                <w:sz w:val="20"/>
                <w:szCs w:val="20"/>
              </w:rPr>
            </w:pPr>
          </w:p>
        </w:tc>
        <w:tc>
          <w:tcPr>
            <w:tcW w:w="50" w:type="pct"/>
            <w:gridSpan w:val="2"/>
            <w:vAlign w:val="center"/>
            <w:hideMark/>
          </w:tcPr>
          <w:p w:rsidR="00000000" w:rsidRDefault="0040289C">
            <w:pPr>
              <w:spacing w:after="100"/>
              <w:rPr>
                <w:rFonts w:eastAsia="Times New Roman"/>
                <w:sz w:val="20"/>
                <w:szCs w:val="20"/>
              </w:rPr>
            </w:pPr>
          </w:p>
        </w:tc>
        <w:tc>
          <w:tcPr>
            <w:tcW w:w="1458" w:type="pct"/>
            <w:gridSpan w:val="13"/>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gridSpan w:val="2"/>
            <w:vAlign w:val="center"/>
            <w:hideMark/>
          </w:tcPr>
          <w:p w:rsidR="00000000" w:rsidRDefault="0040289C">
            <w:pPr>
              <w:spacing w:after="100"/>
              <w:rPr>
                <w:rFonts w:eastAsia="Times New Roman"/>
                <w:sz w:val="20"/>
                <w:szCs w:val="20"/>
              </w:rPr>
            </w:pPr>
          </w:p>
        </w:tc>
        <w:tc>
          <w:tcPr>
            <w:tcW w:w="50" w:type="pct"/>
            <w:gridSpan w:val="5"/>
            <w:vAlign w:val="center"/>
            <w:hideMark/>
          </w:tcPr>
          <w:p w:rsidR="00000000" w:rsidRDefault="0040289C">
            <w:pPr>
              <w:spacing w:after="100"/>
              <w:rPr>
                <w:rFonts w:eastAsia="Times New Roman"/>
                <w:sz w:val="20"/>
                <w:szCs w:val="20"/>
              </w:rPr>
            </w:pPr>
          </w:p>
        </w:tc>
        <w:tc>
          <w:tcPr>
            <w:tcW w:w="675" w:type="pct"/>
            <w:gridSpan w:val="8"/>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1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gridSpan w:val="2"/>
            <w:vAlign w:val="center"/>
            <w:hideMark/>
          </w:tcPr>
          <w:p w:rsidR="00000000" w:rsidRDefault="0040289C">
            <w:pPr>
              <w:spacing w:after="100"/>
              <w:rPr>
                <w:rFonts w:eastAsia="Times New Roman"/>
                <w:sz w:val="20"/>
                <w:szCs w:val="20"/>
              </w:rPr>
            </w:pPr>
          </w:p>
        </w:tc>
        <w:tc>
          <w:tcPr>
            <w:tcW w:w="675" w:type="pct"/>
            <w:gridSpan w:val="8"/>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7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blPrEx>
          <w:tblW w:w="5000" w:type="pct"/>
        </w:tblPrEx>
        <w:tc>
          <w:tcPr>
            <w:tcW w:w="0" w:type="auto"/>
            <w:gridSpan w:val="12"/>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16"/>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4"/>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4"/>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Amount of Gain (Loss) Recognized in the Consolidated Statements of Operations</w:t>
            </w:r>
          </w:p>
        </w:tc>
      </w:tr>
      <w:tr w:rsidR="00000000">
        <w:tblPrEx>
          <w:tblW w:w="5000" w:type="pct"/>
        </w:tblPrEx>
        <w:tc>
          <w:tcPr>
            <w:tcW w:w="0" w:type="auto"/>
            <w:gridSpan w:val="12"/>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Derivatives not Designated as Hedging Instruments</w:t>
            </w:r>
          </w:p>
        </w:tc>
        <w:tc>
          <w:tcPr>
            <w:tcW w:w="0" w:type="auto"/>
            <w:gridSpan w:val="16"/>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Location of Gain (Loss) Recognized in the Consolidated Statements of Operations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4"/>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11"/>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2020</w:t>
            </w:r>
          </w:p>
        </w:tc>
      </w:tr>
      <w:tr w:rsidR="00000000">
        <w:tblPrEx>
          <w:tblW w:w="5000" w:type="pct"/>
        </w:tblPrEx>
        <w:tc>
          <w:tcPr>
            <w:tcW w:w="0" w:type="auto"/>
            <w:gridSpan w:val="12"/>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 exchange contracts</w:t>
            </w:r>
          </w:p>
        </w:tc>
        <w:tc>
          <w:tcPr>
            <w:tcW w:w="0" w:type="auto"/>
            <w:gridSpan w:val="1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income (expense), net</w:t>
            </w:r>
          </w:p>
        </w:tc>
        <w:tc>
          <w:tcPr>
            <w:tcW w:w="0" w:type="auto"/>
            <w:gridSpan w:val="4"/>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gridSpan w:val="8"/>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gridSpan w:val="8"/>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blPrEx>
          <w:tblW w:w="5000" w:type="pct"/>
        </w:tblPrEx>
        <w:tc>
          <w:tcPr>
            <w:tcW w:w="0" w:type="auto"/>
            <w:gridSpan w:val="12"/>
            <w:vAlign w:val="center"/>
            <w:hideMark/>
          </w:tcPr>
          <w:p w:rsidR="00000000" w:rsidRDefault="0040289C">
            <w:pPr>
              <w:spacing w:after="100"/>
              <w:jc w:val="right"/>
              <w:rPr>
                <w:rFonts w:eastAsia="Times New Roman"/>
                <w:sz w:val="20"/>
                <w:szCs w:val="20"/>
              </w:rPr>
            </w:pPr>
          </w:p>
        </w:tc>
        <w:tc>
          <w:tcPr>
            <w:tcW w:w="0" w:type="auto"/>
            <w:gridSpan w:val="16"/>
            <w:vAlign w:val="center"/>
            <w:hideMark/>
          </w:tcPr>
          <w:p w:rsidR="00000000" w:rsidRDefault="0040289C">
            <w:pPr>
              <w:spacing w:after="100"/>
              <w:rPr>
                <w:rFonts w:eastAsia="Times New Roman"/>
                <w:sz w:val="20"/>
                <w:szCs w:val="20"/>
              </w:rPr>
            </w:pPr>
          </w:p>
        </w:tc>
        <w:tc>
          <w:tcPr>
            <w:tcW w:w="0" w:type="auto"/>
            <w:gridSpan w:val="4"/>
            <w:vAlign w:val="center"/>
            <w:hideMark/>
          </w:tcPr>
          <w:p w:rsidR="00000000" w:rsidRDefault="0040289C">
            <w:pPr>
              <w:spacing w:after="100"/>
              <w:rPr>
                <w:rFonts w:eastAsia="Times New Roman"/>
                <w:sz w:val="20"/>
                <w:szCs w:val="20"/>
              </w:rPr>
            </w:pPr>
          </w:p>
        </w:tc>
        <w:tc>
          <w:tcPr>
            <w:tcW w:w="0" w:type="auto"/>
            <w:gridSpan w:val="14"/>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11"/>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bl>
    <w:p w:rsidR="00000000" w:rsidRDefault="0040289C">
      <w:pPr>
        <w:jc w:val="both"/>
        <w:divId w:val="1306858870"/>
        <w:rPr>
          <w:rFonts w:eastAsia="Times New Roman"/>
        </w:rPr>
      </w:pPr>
    </w:p>
    <w:p w:rsidR="00000000" w:rsidRDefault="0040289C">
      <w:pPr>
        <w:jc w:val="both"/>
        <w:divId w:val="1363633066"/>
        <w:rPr>
          <w:rFonts w:eastAsia="Times New Roman"/>
        </w:rPr>
      </w:pPr>
      <w:r>
        <w:rPr>
          <w:rFonts w:eastAsia="Times New Roman"/>
          <w:color w:val="000000"/>
          <w:sz w:val="20"/>
          <w:szCs w:val="20"/>
        </w:rPr>
        <w:t>The following tables show the impact of the Company's cash flow hedge accounting relationships on the Consolidated Statement of Operations for the years ended December 31, 2022,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2772"/>
        <w:gridCol w:w="37"/>
        <w:gridCol w:w="36"/>
        <w:gridCol w:w="36"/>
        <w:gridCol w:w="36"/>
        <w:gridCol w:w="110"/>
        <w:gridCol w:w="450"/>
        <w:gridCol w:w="36"/>
        <w:gridCol w:w="110"/>
        <w:gridCol w:w="450"/>
        <w:gridCol w:w="36"/>
        <w:gridCol w:w="110"/>
        <w:gridCol w:w="450"/>
        <w:gridCol w:w="36"/>
        <w:gridCol w:w="36"/>
        <w:gridCol w:w="36"/>
        <w:gridCol w:w="36"/>
        <w:gridCol w:w="110"/>
        <w:gridCol w:w="450"/>
        <w:gridCol w:w="36"/>
        <w:gridCol w:w="110"/>
        <w:gridCol w:w="450"/>
        <w:gridCol w:w="36"/>
        <w:gridCol w:w="110"/>
        <w:gridCol w:w="450"/>
        <w:gridCol w:w="36"/>
        <w:gridCol w:w="36"/>
        <w:gridCol w:w="36"/>
        <w:gridCol w:w="36"/>
        <w:gridCol w:w="110"/>
        <w:gridCol w:w="315"/>
        <w:gridCol w:w="36"/>
        <w:gridCol w:w="110"/>
        <w:gridCol w:w="375"/>
        <w:gridCol w:w="36"/>
        <w:gridCol w:w="110"/>
        <w:gridCol w:w="430"/>
        <w:gridCol w:w="36"/>
      </w:tblGrid>
      <w:tr w:rsidR="00000000">
        <w:trPr>
          <w:divId w:val="655568271"/>
        </w:trPr>
        <w:tc>
          <w:tcPr>
            <w:tcW w:w="50" w:type="pct"/>
            <w:vAlign w:val="center"/>
            <w:hideMark/>
          </w:tcPr>
          <w:p w:rsidR="00000000" w:rsidRDefault="0040289C">
            <w:pPr>
              <w:jc w:val="both"/>
              <w:rPr>
                <w:rFonts w:eastAsia="Times New Roman"/>
              </w:rPr>
            </w:pPr>
          </w:p>
        </w:tc>
        <w:tc>
          <w:tcPr>
            <w:tcW w:w="169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8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655568271"/>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Location and Amount of (Gain) Loss Recognized in Income on Cash Flow Hedging Relationships for the years ended December 31:</w:t>
            </w:r>
          </w:p>
        </w:tc>
      </w:tr>
      <w:tr w:rsidR="00000000">
        <w:trPr>
          <w:divId w:val="655568271"/>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Cost of Services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Cost of Products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Interest Expense</w:t>
            </w:r>
          </w:p>
        </w:tc>
      </w:tr>
      <w:tr w:rsidR="00000000">
        <w:trPr>
          <w:divId w:val="655568271"/>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40289C">
        <w:trPr>
          <w:divId w:val="655568271"/>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8"/>
                <w:szCs w:val="18"/>
              </w:rPr>
              <w:t>Total amount of expense presented in the Consolidated Statements of Operations in which the effects of cash flow hedges are recorded</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8"/>
                <w:szCs w:val="18"/>
              </w:rPr>
              <w:t>3,889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3,413 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2,950 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8"/>
                <w:szCs w:val="18"/>
              </w:rPr>
              <w:t>2,097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1,850 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1,733 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8"/>
                <w:szCs w:val="18"/>
              </w:rPr>
              <w:t>285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55568271"/>
          <w:trHeight w:val="120"/>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40289C">
        <w:trPr>
          <w:divId w:val="655568271"/>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8"/>
                <w:szCs w:val="18"/>
              </w:rPr>
              <w:t>Amount of (gain) loss reclassified from Accumulated other comprehensive loss, net of expense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both"/>
        <w:divId w:val="1275600364"/>
        <w:rPr>
          <w:rFonts w:eastAsia="Times New Roman"/>
        </w:rPr>
      </w:pPr>
    </w:p>
    <w:p w:rsidR="00000000" w:rsidRDefault="0040289C">
      <w:pPr>
        <w:jc w:val="both"/>
        <w:divId w:val="124931184"/>
        <w:rPr>
          <w:rFonts w:eastAsia="Times New Roman"/>
        </w:rPr>
      </w:pPr>
      <w:r>
        <w:rPr>
          <w:rFonts w:eastAsia="Times New Roman"/>
          <w:color w:val="000000"/>
          <w:sz w:val="20"/>
          <w:szCs w:val="20"/>
        </w:rPr>
        <w:t xml:space="preserve">As of December 31, 2022 the Company expects to reclassify $45 million of net derivative-related gains contained in </w:t>
      </w:r>
      <w:r>
        <w:rPr>
          <w:rFonts w:eastAsia="Times New Roman"/>
          <w:color w:val="000000"/>
          <w:sz w:val="20"/>
          <w:szCs w:val="20"/>
        </w:rPr>
        <w:t xml:space="preserve">Accumulated other comprehensive loss into earnings during the next twelve months. </w:t>
      </w:r>
    </w:p>
    <w:p w:rsidR="00000000" w:rsidRDefault="0040289C">
      <w:pPr>
        <w:jc w:val="both"/>
        <w:divId w:val="321860852"/>
        <w:rPr>
          <w:rFonts w:eastAsia="Times New Roman"/>
        </w:rPr>
      </w:pPr>
      <w:r>
        <w:rPr>
          <w:rFonts w:eastAsia="Times New Roman"/>
          <w:color w:val="000000"/>
          <w:sz w:val="20"/>
          <w:szCs w:val="20"/>
        </w:rPr>
        <w:t>Refer to Note 15, “Fair Value of Assets and Liabilities”, for further information on derivative assets and liabilities recorded at fair value on a recurring basis.</w:t>
      </w:r>
    </w:p>
    <w:p w:rsidR="00000000" w:rsidRDefault="0040289C">
      <w:pPr>
        <w:jc w:val="both"/>
        <w:divId w:val="386340634"/>
        <w:rPr>
          <w:rFonts w:eastAsia="Times New Roman"/>
        </w:rPr>
      </w:pPr>
      <w:r>
        <w:rPr>
          <w:rFonts w:eastAsia="Times New Roman"/>
          <w:b/>
          <w:bCs/>
          <w:i/>
          <w:iCs/>
          <w:color w:val="000000"/>
          <w:sz w:val="20"/>
          <w:szCs w:val="20"/>
        </w:rPr>
        <w:t>Concentra</w:t>
      </w:r>
      <w:r>
        <w:rPr>
          <w:rFonts w:eastAsia="Times New Roman"/>
          <w:b/>
          <w:bCs/>
          <w:i/>
          <w:iCs/>
          <w:color w:val="000000"/>
          <w:sz w:val="20"/>
          <w:szCs w:val="20"/>
        </w:rPr>
        <w:t>tion of Credit Risk</w:t>
      </w:r>
    </w:p>
    <w:p w:rsidR="00000000" w:rsidRDefault="0040289C">
      <w:pPr>
        <w:jc w:val="both"/>
        <w:divId w:val="1146320397"/>
        <w:rPr>
          <w:rFonts w:eastAsia="Times New Roman"/>
        </w:rPr>
      </w:pPr>
      <w:r>
        <w:rPr>
          <w:rFonts w:eastAsia="Times New Roman"/>
          <w:color w:val="000000"/>
          <w:sz w:val="20"/>
          <w:szCs w:val="20"/>
        </w:rPr>
        <w:t>NCR is potentially subject to concentrations of credit risk on accounts receivable and financial instruments such as hedging instruments and cash and cash equivalents. Credit risk includes the risk of nonperformance by counterparties. T</w:t>
      </w:r>
      <w:r>
        <w:rPr>
          <w:rFonts w:eastAsia="Times New Roman"/>
          <w:color w:val="000000"/>
          <w:sz w:val="20"/>
          <w:szCs w:val="20"/>
        </w:rPr>
        <w:t>he maximum potential loss may exceed the amount recognized on the Consolidated Balance Sheets. Exposure to credit risk is managed through credit approvals, credit limits, selecting major international financial institutions as counterparties to hedging tra</w:t>
      </w:r>
      <w:r>
        <w:rPr>
          <w:rFonts w:eastAsia="Times New Roman"/>
          <w:color w:val="000000"/>
          <w:sz w:val="20"/>
          <w:szCs w:val="20"/>
        </w:rPr>
        <w:t>nsactions and monitoring procedures. NCR’s business often involves large transactions with customers, and if one or more of those customers were to default on its obligations under applicable contractual arrangements, the Company could be exposed to potent</w:t>
      </w:r>
      <w:r>
        <w:rPr>
          <w:rFonts w:eastAsia="Times New Roman"/>
          <w:color w:val="000000"/>
          <w:sz w:val="20"/>
          <w:szCs w:val="20"/>
        </w:rPr>
        <w:t>ially significant losses. However, management believes that the reserves for potential losses are adequate. As of December 31, 2022 and 2021, NCR did not have any major concentration of credit risk related to financial instruments.</w:t>
      </w:r>
    </w:p>
    <w:p w:rsidR="00000000" w:rsidRDefault="0040289C">
      <w:pPr>
        <w:divId w:val="62458699"/>
        <w:rPr>
          <w:rFonts w:eastAsia="Times New Roman"/>
        </w:rPr>
      </w:pPr>
    </w:p>
    <w:p w:rsidR="00000000" w:rsidRDefault="0040289C">
      <w:pPr>
        <w:jc w:val="center"/>
        <w:divId w:val="1284338549"/>
        <w:rPr>
          <w:rFonts w:eastAsia="Times New Roman"/>
        </w:rPr>
      </w:pPr>
      <w:r>
        <w:rPr>
          <w:rFonts w:eastAsia="Times New Roman"/>
          <w:color w:val="000000"/>
          <w:sz w:val="20"/>
          <w:szCs w:val="20"/>
        </w:rPr>
        <w:t>119</w:t>
      </w:r>
    </w:p>
    <w:p w:rsidR="00000000" w:rsidRDefault="0040289C">
      <w:pPr>
        <w:rPr>
          <w:rFonts w:eastAsia="Times New Roman"/>
        </w:rPr>
      </w:pPr>
      <w:r>
        <w:rPr>
          <w:rFonts w:eastAsia="Times New Roman"/>
        </w:rPr>
        <w:pict>
          <v:rect id="_x0000_i1149" style="width:0;height:1.5pt" o:hralign="center" o:hrstd="t" o:hr="t" fillcolor="#a0a0a0" stroked="f"/>
        </w:pict>
      </w:r>
    </w:p>
    <w:p w:rsidR="00000000" w:rsidRDefault="0040289C">
      <w:pPr>
        <w:divId w:val="151672722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64974428"/>
        <w:rPr>
          <w:rFonts w:eastAsia="Times New Roman"/>
        </w:rPr>
      </w:pPr>
    </w:p>
    <w:p w:rsidR="00000000" w:rsidRDefault="0040289C">
      <w:pPr>
        <w:divId w:val="765034245"/>
        <w:rPr>
          <w:rFonts w:eastAsia="Times New Roman"/>
        </w:rPr>
      </w:pPr>
      <w:r>
        <w:rPr>
          <w:rFonts w:eastAsia="Times New Roman"/>
          <w:b/>
          <w:bCs/>
          <w:color w:val="7ACE05"/>
          <w:sz w:val="20"/>
          <w:szCs w:val="20"/>
        </w:rPr>
        <w:t xml:space="preserve">15. FAIR VALUE OF ASSETS AND LIABILITIES </w:t>
      </w:r>
    </w:p>
    <w:p w:rsidR="00000000" w:rsidRDefault="0040289C">
      <w:pPr>
        <w:jc w:val="both"/>
        <w:divId w:val="207646444"/>
        <w:rPr>
          <w:rFonts w:eastAsia="Times New Roman"/>
        </w:rPr>
      </w:pPr>
      <w:r>
        <w:rPr>
          <w:rFonts w:eastAsia="Times New Roman"/>
          <w:b/>
          <w:bCs/>
          <w:i/>
          <w:iCs/>
          <w:color w:val="000000"/>
          <w:sz w:val="20"/>
          <w:szCs w:val="20"/>
        </w:rPr>
        <w:t>Assets and Liabilities Measured at Fair Value on a Recurring Basis</w:t>
      </w:r>
    </w:p>
    <w:p w:rsidR="00000000" w:rsidRDefault="0040289C">
      <w:pPr>
        <w:jc w:val="both"/>
        <w:divId w:val="1985155440"/>
        <w:rPr>
          <w:rFonts w:eastAsia="Times New Roman"/>
        </w:rPr>
      </w:pPr>
      <w:r>
        <w:rPr>
          <w:rFonts w:eastAsia="Times New Roman"/>
          <w:color w:val="000000"/>
          <w:sz w:val="20"/>
          <w:szCs w:val="20"/>
        </w:rPr>
        <w:t>Assets and liabilities recorded at fair value on a recurring basis as of December 31, 2022 and 2021 are set forth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902"/>
        <w:gridCol w:w="40"/>
        <w:gridCol w:w="121"/>
        <w:gridCol w:w="631"/>
        <w:gridCol w:w="36"/>
        <w:gridCol w:w="36"/>
        <w:gridCol w:w="190"/>
        <w:gridCol w:w="910"/>
        <w:gridCol w:w="58"/>
        <w:gridCol w:w="57"/>
        <w:gridCol w:w="190"/>
        <w:gridCol w:w="1143"/>
        <w:gridCol w:w="57"/>
        <w:gridCol w:w="46"/>
        <w:gridCol w:w="141"/>
        <w:gridCol w:w="1353"/>
        <w:gridCol w:w="36"/>
        <w:gridCol w:w="36"/>
        <w:gridCol w:w="36"/>
        <w:gridCol w:w="36"/>
        <w:gridCol w:w="190"/>
        <w:gridCol w:w="632"/>
        <w:gridCol w:w="58"/>
        <w:gridCol w:w="57"/>
        <w:gridCol w:w="190"/>
        <w:gridCol w:w="910"/>
        <w:gridCol w:w="58"/>
        <w:gridCol w:w="36"/>
        <w:gridCol w:w="36"/>
        <w:gridCol w:w="36"/>
        <w:gridCol w:w="150"/>
        <w:gridCol w:w="1143"/>
        <w:gridCol w:w="36"/>
        <w:gridCol w:w="36"/>
        <w:gridCol w:w="36"/>
        <w:gridCol w:w="36"/>
        <w:gridCol w:w="145"/>
        <w:gridCol w:w="1309"/>
        <w:gridCol w:w="36"/>
      </w:tblGrid>
      <w:tr w:rsidR="00000000">
        <w:trPr>
          <w:divId w:val="183254549"/>
          <w:jc w:val="center"/>
        </w:trPr>
        <w:tc>
          <w:tcPr>
            <w:tcW w:w="50" w:type="pct"/>
            <w:vAlign w:val="center"/>
            <w:hideMark/>
          </w:tcPr>
          <w:p w:rsidR="00000000" w:rsidRDefault="0040289C">
            <w:pPr>
              <w:jc w:val="both"/>
              <w:rPr>
                <w:rFonts w:eastAsia="Times New Roman"/>
              </w:rPr>
            </w:pPr>
          </w:p>
        </w:tc>
        <w:tc>
          <w:tcPr>
            <w:tcW w:w="100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8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38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83254549"/>
          <w:jc w:val="center"/>
        </w:trPr>
        <w:tc>
          <w:tcPr>
            <w:tcW w:w="0" w:type="auto"/>
            <w:gridSpan w:val="3"/>
            <w:tcMar>
              <w:top w:w="30" w:type="dxa"/>
              <w:left w:w="20" w:type="dxa"/>
              <w:bottom w:w="30" w:type="dxa"/>
              <w:right w:w="20" w:type="dxa"/>
            </w:tcMar>
            <w:vAlign w:val="bottom"/>
            <w:hideMark/>
          </w:tcPr>
          <w:p w:rsidR="00000000" w:rsidRDefault="0040289C">
            <w:pPr>
              <w:spacing w:after="100"/>
              <w:divId w:val="1950314232"/>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vAlign w:val="center"/>
            <w:hideMark/>
          </w:tcPr>
          <w:p w:rsidR="00000000" w:rsidRDefault="0040289C">
            <w:pPr>
              <w:spacing w:after="100"/>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 xml:space="preserve">December 31, 2022 </w:t>
            </w:r>
          </w:p>
        </w:tc>
        <w:tc>
          <w:tcPr>
            <w:tcW w:w="0" w:type="auto"/>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 xml:space="preserve">December 31, 2021 </w:t>
            </w: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183254549"/>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 Measurements Using</w:t>
            </w:r>
          </w:p>
        </w:tc>
        <w:tc>
          <w:tcPr>
            <w:tcW w:w="0" w:type="auto"/>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Fair Value Measurements Using</w:t>
            </w: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r>
      <w:tr w:rsidR="00000000">
        <w:trPr>
          <w:divId w:val="183254549"/>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Quoted Prices</w:t>
            </w:r>
            <w:r>
              <w:rPr>
                <w:rFonts w:eastAsia="Times New Roman"/>
                <w:b/>
                <w:bCs/>
                <w:color w:val="000000"/>
                <w:sz w:val="16"/>
                <w:szCs w:val="16"/>
              </w:rPr>
              <w:br/>
              <w:t>in Active</w:t>
            </w:r>
            <w:r>
              <w:rPr>
                <w:rFonts w:eastAsia="Times New Roman"/>
                <w:b/>
                <w:bCs/>
                <w:color w:val="000000"/>
                <w:sz w:val="16"/>
                <w:szCs w:val="16"/>
              </w:rPr>
              <w:br/>
            </w:r>
            <w:r>
              <w:rPr>
                <w:rFonts w:eastAsia="Times New Roman"/>
                <w:b/>
                <w:bCs/>
                <w:color w:val="000000"/>
                <w:sz w:val="16"/>
                <w:szCs w:val="16"/>
              </w:rPr>
              <w:t>Markets</w:t>
            </w:r>
            <w:r>
              <w:rPr>
                <w:rFonts w:eastAsia="Times New Roman"/>
                <w:b/>
                <w:bCs/>
                <w:color w:val="000000"/>
                <w:sz w:val="16"/>
                <w:szCs w:val="16"/>
              </w:rPr>
              <w:br/>
              <w:t>for Identical Assets</w:t>
            </w:r>
            <w:r>
              <w:rPr>
                <w:rFonts w:eastAsia="Times New Roman"/>
                <w:b/>
                <w:bCs/>
                <w:color w:val="000000"/>
                <w:sz w:val="16"/>
                <w:szCs w:val="16"/>
              </w:rPr>
              <w:br/>
              <w:t>(Level 1)</w:t>
            </w:r>
          </w:p>
        </w:tc>
        <w:tc>
          <w:tcPr>
            <w:tcW w:w="0" w:type="auto"/>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Quoted Prices</w:t>
            </w:r>
            <w:r>
              <w:rPr>
                <w:rFonts w:eastAsia="Times New Roman"/>
                <w:b/>
                <w:bCs/>
                <w:color w:val="000000"/>
                <w:sz w:val="16"/>
                <w:szCs w:val="16"/>
              </w:rPr>
              <w:br/>
              <w:t>in Active</w:t>
            </w:r>
            <w:r>
              <w:rPr>
                <w:rFonts w:eastAsia="Times New Roman"/>
                <w:b/>
                <w:bCs/>
                <w:color w:val="000000"/>
                <w:sz w:val="16"/>
                <w:szCs w:val="16"/>
              </w:rPr>
              <w:br/>
              <w:t>Markets</w:t>
            </w:r>
            <w:r>
              <w:rPr>
                <w:rFonts w:eastAsia="Times New Roman"/>
                <w:b/>
                <w:bCs/>
                <w:color w:val="000000"/>
                <w:sz w:val="16"/>
                <w:szCs w:val="16"/>
              </w:rPr>
              <w:br/>
              <w:t>for Identical Assets</w:t>
            </w:r>
            <w:r>
              <w:rPr>
                <w:rFonts w:eastAsia="Times New Roman"/>
                <w:b/>
                <w:bCs/>
                <w:color w:val="000000"/>
                <w:sz w:val="16"/>
                <w:szCs w:val="16"/>
              </w:rPr>
              <w:br/>
              <w:t>(Level 1)</w:t>
            </w:r>
          </w:p>
        </w:tc>
        <w:tc>
          <w:tcPr>
            <w:tcW w:w="0" w:type="auto"/>
            <w:gridSpan w:val="3"/>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r>
            <w:r>
              <w:rPr>
                <w:rFonts w:eastAsia="Times New Roman"/>
                <w:b/>
                <w:bCs/>
                <w:color w:val="000000"/>
                <w:sz w:val="16"/>
                <w:szCs w:val="16"/>
              </w:rPr>
              <w:t>Observable Inputs</w:t>
            </w:r>
            <w:r>
              <w:rPr>
                <w:rFonts w:eastAsia="Times New Roman"/>
                <w:b/>
                <w:bCs/>
                <w:color w:val="000000"/>
                <w:sz w:val="16"/>
                <w:szCs w:val="16"/>
              </w:rPr>
              <w:br/>
              <w:t>(Level 2)</w:t>
            </w:r>
          </w:p>
        </w:tc>
        <w:tc>
          <w:tcPr>
            <w:tcW w:w="0" w:type="auto"/>
            <w:gridSpan w:val="3"/>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18325454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40289C">
        <w:trPr>
          <w:divId w:val="18325454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divId w:val="1112480747"/>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3254549"/>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8325454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divId w:val="220093854"/>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325454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divId w:val="602614168"/>
              <w:rPr>
                <w:rFonts w:eastAsia="Times New Roman"/>
              </w:rPr>
            </w:pPr>
            <w:r>
              <w:rPr>
                <w:rFonts w:eastAsia="Times New Roman"/>
                <w:color w:val="000000"/>
                <w:sz w:val="20"/>
                <w:szCs w:val="20"/>
              </w:rPr>
              <w:t>Interest rate swap and cap agreements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r>
              <w:rPr>
                <w:rFonts w:eastAsia="Times New Roman"/>
                <w:color w:val="000000"/>
                <w:sz w:val="20"/>
                <w:szCs w:val="20"/>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183254549"/>
          <w:jc w:val="center"/>
        </w:trPr>
        <w:tc>
          <w:tcPr>
            <w:tcW w:w="0" w:type="auto"/>
            <w:gridSpan w:val="3"/>
            <w:shd w:val="clear" w:color="auto" w:fill="CCEEFF"/>
            <w:tcMar>
              <w:top w:w="30" w:type="dxa"/>
              <w:left w:w="38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83254549"/>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83254549"/>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divId w:val="1217931076"/>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(4</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40289C">
        <w:trPr>
          <w:divId w:val="183254549"/>
          <w:jc w:val="center"/>
        </w:trPr>
        <w:tc>
          <w:tcPr>
            <w:tcW w:w="0" w:type="auto"/>
            <w:gridSpan w:val="3"/>
            <w:shd w:val="clear" w:color="auto" w:fill="FFFFFF"/>
            <w:tcMar>
              <w:top w:w="30" w:type="dxa"/>
              <w:left w:w="38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115514576"/>
        <w:rPr>
          <w:rFonts w:eastAsia="Times New Roman"/>
        </w:rPr>
      </w:pPr>
    </w:p>
    <w:p w:rsidR="00000000" w:rsidRDefault="0040289C">
      <w:pPr>
        <w:divId w:val="1805805938"/>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w:t>
      </w:r>
      <w:r>
        <w:rPr>
          <w:rFonts w:eastAsia="Times New Roman"/>
          <w:color w:val="000000"/>
          <w:sz w:val="14"/>
          <w:szCs w:val="14"/>
        </w:rPr>
        <w:t>  Included in Cash and cash equivalents in the Consolidated Balance Sheets.</w:t>
      </w:r>
    </w:p>
    <w:p w:rsidR="00000000" w:rsidRDefault="0040289C">
      <w:pPr>
        <w:divId w:val="1593664187"/>
        <w:rPr>
          <w:rFonts w:eastAsia="Times New Roman"/>
        </w:rPr>
      </w:pPr>
      <w:r>
        <w:rPr>
          <w:rFonts w:eastAsia="Times New Roman"/>
          <w:color w:val="000000"/>
          <w:sz w:val="9"/>
          <w:szCs w:val="9"/>
        </w:rPr>
        <w:t>(2</w:t>
      </w:r>
      <w:r>
        <w:rPr>
          <w:rFonts w:eastAsia="Times New Roman"/>
          <w:color w:val="000000"/>
          <w:sz w:val="9"/>
          <w:szCs w:val="9"/>
        </w:rPr>
        <w:t>)</w:t>
      </w:r>
      <w:r>
        <w:rPr>
          <w:rFonts w:eastAsia="Times New Roman"/>
          <w:color w:val="000000"/>
          <w:sz w:val="14"/>
          <w:szCs w:val="14"/>
        </w:rPr>
        <w:t>    Included in Prepaid and other current assets in the Consolidated Balance Sheets.</w:t>
      </w:r>
    </w:p>
    <w:p w:rsidR="00000000" w:rsidRDefault="0040289C">
      <w:pPr>
        <w:divId w:val="1393121660"/>
        <w:rPr>
          <w:rFonts w:eastAsia="Times New Roman"/>
        </w:rPr>
      </w:pPr>
      <w:r>
        <w:rPr>
          <w:rFonts w:eastAsia="Times New Roman"/>
          <w:color w:val="000000"/>
          <w:sz w:val="9"/>
          <w:szCs w:val="9"/>
        </w:rPr>
        <w:t>(3</w:t>
      </w:r>
      <w:r>
        <w:rPr>
          <w:rFonts w:eastAsia="Times New Roman"/>
          <w:color w:val="000000"/>
          <w:sz w:val="9"/>
          <w:szCs w:val="9"/>
        </w:rPr>
        <w:t>)</w:t>
      </w:r>
      <w:r>
        <w:rPr>
          <w:rFonts w:eastAsia="Times New Roman"/>
          <w:color w:val="000000"/>
          <w:sz w:val="14"/>
          <w:szCs w:val="14"/>
        </w:rPr>
        <w:t xml:space="preserve">     Included in Prepaid and other current assets and Other assets in the Consolidated Ba</w:t>
      </w:r>
      <w:r>
        <w:rPr>
          <w:rFonts w:eastAsia="Times New Roman"/>
          <w:color w:val="000000"/>
          <w:sz w:val="14"/>
          <w:szCs w:val="14"/>
        </w:rPr>
        <w:t>lance Sheets.</w:t>
      </w:r>
    </w:p>
    <w:p w:rsidR="00000000" w:rsidRDefault="0040289C">
      <w:pPr>
        <w:divId w:val="158159994"/>
        <w:rPr>
          <w:rFonts w:eastAsia="Times New Roman"/>
        </w:rPr>
      </w:pPr>
      <w:r>
        <w:rPr>
          <w:rFonts w:eastAsia="Times New Roman"/>
          <w:color w:val="000000"/>
          <w:sz w:val="9"/>
          <w:szCs w:val="9"/>
        </w:rPr>
        <w:t>(4</w:t>
      </w:r>
      <w:r>
        <w:rPr>
          <w:rFonts w:eastAsia="Times New Roman"/>
          <w:color w:val="000000"/>
          <w:sz w:val="9"/>
          <w:szCs w:val="9"/>
        </w:rPr>
        <w:t>)</w:t>
      </w:r>
      <w:r>
        <w:rPr>
          <w:rFonts w:eastAsia="Times New Roman"/>
          <w:color w:val="000000"/>
          <w:sz w:val="14"/>
          <w:szCs w:val="14"/>
        </w:rPr>
        <w:t>    Included in Other current liabilities in the Consolidated Balance Sheets.</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Deposits Held in Money Market Mutual Funds </w:t>
      </w:r>
      <w:r>
        <w:rPr>
          <w:rFonts w:eastAsia="Times New Roman"/>
          <w:color w:val="000000"/>
          <w:sz w:val="20"/>
          <w:szCs w:val="20"/>
        </w:rPr>
        <w:t>A portion of the Company’s excess cash is held in money market mutual funds that generate interest income based on p</w:t>
      </w:r>
      <w:r>
        <w:rPr>
          <w:rFonts w:eastAsia="Times New Roman"/>
          <w:color w:val="000000"/>
          <w:sz w:val="20"/>
          <w:szCs w:val="20"/>
        </w:rPr>
        <w:t>revailing market rates. Money market mutual fund holdings are measured at fair value using quoted market prices and are classified within Level 1 of the valuation hierarchy.</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 xml:space="preserve">Foreign Exchange Contracts </w:t>
      </w:r>
      <w:r>
        <w:rPr>
          <w:rFonts w:eastAsia="Times New Roman"/>
          <w:color w:val="000000"/>
          <w:sz w:val="20"/>
          <w:szCs w:val="20"/>
        </w:rPr>
        <w:t>As a result of our global operating activities, we are exposed to risks from changes in foreign currency exchange rates, which may adversely affect our financial condition. To manage our exposures and mitigate the impact of currency fluctuations on our fin</w:t>
      </w:r>
      <w:r>
        <w:rPr>
          <w:rFonts w:eastAsia="Times New Roman"/>
          <w:color w:val="000000"/>
          <w:sz w:val="20"/>
          <w:szCs w:val="20"/>
        </w:rPr>
        <w:t xml:space="preserve">ancial results, we hedge our primary transactional exposures through the use of foreign exchange forward and option contracts. The foreign exchange contracts are valued using the market approach based on observable market transactions of forward rates and </w:t>
      </w:r>
      <w:r>
        <w:rPr>
          <w:rFonts w:eastAsia="Times New Roman"/>
          <w:color w:val="000000"/>
          <w:sz w:val="20"/>
          <w:szCs w:val="20"/>
        </w:rPr>
        <w:t>are classified within Level 2 of the valuation hierarchy.</w:t>
      </w:r>
    </w:p>
    <w:p w:rsidR="00000000" w:rsidRDefault="0040289C">
      <w:pPr>
        <w:jc w:val="both"/>
        <w:rPr>
          <w:rFonts w:eastAsia="Times New Roman"/>
        </w:rPr>
      </w:pPr>
    </w:p>
    <w:p w:rsidR="00000000" w:rsidRDefault="0040289C">
      <w:pPr>
        <w:jc w:val="both"/>
        <w:rPr>
          <w:rFonts w:eastAsia="Times New Roman"/>
        </w:rPr>
      </w:pPr>
      <w:r>
        <w:rPr>
          <w:rFonts w:eastAsia="Times New Roman"/>
          <w:i/>
          <w:iCs/>
          <w:color w:val="000000"/>
          <w:sz w:val="20"/>
          <w:szCs w:val="20"/>
        </w:rPr>
        <w:t>Interest Rate Swap and Cap Agreements</w:t>
      </w:r>
      <w:r>
        <w:rPr>
          <w:rFonts w:eastAsia="Times New Roman"/>
          <w:color w:val="000000"/>
          <w:sz w:val="20"/>
          <w:szCs w:val="20"/>
        </w:rPr>
        <w:t xml:space="preserve"> In order to add stability to interest expense and operating costs and to manage exposure to interest rate movements the Company utilizes interest rate swap co</w:t>
      </w:r>
      <w:r>
        <w:rPr>
          <w:rFonts w:eastAsia="Times New Roman"/>
          <w:color w:val="000000"/>
          <w:sz w:val="20"/>
          <w:szCs w:val="20"/>
        </w:rPr>
        <w:t xml:space="preserve">ntracts and interest rate cap agreements as part of its interest rate risk management strategy. The interest rate cap agreements are valued using the market standard methodology of discounting the future expected cash receipts that would occur if variable </w:t>
      </w:r>
      <w:r>
        <w:rPr>
          <w:rFonts w:eastAsia="Times New Roman"/>
          <w:color w:val="000000"/>
          <w:sz w:val="20"/>
          <w:szCs w:val="20"/>
        </w:rPr>
        <w:t>interest rates rise above the strike rate of the caps. The variable interest rates used in the calculation of projected receipts on the cap are based on an expectation of future interest rates derived from observable market interest rate curves and volatil</w:t>
      </w:r>
      <w:r>
        <w:rPr>
          <w:rFonts w:eastAsia="Times New Roman"/>
          <w:color w:val="000000"/>
          <w:sz w:val="20"/>
          <w:szCs w:val="20"/>
        </w:rPr>
        <w:t>ities. The interest rate swap contracts are valued using an income model based on disparity between variable and fixed interest rates, the scheduled balance of underlying principal outstanding, yield curves, and other information readily available in the m</w:t>
      </w:r>
      <w:r>
        <w:rPr>
          <w:rFonts w:eastAsia="Times New Roman"/>
          <w:color w:val="000000"/>
          <w:sz w:val="20"/>
          <w:szCs w:val="20"/>
        </w:rPr>
        <w:t>arket. As such, the interest rate swap contracts and interest rate cap agreements are classified in Level 2 of the fair value hierarchy.</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incorporate credit valuation adjustments to appropriately reflect both our own nonperformance risk and the respect</w:t>
      </w:r>
      <w:r>
        <w:rPr>
          <w:rFonts w:eastAsia="Times New Roman"/>
          <w:color w:val="000000"/>
          <w:sz w:val="20"/>
          <w:szCs w:val="20"/>
        </w:rPr>
        <w:t>ive counterparty’s nonperformance risk in the fair value measurements. In adjusting the fair value of our derivative contracts for the effect of nonperformance risk, we consider the impact of netting and any applicable credit enhancements. We measure the c</w:t>
      </w:r>
      <w:r>
        <w:rPr>
          <w:rFonts w:eastAsia="Times New Roman"/>
          <w:color w:val="000000"/>
          <w:sz w:val="20"/>
          <w:szCs w:val="20"/>
        </w:rPr>
        <w:t xml:space="preserve">redit risk of our derivative financial instruments that are subject to master netting agreements on a net basis by counterparty portfolio.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Although we have determined that the majority of the inputs used to value our derivatives fall within Level 2 of t</w:t>
      </w:r>
      <w:r>
        <w:rPr>
          <w:rFonts w:eastAsia="Times New Roman"/>
          <w:color w:val="000000"/>
          <w:sz w:val="20"/>
          <w:szCs w:val="20"/>
          <w:shd w:val="clear" w:color="auto" w:fill="FFFFFF"/>
        </w:rPr>
        <w:t xml:space="preserve">he fair value hierarchy, the credit valuation adjustments utilize Level 3 inputs to evaluate the likelihood of both our own default and </w:t>
      </w:r>
    </w:p>
    <w:p w:rsidR="00000000" w:rsidRDefault="0040289C">
      <w:pPr>
        <w:jc w:val="center"/>
        <w:divId w:val="1620407574"/>
        <w:rPr>
          <w:rFonts w:eastAsia="Times New Roman"/>
        </w:rPr>
      </w:pPr>
      <w:r>
        <w:rPr>
          <w:rFonts w:eastAsia="Times New Roman"/>
          <w:color w:val="000000"/>
          <w:sz w:val="20"/>
          <w:szCs w:val="20"/>
        </w:rPr>
        <w:t>120</w:t>
      </w:r>
    </w:p>
    <w:p w:rsidR="00000000" w:rsidRDefault="0040289C">
      <w:pPr>
        <w:rPr>
          <w:rFonts w:eastAsia="Times New Roman"/>
        </w:rPr>
      </w:pPr>
      <w:r>
        <w:rPr>
          <w:rFonts w:eastAsia="Times New Roman"/>
        </w:rPr>
        <w:pict>
          <v:rect id="_x0000_i1150" style="width:0;height:1.5pt" o:hralign="center" o:hrstd="t" o:hr="t" fillcolor="#a0a0a0" stroked="f"/>
        </w:pict>
      </w:r>
    </w:p>
    <w:p w:rsidR="00000000" w:rsidRDefault="0040289C">
      <w:pPr>
        <w:divId w:val="36529997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124086645"/>
        <w:rPr>
          <w:rFonts w:eastAsia="Times New Roman"/>
        </w:rPr>
      </w:pPr>
    </w:p>
    <w:p w:rsidR="00000000" w:rsidRDefault="0040289C">
      <w:pPr>
        <w:jc w:val="both"/>
        <w:rPr>
          <w:rFonts w:eastAsia="Times New Roman"/>
        </w:rPr>
      </w:pPr>
      <w:r>
        <w:rPr>
          <w:rFonts w:eastAsia="Times New Roman"/>
          <w:color w:val="000000"/>
          <w:sz w:val="20"/>
          <w:szCs w:val="20"/>
          <w:shd w:val="clear" w:color="auto" w:fill="FFFFFF"/>
        </w:rPr>
        <w:t xml:space="preserve">counterparty default. As of </w:t>
      </w:r>
      <w:r>
        <w:rPr>
          <w:rFonts w:eastAsia="Times New Roman"/>
          <w:color w:val="000000"/>
          <w:sz w:val="20"/>
          <w:szCs w:val="20"/>
        </w:rPr>
        <w:t>December 31, 2022</w:t>
      </w:r>
      <w:r>
        <w:rPr>
          <w:rFonts w:eastAsia="Times New Roman"/>
          <w:color w:val="000000"/>
          <w:sz w:val="20"/>
          <w:szCs w:val="20"/>
          <w:shd w:val="clear" w:color="auto" w:fill="FFFFFF"/>
        </w:rPr>
        <w:t>, we determined that the credit valuation adjustments are not significant to the overall valuation of our derivatives and therefore, the valuations are classified in Level 2 of the fair value hierarchy.</w:t>
      </w:r>
    </w:p>
    <w:p w:rsidR="00000000" w:rsidRDefault="0040289C">
      <w:pPr>
        <w:jc w:val="both"/>
        <w:rPr>
          <w:rFonts w:eastAsia="Times New Roman"/>
        </w:rPr>
      </w:pPr>
    </w:p>
    <w:p w:rsidR="00000000" w:rsidRDefault="0040289C">
      <w:pPr>
        <w:jc w:val="both"/>
        <w:rPr>
          <w:rFonts w:eastAsia="Times New Roman"/>
        </w:rPr>
      </w:pPr>
      <w:r>
        <w:rPr>
          <w:rFonts w:eastAsia="Times New Roman"/>
          <w:b/>
          <w:bCs/>
          <w:i/>
          <w:iCs/>
          <w:color w:val="000000"/>
          <w:sz w:val="20"/>
          <w:szCs w:val="20"/>
        </w:rPr>
        <w:t>Asset</w:t>
      </w:r>
      <w:r>
        <w:rPr>
          <w:rFonts w:eastAsia="Times New Roman"/>
          <w:b/>
          <w:bCs/>
          <w:i/>
          <w:iCs/>
          <w:color w:val="000000"/>
          <w:sz w:val="20"/>
          <w:szCs w:val="20"/>
        </w:rPr>
        <w:t>s Measured at Fair Value on a Non-recurring Basis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From time to time, certain assets are measured at fair value on a nonrecurring basis using significant unobservable inputs (Level 3). NCR measures certain assets, including intangible assets and cost and </w:t>
      </w:r>
      <w:r>
        <w:rPr>
          <w:rFonts w:eastAsia="Times New Roman"/>
          <w:color w:val="000000"/>
          <w:sz w:val="20"/>
          <w:szCs w:val="20"/>
        </w:rPr>
        <w:t>equity method investments, at fair value on a non-recurring basis. These assets are recognized at fair value when initially valued and when deemed to be impaired. Additionally, NCR reviews the carrying values of investments when events and circumstances wa</w:t>
      </w:r>
      <w:r>
        <w:rPr>
          <w:rFonts w:eastAsia="Times New Roman"/>
          <w:color w:val="000000"/>
          <w:sz w:val="20"/>
          <w:szCs w:val="20"/>
        </w:rPr>
        <w:t>rrant and considers all available evidence in evaluating when declines in fair value are other-than-temporary declines. NCR carries equity investments in privately-held companies at cost or at fair value when NCR recognizes an other-than-temporary impairme</w:t>
      </w:r>
      <w:r>
        <w:rPr>
          <w:rFonts w:eastAsia="Times New Roman"/>
          <w:color w:val="000000"/>
          <w:sz w:val="20"/>
          <w:szCs w:val="20"/>
        </w:rPr>
        <w:t>nt charge. No material impairment charges or non-recurring fair value adjustments were recorded during the years ended December 31, 2022 and December 31, 2021. In the year ended December 31, 2020, we recorded an other-than-temporary impairment charge of $7</w:t>
      </w:r>
      <w:r>
        <w:rPr>
          <w:rFonts w:eastAsia="Times New Roman"/>
          <w:color w:val="000000"/>
          <w:sz w:val="20"/>
          <w:szCs w:val="20"/>
        </w:rPr>
        <w:t> million in Other income (expense), net within the Consolidated Statements of Operations related to the write-off of an equity method investment.</w:t>
      </w:r>
    </w:p>
    <w:p w:rsidR="00000000" w:rsidRDefault="0040289C">
      <w:pPr>
        <w:divId w:val="1167406668"/>
        <w:rPr>
          <w:rFonts w:eastAsia="Times New Roman"/>
        </w:rPr>
      </w:pPr>
    </w:p>
    <w:p w:rsidR="00000000" w:rsidRDefault="0040289C">
      <w:pPr>
        <w:divId w:val="262348084"/>
        <w:rPr>
          <w:rFonts w:eastAsia="Times New Roman"/>
        </w:rPr>
      </w:pPr>
      <w:r>
        <w:rPr>
          <w:rFonts w:eastAsia="Times New Roman"/>
          <w:b/>
          <w:bCs/>
          <w:color w:val="7ACE05"/>
          <w:sz w:val="20"/>
          <w:szCs w:val="20"/>
        </w:rPr>
        <w:t xml:space="preserve">16. ACCUMULATED OTHER COMPREHENSIVE INCOME </w:t>
      </w:r>
    </w:p>
    <w:p w:rsidR="00000000" w:rsidRDefault="0040289C">
      <w:pPr>
        <w:divId w:val="1413619572"/>
        <w:rPr>
          <w:rFonts w:eastAsia="Times New Roman"/>
        </w:rPr>
      </w:pPr>
    </w:p>
    <w:p w:rsidR="00000000" w:rsidRDefault="0040289C">
      <w:pPr>
        <w:divId w:val="1146363516"/>
        <w:rPr>
          <w:rFonts w:eastAsia="Times New Roman"/>
        </w:rPr>
      </w:pPr>
      <w:r>
        <w:rPr>
          <w:rFonts w:eastAsia="Times New Roman"/>
          <w:b/>
          <w:bCs/>
          <w:color w:val="000000"/>
          <w:sz w:val="20"/>
          <w:szCs w:val="20"/>
        </w:rPr>
        <w:t>Changes in Accumulated Other Comprehensive Income ("AOCI") by Component</w:t>
      </w:r>
    </w:p>
    <w:p w:rsidR="00000000" w:rsidRDefault="0040289C">
      <w:pPr>
        <w:divId w:val="31619437"/>
        <w:rPr>
          <w:rFonts w:eastAsia="Times New Roman"/>
        </w:rPr>
      </w:pPr>
    </w:p>
    <w:p w:rsidR="00000000" w:rsidRDefault="0040289C">
      <w:pPr>
        <w:divId w:val="1738552911"/>
        <w:rPr>
          <w:rFonts w:eastAsia="Times New Roman"/>
        </w:rPr>
      </w:pPr>
      <w:r>
        <w:rPr>
          <w:rFonts w:eastAsia="Times New Roman"/>
          <w:color w:val="000000"/>
          <w:sz w:val="20"/>
          <w:szCs w:val="20"/>
        </w:rPr>
        <w:t>The changes in AOCI for the years ended December 31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89"/>
        <w:gridCol w:w="37"/>
        <w:gridCol w:w="121"/>
        <w:gridCol w:w="1009"/>
        <w:gridCol w:w="36"/>
        <w:gridCol w:w="36"/>
        <w:gridCol w:w="36"/>
        <w:gridCol w:w="36"/>
        <w:gridCol w:w="121"/>
        <w:gridCol w:w="1003"/>
        <w:gridCol w:w="36"/>
        <w:gridCol w:w="36"/>
        <w:gridCol w:w="36"/>
        <w:gridCol w:w="36"/>
        <w:gridCol w:w="121"/>
        <w:gridCol w:w="992"/>
        <w:gridCol w:w="36"/>
        <w:gridCol w:w="36"/>
        <w:gridCol w:w="36"/>
        <w:gridCol w:w="36"/>
        <w:gridCol w:w="120"/>
        <w:gridCol w:w="786"/>
        <w:gridCol w:w="36"/>
      </w:tblGrid>
      <w:tr w:rsidR="00000000">
        <w:trPr>
          <w:divId w:val="1065569139"/>
          <w:jc w:val="center"/>
        </w:trPr>
        <w:tc>
          <w:tcPr>
            <w:tcW w:w="50" w:type="pct"/>
            <w:vAlign w:val="center"/>
            <w:hideMark/>
          </w:tcPr>
          <w:p w:rsidR="00000000" w:rsidRDefault="0040289C">
            <w:pPr>
              <w:rPr>
                <w:rFonts w:eastAsia="Times New Roman"/>
              </w:rPr>
            </w:pPr>
          </w:p>
        </w:tc>
        <w:tc>
          <w:tcPr>
            <w:tcW w:w="213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2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065569139"/>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Currency Translation Adjustments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Changes in Employee Benefit Plans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Changes in Fair Value of Effective Cash Flow Hedges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r>
      <w:tr w:rsidR="00000000">
        <w:trPr>
          <w:divId w:val="1065569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Balance at December 31, 2019</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comprehensive (loss) income before reclassifications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current period other comprehensive (loss)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Balance at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comprehensive (loss) income before reclassifications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current period other comprehensive (loss)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Balance at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comprehensive (loss) income before reclassifications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Net current period other comprehensive (loss)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065569139"/>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Balance at December 31, 2022</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(404)</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(5)</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tcBorders>
              <w:top w:val="single" w:sz="8" w:space="0" w:color="000000"/>
              <w:bottom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(300)</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455832094"/>
        <w:rPr>
          <w:rFonts w:eastAsia="Times New Roman"/>
        </w:rPr>
      </w:pPr>
    </w:p>
    <w:p w:rsidR="00000000" w:rsidRDefault="0040289C">
      <w:pPr>
        <w:divId w:val="93526192"/>
        <w:rPr>
          <w:rFonts w:eastAsia="Times New Roman"/>
        </w:rPr>
      </w:pPr>
    </w:p>
    <w:p w:rsidR="00000000" w:rsidRDefault="0040289C">
      <w:pPr>
        <w:divId w:val="565338035"/>
        <w:rPr>
          <w:rFonts w:eastAsia="Times New Roman"/>
        </w:rPr>
      </w:pPr>
    </w:p>
    <w:p w:rsidR="00000000" w:rsidRDefault="0040289C">
      <w:pPr>
        <w:divId w:val="74672670"/>
        <w:rPr>
          <w:rFonts w:eastAsia="Times New Roman"/>
        </w:rPr>
      </w:pPr>
    </w:p>
    <w:p w:rsidR="00000000" w:rsidRDefault="0040289C">
      <w:pPr>
        <w:divId w:val="384837597"/>
        <w:rPr>
          <w:rFonts w:eastAsia="Times New Roman"/>
        </w:rPr>
      </w:pPr>
    </w:p>
    <w:p w:rsidR="00000000" w:rsidRDefault="0040289C">
      <w:pPr>
        <w:divId w:val="1443261636"/>
        <w:rPr>
          <w:rFonts w:eastAsia="Times New Roman"/>
        </w:rPr>
      </w:pPr>
    </w:p>
    <w:p w:rsidR="00000000" w:rsidRDefault="0040289C">
      <w:pPr>
        <w:divId w:val="901215982"/>
        <w:rPr>
          <w:rFonts w:eastAsia="Times New Roman"/>
        </w:rPr>
      </w:pPr>
    </w:p>
    <w:p w:rsidR="00000000" w:rsidRDefault="0040289C">
      <w:pPr>
        <w:divId w:val="1135217220"/>
        <w:rPr>
          <w:rFonts w:eastAsia="Times New Roman"/>
        </w:rPr>
      </w:pPr>
    </w:p>
    <w:p w:rsidR="00000000" w:rsidRDefault="0040289C">
      <w:pPr>
        <w:divId w:val="1326975374"/>
        <w:rPr>
          <w:rFonts w:eastAsia="Times New Roman"/>
        </w:rPr>
      </w:pPr>
    </w:p>
    <w:p w:rsidR="00000000" w:rsidRDefault="0040289C">
      <w:pPr>
        <w:divId w:val="349722916"/>
        <w:rPr>
          <w:rFonts w:eastAsia="Times New Roman"/>
        </w:rPr>
      </w:pPr>
    </w:p>
    <w:p w:rsidR="00000000" w:rsidRDefault="0040289C">
      <w:pPr>
        <w:divId w:val="1433742895"/>
        <w:rPr>
          <w:rFonts w:eastAsia="Times New Roman"/>
        </w:rPr>
      </w:pPr>
    </w:p>
    <w:p w:rsidR="00000000" w:rsidRDefault="0040289C">
      <w:pPr>
        <w:divId w:val="1147405533"/>
        <w:rPr>
          <w:rFonts w:eastAsia="Times New Roman"/>
        </w:rPr>
      </w:pPr>
    </w:p>
    <w:p w:rsidR="00000000" w:rsidRDefault="0040289C">
      <w:pPr>
        <w:divId w:val="470446736"/>
        <w:rPr>
          <w:rFonts w:eastAsia="Times New Roman"/>
        </w:rPr>
      </w:pPr>
    </w:p>
    <w:p w:rsidR="00000000" w:rsidRDefault="0040289C">
      <w:pPr>
        <w:divId w:val="728576996"/>
        <w:rPr>
          <w:rFonts w:eastAsia="Times New Roman"/>
        </w:rPr>
      </w:pPr>
    </w:p>
    <w:p w:rsidR="00000000" w:rsidRDefault="0040289C">
      <w:pPr>
        <w:jc w:val="center"/>
        <w:divId w:val="1196428414"/>
        <w:rPr>
          <w:rFonts w:eastAsia="Times New Roman"/>
        </w:rPr>
      </w:pPr>
      <w:r>
        <w:rPr>
          <w:rFonts w:eastAsia="Times New Roman"/>
          <w:color w:val="000000"/>
          <w:sz w:val="20"/>
          <w:szCs w:val="20"/>
        </w:rPr>
        <w:t>121</w:t>
      </w:r>
    </w:p>
    <w:p w:rsidR="00000000" w:rsidRDefault="0040289C">
      <w:pPr>
        <w:rPr>
          <w:rFonts w:eastAsia="Times New Roman"/>
        </w:rPr>
      </w:pPr>
      <w:r>
        <w:rPr>
          <w:rFonts w:eastAsia="Times New Roman"/>
        </w:rPr>
        <w:pict>
          <v:rect id="_x0000_i1151" style="width:0;height:1.5pt" o:hralign="center" o:hrstd="t" o:hr="t" fillcolor="#a0a0a0" stroked="f"/>
        </w:pict>
      </w:r>
    </w:p>
    <w:p w:rsidR="00000000" w:rsidRDefault="0040289C">
      <w:pPr>
        <w:divId w:val="123916973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631525566"/>
        <w:rPr>
          <w:rFonts w:eastAsia="Times New Roman"/>
        </w:rPr>
      </w:pPr>
    </w:p>
    <w:p w:rsidR="00000000" w:rsidRDefault="0040289C">
      <w:pPr>
        <w:divId w:val="627512070"/>
        <w:rPr>
          <w:rFonts w:eastAsia="Times New Roman"/>
        </w:rPr>
      </w:pPr>
    </w:p>
    <w:p w:rsidR="00000000" w:rsidRDefault="0040289C">
      <w:pPr>
        <w:divId w:val="1323772867"/>
        <w:rPr>
          <w:rFonts w:eastAsia="Times New Roman"/>
        </w:rPr>
      </w:pPr>
    </w:p>
    <w:p w:rsidR="00000000" w:rsidRDefault="0040289C">
      <w:pPr>
        <w:divId w:val="1957103559"/>
        <w:rPr>
          <w:rFonts w:eastAsia="Times New Roman"/>
        </w:rPr>
      </w:pPr>
      <w:r>
        <w:rPr>
          <w:rFonts w:eastAsia="Times New Roman"/>
          <w:b/>
          <w:bCs/>
          <w:color w:val="000000"/>
          <w:sz w:val="20"/>
          <w:szCs w:val="20"/>
        </w:rPr>
        <w:t>Reclassifications Out of AOCI</w:t>
      </w:r>
    </w:p>
    <w:p w:rsidR="00000000" w:rsidRDefault="0040289C">
      <w:pPr>
        <w:divId w:val="1595481611"/>
        <w:rPr>
          <w:rFonts w:eastAsia="Times New Roman"/>
        </w:rPr>
      </w:pPr>
    </w:p>
    <w:p w:rsidR="00000000" w:rsidRDefault="0040289C">
      <w:pPr>
        <w:divId w:val="365644369"/>
        <w:rPr>
          <w:rFonts w:eastAsia="Times New Roman"/>
        </w:rPr>
      </w:pPr>
      <w:r>
        <w:rPr>
          <w:rFonts w:eastAsia="Times New Roman"/>
          <w:color w:val="000000"/>
          <w:sz w:val="20"/>
          <w:szCs w:val="20"/>
        </w:rPr>
        <w:t>The reclassifications out of AOCI for the years ended December 31 are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8"/>
        <w:gridCol w:w="37"/>
        <w:gridCol w:w="38"/>
        <w:gridCol w:w="3935"/>
        <w:gridCol w:w="38"/>
        <w:gridCol w:w="121"/>
        <w:gridCol w:w="829"/>
        <w:gridCol w:w="36"/>
        <w:gridCol w:w="36"/>
        <w:gridCol w:w="36"/>
        <w:gridCol w:w="36"/>
        <w:gridCol w:w="121"/>
        <w:gridCol w:w="866"/>
        <w:gridCol w:w="36"/>
        <w:gridCol w:w="36"/>
        <w:gridCol w:w="36"/>
        <w:gridCol w:w="36"/>
        <w:gridCol w:w="121"/>
        <w:gridCol w:w="739"/>
        <w:gridCol w:w="36"/>
        <w:gridCol w:w="36"/>
        <w:gridCol w:w="36"/>
        <w:gridCol w:w="36"/>
        <w:gridCol w:w="120"/>
        <w:gridCol w:w="784"/>
        <w:gridCol w:w="36"/>
      </w:tblGrid>
      <w:tr w:rsidR="00000000">
        <w:trPr>
          <w:divId w:val="1761292317"/>
          <w:jc w:val="center"/>
        </w:trPr>
        <w:tc>
          <w:tcPr>
            <w:tcW w:w="5" w:type="pct"/>
            <w:vAlign w:val="center"/>
            <w:hideMark/>
          </w:tcPr>
          <w:p w:rsidR="00000000" w:rsidRDefault="0040289C">
            <w:pPr>
              <w:rPr>
                <w:rFonts w:eastAsia="Times New Roman"/>
              </w:rPr>
            </w:pPr>
          </w:p>
        </w:tc>
        <w:tc>
          <w:tcPr>
            <w:tcW w:w="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41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761292317"/>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2022</w:t>
            </w:r>
          </w:p>
        </w:tc>
      </w:tr>
      <w:tr w:rsidR="00000000">
        <w:trPr>
          <w:divId w:val="1761292317"/>
          <w:jc w:val="center"/>
        </w:trPr>
        <w:tc>
          <w:tcPr>
            <w:tcW w:w="0" w:type="auto"/>
            <w:gridSpan w:val="6"/>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761292317"/>
          <w:jc w:val="center"/>
        </w:trPr>
        <w:tc>
          <w:tcPr>
            <w:tcW w:w="0" w:type="auto"/>
            <w:gridSpan w:val="6"/>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r>
      <w:tr w:rsidR="00000000">
        <w:trPr>
          <w:divId w:val="1761292317"/>
          <w:jc w:val="center"/>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761292317"/>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1292317"/>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1292317"/>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1292317"/>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1292317"/>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1292317"/>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1292317"/>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761292317"/>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3951"/>
        <w:gridCol w:w="144"/>
        <w:gridCol w:w="144"/>
        <w:gridCol w:w="891"/>
        <w:gridCol w:w="144"/>
        <w:gridCol w:w="144"/>
        <w:gridCol w:w="144"/>
        <w:gridCol w:w="144"/>
        <w:gridCol w:w="144"/>
        <w:gridCol w:w="891"/>
        <w:gridCol w:w="144"/>
        <w:gridCol w:w="144"/>
        <w:gridCol w:w="144"/>
        <w:gridCol w:w="144"/>
        <w:gridCol w:w="144"/>
        <w:gridCol w:w="891"/>
        <w:gridCol w:w="144"/>
        <w:gridCol w:w="144"/>
        <w:gridCol w:w="144"/>
        <w:gridCol w:w="144"/>
        <w:gridCol w:w="144"/>
        <w:gridCol w:w="892"/>
        <w:gridCol w:w="144"/>
      </w:tblGrid>
      <w:tr w:rsidR="00000000">
        <w:trPr>
          <w:jc w:val="center"/>
        </w:trPr>
        <w:tc>
          <w:tcPr>
            <w:tcW w:w="5" w:type="pct"/>
            <w:vAlign w:val="center"/>
            <w:hideMark/>
          </w:tcPr>
          <w:p w:rsidR="00000000" w:rsidRDefault="0040289C">
            <w:pPr>
              <w:jc w:val="center"/>
              <w:rPr>
                <w:rFonts w:eastAsia="Times New Roman"/>
              </w:rPr>
            </w:pPr>
          </w:p>
        </w:tc>
        <w:tc>
          <w:tcPr>
            <w:tcW w:w="4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38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4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2021</w:t>
            </w:r>
          </w:p>
        </w:tc>
      </w:tr>
      <w:tr w:rsidR="00000000">
        <w:trPr>
          <w:jc w:val="center"/>
        </w:trPr>
        <w:tc>
          <w:tcPr>
            <w:tcW w:w="0" w:type="auto"/>
            <w:gridSpan w:val="6"/>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jc w:val="center"/>
        <w:divId w:val="683095066"/>
        <w:rPr>
          <w:rFonts w:eastAsia="Times New Roman"/>
          <w:vanish/>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89"/>
        <w:gridCol w:w="36"/>
        <w:gridCol w:w="38"/>
        <w:gridCol w:w="3849"/>
        <w:gridCol w:w="38"/>
        <w:gridCol w:w="121"/>
        <w:gridCol w:w="841"/>
        <w:gridCol w:w="36"/>
        <w:gridCol w:w="36"/>
        <w:gridCol w:w="36"/>
        <w:gridCol w:w="36"/>
        <w:gridCol w:w="121"/>
        <w:gridCol w:w="867"/>
        <w:gridCol w:w="36"/>
        <w:gridCol w:w="36"/>
        <w:gridCol w:w="36"/>
        <w:gridCol w:w="36"/>
        <w:gridCol w:w="121"/>
        <w:gridCol w:w="725"/>
        <w:gridCol w:w="36"/>
        <w:gridCol w:w="36"/>
        <w:gridCol w:w="36"/>
        <w:gridCol w:w="36"/>
        <w:gridCol w:w="120"/>
        <w:gridCol w:w="797"/>
        <w:gridCol w:w="36"/>
      </w:tblGrid>
      <w:tr w:rsidR="00000000">
        <w:trPr>
          <w:divId w:val="683095066"/>
          <w:jc w:val="center"/>
        </w:trPr>
        <w:tc>
          <w:tcPr>
            <w:tcW w:w="5" w:type="pct"/>
            <w:vAlign w:val="center"/>
            <w:hideMark/>
          </w:tcPr>
          <w:p w:rsidR="00000000" w:rsidRDefault="0040289C">
            <w:pPr>
              <w:jc w:val="center"/>
              <w:rPr>
                <w:rFonts w:eastAsia="Times New Roman"/>
              </w:rPr>
            </w:pPr>
          </w:p>
        </w:tc>
        <w:tc>
          <w:tcPr>
            <w:tcW w:w="8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36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3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683095066"/>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For the year ended December 31, 2020</w:t>
            </w:r>
          </w:p>
        </w:tc>
      </w:tr>
      <w:tr w:rsidR="00000000">
        <w:trPr>
          <w:divId w:val="683095066"/>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683095066"/>
          <w:jc w:val="center"/>
        </w:trPr>
        <w:tc>
          <w:tcPr>
            <w:tcW w:w="0" w:type="auto"/>
            <w:gridSpan w:val="6"/>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Actuarial Losses Recognized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Amortization of Prior Service Benefit</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Effective Cash Flow Hedges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Total</w:t>
            </w:r>
          </w:p>
        </w:tc>
      </w:tr>
      <w:tr w:rsidR="00000000">
        <w:trPr>
          <w:divId w:val="683095066"/>
          <w:jc w:val="center"/>
        </w:trPr>
        <w:tc>
          <w:tcPr>
            <w:tcW w:w="0" w:type="auto"/>
            <w:gridSpan w:val="6"/>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Affected line in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683095066"/>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3095066"/>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3095066"/>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3095066"/>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3095066"/>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683095066"/>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3095066"/>
          <w:jc w:val="center"/>
        </w:trPr>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683095066"/>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1623268456"/>
        <w:rPr>
          <w:rFonts w:eastAsia="Times New Roman"/>
        </w:rPr>
      </w:pPr>
    </w:p>
    <w:p w:rsidR="00000000" w:rsidRDefault="0040289C">
      <w:pPr>
        <w:jc w:val="center"/>
        <w:divId w:val="1699619917"/>
        <w:rPr>
          <w:rFonts w:eastAsia="Times New Roman"/>
        </w:rPr>
      </w:pPr>
      <w:r>
        <w:rPr>
          <w:rFonts w:eastAsia="Times New Roman"/>
          <w:color w:val="000000"/>
          <w:sz w:val="20"/>
          <w:szCs w:val="20"/>
        </w:rPr>
        <w:t>122</w:t>
      </w:r>
    </w:p>
    <w:p w:rsidR="00000000" w:rsidRDefault="0040289C">
      <w:pPr>
        <w:rPr>
          <w:rFonts w:eastAsia="Times New Roman"/>
        </w:rPr>
      </w:pPr>
      <w:r>
        <w:rPr>
          <w:rFonts w:eastAsia="Times New Roman"/>
        </w:rPr>
        <w:pict>
          <v:rect id="_x0000_i1152" style="width:0;height:1.5pt" o:hralign="center" o:hrstd="t" o:hr="t" fillcolor="#a0a0a0" stroked="f"/>
        </w:pict>
      </w:r>
    </w:p>
    <w:p w:rsidR="00000000" w:rsidRDefault="0040289C">
      <w:pPr>
        <w:divId w:val="39396603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jc w:val="right"/>
        <w:divId w:val="461970629"/>
        <w:rPr>
          <w:rFonts w:eastAsia="Times New Roman"/>
        </w:rPr>
      </w:pPr>
    </w:p>
    <w:p w:rsidR="00000000" w:rsidRDefault="0040289C">
      <w:pPr>
        <w:jc w:val="both"/>
        <w:rPr>
          <w:rFonts w:eastAsia="Times New Roman"/>
        </w:rPr>
      </w:pPr>
      <w:r>
        <w:rPr>
          <w:rFonts w:eastAsia="Times New Roman"/>
          <w:color w:val="000000"/>
          <w:sz w:val="20"/>
          <w:szCs w:val="20"/>
        </w:rPr>
        <w:t>During the fourth quarter of 2022, the Company recorded an adjustment of $39 million to correct an overstatement of goodwill, understatement of accumulated other comprehensive loss and understatement of other comprehensive loss as of and for the nine-month</w:t>
      </w:r>
      <w:r>
        <w:rPr>
          <w:rFonts w:eastAsia="Times New Roman"/>
          <w:color w:val="000000"/>
          <w:sz w:val="20"/>
          <w:szCs w:val="20"/>
        </w:rPr>
        <w:t>s ended September 30, 2022, of which $8 million related to the three-months ended March 31, 2022, $12 million related to the three-months ended June 30, 2022 and $19 million related to the three-months ended September 30, 2022. There was no impact to net i</w:t>
      </w:r>
      <w:r>
        <w:rPr>
          <w:rFonts w:eastAsia="Times New Roman"/>
          <w:color w:val="000000"/>
          <w:sz w:val="20"/>
          <w:szCs w:val="20"/>
        </w:rPr>
        <w:t xml:space="preserve">ncome in any quarters of 2022 nor to the year ended December 31, 2022. The Company determined that the adjustments and corrections recorded in the fourth quarter of 2022 were not material, quantitatively or qualitatively, to the impacted interim financial </w:t>
      </w:r>
      <w:r>
        <w:rPr>
          <w:rFonts w:eastAsia="Times New Roman"/>
          <w:color w:val="000000"/>
          <w:sz w:val="20"/>
          <w:szCs w:val="20"/>
        </w:rPr>
        <w:t>statements.</w:t>
      </w:r>
    </w:p>
    <w:p w:rsidR="00000000" w:rsidRDefault="0040289C">
      <w:pPr>
        <w:jc w:val="both"/>
        <w:rPr>
          <w:rFonts w:eastAsia="Times New Roman"/>
        </w:rPr>
      </w:pPr>
    </w:p>
    <w:p w:rsidR="00000000" w:rsidRDefault="0040289C">
      <w:pPr>
        <w:jc w:val="both"/>
        <w:rPr>
          <w:rFonts w:eastAsia="Times New Roman"/>
        </w:rPr>
      </w:pPr>
    </w:p>
    <w:p w:rsidR="00000000" w:rsidRDefault="0040289C">
      <w:pPr>
        <w:divId w:val="1385177281"/>
        <w:rPr>
          <w:rFonts w:eastAsia="Times New Roman"/>
        </w:rPr>
      </w:pPr>
      <w:r>
        <w:rPr>
          <w:rFonts w:eastAsia="Times New Roman"/>
          <w:b/>
          <w:bCs/>
          <w:color w:val="7ACE05"/>
          <w:sz w:val="20"/>
          <w:szCs w:val="20"/>
        </w:rPr>
        <w:t>17. SUPPLEMENTAL FINANCIAL INFORMATION</w:t>
      </w:r>
      <w:r>
        <w:rPr>
          <w:rFonts w:eastAsia="Times New Roman"/>
          <w:b/>
          <w:bCs/>
          <w:color w:val="000000"/>
          <w:sz w:val="20"/>
          <w:szCs w:val="20"/>
        </w:rPr>
        <w:t xml:space="preserve"> </w:t>
      </w:r>
    </w:p>
    <w:p w:rsidR="00000000" w:rsidRDefault="0040289C">
      <w:pPr>
        <w:jc w:val="both"/>
        <w:divId w:val="335807370"/>
        <w:rPr>
          <w:rFonts w:eastAsia="Times New Roman"/>
        </w:rPr>
      </w:pPr>
      <w:r>
        <w:rPr>
          <w:rFonts w:eastAsia="Times New Roman"/>
          <w:color w:val="000000"/>
          <w:sz w:val="20"/>
          <w:szCs w:val="20"/>
        </w:rPr>
        <w:t>The components of Other income (expense), net are summarized as follows for the years ended December 31:</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5141"/>
        <w:gridCol w:w="37"/>
        <w:gridCol w:w="36"/>
        <w:gridCol w:w="36"/>
        <w:gridCol w:w="36"/>
        <w:gridCol w:w="120"/>
        <w:gridCol w:w="752"/>
        <w:gridCol w:w="36"/>
        <w:gridCol w:w="36"/>
        <w:gridCol w:w="36"/>
        <w:gridCol w:w="36"/>
        <w:gridCol w:w="120"/>
        <w:gridCol w:w="754"/>
        <w:gridCol w:w="36"/>
        <w:gridCol w:w="36"/>
        <w:gridCol w:w="36"/>
        <w:gridCol w:w="36"/>
        <w:gridCol w:w="120"/>
        <w:gridCol w:w="754"/>
        <w:gridCol w:w="36"/>
      </w:tblGrid>
      <w:tr w:rsidR="00000000">
        <w:trPr>
          <w:divId w:val="158085055"/>
          <w:jc w:val="center"/>
        </w:trPr>
        <w:tc>
          <w:tcPr>
            <w:tcW w:w="50" w:type="pct"/>
            <w:vAlign w:val="center"/>
            <w:hideMark/>
          </w:tcPr>
          <w:p w:rsidR="00000000" w:rsidRDefault="0040289C">
            <w:pPr>
              <w:jc w:val="both"/>
              <w:rPr>
                <w:rFonts w:eastAsia="Times New Roman"/>
              </w:rPr>
            </w:pPr>
          </w:p>
        </w:tc>
        <w:tc>
          <w:tcPr>
            <w:tcW w:w="313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1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1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1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58085055"/>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2020</w:t>
            </w:r>
          </w:p>
        </w:tc>
      </w:tr>
      <w:tr w:rsidR="00000000">
        <w:trPr>
          <w:divId w:val="15808505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5808505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808505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Foreign currency fluctuations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808505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divId w:val="1176311125"/>
              <w:rPr>
                <w:rFonts w:eastAsia="Times New Roman"/>
              </w:rPr>
            </w:pPr>
            <w:r>
              <w:rPr>
                <w:rFonts w:eastAsia="Times New Roman"/>
                <w:color w:val="000000"/>
                <w:sz w:val="20"/>
                <w:szCs w:val="20"/>
              </w:rPr>
              <w:t>Employee benefit plan</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808505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Bank-related fees</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8085055"/>
          <w:jc w:val="center"/>
        </w:trPr>
        <w:tc>
          <w:tcPr>
            <w:tcW w:w="0" w:type="auto"/>
            <w:gridSpan w:val="3"/>
            <w:vAlign w:val="center"/>
            <w:hideMark/>
          </w:tcPr>
          <w:p w:rsidR="00000000" w:rsidRDefault="0040289C">
            <w:pPr>
              <w:spacing w:after="100"/>
              <w:jc w:val="right"/>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rPr>
          <w:divId w:val="15808505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Impairment of equity investment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808505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Bargain purchase gain on acquisition</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8085055"/>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Other, net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158085055"/>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ind w:hanging="180"/>
        <w:jc w:val="both"/>
        <w:divId w:val="1382679966"/>
        <w:rPr>
          <w:rFonts w:eastAsia="Times New Roman"/>
        </w:rPr>
      </w:pPr>
      <w:r>
        <w:rPr>
          <w:rFonts w:eastAsia="Times New Roman"/>
          <w:color w:val="000000"/>
          <w:sz w:val="9"/>
          <w:szCs w:val="9"/>
        </w:rPr>
        <w:t>(1</w:t>
      </w:r>
      <w:r>
        <w:rPr>
          <w:rFonts w:eastAsia="Times New Roman"/>
          <w:color w:val="000000"/>
          <w:sz w:val="9"/>
          <w:szCs w:val="9"/>
        </w:rPr>
        <w:t>)</w:t>
      </w:r>
      <w:r>
        <w:rPr>
          <w:rFonts w:eastAsia="Times New Roman"/>
          <w:color w:val="000000"/>
          <w:sz w:val="14"/>
          <w:szCs w:val="14"/>
        </w:rPr>
        <w:t xml:space="preserve"> For the fourth quarter ended and year ended December 31, 2022, the actuarial loss related to the remeasurement of our pension plan assets and li</w:t>
      </w:r>
      <w:r>
        <w:rPr>
          <w:rFonts w:eastAsia="Times New Roman"/>
          <w:color w:val="000000"/>
          <w:sz w:val="14"/>
          <w:szCs w:val="14"/>
        </w:rPr>
        <w:t>abilities was $8 million. For the fourth quarter ended and year ended December 31, 2021, the actuarial gain related to the remeasurement of our pension plan assets and liabilities was $118 million. For the fourth quarter ended and year ended December 31, 2</w:t>
      </w:r>
      <w:r>
        <w:rPr>
          <w:rFonts w:eastAsia="Times New Roman"/>
          <w:color w:val="000000"/>
          <w:sz w:val="14"/>
          <w:szCs w:val="14"/>
        </w:rPr>
        <w:t>020, the actuarial loss related to the remeasurement of our pension plan assets and liabilities was $34 million.</w:t>
      </w:r>
    </w:p>
    <w:p w:rsidR="00000000" w:rsidRDefault="0040289C">
      <w:pPr>
        <w:ind w:hanging="180"/>
        <w:jc w:val="both"/>
        <w:divId w:val="283931474"/>
        <w:rPr>
          <w:rFonts w:eastAsia="Times New Roman"/>
        </w:rPr>
      </w:pPr>
    </w:p>
    <w:p w:rsidR="00000000" w:rsidRDefault="0040289C">
      <w:pPr>
        <w:jc w:val="both"/>
        <w:divId w:val="846135898"/>
        <w:rPr>
          <w:rFonts w:eastAsia="Times New Roman"/>
        </w:rPr>
      </w:pPr>
      <w:r>
        <w:rPr>
          <w:rFonts w:eastAsia="Times New Roman"/>
          <w:color w:val="000000"/>
          <w:sz w:val="20"/>
          <w:szCs w:val="20"/>
        </w:rPr>
        <w:t>The components of inventory are summarized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635"/>
        <w:gridCol w:w="36"/>
        <w:gridCol w:w="121"/>
        <w:gridCol w:w="1092"/>
        <w:gridCol w:w="36"/>
        <w:gridCol w:w="36"/>
        <w:gridCol w:w="36"/>
        <w:gridCol w:w="36"/>
        <w:gridCol w:w="121"/>
        <w:gridCol w:w="1081"/>
        <w:gridCol w:w="36"/>
      </w:tblGrid>
      <w:tr w:rsidR="00000000">
        <w:trPr>
          <w:divId w:val="831068348"/>
          <w:jc w:val="center"/>
        </w:trPr>
        <w:tc>
          <w:tcPr>
            <w:tcW w:w="50" w:type="pct"/>
            <w:vAlign w:val="center"/>
            <w:hideMark/>
          </w:tcPr>
          <w:p w:rsidR="00000000" w:rsidRDefault="0040289C">
            <w:pPr>
              <w:jc w:val="both"/>
              <w:rPr>
                <w:rFonts w:eastAsia="Times New Roman"/>
              </w:rPr>
            </w:pPr>
          </w:p>
        </w:tc>
        <w:tc>
          <w:tcPr>
            <w:tcW w:w="341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83"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9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831068348"/>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r>
      <w:tr w:rsidR="00000000">
        <w:trPr>
          <w:divId w:val="8310683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83106834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Work in process and raw materials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310683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31068348"/>
          <w:jc w:val="center"/>
        </w:trPr>
        <w:tc>
          <w:tcPr>
            <w:tcW w:w="0" w:type="auto"/>
            <w:gridSpan w:val="3"/>
            <w:shd w:val="clear" w:color="auto" w:fill="FFFFFF"/>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Service parts</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831068348"/>
          <w:jc w:val="center"/>
        </w:trPr>
        <w:tc>
          <w:tcPr>
            <w:tcW w:w="0" w:type="auto"/>
            <w:gridSpan w:val="3"/>
            <w:shd w:val="clear" w:color="auto" w:fill="CCEEFF"/>
            <w:tcMar>
              <w:top w:w="30" w:type="dxa"/>
              <w:left w:w="20" w:type="dxa"/>
              <w:bottom w:w="30" w:type="dxa"/>
              <w:right w:w="20" w:type="dxa"/>
            </w:tcMar>
            <w:hideMark/>
          </w:tcPr>
          <w:p w:rsidR="00000000" w:rsidRDefault="0040289C">
            <w:pPr>
              <w:spacing w:after="100"/>
              <w:rPr>
                <w:rFonts w:eastAsia="Times New Roman"/>
              </w:rPr>
            </w:pPr>
            <w:r>
              <w:rPr>
                <w:rFonts w:eastAsia="Times New Roman"/>
                <w:b/>
                <w:bCs/>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bl>
    <w:p w:rsidR="00000000" w:rsidRDefault="0040289C">
      <w:pPr>
        <w:divId w:val="83503300"/>
        <w:rPr>
          <w:rFonts w:eastAsia="Times New Roman"/>
        </w:rPr>
      </w:pPr>
    </w:p>
    <w:p w:rsidR="00000000" w:rsidRDefault="0040289C">
      <w:pPr>
        <w:divId w:val="1949504921"/>
        <w:rPr>
          <w:rFonts w:eastAsia="Times New Roman"/>
        </w:rPr>
      </w:pPr>
      <w:r>
        <w:rPr>
          <w:rFonts w:eastAsia="Times New Roman"/>
          <w:color w:val="000000"/>
          <w:sz w:val="20"/>
          <w:szCs w:val="20"/>
        </w:rPr>
        <w:t>The components of property, plant and equipment, net are summarized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598"/>
        <w:gridCol w:w="37"/>
        <w:gridCol w:w="121"/>
        <w:gridCol w:w="1116"/>
        <w:gridCol w:w="36"/>
        <w:gridCol w:w="36"/>
        <w:gridCol w:w="36"/>
        <w:gridCol w:w="36"/>
        <w:gridCol w:w="121"/>
        <w:gridCol w:w="1080"/>
        <w:gridCol w:w="36"/>
      </w:tblGrid>
      <w:tr w:rsidR="00000000">
        <w:trPr>
          <w:divId w:val="984548391"/>
          <w:jc w:val="center"/>
        </w:trPr>
        <w:tc>
          <w:tcPr>
            <w:tcW w:w="50" w:type="pct"/>
            <w:vAlign w:val="center"/>
            <w:hideMark/>
          </w:tcPr>
          <w:p w:rsidR="00000000" w:rsidRDefault="0040289C">
            <w:pPr>
              <w:rPr>
                <w:rFonts w:eastAsia="Times New Roman"/>
              </w:rPr>
            </w:pPr>
          </w:p>
        </w:tc>
        <w:tc>
          <w:tcPr>
            <w:tcW w:w="340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9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69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984548391"/>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December 31, 2021</w:t>
            </w:r>
          </w:p>
        </w:tc>
      </w:tr>
      <w:tr w:rsidR="00000000">
        <w:trPr>
          <w:divId w:val="984548391"/>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Property, plant and equipment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984548391"/>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Land and improvements</w:t>
            </w: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4548391"/>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Buildings and improvements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298 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4548391"/>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Machinery and other equipment</w:t>
            </w: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1,257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1,142 </w:t>
            </w:r>
          </w:p>
        </w:tc>
        <w:tc>
          <w:tcPr>
            <w:tcW w:w="0" w:type="auto"/>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4548391"/>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Finance lease assets</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4548391"/>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Property, plant and equipment,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1,601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1,505 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4548391"/>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Less: 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(938)</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(802)</w:t>
            </w:r>
          </w:p>
        </w:tc>
        <w:tc>
          <w:tcPr>
            <w:tcW w:w="0" w:type="auto"/>
            <w:shd w:val="clear" w:color="auto" w:fill="CCEE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4548391"/>
          <w:jc w:val="center"/>
        </w:trPr>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20"/>
                <w:szCs w:val="20"/>
              </w:rPr>
              <w:t>Total property, plant and equipment, net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b/>
                <w:bCs/>
                <w:color w:val="000000"/>
                <w:sz w:val="20"/>
                <w:szCs w:val="20"/>
              </w:rPr>
              <w:t>663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40289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40289C">
            <w:pPr>
              <w:spacing w:after="100"/>
              <w:jc w:val="right"/>
              <w:rPr>
                <w:rFonts w:eastAsia="Times New Roman"/>
              </w:rPr>
            </w:pPr>
            <w:r>
              <w:rPr>
                <w:rFonts w:eastAsia="Times New Roman"/>
                <w:color w:val="000000"/>
                <w:sz w:val="20"/>
                <w:szCs w:val="20"/>
              </w:rPr>
              <w:t>703 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40289C">
            <w:pPr>
              <w:spacing w:after="100"/>
              <w:jc w:val="right"/>
              <w:rPr>
                <w:rFonts w:eastAsia="Times New Roman"/>
              </w:rPr>
            </w:pPr>
          </w:p>
        </w:tc>
      </w:tr>
      <w:tr w:rsidR="00000000">
        <w:trPr>
          <w:divId w:val="984548391"/>
          <w:trHeight w:val="300"/>
          <w:jc w:val="center"/>
        </w:trPr>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divId w:val="1495949214"/>
        <w:rPr>
          <w:rFonts w:eastAsia="Times New Roman"/>
        </w:rPr>
      </w:pPr>
    </w:p>
    <w:p w:rsidR="00000000" w:rsidRDefault="0040289C">
      <w:pPr>
        <w:jc w:val="center"/>
        <w:divId w:val="1417288294"/>
        <w:rPr>
          <w:rFonts w:eastAsia="Times New Roman"/>
        </w:rPr>
      </w:pPr>
      <w:r>
        <w:rPr>
          <w:rFonts w:eastAsia="Times New Roman"/>
          <w:color w:val="000000"/>
          <w:sz w:val="20"/>
          <w:szCs w:val="20"/>
        </w:rPr>
        <w:t>123</w:t>
      </w:r>
    </w:p>
    <w:p w:rsidR="00000000" w:rsidRDefault="0040289C">
      <w:pPr>
        <w:rPr>
          <w:rFonts w:eastAsia="Times New Roman"/>
        </w:rPr>
      </w:pPr>
      <w:r>
        <w:rPr>
          <w:rFonts w:eastAsia="Times New Roman"/>
        </w:rPr>
        <w:pict>
          <v:rect id="_x0000_i1153" style="width:0;height:1.5pt" o:hralign="center" o:hrstd="t" o:hr="t" fillcolor="#a0a0a0" stroked="f"/>
        </w:pict>
      </w:r>
    </w:p>
    <w:p w:rsidR="00000000" w:rsidRDefault="0040289C">
      <w:pPr>
        <w:divId w:val="703942042"/>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664476327"/>
        <w:rPr>
          <w:rFonts w:eastAsia="Times New Roman"/>
        </w:rPr>
      </w:pPr>
    </w:p>
    <w:p w:rsidR="00000000" w:rsidRDefault="0040289C">
      <w:pPr>
        <w:ind w:hanging="1080"/>
        <w:divId w:val="1147043660"/>
        <w:rPr>
          <w:rFonts w:eastAsia="Times New Roman"/>
        </w:rPr>
      </w:pPr>
      <w:r>
        <w:rPr>
          <w:rFonts w:eastAsia="Times New Roman"/>
          <w:b/>
          <w:bCs/>
          <w:color w:val="000000"/>
          <w:sz w:val="20"/>
          <w:szCs w:val="20"/>
        </w:rPr>
        <w:t>Item 9.    CHANGES IN AND DISAGREEMENTS WITH ACCOUNTANTS ON ACCOUNTING AND FINANCIAL DISCLOSURE</w:t>
      </w:r>
    </w:p>
    <w:p w:rsidR="00000000" w:rsidRDefault="0040289C">
      <w:pPr>
        <w:divId w:val="999040128"/>
        <w:rPr>
          <w:rFonts w:eastAsia="Times New Roman"/>
        </w:rPr>
      </w:pPr>
    </w:p>
    <w:p w:rsidR="00000000" w:rsidRDefault="0040289C">
      <w:pPr>
        <w:divId w:val="1180583623"/>
        <w:rPr>
          <w:rFonts w:eastAsia="Times New Roman"/>
        </w:rPr>
      </w:pPr>
      <w:r>
        <w:rPr>
          <w:rFonts w:eastAsia="Times New Roman"/>
          <w:color w:val="000000"/>
          <w:sz w:val="20"/>
          <w:szCs w:val="20"/>
        </w:rPr>
        <w:t xml:space="preserve">None. </w:t>
      </w:r>
    </w:p>
    <w:p w:rsidR="00000000" w:rsidRDefault="0040289C">
      <w:pPr>
        <w:divId w:val="1364751011"/>
        <w:rPr>
          <w:rFonts w:eastAsia="Times New Roman"/>
        </w:rPr>
      </w:pPr>
    </w:p>
    <w:p w:rsidR="00000000" w:rsidRDefault="0040289C">
      <w:pPr>
        <w:jc w:val="center"/>
        <w:divId w:val="26105896"/>
        <w:rPr>
          <w:rFonts w:eastAsia="Times New Roman"/>
        </w:rPr>
      </w:pPr>
      <w:r>
        <w:rPr>
          <w:rFonts w:eastAsia="Times New Roman"/>
          <w:color w:val="000000"/>
          <w:sz w:val="20"/>
          <w:szCs w:val="20"/>
        </w:rPr>
        <w:t>124</w:t>
      </w:r>
    </w:p>
    <w:p w:rsidR="00000000" w:rsidRDefault="0040289C">
      <w:pPr>
        <w:rPr>
          <w:rFonts w:eastAsia="Times New Roman"/>
        </w:rPr>
      </w:pPr>
      <w:r>
        <w:rPr>
          <w:rFonts w:eastAsia="Times New Roman"/>
        </w:rPr>
        <w:pict>
          <v:rect id="_x0000_i1154" style="width:0;height:1.5pt" o:hralign="center" o:hrstd="t" o:hr="t" fillcolor="#a0a0a0" stroked="f"/>
        </w:pict>
      </w:r>
    </w:p>
    <w:p w:rsidR="00000000" w:rsidRDefault="0040289C">
      <w:pPr>
        <w:divId w:val="12874483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1344891010"/>
        <w:rPr>
          <w:rFonts w:eastAsia="Times New Roman"/>
        </w:rPr>
      </w:pPr>
    </w:p>
    <w:p w:rsidR="00000000" w:rsidRDefault="0040289C">
      <w:pPr>
        <w:ind w:hanging="1170"/>
        <w:jc w:val="both"/>
        <w:rPr>
          <w:rFonts w:eastAsia="Times New Roman"/>
        </w:rPr>
      </w:pPr>
      <w:r>
        <w:rPr>
          <w:rFonts w:eastAsia="Times New Roman"/>
          <w:b/>
          <w:bCs/>
          <w:color w:val="000000"/>
          <w:sz w:val="20"/>
          <w:szCs w:val="20"/>
        </w:rPr>
        <w:t>Item 9A.    CONTROLS AND PROCEDURES</w:t>
      </w:r>
    </w:p>
    <w:p w:rsidR="00000000" w:rsidRDefault="0040289C">
      <w:pPr>
        <w:jc w:val="both"/>
        <w:rPr>
          <w:rFonts w:eastAsia="Times New Roman"/>
        </w:rPr>
      </w:pPr>
    </w:p>
    <w:p w:rsidR="00000000" w:rsidRDefault="0040289C">
      <w:pPr>
        <w:jc w:val="both"/>
        <w:rPr>
          <w:rFonts w:eastAsia="Times New Roman"/>
        </w:rPr>
      </w:pPr>
      <w:r>
        <w:rPr>
          <w:rFonts w:eastAsia="Times New Roman"/>
          <w:b/>
          <w:bCs/>
          <w:color w:val="000000"/>
          <w:sz w:val="20"/>
          <w:szCs w:val="20"/>
        </w:rPr>
        <w:t>Evaluation of Disclosure Controls and Procedures</w:t>
      </w:r>
    </w:p>
    <w:p w:rsidR="00000000" w:rsidRDefault="0040289C">
      <w:pPr>
        <w:jc w:val="both"/>
        <w:divId w:val="948780023"/>
        <w:rPr>
          <w:rFonts w:eastAsia="Times New Roman"/>
        </w:rPr>
      </w:pPr>
      <w:r>
        <w:rPr>
          <w:rFonts w:eastAsia="Times New Roman"/>
          <w:color w:val="000000"/>
          <w:sz w:val="20"/>
          <w:szCs w:val="20"/>
        </w:rPr>
        <w:t>NCR has established disclosure controls and procedures</w:t>
      </w:r>
      <w:r>
        <w:rPr>
          <w:rFonts w:eastAsia="Times New Roman"/>
          <w:color w:val="000000"/>
          <w:sz w:val="20"/>
          <w:szCs w:val="20"/>
        </w:rPr>
        <w:t xml:space="preserve"> (as defined in Rules 13a-15(e) and 15d-15(e) of the Securities Exchange Act of 1934 (the “Exchange Act”)) to provide reasonable assurance that information required to be disclosed by NCR in the reports that it files or submits under the Exchange Act is re</w:t>
      </w:r>
      <w:r>
        <w:rPr>
          <w:rFonts w:eastAsia="Times New Roman"/>
          <w:color w:val="000000"/>
          <w:sz w:val="20"/>
          <w:szCs w:val="20"/>
        </w:rPr>
        <w:t>corded, processed, summarized and reported within the time periods specified in the SEC’s rules and forms. Disclosure controls and procedures include, without limitation, controls and procedures designed to provide reasonable assurance that information req</w:t>
      </w:r>
      <w:r>
        <w:rPr>
          <w:rFonts w:eastAsia="Times New Roman"/>
          <w:color w:val="000000"/>
          <w:sz w:val="20"/>
          <w:szCs w:val="20"/>
        </w:rPr>
        <w:t xml:space="preserve">uired to be disclosed by NCR in the reports that it files or submits under the Exchange Act is accumulated and communicated to NCR’s management, including its Chief Executive and Chief Financial Officers, as appropriate to allow timely decisions regarding </w:t>
      </w:r>
      <w:r>
        <w:rPr>
          <w:rFonts w:eastAsia="Times New Roman"/>
          <w:color w:val="000000"/>
          <w:sz w:val="20"/>
          <w:szCs w:val="20"/>
        </w:rPr>
        <w:t>required disclosure. Based on their evaluation as of December 31, 2022, conducted under their supervision and with the participation of management, the Company’s Chief Executive and Chief Financial Officers have concluded that NCR’s disclosure controls and</w:t>
      </w:r>
      <w:r>
        <w:rPr>
          <w:rFonts w:eastAsia="Times New Roman"/>
          <w:color w:val="000000"/>
          <w:sz w:val="20"/>
          <w:szCs w:val="20"/>
        </w:rPr>
        <w:t xml:space="preserve"> procedures are effective to meet such objectives and that NCR’s disclosure controls and procedures adequately alert them on a timely basis to material information relating to the Company (including its consolidated subsidiaries) required to be included in</w:t>
      </w:r>
      <w:r>
        <w:rPr>
          <w:rFonts w:eastAsia="Times New Roman"/>
          <w:color w:val="000000"/>
          <w:sz w:val="20"/>
          <w:szCs w:val="20"/>
        </w:rPr>
        <w:t xml:space="preserve"> NCR’s Exchange Act filings. </w:t>
      </w:r>
    </w:p>
    <w:p w:rsidR="00000000" w:rsidRDefault="0040289C">
      <w:pPr>
        <w:ind w:firstLine="225"/>
        <w:jc w:val="both"/>
        <w:rPr>
          <w:rFonts w:eastAsia="Times New Roman"/>
        </w:rPr>
      </w:pPr>
    </w:p>
    <w:p w:rsidR="00000000" w:rsidRDefault="0040289C">
      <w:pPr>
        <w:jc w:val="both"/>
        <w:rPr>
          <w:rFonts w:eastAsia="Times New Roman"/>
        </w:rPr>
      </w:pPr>
      <w:r>
        <w:rPr>
          <w:rFonts w:eastAsia="Times New Roman"/>
          <w:b/>
          <w:bCs/>
          <w:color w:val="000000"/>
          <w:sz w:val="20"/>
          <w:szCs w:val="20"/>
        </w:rPr>
        <w:t>Changes in Internal Control over Financial Reporting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In 2022 we began implementing a new enterprise resource planning (“ERP”</w:t>
      </w:r>
      <w:r>
        <w:rPr>
          <w:rFonts w:eastAsia="Times New Roman"/>
          <w:color w:val="000000"/>
          <w:sz w:val="20"/>
          <w:szCs w:val="20"/>
        </w:rPr>
        <w:t>) system. The ERP system is designed to accurately maintain our financial records used to report operating results. On a quarterly basis, we will continue to evaluate whether there are material changes that impact our internal control over financial report</w:t>
      </w:r>
      <w:r>
        <w:rPr>
          <w:rFonts w:eastAsia="Times New Roman"/>
          <w:color w:val="000000"/>
          <w:sz w:val="20"/>
          <w:szCs w:val="20"/>
        </w:rPr>
        <w:t>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Other than the ERP implementation, there have been no changes in our internal control over financial reporting that occurred during the last fiscal quarter that have materially affected, or are reasonably likely to materially affect, our internal co</w:t>
      </w:r>
      <w:r>
        <w:rPr>
          <w:rFonts w:eastAsia="Times New Roman"/>
          <w:color w:val="000000"/>
          <w:sz w:val="20"/>
          <w:szCs w:val="20"/>
        </w:rPr>
        <w:t>ntrol over financial reporting.</w:t>
      </w:r>
    </w:p>
    <w:p w:rsidR="00000000" w:rsidRDefault="0040289C">
      <w:pPr>
        <w:divId w:val="82651178"/>
        <w:rPr>
          <w:rFonts w:eastAsia="Times New Roman"/>
        </w:rPr>
      </w:pPr>
    </w:p>
    <w:p w:rsidR="00000000" w:rsidRDefault="0040289C">
      <w:pPr>
        <w:jc w:val="both"/>
        <w:rPr>
          <w:rFonts w:eastAsia="Times New Roman"/>
        </w:rPr>
      </w:pPr>
      <w:r>
        <w:rPr>
          <w:rFonts w:eastAsia="Times New Roman"/>
          <w:b/>
          <w:bCs/>
          <w:color w:val="000000"/>
          <w:sz w:val="20"/>
          <w:szCs w:val="20"/>
        </w:rPr>
        <w:t>Management’s Report on Internal Control over Financial Reporting</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Management is responsible for establishing and maintaining effective internal control over financial reporting as defined in Rules 13a-15(f) and 15d-15(f) </w:t>
      </w:r>
      <w:r>
        <w:rPr>
          <w:rFonts w:eastAsia="Times New Roman"/>
          <w:color w:val="000000"/>
          <w:sz w:val="20"/>
          <w:szCs w:val="20"/>
        </w:rPr>
        <w:t>under the Exchange Act. The Company’s internal control over financial reporting is a process designed to provide reasonable assurance regarding the reliability of financial reporting and the preparation of financial statements for external purposes in acco</w:t>
      </w:r>
      <w:r>
        <w:rPr>
          <w:rFonts w:eastAsia="Times New Roman"/>
          <w:color w:val="000000"/>
          <w:sz w:val="20"/>
          <w:szCs w:val="20"/>
        </w:rPr>
        <w:t xml:space="preserve">rdance with generally accepted accounting principles. A company’s internal control over financial reporting includes those policies and procedures that (i) pertain to the maintenance of records that, in reasonable detail, accurately and fairly reflect the </w:t>
      </w:r>
      <w:r>
        <w:rPr>
          <w:rFonts w:eastAsia="Times New Roman"/>
          <w:color w:val="000000"/>
          <w:sz w:val="20"/>
          <w:szCs w:val="20"/>
        </w:rPr>
        <w:t>transactions and dispositions of the assets of the company; (ii) provide reasonable assurance that transactions are recorded as necessary to permit preparation of financial statements in accordance with generally accepted accounting principles, and that re</w:t>
      </w:r>
      <w:r>
        <w:rPr>
          <w:rFonts w:eastAsia="Times New Roman"/>
          <w:color w:val="000000"/>
          <w:sz w:val="20"/>
          <w:szCs w:val="20"/>
        </w:rPr>
        <w:t>ceipts and expenditures of the company are being made only in accordance with authorizations of management and directors of the company; and (iii) provide reasonable assurance regarding prevention or timely detection of unauthorized acquisition, use, or di</w:t>
      </w:r>
      <w:r>
        <w:rPr>
          <w:rFonts w:eastAsia="Times New Roman"/>
          <w:color w:val="000000"/>
          <w:sz w:val="20"/>
          <w:szCs w:val="20"/>
        </w:rPr>
        <w:t>sposition of the company’s assets that could have a material effect on the financial statements.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Because of its inherent limitations due to, for example, the potential for human error or circumvention of controls, internal control over financial reportin</w:t>
      </w:r>
      <w:r>
        <w:rPr>
          <w:rFonts w:eastAsia="Times New Roman"/>
          <w:color w:val="000000"/>
          <w:sz w:val="20"/>
          <w:szCs w:val="20"/>
        </w:rPr>
        <w:t>g may not prevent or detect misstatements. Also, projections of any evaluation of effectiveness to future periods are subject to the risk that controls may become inadequate because of changes in conditions, or that the degree of compliance with the polici</w:t>
      </w:r>
      <w:r>
        <w:rPr>
          <w:rFonts w:eastAsia="Times New Roman"/>
          <w:color w:val="000000"/>
          <w:sz w:val="20"/>
          <w:szCs w:val="20"/>
        </w:rPr>
        <w:t>es or procedures may deteriorate.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Company’s management assessed the effectiveness of the Company’s internal control over financial reporting as of December 31, 2022. In making this assessment, we used the criteria set forth by the Committee of Sponso</w:t>
      </w:r>
      <w:r>
        <w:rPr>
          <w:rFonts w:eastAsia="Times New Roman"/>
          <w:color w:val="000000"/>
          <w:sz w:val="20"/>
          <w:szCs w:val="20"/>
        </w:rPr>
        <w:t>ring Organizations of the Treadway Commission (“COSO”) in the 2013 Internal Control-Integrated Framework. Based on our assessment, we determined that, as of December 31, 2022, the Company’s internal control over financial reporting was effective based on t</w:t>
      </w:r>
      <w:r>
        <w:rPr>
          <w:rFonts w:eastAsia="Times New Roman"/>
          <w:color w:val="000000"/>
          <w:sz w:val="20"/>
          <w:szCs w:val="20"/>
        </w:rPr>
        <w:t>hose criteria.</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PricewaterhouseCoopers LLP, our independent registered public accounting firm, has audited the effectiveness of the Company’s internal control over financial reporting as of December 31, 2022 as stated in their report which appears in Item</w:t>
      </w:r>
      <w:r>
        <w:rPr>
          <w:rFonts w:eastAsia="Times New Roman"/>
          <w:color w:val="000000"/>
          <w:sz w:val="20"/>
          <w:szCs w:val="20"/>
        </w:rPr>
        <w:t xml:space="preserve"> 8 of this Report.</w:t>
      </w:r>
    </w:p>
    <w:p w:rsidR="00000000" w:rsidRDefault="0040289C">
      <w:pPr>
        <w:jc w:val="both"/>
        <w:rPr>
          <w:rFonts w:eastAsia="Times New Roman"/>
        </w:rPr>
      </w:pPr>
    </w:p>
    <w:p w:rsidR="00000000" w:rsidRDefault="0040289C">
      <w:pPr>
        <w:jc w:val="center"/>
        <w:divId w:val="1849825021"/>
        <w:rPr>
          <w:rFonts w:eastAsia="Times New Roman"/>
        </w:rPr>
      </w:pPr>
      <w:r>
        <w:rPr>
          <w:rFonts w:eastAsia="Times New Roman"/>
          <w:color w:val="000000"/>
          <w:sz w:val="20"/>
          <w:szCs w:val="20"/>
        </w:rPr>
        <w:t>125</w:t>
      </w:r>
    </w:p>
    <w:p w:rsidR="00000000" w:rsidRDefault="0040289C">
      <w:pPr>
        <w:rPr>
          <w:rFonts w:eastAsia="Times New Roman"/>
        </w:rPr>
      </w:pPr>
      <w:r>
        <w:rPr>
          <w:rFonts w:eastAsia="Times New Roman"/>
        </w:rPr>
        <w:pict>
          <v:rect id="_x0000_i1155" style="width:0;height:1.5pt" o:hralign="center" o:hrstd="t" o:hr="t" fillcolor="#a0a0a0" stroked="f"/>
        </w:pict>
      </w:r>
    </w:p>
    <w:p w:rsidR="00000000" w:rsidRDefault="0040289C">
      <w:pPr>
        <w:divId w:val="89123656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1744645997"/>
        <w:rPr>
          <w:rFonts w:eastAsia="Times New Roman"/>
        </w:rPr>
      </w:pPr>
    </w:p>
    <w:p w:rsidR="00000000" w:rsidRDefault="0040289C">
      <w:pPr>
        <w:divId w:val="1284924858"/>
        <w:rPr>
          <w:rFonts w:eastAsia="Times New Roman"/>
        </w:rPr>
      </w:pPr>
      <w:r>
        <w:rPr>
          <w:rFonts w:eastAsia="Times New Roman"/>
          <w:b/>
          <w:bCs/>
          <w:color w:val="000000"/>
          <w:sz w:val="20"/>
          <w:szCs w:val="20"/>
        </w:rPr>
        <w:t>Item 9B.    OTHER INFORMATION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None. </w:t>
      </w:r>
    </w:p>
    <w:p w:rsidR="00000000" w:rsidRDefault="0040289C">
      <w:pPr>
        <w:jc w:val="both"/>
        <w:rPr>
          <w:rFonts w:eastAsia="Times New Roman"/>
        </w:rPr>
      </w:pPr>
    </w:p>
    <w:p w:rsidR="00000000" w:rsidRDefault="0040289C">
      <w:pPr>
        <w:divId w:val="1178544302"/>
        <w:rPr>
          <w:rFonts w:eastAsia="Times New Roman"/>
        </w:rPr>
      </w:pPr>
      <w:r>
        <w:rPr>
          <w:rFonts w:eastAsia="Times New Roman"/>
          <w:b/>
          <w:bCs/>
          <w:color w:val="000000"/>
          <w:sz w:val="20"/>
          <w:szCs w:val="20"/>
        </w:rPr>
        <w:t>Item 9C.    DISCLOSURE REGARDING FOREIGN JURISDICTIONS THAT PREVENT INSPEC</w:t>
      </w:r>
      <w:r>
        <w:rPr>
          <w:rFonts w:eastAsia="Times New Roman"/>
          <w:b/>
          <w:bCs/>
          <w:color w:val="000000"/>
          <w:sz w:val="20"/>
          <w:szCs w:val="20"/>
        </w:rPr>
        <w:t>TIONS</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None. </w:t>
      </w:r>
    </w:p>
    <w:p w:rsidR="00000000" w:rsidRDefault="0040289C">
      <w:pPr>
        <w:jc w:val="center"/>
        <w:divId w:val="669529456"/>
        <w:rPr>
          <w:rFonts w:eastAsia="Times New Roman"/>
        </w:rPr>
      </w:pPr>
      <w:r>
        <w:rPr>
          <w:rFonts w:eastAsia="Times New Roman"/>
          <w:color w:val="000000"/>
          <w:sz w:val="20"/>
          <w:szCs w:val="20"/>
        </w:rPr>
        <w:t>126</w:t>
      </w:r>
    </w:p>
    <w:p w:rsidR="00000000" w:rsidRDefault="0040289C">
      <w:pPr>
        <w:rPr>
          <w:rFonts w:eastAsia="Times New Roman"/>
        </w:rPr>
      </w:pPr>
      <w:r>
        <w:rPr>
          <w:rFonts w:eastAsia="Times New Roman"/>
        </w:rPr>
        <w:pict>
          <v:rect id="_x0000_i1156" style="width:0;height:1.5pt" o:hralign="center" o:hrstd="t" o:hr="t" fillcolor="#a0a0a0" stroked="f"/>
        </w:pict>
      </w:r>
    </w:p>
    <w:p w:rsidR="00000000" w:rsidRDefault="0040289C">
      <w:pPr>
        <w:divId w:val="1384718079"/>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599720875"/>
        <w:rPr>
          <w:rFonts w:eastAsia="Times New Roman"/>
        </w:rPr>
      </w:pPr>
    </w:p>
    <w:p w:rsidR="00000000" w:rsidRDefault="0040289C">
      <w:pPr>
        <w:jc w:val="center"/>
        <w:rPr>
          <w:rFonts w:eastAsia="Times New Roman"/>
        </w:rPr>
      </w:pPr>
      <w:r>
        <w:rPr>
          <w:rFonts w:eastAsia="Times New Roman"/>
          <w:b/>
          <w:bCs/>
          <w:color w:val="000000"/>
          <w:sz w:val="20"/>
          <w:szCs w:val="20"/>
        </w:rPr>
        <w:t>PART III</w:t>
      </w:r>
    </w:p>
    <w:p w:rsidR="00000000" w:rsidRDefault="0040289C">
      <w:pPr>
        <w:divId w:val="824399504"/>
        <w:rPr>
          <w:rFonts w:eastAsia="Times New Roman"/>
        </w:rPr>
      </w:pPr>
    </w:p>
    <w:p w:rsidR="00000000" w:rsidRDefault="0040289C">
      <w:pPr>
        <w:ind w:hanging="1170"/>
        <w:jc w:val="both"/>
        <w:rPr>
          <w:rFonts w:eastAsia="Times New Roman"/>
        </w:rPr>
      </w:pPr>
    </w:p>
    <w:p w:rsidR="00000000" w:rsidRDefault="0040289C">
      <w:pPr>
        <w:ind w:hanging="1170"/>
        <w:jc w:val="both"/>
        <w:rPr>
          <w:rFonts w:eastAsia="Times New Roman"/>
        </w:rPr>
      </w:pPr>
      <w:r>
        <w:rPr>
          <w:rFonts w:eastAsia="Times New Roman"/>
          <w:b/>
          <w:bCs/>
          <w:color w:val="000000"/>
          <w:sz w:val="20"/>
          <w:szCs w:val="20"/>
        </w:rPr>
        <w:t>Item 10.    DIRECTORS, EXECUTIVE OFFICERS AND CORPORATE GOVERNANCE</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Except as set forth in the following paragraphs of this Ite</w:t>
      </w:r>
      <w:r>
        <w:rPr>
          <w:rFonts w:eastAsia="Times New Roman"/>
          <w:color w:val="000000"/>
          <w:sz w:val="20"/>
          <w:szCs w:val="20"/>
        </w:rPr>
        <w:t>m 10, the information required by this Item 10 will be set forth under the headings “Election of Directors,” “Delinquent Section 16(a) Reports” (if applicable) and “Committees of the Board” in the Definitive Proxy Statement for our 2023 Annual Meeting of S</w:t>
      </w:r>
      <w:r>
        <w:rPr>
          <w:rFonts w:eastAsia="Times New Roman"/>
          <w:color w:val="000000"/>
          <w:sz w:val="20"/>
          <w:szCs w:val="20"/>
        </w:rPr>
        <w:t>tockholders to be filed with the SEC within 120 days after the end of our fiscal 2022 year, and is incorporated herein by reference. The information required by this Item 10 regarding our executive officers is set forth under the heading “Information about</w:t>
      </w:r>
      <w:r>
        <w:rPr>
          <w:rFonts w:eastAsia="Times New Roman"/>
          <w:color w:val="000000"/>
          <w:sz w:val="20"/>
          <w:szCs w:val="20"/>
        </w:rPr>
        <w:t xml:space="preserve"> our Executive Officers” in Part I of this Form 10-K and is incorporated herein by reference.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We have not materially changed the procedures by which stockholders may recommend nominees to the Company’s Board of Directors.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We have a Code of Conduct that sets the standard for ethics and compliance for all of our directors and employees, including our principal executive officer, our principal financial officer and our principal accounting officer. Our Code of Conduct is avail</w:t>
      </w:r>
      <w:r>
        <w:rPr>
          <w:rFonts w:eastAsia="Times New Roman"/>
          <w:color w:val="000000"/>
          <w:sz w:val="20"/>
          <w:szCs w:val="20"/>
        </w:rPr>
        <w:t>able on the Corporate Governance page at our website at http://www.ncr.com/company/corporate-governance/code-of-conduct under the heading “Code of Conduct.” We intend to disclose any amendments to or waivers of the Code of Conduct with respect to any direc</w:t>
      </w:r>
      <w:r>
        <w:rPr>
          <w:rFonts w:eastAsia="Times New Roman"/>
          <w:color w:val="000000"/>
          <w:sz w:val="20"/>
          <w:szCs w:val="20"/>
        </w:rPr>
        <w:t xml:space="preserve">tor as well as our principal executive officer, principal financial officer, and principal accounting officer, on the Corporate Governance page of our website promptly following the date of such amendment or waiver. </w:t>
      </w:r>
    </w:p>
    <w:p w:rsidR="00000000" w:rsidRDefault="0040289C">
      <w:pPr>
        <w:divId w:val="105662460"/>
        <w:rPr>
          <w:rFonts w:eastAsia="Times New Roman"/>
        </w:rPr>
      </w:pPr>
    </w:p>
    <w:p w:rsidR="00000000" w:rsidRDefault="0040289C">
      <w:pPr>
        <w:ind w:hanging="1170"/>
        <w:jc w:val="both"/>
        <w:rPr>
          <w:rFonts w:eastAsia="Times New Roman"/>
        </w:rPr>
      </w:pPr>
      <w:r>
        <w:rPr>
          <w:rFonts w:eastAsia="Times New Roman"/>
          <w:b/>
          <w:bCs/>
          <w:color w:val="000000"/>
          <w:sz w:val="20"/>
          <w:szCs w:val="20"/>
        </w:rPr>
        <w:t>Item 11.    EXECUTIVE COMPENSATION</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The information required by this Item 11 will be set forth under the headings “Executive Compensation - Compensation Discussion &amp; Analysis,” “Compensation and Human Resource Committee,” “Director Compensation,” and “Board and Compensation and Human Resourc</w:t>
      </w:r>
      <w:r>
        <w:rPr>
          <w:rFonts w:eastAsia="Times New Roman"/>
          <w:color w:val="000000"/>
          <w:sz w:val="20"/>
          <w:szCs w:val="20"/>
        </w:rPr>
        <w:t xml:space="preserve">e Committee Report on Executive Compensation” in the Definitive Proxy Statement for our 2023 Annual Meeting of Stockholders to be filed with the SEC within 120 days after the end of our fiscal 2022 year, and is incorporated herein by reference. </w:t>
      </w:r>
    </w:p>
    <w:p w:rsidR="00000000" w:rsidRDefault="0040289C">
      <w:pPr>
        <w:divId w:val="1007052787"/>
        <w:rPr>
          <w:rFonts w:eastAsia="Times New Roman"/>
        </w:rPr>
      </w:pPr>
    </w:p>
    <w:p w:rsidR="00000000" w:rsidRDefault="0040289C">
      <w:pPr>
        <w:ind w:hanging="1170"/>
        <w:divId w:val="229924859"/>
        <w:rPr>
          <w:rFonts w:eastAsia="Times New Roman"/>
        </w:rPr>
      </w:pPr>
      <w:r>
        <w:rPr>
          <w:rFonts w:eastAsia="Times New Roman"/>
          <w:b/>
          <w:bCs/>
          <w:color w:val="000000"/>
          <w:sz w:val="20"/>
          <w:szCs w:val="20"/>
        </w:rPr>
        <w:t>Item 12.</w:t>
      </w:r>
      <w:r>
        <w:rPr>
          <w:rFonts w:eastAsia="Times New Roman"/>
          <w:b/>
          <w:bCs/>
          <w:color w:val="000000"/>
          <w:sz w:val="20"/>
          <w:szCs w:val="20"/>
        </w:rPr>
        <w:t>    SECURITY OWNERSHIPS OF CERTAIN BENEFICIAL OWNERS AND MANAGEMENT AND RELATED STOCKHOLDER MATTERS</w:t>
      </w:r>
    </w:p>
    <w:p w:rsidR="00000000" w:rsidRDefault="0040289C">
      <w:pPr>
        <w:divId w:val="941646415"/>
        <w:rPr>
          <w:rFonts w:eastAsia="Times New Roman"/>
        </w:rPr>
      </w:pPr>
    </w:p>
    <w:p w:rsidR="00000000" w:rsidRDefault="0040289C">
      <w:pPr>
        <w:jc w:val="both"/>
        <w:rPr>
          <w:rFonts w:eastAsia="Times New Roman"/>
        </w:rPr>
      </w:pPr>
      <w:r>
        <w:rPr>
          <w:rFonts w:eastAsia="Times New Roman"/>
          <w:color w:val="000000"/>
          <w:sz w:val="20"/>
          <w:szCs w:val="20"/>
        </w:rPr>
        <w:t>The information required by this Item 12 will be set forth under the headings “Security Ownership of Certain Beneficial Owners and Management” and “Equity</w:t>
      </w:r>
      <w:r>
        <w:rPr>
          <w:rFonts w:eastAsia="Times New Roman"/>
          <w:color w:val="000000"/>
          <w:sz w:val="20"/>
          <w:szCs w:val="20"/>
        </w:rPr>
        <w:t xml:space="preserve"> Compensation Plan Information Table” in the Definitive Proxy Statement for our 2023 Annual Meeting of Stockholders to be filed with the SEC within 120 days after the end of our fiscal 2022 year, and is incorporated herein by reference. </w:t>
      </w:r>
    </w:p>
    <w:p w:rsidR="00000000" w:rsidRDefault="0040289C">
      <w:pPr>
        <w:divId w:val="375357433"/>
        <w:rPr>
          <w:rFonts w:eastAsia="Times New Roman"/>
        </w:rPr>
      </w:pPr>
    </w:p>
    <w:p w:rsidR="00000000" w:rsidRDefault="0040289C">
      <w:pPr>
        <w:divId w:val="789401957"/>
        <w:rPr>
          <w:rFonts w:eastAsia="Times New Roman"/>
        </w:rPr>
      </w:pPr>
    </w:p>
    <w:p w:rsidR="00000000" w:rsidRDefault="0040289C">
      <w:pPr>
        <w:ind w:hanging="1440"/>
        <w:divId w:val="738525374"/>
        <w:rPr>
          <w:rFonts w:eastAsia="Times New Roman"/>
        </w:rPr>
      </w:pPr>
      <w:r>
        <w:rPr>
          <w:rFonts w:eastAsia="Times New Roman"/>
          <w:b/>
          <w:bCs/>
          <w:color w:val="000000"/>
          <w:sz w:val="20"/>
          <w:szCs w:val="20"/>
        </w:rPr>
        <w:t>Item 13.    CE</w:t>
      </w:r>
      <w:r>
        <w:rPr>
          <w:rFonts w:eastAsia="Times New Roman"/>
          <w:b/>
          <w:bCs/>
          <w:color w:val="000000"/>
          <w:sz w:val="20"/>
          <w:szCs w:val="20"/>
        </w:rPr>
        <w:t>RTAIN RELATIONSHIPS AND RELATED TRANSACTIONS AND DIRECTOR INDEPENDENCE</w:t>
      </w:r>
    </w:p>
    <w:p w:rsidR="00000000" w:rsidRDefault="0040289C">
      <w:pPr>
        <w:divId w:val="306787134"/>
        <w:rPr>
          <w:rFonts w:eastAsia="Times New Roman"/>
        </w:rPr>
      </w:pPr>
    </w:p>
    <w:p w:rsidR="00000000" w:rsidRDefault="0040289C">
      <w:pPr>
        <w:jc w:val="both"/>
        <w:divId w:val="1923680097"/>
        <w:rPr>
          <w:rFonts w:eastAsia="Times New Roman"/>
        </w:rPr>
      </w:pPr>
      <w:r>
        <w:rPr>
          <w:rFonts w:eastAsia="Times New Roman"/>
          <w:color w:val="000000"/>
          <w:sz w:val="20"/>
          <w:szCs w:val="20"/>
        </w:rPr>
        <w:t xml:space="preserve">The information required by this Item 13 will be set forth under the headings “Related Person Transactions” and “Corporate Governance” </w:t>
      </w:r>
      <w:r>
        <w:rPr>
          <w:rFonts w:eastAsia="Times New Roman"/>
          <w:color w:val="000000"/>
          <w:sz w:val="20"/>
          <w:szCs w:val="20"/>
        </w:rPr>
        <w:t xml:space="preserve">in the Definitive Proxy Statement for our 2023 Annual Meeting of Stockholders to be filed with the SEC within 120 days after the end of our fiscal 2022 year, and is incorporated herein by reference. </w:t>
      </w:r>
    </w:p>
    <w:p w:rsidR="00000000" w:rsidRDefault="0040289C">
      <w:pPr>
        <w:divId w:val="689180050"/>
        <w:rPr>
          <w:rFonts w:eastAsia="Times New Roman"/>
        </w:rPr>
      </w:pPr>
    </w:p>
    <w:p w:rsidR="00000000" w:rsidRDefault="0040289C">
      <w:pPr>
        <w:divId w:val="442917098"/>
        <w:rPr>
          <w:rFonts w:eastAsia="Times New Roman"/>
        </w:rPr>
      </w:pPr>
      <w:r>
        <w:rPr>
          <w:rFonts w:eastAsia="Times New Roman"/>
          <w:b/>
          <w:bCs/>
          <w:color w:val="000000"/>
          <w:sz w:val="20"/>
          <w:szCs w:val="20"/>
        </w:rPr>
        <w:t>Item 14.        PRINCIPAL ACCOUNTANT FEES AND SERVICES</w:t>
      </w:r>
    </w:p>
    <w:p w:rsidR="00000000" w:rsidRDefault="0040289C">
      <w:pPr>
        <w:divId w:val="590048921"/>
        <w:rPr>
          <w:rFonts w:eastAsia="Times New Roman"/>
        </w:rPr>
      </w:pPr>
    </w:p>
    <w:p w:rsidR="00000000" w:rsidRDefault="0040289C">
      <w:pPr>
        <w:jc w:val="both"/>
        <w:divId w:val="101459547"/>
        <w:rPr>
          <w:rFonts w:eastAsia="Times New Roman"/>
        </w:rPr>
      </w:pPr>
      <w:r>
        <w:rPr>
          <w:rFonts w:eastAsia="Times New Roman"/>
          <w:color w:val="000000"/>
          <w:sz w:val="20"/>
          <w:szCs w:val="20"/>
        </w:rPr>
        <w:t>The information required by this Item 14 will be set forth under the heading “Fees Paid to Independent Registered Public Accounting Firm” in the Definitive Proxy Statement for our 2023 Annual Meeting of Stockholders to be filed with the SEC within 120 d</w:t>
      </w:r>
      <w:r>
        <w:rPr>
          <w:rFonts w:eastAsia="Times New Roman"/>
          <w:color w:val="000000"/>
          <w:sz w:val="20"/>
          <w:szCs w:val="20"/>
        </w:rPr>
        <w:t xml:space="preserve">ays after the end of our fiscal 2022 year, and is incorporated herein by reference. </w:t>
      </w:r>
    </w:p>
    <w:p w:rsidR="00000000" w:rsidRDefault="0040289C">
      <w:pPr>
        <w:divId w:val="307173178"/>
        <w:rPr>
          <w:rFonts w:eastAsia="Times New Roman"/>
        </w:rPr>
      </w:pPr>
    </w:p>
    <w:p w:rsidR="00000000" w:rsidRDefault="0040289C">
      <w:pPr>
        <w:jc w:val="center"/>
        <w:rPr>
          <w:rFonts w:eastAsia="Times New Roman"/>
        </w:rPr>
      </w:pPr>
    </w:p>
    <w:p w:rsidR="00000000" w:rsidRDefault="0040289C">
      <w:pPr>
        <w:jc w:val="center"/>
        <w:divId w:val="397024307"/>
        <w:rPr>
          <w:rFonts w:eastAsia="Times New Roman"/>
        </w:rPr>
      </w:pPr>
      <w:r>
        <w:rPr>
          <w:rFonts w:eastAsia="Times New Roman"/>
          <w:color w:val="000000"/>
          <w:sz w:val="20"/>
          <w:szCs w:val="20"/>
        </w:rPr>
        <w:t>127</w:t>
      </w:r>
    </w:p>
    <w:p w:rsidR="00000000" w:rsidRDefault="0040289C">
      <w:pPr>
        <w:rPr>
          <w:rFonts w:eastAsia="Times New Roman"/>
        </w:rPr>
      </w:pPr>
      <w:r>
        <w:rPr>
          <w:rFonts w:eastAsia="Times New Roman"/>
        </w:rPr>
        <w:pict>
          <v:rect id="_x0000_i1157" style="width:0;height:1.5pt" o:hralign="center" o:hrstd="t" o:hr="t" fillcolor="#a0a0a0" stroked="f"/>
        </w:pict>
      </w:r>
    </w:p>
    <w:p w:rsidR="00000000" w:rsidRDefault="0040289C">
      <w:pPr>
        <w:divId w:val="971209117"/>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613175165"/>
        <w:rPr>
          <w:rFonts w:eastAsia="Times New Roman"/>
        </w:rPr>
      </w:pPr>
    </w:p>
    <w:p w:rsidR="00000000" w:rsidRDefault="0040289C">
      <w:pPr>
        <w:jc w:val="center"/>
        <w:rPr>
          <w:rFonts w:eastAsia="Times New Roman"/>
        </w:rPr>
      </w:pPr>
      <w:r>
        <w:rPr>
          <w:rFonts w:eastAsia="Times New Roman"/>
          <w:b/>
          <w:bCs/>
          <w:color w:val="000000"/>
          <w:sz w:val="20"/>
          <w:szCs w:val="20"/>
        </w:rPr>
        <w:t>PART IV</w:t>
      </w:r>
    </w:p>
    <w:p w:rsidR="00000000" w:rsidRDefault="0040289C">
      <w:pPr>
        <w:divId w:val="289093007"/>
        <w:rPr>
          <w:rFonts w:eastAsia="Times New Roman"/>
        </w:rPr>
      </w:pPr>
    </w:p>
    <w:p w:rsidR="00000000" w:rsidRDefault="0040289C">
      <w:pPr>
        <w:ind w:hanging="1170"/>
        <w:divId w:val="1003776009"/>
        <w:rPr>
          <w:rFonts w:eastAsia="Times New Roman"/>
        </w:rPr>
      </w:pPr>
      <w:r>
        <w:rPr>
          <w:rFonts w:eastAsia="Times New Roman"/>
          <w:b/>
          <w:bCs/>
          <w:color w:val="000000"/>
          <w:sz w:val="20"/>
          <w:szCs w:val="20"/>
        </w:rPr>
        <w:t>Item 15.     EXHIBITS AND FINANCIAL S</w:t>
      </w:r>
      <w:r>
        <w:rPr>
          <w:rFonts w:eastAsia="Times New Roman"/>
          <w:b/>
          <w:bCs/>
          <w:color w:val="000000"/>
          <w:sz w:val="20"/>
          <w:szCs w:val="20"/>
        </w:rPr>
        <w:t>TATEMENT SCHEDULE</w:t>
      </w:r>
    </w:p>
    <w:p w:rsidR="00000000" w:rsidRDefault="0040289C">
      <w:pPr>
        <w:divId w:val="1028408497"/>
        <w:rPr>
          <w:rFonts w:eastAsia="Times New Roman"/>
        </w:rPr>
      </w:pPr>
    </w:p>
    <w:p w:rsidR="00000000" w:rsidRDefault="0040289C">
      <w:pPr>
        <w:jc w:val="both"/>
        <w:rPr>
          <w:rFonts w:eastAsia="Times New Roman"/>
        </w:rPr>
      </w:pPr>
      <w:r>
        <w:rPr>
          <w:rFonts w:eastAsia="Times New Roman"/>
          <w:color w:val="000000"/>
          <w:sz w:val="20"/>
          <w:szCs w:val="20"/>
        </w:rPr>
        <w:t xml:space="preserve">(a)(1) </w:t>
      </w:r>
      <w:r>
        <w:rPr>
          <w:rFonts w:eastAsia="Times New Roman"/>
          <w:i/>
          <w:iCs/>
          <w:color w:val="000000"/>
          <w:sz w:val="20"/>
          <w:szCs w:val="20"/>
        </w:rPr>
        <w:t>Financial Statements</w:t>
      </w:r>
      <w:r>
        <w:rPr>
          <w:rFonts w:eastAsia="Times New Roman"/>
          <w:color w:val="000000"/>
          <w:sz w:val="20"/>
          <w:szCs w:val="20"/>
        </w:rPr>
        <w:t xml:space="preserve">: The following is an index of the consolidated financial statements of the Company and the Report of Independent Registered Public Accounting Firm filed as part of this Form 10-K: </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262"/>
        <w:gridCol w:w="38"/>
        <w:gridCol w:w="69"/>
        <w:gridCol w:w="833"/>
        <w:gridCol w:w="36"/>
      </w:tblGrid>
      <w:tr w:rsidR="00000000">
        <w:trPr>
          <w:jc w:val="center"/>
        </w:trPr>
        <w:tc>
          <w:tcPr>
            <w:tcW w:w="50" w:type="pct"/>
            <w:vAlign w:val="center"/>
            <w:hideMark/>
          </w:tcPr>
          <w:p w:rsidR="00000000" w:rsidRDefault="0040289C">
            <w:pPr>
              <w:jc w:val="both"/>
              <w:rPr>
                <w:rFonts w:eastAsia="Times New Roman"/>
              </w:rPr>
            </w:pPr>
          </w:p>
        </w:tc>
        <w:tc>
          <w:tcPr>
            <w:tcW w:w="438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51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Page of Form 10-K</w:t>
            </w: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1549608160"/>
              <w:rPr>
                <w:rFonts w:eastAsia="Times New Roman"/>
              </w:rPr>
            </w:pPr>
            <w:hyperlink w:anchor="if07fd8a5a4294970a048ac5c5178b1ea_136" w:history="1">
              <w:r>
                <w:rPr>
                  <w:rStyle w:val="a3"/>
                  <w:rFonts w:eastAsia="Times New Roman"/>
                  <w:sz w:val="20"/>
                  <w:szCs w:val="20"/>
                </w:rPr>
                <w:t>Report of Independent Registered Public Accounting Firm</w:t>
              </w:r>
            </w:hyperlink>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hyperlink w:anchor="if07fd8a5a4294970a048ac5c5178b1ea_136" w:history="1">
              <w:r>
                <w:rPr>
                  <w:rStyle w:val="a3"/>
                  <w:rFonts w:eastAsia="Times New Roman"/>
                  <w:sz w:val="20"/>
                  <w:szCs w:val="20"/>
                </w:rPr>
                <w:t>56</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762266104"/>
              <w:rPr>
                <w:rFonts w:eastAsia="Times New Roman"/>
              </w:rPr>
            </w:pPr>
            <w:hyperlink w:anchor="if07fd8a5a4294970a048ac5c5178b1ea_139" w:history="1">
              <w:r>
                <w:rPr>
                  <w:rStyle w:val="a3"/>
                  <w:rFonts w:eastAsia="Times New Roman"/>
                  <w:sz w:val="20"/>
                  <w:szCs w:val="20"/>
                </w:rPr>
                <w:t>Consolidated Statements of Operations for the years ended December 31, 202</w:t>
              </w:r>
            </w:hyperlink>
            <w:hyperlink w:anchor="if07fd8a5a4294970a048ac5c5178b1ea_139" w:history="1">
              <w:r>
                <w:rPr>
                  <w:rStyle w:val="a3"/>
                  <w:rFonts w:eastAsia="Times New Roman"/>
                  <w:sz w:val="20"/>
                  <w:szCs w:val="20"/>
                </w:rPr>
                <w:t>2</w:t>
              </w:r>
            </w:hyperlink>
            <w:hyperlink w:anchor="if07fd8a5a4294970a048ac5c5178b1ea_139" w:history="1">
              <w:r>
                <w:rPr>
                  <w:rStyle w:val="a3"/>
                  <w:rFonts w:eastAsia="Times New Roman"/>
                  <w:sz w:val="20"/>
                  <w:szCs w:val="20"/>
                </w:rPr>
                <w:t>,</w:t>
              </w:r>
              <w:r>
                <w:rPr>
                  <w:rStyle w:val="a3"/>
                  <w:rFonts w:eastAsia="Times New Roman"/>
                  <w:sz w:val="20"/>
                  <w:szCs w:val="20"/>
                </w:rPr>
                <w:t xml:space="preserve"> 20</w:t>
              </w:r>
            </w:hyperlink>
            <w:hyperlink w:anchor="if07fd8a5a4294970a048ac5c5178b1ea_139" w:history="1">
              <w:r>
                <w:rPr>
                  <w:rStyle w:val="a3"/>
                  <w:rFonts w:eastAsia="Times New Roman"/>
                  <w:sz w:val="20"/>
                  <w:szCs w:val="20"/>
                </w:rPr>
                <w:t>21</w:t>
              </w:r>
            </w:hyperlink>
            <w:hyperlink w:anchor="if07fd8a5a4294970a048ac5c5178b1ea_139" w:history="1">
              <w:r>
                <w:rPr>
                  <w:rStyle w:val="a3"/>
                  <w:rFonts w:eastAsia="Times New Roman"/>
                  <w:sz w:val="20"/>
                  <w:szCs w:val="20"/>
                </w:rPr>
                <w:t xml:space="preserve">, and </w:t>
              </w:r>
            </w:hyperlink>
            <w:hyperlink w:anchor="if07fd8a5a4294970a048ac5c5178b1ea_139" w:history="1">
              <w:r>
                <w:rPr>
                  <w:rStyle w:val="a3"/>
                  <w:rFonts w:eastAsia="Times New Roman"/>
                  <w:sz w:val="20"/>
                  <w:szCs w:val="20"/>
                </w:rPr>
                <w:t>20</w:t>
              </w:r>
            </w:hyperlink>
            <w:hyperlink w:anchor="if07fd8a5a4294970a048ac5c5178b1ea_139" w:history="1">
              <w:r>
                <w:rPr>
                  <w:rStyle w:val="a3"/>
                  <w:rFonts w:eastAsia="Times New Roman"/>
                  <w:sz w:val="20"/>
                  <w:szCs w:val="20"/>
                </w:rPr>
                <w:t>20</w:t>
              </w:r>
            </w:hyperlink>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hyperlink w:anchor="if07fd8a5a4294970a048ac5c5178b1ea_139" w:history="1">
              <w:r>
                <w:rPr>
                  <w:rStyle w:val="a3"/>
                  <w:rFonts w:eastAsia="Times New Roman"/>
                  <w:sz w:val="20"/>
                  <w:szCs w:val="20"/>
                </w:rPr>
                <w:t>58</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1849783168"/>
              <w:rPr>
                <w:rFonts w:eastAsia="Times New Roman"/>
              </w:rPr>
            </w:pPr>
            <w:hyperlink w:anchor="if07fd8a5a4294970a048ac5c5178b1ea_142" w:history="1">
              <w:r>
                <w:rPr>
                  <w:rStyle w:val="a3"/>
                  <w:rFonts w:eastAsia="Times New Roman"/>
                  <w:sz w:val="20"/>
                  <w:szCs w:val="20"/>
                </w:rPr>
                <w:t>Consolidated Statements of Comprehensive Income (Loss) for the years ended December 31, 202</w:t>
              </w:r>
            </w:hyperlink>
            <w:hyperlink w:anchor="if07fd8a5a4294970a048ac5c5178b1ea_142" w:history="1">
              <w:r>
                <w:rPr>
                  <w:rStyle w:val="a3"/>
                  <w:rFonts w:eastAsia="Times New Roman"/>
                  <w:sz w:val="20"/>
                  <w:szCs w:val="20"/>
                </w:rPr>
                <w:t>2</w:t>
              </w:r>
            </w:hyperlink>
            <w:hyperlink w:anchor="if07fd8a5a4294970a048ac5c5178b1ea_142" w:history="1">
              <w:r>
                <w:rPr>
                  <w:rStyle w:val="a3"/>
                  <w:rFonts w:eastAsia="Times New Roman"/>
                  <w:sz w:val="20"/>
                  <w:szCs w:val="20"/>
                </w:rPr>
                <w:t>, 20</w:t>
              </w:r>
            </w:hyperlink>
            <w:hyperlink w:anchor="if07fd8a5a4294970a048ac5c5178b1ea_142" w:history="1">
              <w:r>
                <w:rPr>
                  <w:rStyle w:val="a3"/>
                  <w:rFonts w:eastAsia="Times New Roman"/>
                  <w:sz w:val="20"/>
                  <w:szCs w:val="20"/>
                </w:rPr>
                <w:t>2</w:t>
              </w:r>
            </w:hyperlink>
            <w:hyperlink w:anchor="if07fd8a5a4294970a048ac5c5178b1ea_142" w:history="1">
              <w:r>
                <w:rPr>
                  <w:rStyle w:val="a3"/>
                  <w:rFonts w:eastAsia="Times New Roman"/>
                  <w:sz w:val="20"/>
                  <w:szCs w:val="20"/>
                </w:rPr>
                <w:t>1</w:t>
              </w:r>
            </w:hyperlink>
            <w:hyperlink w:anchor="if07fd8a5a4294970a048ac5c5178b1ea_142" w:history="1">
              <w:r>
                <w:rPr>
                  <w:rStyle w:val="a3"/>
                  <w:rFonts w:eastAsia="Times New Roman"/>
                  <w:sz w:val="20"/>
                  <w:szCs w:val="20"/>
                </w:rPr>
                <w:t xml:space="preserve">, and </w:t>
              </w:r>
            </w:hyperlink>
            <w:hyperlink w:anchor="if07fd8a5a4294970a048ac5c5178b1ea_142" w:history="1">
              <w:r>
                <w:rPr>
                  <w:rStyle w:val="a3"/>
                  <w:rFonts w:eastAsia="Times New Roman"/>
                  <w:sz w:val="20"/>
                  <w:szCs w:val="20"/>
                </w:rPr>
                <w:t>20</w:t>
              </w:r>
            </w:hyperlink>
            <w:hyperlink w:anchor="if07fd8a5a4294970a048ac5c5178b1ea_142" w:history="1">
              <w:r>
                <w:rPr>
                  <w:rStyle w:val="a3"/>
                  <w:rFonts w:eastAsia="Times New Roman"/>
                  <w:sz w:val="20"/>
                  <w:szCs w:val="20"/>
                </w:rPr>
                <w:t>20</w:t>
              </w:r>
            </w:hyperlink>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hyperlink w:anchor="if07fd8a5a4294970a048ac5c5178b1ea_142" w:history="1">
              <w:r>
                <w:rPr>
                  <w:rStyle w:val="a3"/>
                  <w:rFonts w:eastAsia="Times New Roman"/>
                  <w:sz w:val="20"/>
                  <w:szCs w:val="20"/>
                </w:rPr>
                <w:t>59</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274555873"/>
              <w:rPr>
                <w:rFonts w:eastAsia="Times New Roman"/>
              </w:rPr>
            </w:pPr>
            <w:hyperlink w:anchor="if07fd8a5a4294970a048ac5c5178b1ea_145" w:history="1">
              <w:r>
                <w:rPr>
                  <w:rStyle w:val="a3"/>
                  <w:rFonts w:eastAsia="Times New Roman"/>
                  <w:sz w:val="20"/>
                  <w:szCs w:val="20"/>
                </w:rPr>
                <w:t>Consolidated Balance Sheets at December 31, 202</w:t>
              </w:r>
            </w:hyperlink>
            <w:hyperlink w:anchor="if07fd8a5a4294970a048ac5c5178b1ea_145" w:history="1">
              <w:r>
                <w:rPr>
                  <w:rStyle w:val="a3"/>
                  <w:rFonts w:eastAsia="Times New Roman"/>
                  <w:sz w:val="20"/>
                  <w:szCs w:val="20"/>
                </w:rPr>
                <w:t>2</w:t>
              </w:r>
            </w:hyperlink>
            <w:hyperlink w:anchor="if07fd8a5a4294970a048ac5c5178b1ea_145" w:history="1">
              <w:r>
                <w:rPr>
                  <w:rStyle w:val="a3"/>
                  <w:rFonts w:eastAsia="Times New Roman"/>
                  <w:sz w:val="20"/>
                  <w:szCs w:val="20"/>
                </w:rPr>
                <w:t xml:space="preserve"> and 20</w:t>
              </w:r>
            </w:hyperlink>
            <w:hyperlink w:anchor="if07fd8a5a4294970a048ac5c5178b1ea_145" w:history="1">
              <w:r>
                <w:rPr>
                  <w:rStyle w:val="a3"/>
                  <w:rFonts w:eastAsia="Times New Roman"/>
                  <w:sz w:val="20"/>
                  <w:szCs w:val="20"/>
                </w:rPr>
                <w:t>2</w:t>
              </w:r>
            </w:hyperlink>
            <w:hyperlink w:anchor="if07fd8a5a4294970a048ac5c5178b1ea_145" w:history="1">
              <w:r>
                <w:rPr>
                  <w:rStyle w:val="a3"/>
                  <w:rFonts w:eastAsia="Times New Roman"/>
                  <w:sz w:val="20"/>
                  <w:szCs w:val="20"/>
                </w:rPr>
                <w:t>1</w:t>
              </w:r>
            </w:hyperlink>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hyperlink w:anchor="if07fd8a5a4294970a048ac5c5178b1ea_145" w:history="1">
              <w:r>
                <w:rPr>
                  <w:rStyle w:val="a3"/>
                  <w:rFonts w:eastAsia="Times New Roman"/>
                  <w:sz w:val="20"/>
                  <w:szCs w:val="20"/>
                </w:rPr>
                <w:t>60</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1433625674"/>
              <w:rPr>
                <w:rFonts w:eastAsia="Times New Roman"/>
              </w:rPr>
            </w:pPr>
            <w:hyperlink w:anchor="if07fd8a5a4294970a048ac5c5178b1ea_148" w:history="1">
              <w:r>
                <w:rPr>
                  <w:rStyle w:val="a3"/>
                  <w:rFonts w:eastAsia="Times New Roman"/>
                  <w:sz w:val="20"/>
                  <w:szCs w:val="20"/>
                </w:rPr>
                <w:t>Consolidated Statements of Cash Flows for the years ended December 31, 202</w:t>
              </w:r>
            </w:hyperlink>
            <w:hyperlink w:anchor="if07fd8a5a4294970a048ac5c5178b1ea_148" w:history="1">
              <w:r>
                <w:rPr>
                  <w:rStyle w:val="a3"/>
                  <w:rFonts w:eastAsia="Times New Roman"/>
                  <w:sz w:val="20"/>
                  <w:szCs w:val="20"/>
                </w:rPr>
                <w:t>2</w:t>
              </w:r>
            </w:hyperlink>
            <w:hyperlink w:anchor="if07fd8a5a4294970a048ac5c5178b1ea_148" w:history="1">
              <w:r>
                <w:rPr>
                  <w:rStyle w:val="a3"/>
                  <w:rFonts w:eastAsia="Times New Roman"/>
                  <w:sz w:val="20"/>
                  <w:szCs w:val="20"/>
                </w:rPr>
                <w:t>, 20</w:t>
              </w:r>
            </w:hyperlink>
            <w:hyperlink w:anchor="if07fd8a5a4294970a048ac5c5178b1ea_148" w:history="1">
              <w:r>
                <w:rPr>
                  <w:rStyle w:val="a3"/>
                  <w:rFonts w:eastAsia="Times New Roman"/>
                  <w:sz w:val="20"/>
                  <w:szCs w:val="20"/>
                </w:rPr>
                <w:t>21</w:t>
              </w:r>
            </w:hyperlink>
            <w:hyperlink w:anchor="if07fd8a5a4294970a048ac5c5178b1ea_148" w:history="1">
              <w:r>
                <w:rPr>
                  <w:rStyle w:val="a3"/>
                  <w:rFonts w:eastAsia="Times New Roman"/>
                  <w:sz w:val="20"/>
                  <w:szCs w:val="20"/>
                </w:rPr>
                <w:t>, and 20</w:t>
              </w:r>
            </w:hyperlink>
            <w:hyperlink w:anchor="if07fd8a5a4294970a048ac5c5178b1ea_148" w:history="1">
              <w:r>
                <w:rPr>
                  <w:rStyle w:val="a3"/>
                  <w:rFonts w:eastAsia="Times New Roman"/>
                  <w:sz w:val="20"/>
                  <w:szCs w:val="20"/>
                </w:rPr>
                <w:t>20</w:t>
              </w:r>
            </w:hyperlink>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hyperlink w:anchor="if07fd8a5a4294970a048ac5c5178b1ea_148" w:history="1">
              <w:r>
                <w:rPr>
                  <w:rStyle w:val="a3"/>
                  <w:rFonts w:eastAsia="Times New Roman"/>
                  <w:sz w:val="20"/>
                  <w:szCs w:val="20"/>
                </w:rPr>
                <w:t>61</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29762765"/>
              <w:rPr>
                <w:rFonts w:eastAsia="Times New Roman"/>
              </w:rPr>
            </w:pPr>
            <w:hyperlink w:anchor="if07fd8a5a4294970a048ac5c5178b1ea_151" w:history="1">
              <w:r>
                <w:rPr>
                  <w:rStyle w:val="a3"/>
                  <w:rFonts w:eastAsia="Times New Roman"/>
                  <w:sz w:val="20"/>
                  <w:szCs w:val="20"/>
                </w:rPr>
                <w:t>Consolidated Statements of Changes in Stockholders' Equity for the years ended December 31, 202</w:t>
              </w:r>
            </w:hyperlink>
            <w:hyperlink w:anchor="if07fd8a5a4294970a048ac5c5178b1ea_151" w:history="1">
              <w:r>
                <w:rPr>
                  <w:rStyle w:val="a3"/>
                  <w:rFonts w:eastAsia="Times New Roman"/>
                  <w:sz w:val="20"/>
                  <w:szCs w:val="20"/>
                </w:rPr>
                <w:t>2</w:t>
              </w:r>
            </w:hyperlink>
            <w:hyperlink w:anchor="if07fd8a5a4294970a048ac5c5178b1ea_151" w:history="1">
              <w:r>
                <w:rPr>
                  <w:rStyle w:val="a3"/>
                  <w:rFonts w:eastAsia="Times New Roman"/>
                  <w:sz w:val="20"/>
                  <w:szCs w:val="20"/>
                </w:rPr>
                <w:t>, 20</w:t>
              </w:r>
            </w:hyperlink>
            <w:hyperlink w:anchor="if07fd8a5a4294970a048ac5c5178b1ea_151" w:history="1">
              <w:r>
                <w:rPr>
                  <w:rStyle w:val="a3"/>
                  <w:rFonts w:eastAsia="Times New Roman"/>
                  <w:sz w:val="20"/>
                  <w:szCs w:val="20"/>
                </w:rPr>
                <w:t>21</w:t>
              </w:r>
            </w:hyperlink>
            <w:hyperlink w:anchor="if07fd8a5a4294970a048ac5c5178b1ea_151" w:history="1">
              <w:r>
                <w:rPr>
                  <w:rStyle w:val="a3"/>
                  <w:rFonts w:eastAsia="Times New Roman"/>
                  <w:sz w:val="20"/>
                  <w:szCs w:val="20"/>
                </w:rPr>
                <w:t>, and 20</w:t>
              </w:r>
            </w:hyperlink>
            <w:hyperlink w:anchor="if07fd8a5a4294970a048ac5c5178b1ea_151" w:history="1">
              <w:r>
                <w:rPr>
                  <w:rStyle w:val="a3"/>
                  <w:rFonts w:eastAsia="Times New Roman"/>
                  <w:sz w:val="20"/>
                  <w:szCs w:val="20"/>
                </w:rPr>
                <w:t>20</w:t>
              </w:r>
            </w:hyperlink>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hyperlink w:anchor="if07fd8a5a4294970a048ac5c5178b1ea_151" w:history="1">
              <w:r>
                <w:rPr>
                  <w:rStyle w:val="a3"/>
                  <w:rFonts w:eastAsia="Times New Roman"/>
                  <w:sz w:val="20"/>
                  <w:szCs w:val="20"/>
                </w:rPr>
                <w:t>62</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divId w:val="1663392485"/>
              <w:rPr>
                <w:rFonts w:eastAsia="Times New Roman"/>
              </w:rPr>
            </w:pPr>
            <w:hyperlink w:anchor="if07fd8a5a4294970a048ac5c5178b1ea_154"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hyperlink w:anchor="if07fd8a5a4294970a048ac5c5178b1ea_154" w:history="1">
              <w:r>
                <w:rPr>
                  <w:rStyle w:val="a3"/>
                  <w:rFonts w:eastAsia="Times New Roman"/>
                  <w:sz w:val="20"/>
                  <w:szCs w:val="20"/>
                </w:rPr>
                <w:t>63</w:t>
              </w:r>
            </w:hyperlink>
          </w:p>
        </w:tc>
      </w:tr>
    </w:tbl>
    <w:p w:rsidR="00000000" w:rsidRDefault="0040289C">
      <w:pPr>
        <w:divId w:val="1989551558"/>
        <w:rPr>
          <w:rFonts w:eastAsia="Times New Roman"/>
        </w:rPr>
      </w:pPr>
    </w:p>
    <w:p w:rsidR="00000000" w:rsidRDefault="0040289C">
      <w:pPr>
        <w:jc w:val="both"/>
        <w:rPr>
          <w:rFonts w:eastAsia="Times New Roman"/>
        </w:rPr>
      </w:pPr>
      <w:r>
        <w:rPr>
          <w:rFonts w:eastAsia="Times New Roman"/>
          <w:color w:val="000000"/>
          <w:sz w:val="20"/>
          <w:szCs w:val="20"/>
        </w:rPr>
        <w:t xml:space="preserve">(2) </w:t>
      </w:r>
      <w:r>
        <w:rPr>
          <w:rFonts w:eastAsia="Times New Roman"/>
          <w:i/>
          <w:iCs/>
          <w:color w:val="000000"/>
          <w:sz w:val="20"/>
          <w:szCs w:val="20"/>
        </w:rPr>
        <w:t>Financial Statement Schedule</w:t>
      </w:r>
      <w:r>
        <w:rPr>
          <w:rFonts w:eastAsia="Times New Roman"/>
          <w:color w:val="000000"/>
          <w:sz w:val="20"/>
          <w:szCs w:val="20"/>
        </w:rPr>
        <w:t>: Financial Statement Schedule II—</w:t>
      </w:r>
      <w:r>
        <w:rPr>
          <w:rFonts w:eastAsia="Times New Roman"/>
          <w:color w:val="000000"/>
          <w:sz w:val="20"/>
          <w:szCs w:val="20"/>
        </w:rPr>
        <w:t>Valuation and Qualifying Accounts for the years ended December 31, 2022, 2021, and 2020 is included in this Form 10-K on page</w:t>
      </w:r>
      <w:r>
        <w:rPr>
          <w:rFonts w:eastAsia="Times New Roman"/>
          <w:color w:val="000000"/>
          <w:sz w:val="20"/>
          <w:szCs w:val="20"/>
        </w:rPr>
        <w:t xml:space="preserve"> </w:t>
      </w:r>
      <w:hyperlink w:anchor="if07fd8a5a4294970a048ac5c5178b1ea_250" w:history="1">
        <w:r>
          <w:rPr>
            <w:rStyle w:val="a3"/>
            <w:rFonts w:eastAsia="Times New Roman"/>
            <w:color w:val="000000"/>
            <w:sz w:val="20"/>
            <w:szCs w:val="20"/>
            <w:u w:val="none"/>
          </w:rPr>
          <w:t>133</w:t>
        </w:r>
      </w:hyperlink>
      <w:r>
        <w:rPr>
          <w:rFonts w:eastAsia="Times New Roman"/>
          <w:color w:val="000000"/>
          <w:sz w:val="20"/>
          <w:szCs w:val="20"/>
        </w:rPr>
        <w:t xml:space="preserve">. All other schedules are not required under the related instructions or are not applicable. </w:t>
      </w:r>
    </w:p>
    <w:p w:rsidR="00000000" w:rsidRDefault="0040289C">
      <w:pPr>
        <w:jc w:val="both"/>
        <w:rPr>
          <w:rFonts w:eastAsia="Times New Roman"/>
        </w:rPr>
      </w:pPr>
    </w:p>
    <w:p w:rsidR="00000000" w:rsidRDefault="0040289C">
      <w:pPr>
        <w:jc w:val="both"/>
        <w:rPr>
          <w:rFonts w:eastAsia="Times New Roman"/>
        </w:rPr>
      </w:pPr>
      <w:r>
        <w:rPr>
          <w:rFonts w:eastAsia="Times New Roman"/>
          <w:color w:val="000000"/>
          <w:sz w:val="20"/>
          <w:szCs w:val="20"/>
        </w:rPr>
        <w:t xml:space="preserve">(3) </w:t>
      </w:r>
      <w:r>
        <w:rPr>
          <w:rFonts w:eastAsia="Times New Roman"/>
          <w:i/>
          <w:iCs/>
          <w:color w:val="000000"/>
          <w:sz w:val="20"/>
          <w:szCs w:val="20"/>
        </w:rPr>
        <w:t>Exhibits</w:t>
      </w:r>
      <w:r>
        <w:rPr>
          <w:rFonts w:eastAsia="Times New Roman"/>
          <w:color w:val="000000"/>
          <w:sz w:val="20"/>
          <w:szCs w:val="20"/>
        </w:rPr>
        <w:t>: See Index of Exhibits below for a listing of all exhibits to this Form 10-K. The management contracts and compensatory plans or arrangements requi</w:t>
      </w:r>
      <w:r>
        <w:rPr>
          <w:rFonts w:eastAsia="Times New Roman"/>
          <w:color w:val="000000"/>
          <w:sz w:val="20"/>
          <w:szCs w:val="20"/>
        </w:rPr>
        <w:t>red to be filed as an exhibit to this Form 10-K are identified in the Index of Exhibits by an asterisk (*).</w:t>
      </w:r>
    </w:p>
    <w:p w:rsidR="00000000" w:rsidRDefault="0040289C">
      <w:pPr>
        <w:divId w:val="645083498"/>
        <w:rPr>
          <w:rFonts w:eastAsia="Times New Roman"/>
        </w:rPr>
      </w:pPr>
    </w:p>
    <w:p w:rsidR="00000000" w:rsidRDefault="0040289C">
      <w:pPr>
        <w:jc w:val="both"/>
        <w:rPr>
          <w:rFonts w:eastAsia="Times New Roman"/>
        </w:rPr>
      </w:pPr>
      <w:r>
        <w:rPr>
          <w:rFonts w:eastAsia="Times New Roman"/>
          <w:color w:val="000000"/>
          <w:sz w:val="20"/>
          <w:szCs w:val="20"/>
        </w:rPr>
        <w:t xml:space="preserve">(b) The following is an index of all exhibits to this Form 10-K. Exhibits identified in parentheses in the index below, on file with the SEC, are </w:t>
      </w:r>
      <w:r>
        <w:rPr>
          <w:rFonts w:eastAsia="Times New Roman"/>
          <w:color w:val="000000"/>
          <w:sz w:val="20"/>
          <w:szCs w:val="20"/>
        </w:rPr>
        <w:t xml:space="preserve">incorporated herein by reference as exhibits hereto. </w:t>
      </w:r>
    </w:p>
    <w:tbl>
      <w:tblPr>
        <w:tblW w:w="5000" w:type="pct"/>
        <w:tblCellMar>
          <w:top w:w="15" w:type="dxa"/>
          <w:left w:w="15" w:type="dxa"/>
          <w:bottom w:w="15" w:type="dxa"/>
          <w:right w:w="15" w:type="dxa"/>
        </w:tblCellMar>
        <w:tblLook w:val="04A0" w:firstRow="1" w:lastRow="0" w:firstColumn="1" w:lastColumn="0" w:noHBand="0" w:noVBand="1"/>
      </w:tblPr>
      <w:tblGrid>
        <w:gridCol w:w="60"/>
        <w:gridCol w:w="671"/>
        <w:gridCol w:w="36"/>
        <w:gridCol w:w="36"/>
        <w:gridCol w:w="113"/>
        <w:gridCol w:w="36"/>
        <w:gridCol w:w="61"/>
        <w:gridCol w:w="7256"/>
        <w:gridCol w:w="37"/>
      </w:tblGrid>
      <w:tr w:rsidR="00000000">
        <w:tc>
          <w:tcPr>
            <w:tcW w:w="50" w:type="pct"/>
            <w:vAlign w:val="center"/>
            <w:hideMark/>
          </w:tcPr>
          <w:p w:rsidR="00000000" w:rsidRDefault="0040289C">
            <w:pPr>
              <w:jc w:val="both"/>
              <w:rPr>
                <w:rFonts w:eastAsia="Times New Roman"/>
              </w:rPr>
            </w:pPr>
          </w:p>
        </w:tc>
        <w:tc>
          <w:tcPr>
            <w:tcW w:w="4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8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452632128"/>
              <w:rPr>
                <w:rFonts w:eastAsia="Times New Roman"/>
              </w:rPr>
            </w:pPr>
            <w:hyperlink r:id="rId6"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Agreement and Plan of Merger, dated as of October 19, 2018, among JetPay Corporation, NCR Corporation and Orwell Acquisition Corporation (Exhibit 2.1 to the Current Report on Form 8-K of NCR Corporation dated October 22, 2018).</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110808724"/>
              <w:rPr>
                <w:rFonts w:eastAsia="Times New Roman"/>
              </w:rPr>
            </w:pPr>
            <w:hyperlink r:id="rId7" w:history="1">
              <w:r>
                <w:rPr>
                  <w:rStyle w:val="a3"/>
                  <w:rFonts w:eastAsia="Times New Roman"/>
                  <w:sz w:val="20"/>
                  <w:szCs w:val="20"/>
                </w:rPr>
                <w:t>2.2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Acquisition Agreement, dated as of January 25, 2021, among Cardtronics plc, NCR Corporation and Cardtronics USA, Inc. (Exhibit 2.1 to the Current Repo</w:t>
            </w:r>
            <w:r>
              <w:rPr>
                <w:rFonts w:eastAsia="Times New Roman"/>
                <w:color w:val="000000"/>
                <w:sz w:val="20"/>
                <w:szCs w:val="20"/>
              </w:rPr>
              <w:t>rt on Form 8-K of NCR Corporation dated January 25, 2021).</w:t>
            </w:r>
          </w:p>
        </w:tc>
      </w:tr>
      <w:tr w:rsidR="00000000">
        <w:trPr>
          <w:trHeight w:val="34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754430081"/>
              <w:rPr>
                <w:rFonts w:eastAsia="Times New Roman"/>
              </w:rPr>
            </w:pPr>
            <w:hyperlink r:id="rId8"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Articles of Amendment and Restatement of NCR Corporation (Exhibit 3.1 to the NCR Corporation Quarterly Report on Form 10-Q for the quarter ended June 30, 2019 (the “Second Quarter 2019 Quarterly Report”)).</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603679942"/>
              <w:rPr>
                <w:rFonts w:eastAsia="Times New Roman"/>
              </w:rPr>
            </w:pPr>
            <w:hyperlink r:id="rId9"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Bylaws of NCR Corporation, amended and restated effective July 21, 2021 (Exhibit 3.1 to the Current Report on Form 8-K of NCR Corporation dated July 21, 2021).</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Common Stock Certificate of NCR Corporation (Exhibit 4.1 to the NCR Corporation Annual Report on Form 10-K for the year ended December 31, 1999).</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914587332"/>
              <w:rPr>
                <w:rFonts w:eastAsia="Times New Roman"/>
              </w:rPr>
            </w:pPr>
            <w:hyperlink r:id="rId10" w:history="1">
              <w:r>
                <w:rPr>
                  <w:rStyle w:val="a3"/>
                  <w:rFonts w:eastAsia="Times New Roman"/>
                  <w:sz w:val="20"/>
                  <w:szCs w:val="20"/>
                </w:rPr>
                <w:t>4.2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Indenture, dated as of August 21, 2019, among NCR Corporation, NCR International, Inc. and Wells Fargo Bank, National Association (Exhibit 4.1 to the Current Report on Form 8-K of NCR Corporation dated August 21, 2019 (the “August 21, 2019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490683005"/>
              <w:rPr>
                <w:rFonts w:eastAsia="Times New Roman"/>
              </w:rPr>
            </w:pPr>
            <w:hyperlink r:id="rId11" w:history="1">
              <w:r>
                <w:rPr>
                  <w:rStyle w:val="a3"/>
                  <w:rFonts w:eastAsia="Times New Roman"/>
                  <w:sz w:val="20"/>
                  <w:szCs w:val="20"/>
                </w:rPr>
                <w:t>4.2.1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Supplemental Indenture, dated as of October 14, 2021 (relating to the Indenture dated as of August 21, 2019), among ATM National, LLC, Cardtronics Holdings, LLC, Cardtronics, Inc., Cardtronics USA, Inc., CATM Holdings LLC, NCR Corporation, NCR Internationa</w:t>
            </w:r>
            <w:r>
              <w:rPr>
                <w:rFonts w:eastAsia="Times New Roman"/>
                <w:color w:val="000000"/>
                <w:sz w:val="20"/>
                <w:szCs w:val="20"/>
              </w:rPr>
              <w:t>l, Inc., and Wells Fargo Bank, National Association.</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jc w:val="center"/>
        <w:divId w:val="1300384550"/>
        <w:rPr>
          <w:rFonts w:eastAsia="Times New Roman"/>
        </w:rPr>
      </w:pPr>
      <w:r>
        <w:rPr>
          <w:rFonts w:eastAsia="Times New Roman"/>
          <w:color w:val="000000"/>
          <w:sz w:val="20"/>
          <w:szCs w:val="20"/>
        </w:rPr>
        <w:t>128</w:t>
      </w:r>
    </w:p>
    <w:p w:rsidR="00000000" w:rsidRDefault="0040289C">
      <w:pPr>
        <w:rPr>
          <w:rFonts w:eastAsia="Times New Roman"/>
        </w:rPr>
      </w:pPr>
      <w:r>
        <w:rPr>
          <w:rFonts w:eastAsia="Times New Roman"/>
        </w:rPr>
        <w:pict>
          <v:rect id="_x0000_i1158" style="width:0;height:1.5pt" o:hralign="center" o:hrstd="t" o:hr="t" fillcolor="#a0a0a0" stroked="f"/>
        </w:pict>
      </w:r>
    </w:p>
    <w:p w:rsidR="00000000" w:rsidRDefault="0040289C">
      <w:pPr>
        <w:divId w:val="19832688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21064188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671"/>
        <w:gridCol w:w="36"/>
        <w:gridCol w:w="36"/>
        <w:gridCol w:w="113"/>
        <w:gridCol w:w="36"/>
        <w:gridCol w:w="61"/>
        <w:gridCol w:w="7256"/>
        <w:gridCol w:w="37"/>
      </w:tblGrid>
      <w:tr w:rsidR="00000000">
        <w:tc>
          <w:tcPr>
            <w:tcW w:w="50" w:type="pct"/>
            <w:vAlign w:val="center"/>
            <w:hideMark/>
          </w:tcPr>
          <w:p w:rsidR="00000000" w:rsidRDefault="0040289C">
            <w:pPr>
              <w:rPr>
                <w:rFonts w:eastAsia="Times New Roman"/>
              </w:rPr>
            </w:pPr>
          </w:p>
        </w:tc>
        <w:tc>
          <w:tcPr>
            <w:tcW w:w="4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8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592349491"/>
              <w:rPr>
                <w:rFonts w:eastAsia="Times New Roman"/>
              </w:rPr>
            </w:pPr>
            <w:hyperlink r:id="rId12" w:history="1">
              <w:r>
                <w:rPr>
                  <w:rStyle w:val="a3"/>
                  <w:rFonts w:eastAsia="Times New Roman"/>
                  <w:sz w:val="20"/>
                  <w:szCs w:val="20"/>
                </w:rPr>
                <w:t>4.3</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 xml:space="preserve">Indenture, dated as of August 21, 2019, among NCR Corporation, NCR International, Inc. and Wells Fargo Bank, National Association (Exhibit 4.3 to the </w:t>
            </w:r>
            <w:r>
              <w:rPr>
                <w:rFonts w:eastAsia="Times New Roman"/>
                <w:color w:val="000000"/>
                <w:sz w:val="20"/>
                <w:szCs w:val="20"/>
              </w:rPr>
              <w:t>August 21, 2019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903327057"/>
              <w:rPr>
                <w:rFonts w:eastAsia="Times New Roman"/>
              </w:rPr>
            </w:pPr>
            <w:hyperlink r:id="rId13" w:history="1">
              <w:r>
                <w:rPr>
                  <w:rStyle w:val="a3"/>
                  <w:rFonts w:eastAsia="Times New Roman"/>
                  <w:sz w:val="20"/>
                  <w:szCs w:val="20"/>
                </w:rPr>
                <w:t>4.3.1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Supplemental Indenture, dated as of October 14, 2021 (relating to the Indenture dated as of August 21, 2019), among ATM National, LLC, Cardtronics Holdings, LLC, Cardtronics, Inc., Cardtronics USA, Inc., CATM Holdings LLC, NCR Corporation, NCR Internationa</w:t>
            </w:r>
            <w:r>
              <w:rPr>
                <w:rFonts w:eastAsia="Times New Roman"/>
                <w:color w:val="000000"/>
                <w:sz w:val="20"/>
                <w:szCs w:val="20"/>
              </w:rPr>
              <w:t>l, Inc., and Wells Fargo Bank, National Association.</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399670532"/>
              <w:rPr>
                <w:rFonts w:eastAsia="Times New Roman"/>
              </w:rPr>
            </w:pPr>
            <w:hyperlink r:id="rId14" w:history="1">
              <w:r>
                <w:rPr>
                  <w:rStyle w:val="a3"/>
                  <w:rFonts w:eastAsia="Times New Roman"/>
                  <w:sz w:val="20"/>
                  <w:szCs w:val="20"/>
                </w:rPr>
                <w:t>4.4</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Indenture, dated as of August 20, 2020, among NCR Corporation, NCR International, Inc. and Wells Fargo Bank, National Association (Exhibit 4.1 to Current Report on Form 8-K of NCR Corporation dated August 20, 2020 (the “August 20, 2020 Form 8-K”)).</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766076661"/>
              <w:rPr>
                <w:rFonts w:eastAsia="Times New Roman"/>
              </w:rPr>
            </w:pPr>
            <w:hyperlink r:id="rId15" w:history="1">
              <w:r>
                <w:rPr>
                  <w:rStyle w:val="a3"/>
                  <w:rFonts w:eastAsia="Times New Roman"/>
                  <w:sz w:val="20"/>
                  <w:szCs w:val="20"/>
                </w:rPr>
                <w:t>4.4.1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Supplemental Indenture, dated as of October 14, 2021 (relating to the Indenture dated as of August 20, 2020), among ATM National, LLC, Cardtronics Holdings, LLC, Cardtronics, Inc., Cardtronics USA, Inc., CATM Holdings LLC, NCR Corporation, NCR Internationa</w:t>
            </w:r>
            <w:r>
              <w:rPr>
                <w:rFonts w:eastAsia="Times New Roman"/>
                <w:color w:val="000000"/>
                <w:sz w:val="20"/>
                <w:szCs w:val="20"/>
              </w:rPr>
              <w:t>l, Inc., and Wells Fargo Bank, National Association, as trustee.</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000225747"/>
              <w:rPr>
                <w:rFonts w:eastAsia="Times New Roman"/>
              </w:rPr>
            </w:pPr>
            <w:hyperlink r:id="rId16" w:history="1">
              <w:r>
                <w:rPr>
                  <w:rStyle w:val="a3"/>
                  <w:rFonts w:eastAsia="Times New Roman"/>
                  <w:sz w:val="20"/>
                  <w:szCs w:val="20"/>
                </w:rPr>
                <w:t>4.5</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Indenture, dated as of August 20, 2020, among NCR Corporation, NCR International, Inc. and Wells Fargo Bank, National Association (Exhibit 4.3 to the August 20, 2020 Form 8-K).</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128742658"/>
              <w:rPr>
                <w:rFonts w:eastAsia="Times New Roman"/>
              </w:rPr>
            </w:pPr>
            <w:hyperlink r:id="rId17" w:history="1">
              <w:r>
                <w:rPr>
                  <w:rStyle w:val="a3"/>
                  <w:rFonts w:eastAsia="Times New Roman"/>
                  <w:sz w:val="20"/>
                  <w:szCs w:val="20"/>
                </w:rPr>
                <w:t>4.5.1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Supplemental Indenture, dated as of October 14, 2021 (relating to the Indenture dated as of August 20, 2020), among ATM National, LLC, Cardtronics Holdings, LLC, Cardtronics, Inc., Cardtronics USA, Inc., CATM Holdings LLC, NCR Corporation, NCR Internationa</w:t>
            </w:r>
            <w:r>
              <w:rPr>
                <w:rFonts w:eastAsia="Times New Roman"/>
                <w:color w:val="000000"/>
                <w:sz w:val="20"/>
                <w:szCs w:val="20"/>
              </w:rPr>
              <w:t>l, Inc., and Wells Fargo Bank, National Association, as trustee.</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366301862"/>
              <w:rPr>
                <w:rFonts w:eastAsia="Times New Roman"/>
              </w:rPr>
            </w:pPr>
            <w:hyperlink r:id="rId18" w:history="1">
              <w:r>
                <w:rPr>
                  <w:rStyle w:val="a3"/>
                  <w:rFonts w:eastAsia="Times New Roman"/>
                  <w:sz w:val="20"/>
                  <w:szCs w:val="20"/>
                </w:rPr>
                <w:t>4.6</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Indenture, dated as of April 6, 2021, among NCR Corporation, NCR Interna</w:t>
            </w:r>
            <w:r>
              <w:rPr>
                <w:rFonts w:eastAsia="Times New Roman"/>
                <w:color w:val="000000"/>
                <w:sz w:val="20"/>
                <w:szCs w:val="20"/>
              </w:rPr>
              <w:t>tional, Inc. and U.S. Bank National Association (Exhibit 4.1 to Current Report on Form 8-K of NCR Corporation dated April 6, 2021).</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269629446"/>
              <w:rPr>
                <w:rFonts w:eastAsia="Times New Roman"/>
              </w:rPr>
            </w:pPr>
            <w:hyperlink r:id="rId19" w:history="1">
              <w:r>
                <w:rPr>
                  <w:rStyle w:val="a3"/>
                  <w:rFonts w:eastAsia="Times New Roman"/>
                  <w:sz w:val="20"/>
                  <w:szCs w:val="20"/>
                </w:rPr>
                <w:t>4.6.1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 xml:space="preserve">Supplemental Indenture, dated as of October 14, 2021 (relating to the Indenture dated as of April 6, 2021), among ATM National, LLC, </w:t>
            </w:r>
            <w:r>
              <w:rPr>
                <w:rFonts w:eastAsia="Times New Roman"/>
                <w:color w:val="000000"/>
                <w:sz w:val="20"/>
                <w:szCs w:val="20"/>
              </w:rPr>
              <w:t>Cardtronics Holdings, LLC, Cardtronics, Inc., Cardtronics USA, Inc., CATM Holdings LLC, NCR International, Inc., and U.S. Bank National Association, as trustee.</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40289C">
            <w:pPr>
              <w:spacing w:after="100"/>
              <w:divId w:val="377439899"/>
              <w:rPr>
                <w:rFonts w:eastAsia="Times New Roman"/>
              </w:rPr>
            </w:pPr>
            <w:hyperlink r:id="rId20" w:history="1">
              <w:r>
                <w:rPr>
                  <w:rStyle w:val="a3"/>
                  <w:rFonts w:eastAsia="Times New Roman"/>
                  <w:sz w:val="20"/>
                  <w:szCs w:val="20"/>
                </w:rPr>
                <w:t>4.7</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Description of NCR Corporation Securities Registered Under Section 12 of the Exchange Act.</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930164112"/>
              <w:rPr>
                <w:rFonts w:eastAsia="Times New Roman"/>
              </w:rPr>
            </w:pPr>
            <w:hyperlink r:id="rId21" w:history="1">
              <w:r>
                <w:rPr>
                  <w:rStyle w:val="a3"/>
                  <w:rFonts w:eastAsia="Times New Roman"/>
                  <w:sz w:val="20"/>
                  <w:szCs w:val="20"/>
                </w:rPr>
                <w:t>10.</w:t>
              </w:r>
            </w:hyperlink>
            <w:hyperlink r:id="rId22"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Amended and Restated NCR Change in Control Severance Plan ef</w:t>
            </w:r>
            <w:r>
              <w:rPr>
                <w:rFonts w:eastAsia="Times New Roman"/>
                <w:color w:val="000000"/>
                <w:sz w:val="20"/>
                <w:szCs w:val="20"/>
              </w:rPr>
              <w:t>fective December 31, 2008 (Exhibit 10.24.2 to the NCR Corporation Annual Report on Form 10-K for the year ended December 31, 2008 (the “2008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081321542"/>
              <w:rPr>
                <w:rFonts w:eastAsia="Times New Roman"/>
              </w:rPr>
            </w:pPr>
            <w:hyperlink r:id="rId23" w:history="1">
              <w:r>
                <w:rPr>
                  <w:rStyle w:val="a3"/>
                  <w:rFonts w:eastAsia="Times New Roman"/>
                  <w:sz w:val="20"/>
                  <w:szCs w:val="20"/>
                </w:rPr>
                <w:t>10.</w:t>
              </w:r>
            </w:hyperlink>
            <w:hyperlink r:id="rId24" w:history="1">
              <w:r>
                <w:rPr>
                  <w:rStyle w:val="a3"/>
                  <w:rFonts w:eastAsia="Times New Roman"/>
                  <w:sz w:val="20"/>
                  <w:szCs w:val="20"/>
                </w:rPr>
                <w:t>1</w:t>
              </w:r>
            </w:hyperlink>
            <w:hyperlink r:id="rId25"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First Amendment to the Amended and Restated NCR Change in Control Severance Plan (Exhibit 10.6 to the NCR Corporation Quarterly Report on Form 10-Q for the quarter ended September 30, 2011).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423428566"/>
              <w:rPr>
                <w:rFonts w:eastAsia="Times New Roman"/>
              </w:rPr>
            </w:pPr>
            <w:hyperlink r:id="rId26" w:history="1">
              <w:r>
                <w:rPr>
                  <w:rStyle w:val="a3"/>
                  <w:rFonts w:eastAsia="Times New Roman"/>
                  <w:sz w:val="20"/>
                  <w:szCs w:val="20"/>
                </w:rPr>
                <w:t>10.</w:t>
              </w:r>
            </w:hyperlink>
            <w:hyperlink r:id="rId27" w:history="1">
              <w:r>
                <w:rPr>
                  <w:rStyle w:val="a3"/>
                  <w:rFonts w:eastAsia="Times New Roman"/>
                  <w:sz w:val="20"/>
                  <w:szCs w:val="20"/>
                </w:rPr>
                <w:t>1</w:t>
              </w:r>
            </w:hyperlink>
            <w:hyperlink r:id="rId28"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Second Amendment to the Amended and Restated NCR Change in Control Severance Plan (Exhibit 10.11.2 to the 2017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772313265"/>
              <w:rPr>
                <w:rFonts w:eastAsia="Times New Roman"/>
              </w:rPr>
            </w:pPr>
            <w:hyperlink r:id="rId29" w:history="1">
              <w:r>
                <w:rPr>
                  <w:rStyle w:val="a3"/>
                  <w:rFonts w:eastAsia="Times New Roman"/>
                  <w:sz w:val="20"/>
                  <w:szCs w:val="20"/>
                </w:rPr>
                <w:t>10.</w:t>
              </w:r>
            </w:hyperlink>
            <w:hyperlink r:id="rId30"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Agreement between NCR and the Trustees of the NCR Pension Plan (UK), dated November 14, 2013 (Exhibit 10.1 to the Current Report on Form 8</w:t>
            </w:r>
            <w:r>
              <w:rPr>
                <w:rFonts w:eastAsia="Times New Roman"/>
                <w:color w:val="000000"/>
                <w:sz w:val="20"/>
                <w:szCs w:val="20"/>
              </w:rPr>
              <w:t>-K of NCR Corporation dated November 14, 2013).</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615594961"/>
              <w:rPr>
                <w:rFonts w:eastAsia="Times New Roman"/>
              </w:rPr>
            </w:pPr>
            <w:hyperlink r:id="rId31" w:history="1">
              <w:r>
                <w:rPr>
                  <w:rStyle w:val="a3"/>
                  <w:rFonts w:eastAsia="Times New Roman"/>
                  <w:sz w:val="20"/>
                  <w:szCs w:val="20"/>
                </w:rPr>
                <w:t>10.</w:t>
              </w:r>
            </w:hyperlink>
            <w:hyperlink r:id="rId32"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Amended and Restated NCR</w:t>
            </w:r>
            <w:r>
              <w:rPr>
                <w:rFonts w:eastAsia="Times New Roman"/>
                <w:color w:val="000000"/>
                <w:sz w:val="20"/>
                <w:szCs w:val="20"/>
              </w:rPr>
              <w:t xml:space="preserve"> Executive Severance Plan (Exhibit 10.1 to the NCR Corporation Quarterly Report on Form 10-Q for the quarter ended June 30, 2015 (the “Second Quarter 2015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816267300"/>
              <w:rPr>
                <w:rFonts w:eastAsia="Times New Roman"/>
              </w:rPr>
            </w:pPr>
            <w:hyperlink r:id="rId33" w:history="1">
              <w:r>
                <w:rPr>
                  <w:rStyle w:val="a3"/>
                  <w:rFonts w:eastAsia="Times New Roman"/>
                  <w:sz w:val="20"/>
                  <w:szCs w:val="20"/>
                </w:rPr>
                <w:t>10.</w:t>
              </w:r>
            </w:hyperlink>
            <w:hyperlink r:id="rId34" w:history="1">
              <w:r>
                <w:rPr>
                  <w:rStyle w:val="a3"/>
                  <w:rFonts w:eastAsia="Times New Roman"/>
                  <w:sz w:val="20"/>
                  <w:szCs w:val="20"/>
                </w:rPr>
                <w:t>3</w:t>
              </w:r>
            </w:hyperlink>
            <w:hyperlink r:id="rId35"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First Amendment to the Amended and Restated NCR Executive Severance Plan (Exhibit 10.21.1 to the 2017 Annual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329600586"/>
              <w:rPr>
                <w:rFonts w:eastAsia="Times New Roman"/>
              </w:rPr>
            </w:pPr>
            <w:hyperlink r:id="rId36"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NCR Corporation Executive Officer Cash Severance Policy (Annex A to the Current Report on Form 8-K of NCR Corporation dated May 2, 2022)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288781299"/>
              <w:rPr>
                <w:rFonts w:eastAsia="Times New Roman"/>
              </w:rPr>
            </w:pPr>
            <w:hyperlink r:id="rId37" w:history="1">
              <w:r>
                <w:rPr>
                  <w:rStyle w:val="a3"/>
                  <w:rFonts w:eastAsia="Times New Roman"/>
                  <w:sz w:val="20"/>
                  <w:szCs w:val="20"/>
                </w:rPr>
                <w:t>10.</w:t>
              </w:r>
            </w:hyperlink>
            <w:hyperlink r:id="rId38" w:history="1">
              <w:r>
                <w:rPr>
                  <w:rStyle w:val="a3"/>
                  <w:rFonts w:eastAsia="Times New Roman"/>
                  <w:sz w:val="20"/>
                  <w:szCs w:val="20"/>
                </w:rPr>
                <w:t>5</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NCR Director Compensation Program effective April 23, 2013, as amended effective February 24, 2014 (the “2013 NCR Director Compensation Program”) (Exhibit 10.42 to the 2014 Annual Report). *</w:t>
            </w:r>
          </w:p>
        </w:tc>
      </w:tr>
    </w:tbl>
    <w:p w:rsidR="00000000" w:rsidRDefault="0040289C">
      <w:pPr>
        <w:jc w:val="center"/>
        <w:divId w:val="2099204473"/>
        <w:rPr>
          <w:rFonts w:eastAsia="Times New Roman"/>
        </w:rPr>
      </w:pPr>
      <w:r>
        <w:rPr>
          <w:rFonts w:eastAsia="Times New Roman"/>
          <w:color w:val="000000"/>
          <w:sz w:val="20"/>
          <w:szCs w:val="20"/>
        </w:rPr>
        <w:t>129</w:t>
      </w:r>
    </w:p>
    <w:p w:rsidR="00000000" w:rsidRDefault="0040289C">
      <w:pPr>
        <w:rPr>
          <w:rFonts w:eastAsia="Times New Roman"/>
        </w:rPr>
      </w:pPr>
      <w:r>
        <w:rPr>
          <w:rFonts w:eastAsia="Times New Roman"/>
        </w:rPr>
        <w:pict>
          <v:rect id="_x0000_i1159" style="width:0;height:1.5pt" o:hralign="center" o:hrstd="t" o:hr="t" fillcolor="#a0a0a0" stroked="f"/>
        </w:pict>
      </w:r>
    </w:p>
    <w:p w:rsidR="00000000" w:rsidRDefault="0040289C">
      <w:pPr>
        <w:divId w:val="2062947733"/>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19754915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3"/>
        <w:gridCol w:w="659"/>
        <w:gridCol w:w="36"/>
        <w:gridCol w:w="36"/>
        <w:gridCol w:w="113"/>
        <w:gridCol w:w="36"/>
        <w:gridCol w:w="61"/>
        <w:gridCol w:w="7256"/>
        <w:gridCol w:w="36"/>
      </w:tblGrid>
      <w:tr w:rsidR="00000000">
        <w:tc>
          <w:tcPr>
            <w:tcW w:w="50" w:type="pct"/>
            <w:vAlign w:val="center"/>
            <w:hideMark/>
          </w:tcPr>
          <w:p w:rsidR="00000000" w:rsidRDefault="0040289C">
            <w:pPr>
              <w:rPr>
                <w:rFonts w:eastAsia="Times New Roman"/>
              </w:rPr>
            </w:pPr>
          </w:p>
        </w:tc>
        <w:tc>
          <w:tcPr>
            <w:tcW w:w="4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8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477763790"/>
              <w:rPr>
                <w:rFonts w:eastAsia="Times New Roman"/>
              </w:rPr>
            </w:pPr>
            <w:hyperlink r:id="rId39" w:anchor="toc127170_53" w:history="1">
              <w:r>
                <w:rPr>
                  <w:rStyle w:val="a3"/>
                  <w:rFonts w:eastAsia="Times New Roman"/>
                  <w:sz w:val="20"/>
                  <w:szCs w:val="20"/>
                </w:rPr>
                <w:t>10.</w:t>
              </w:r>
            </w:hyperlink>
            <w:hyperlink r:id="rId40" w:anchor="toc127170_53" w:history="1">
              <w:r>
                <w:rPr>
                  <w:rStyle w:val="a3"/>
                  <w:rFonts w:eastAsia="Times New Roman"/>
                  <w:sz w:val="20"/>
                  <w:szCs w:val="20"/>
                </w:rPr>
                <w:t>6</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 xml:space="preserve">NCR Employee Stock Purchase Plan, as amended and restated effective January 1, 2017 (Appendix A to the NCR Corporation Proxy Statement on Schedule 14A for the NCR Corporation 2016 Annual Meeting of Stockholders). * </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357052726"/>
              <w:rPr>
                <w:rFonts w:eastAsia="Times New Roman"/>
              </w:rPr>
            </w:pPr>
            <w:hyperlink r:id="rId41" w:history="1">
              <w:r>
                <w:rPr>
                  <w:rStyle w:val="a3"/>
                  <w:rFonts w:eastAsia="Times New Roman"/>
                  <w:sz w:val="20"/>
                  <w:szCs w:val="20"/>
                </w:rPr>
                <w:t>10.</w:t>
              </w:r>
            </w:hyperlink>
            <w:hyperlink r:id="rId42" w:history="1">
              <w:r>
                <w:rPr>
                  <w:rStyle w:val="a3"/>
                  <w:rFonts w:eastAsia="Times New Roman"/>
                  <w:sz w:val="20"/>
                  <w:szCs w:val="20"/>
                </w:rPr>
                <w:t>7</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 xml:space="preserve">Incremental Revolving Facility Agreement (TLA-2 Conversion), dated as of June 24, 2021, among NCR Corporation, the Foreign Borrowers thereto, the Subsidiary Loan Parties thereto, the Incremental Revolving Lenders thereto, and JPMorgan Chase Bank, N.A., as </w:t>
            </w:r>
            <w:r>
              <w:rPr>
                <w:rFonts w:eastAsia="Times New Roman"/>
                <w:color w:val="000000"/>
                <w:sz w:val="20"/>
                <w:szCs w:val="20"/>
              </w:rPr>
              <w:t>Administrative Agent, including, as Exhibit A thereto, the Amended Credit Agreement, dated as of June 24, 2021, among NCR Corporation, the Foreign Borrowers party thereto, the Lenders party thereto and JPMorgan Chase Bank, N.A., as Administrative Agent (Ex</w:t>
            </w:r>
            <w:r>
              <w:rPr>
                <w:rFonts w:eastAsia="Times New Roman"/>
                <w:color w:val="000000"/>
                <w:sz w:val="20"/>
                <w:szCs w:val="20"/>
              </w:rPr>
              <w:t>hibit 10.1 to Current Report on Form 8-K of NCR Corporation dated June 21, 2021 (the “June 21, 2021 Form 8-K”)).</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66099686"/>
              <w:rPr>
                <w:rFonts w:eastAsia="Times New Roman"/>
              </w:rPr>
            </w:pPr>
            <w:hyperlink r:id="rId43" w:history="1">
              <w:r>
                <w:rPr>
                  <w:rStyle w:val="a3"/>
                  <w:rFonts w:eastAsia="Times New Roman"/>
                  <w:sz w:val="20"/>
                  <w:szCs w:val="20"/>
                </w:rPr>
                <w:t>10.</w:t>
              </w:r>
            </w:hyperlink>
            <w:hyperlink r:id="rId44" w:history="1">
              <w:r>
                <w:rPr>
                  <w:rStyle w:val="a3"/>
                  <w:rFonts w:eastAsia="Times New Roman"/>
                  <w:sz w:val="20"/>
                  <w:szCs w:val="20"/>
                </w:rPr>
                <w:t>7</w:t>
              </w:r>
            </w:hyperlink>
            <w:hyperlink r:id="rId45" w:history="1">
              <w:r>
                <w:rPr>
                  <w:rStyle w:val="a3"/>
                  <w:rFonts w:eastAsia="Times New Roman"/>
                  <w:sz w:val="20"/>
                  <w:szCs w:val="20"/>
                </w:rPr>
                <w:t>.</w:t>
              </w:r>
            </w:hyperlink>
            <w:hyperlink r:id="rId46"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Fifth Amendment to the Credit Agreement, dated as of December 27, 2022, by and among NCR Corporation, the lenders party thereto and JPMorgan Chase Bank, N.A., as administrative agent. (Exhibit 10.1 to the Current Report on Form 8-K of</w:t>
            </w:r>
            <w:r>
              <w:rPr>
                <w:rFonts w:eastAsia="Times New Roman"/>
                <w:color w:val="000000"/>
                <w:sz w:val="20"/>
                <w:szCs w:val="20"/>
              </w:rPr>
              <w:t xml:space="preserve"> NCR Corporation dated December 27, 2022) *</w:t>
            </w:r>
          </w:p>
        </w:tc>
      </w:tr>
      <w:tr w:rsidR="00000000">
        <w:trPr>
          <w:trHeight w:val="24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021348750"/>
              <w:rPr>
                <w:rFonts w:eastAsia="Times New Roman"/>
              </w:rPr>
            </w:pPr>
            <w:hyperlink r:id="rId47" w:history="1">
              <w:r>
                <w:rPr>
                  <w:rStyle w:val="a3"/>
                  <w:rFonts w:eastAsia="Times New Roman"/>
                  <w:sz w:val="20"/>
                  <w:szCs w:val="20"/>
                </w:rPr>
                <w:t>10.</w:t>
              </w:r>
            </w:hyperlink>
            <w:hyperlink r:id="rId48" w:history="1">
              <w:r>
                <w:rPr>
                  <w:rStyle w:val="a3"/>
                  <w:rFonts w:eastAsia="Times New Roman"/>
                  <w:sz w:val="20"/>
                  <w:szCs w:val="20"/>
                </w:rPr>
                <w:t>7</w:t>
              </w:r>
            </w:hyperlink>
            <w:hyperlink r:id="rId49" w:history="1">
              <w:r>
                <w:rPr>
                  <w:rStyle w:val="a3"/>
                  <w:rFonts w:eastAsia="Times New Roman"/>
                  <w:sz w:val="20"/>
                  <w:szCs w:val="20"/>
                </w:rPr>
                <w:t>.</w:t>
              </w:r>
            </w:hyperlink>
            <w:hyperlink r:id="rId50"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Reaffirmation Agreement, dated as of June 21, 2021, among NCR Corporation, certain foreign and domestic subsidiaries of NCR Corporation party thereto and JPMorgan Chase Bank, N.A., as Administrative Agent (Exh</w:t>
            </w:r>
            <w:r>
              <w:rPr>
                <w:rFonts w:eastAsia="Times New Roman"/>
                <w:color w:val="000000"/>
                <w:sz w:val="20"/>
                <w:szCs w:val="20"/>
              </w:rPr>
              <w:t>ibit 10.2 to the June 21, 2021 Form 8-K).</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162311077"/>
              <w:rPr>
                <w:rFonts w:eastAsia="Times New Roman"/>
              </w:rPr>
            </w:pPr>
            <w:hyperlink r:id="rId51" w:history="1">
              <w:r>
                <w:rPr>
                  <w:rStyle w:val="a3"/>
                  <w:rFonts w:eastAsia="Times New Roman"/>
                  <w:sz w:val="20"/>
                  <w:szCs w:val="20"/>
                </w:rPr>
                <w:t>10.</w:t>
              </w:r>
            </w:hyperlink>
            <w:hyperlink r:id="rId52" w:history="1">
              <w:r>
                <w:rPr>
                  <w:rStyle w:val="a3"/>
                  <w:rFonts w:eastAsia="Times New Roman"/>
                  <w:sz w:val="20"/>
                  <w:szCs w:val="20"/>
                </w:rPr>
                <w:t>7</w:t>
              </w:r>
            </w:hyperlink>
            <w:hyperlink r:id="rId53" w:history="1">
              <w:r>
                <w:rPr>
                  <w:rStyle w:val="a3"/>
                  <w:rFonts w:eastAsia="Times New Roman"/>
                  <w:sz w:val="20"/>
                  <w:szCs w:val="20"/>
                </w:rPr>
                <w:t>.</w:t>
              </w:r>
            </w:hyperlink>
            <w:hyperlink r:id="rId54"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Amended and Restated Guarantee and Collateral Agreem</w:t>
            </w:r>
            <w:r>
              <w:rPr>
                <w:rFonts w:eastAsia="Times New Roman"/>
                <w:color w:val="000000"/>
                <w:sz w:val="20"/>
                <w:szCs w:val="20"/>
              </w:rPr>
              <w:t>ent, dated as of August 22, 2011, as amended and restated as of January 6, 2014, as further amended and restated as of March 31, 2016, by and among NCR Corporation, the Foreign Borrowers party thereto, the subsidiaries of NCR Corporation identified therein</w:t>
            </w:r>
            <w:r>
              <w:rPr>
                <w:rFonts w:eastAsia="Times New Roman"/>
                <w:color w:val="000000"/>
                <w:sz w:val="20"/>
                <w:szCs w:val="20"/>
              </w:rPr>
              <w:t xml:space="preserve"> and JPMorgan Chase Bank, N.A., as Administrative Agent (Exhibit 10.2 to the April 4, 2016 Form 8-K).</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438939548"/>
              <w:rPr>
                <w:rFonts w:eastAsia="Times New Roman"/>
              </w:rPr>
            </w:pPr>
            <w:hyperlink r:id="rId55" w:history="1">
              <w:r>
                <w:rPr>
                  <w:rStyle w:val="a3"/>
                  <w:rFonts w:eastAsia="Times New Roman"/>
                  <w:sz w:val="20"/>
                  <w:szCs w:val="20"/>
                </w:rPr>
                <w:t>10.</w:t>
              </w:r>
            </w:hyperlink>
            <w:hyperlink r:id="rId56" w:history="1">
              <w:r>
                <w:rPr>
                  <w:rStyle w:val="a3"/>
                  <w:rFonts w:eastAsia="Times New Roman"/>
                  <w:sz w:val="20"/>
                  <w:szCs w:val="20"/>
                </w:rPr>
                <w:t>7</w:t>
              </w:r>
            </w:hyperlink>
            <w:hyperlink r:id="rId57" w:history="1">
              <w:r>
                <w:rPr>
                  <w:rStyle w:val="a3"/>
                  <w:rFonts w:eastAsia="Times New Roman"/>
                  <w:sz w:val="20"/>
                  <w:szCs w:val="20"/>
                </w:rPr>
                <w:t>.</w:t>
              </w:r>
            </w:hyperlink>
            <w:hyperlink r:id="rId58" w:history="1">
              <w:r>
                <w:rPr>
                  <w:rStyle w:val="a3"/>
                  <w:rFonts w:eastAsia="Times New Roman"/>
                  <w:sz w:val="20"/>
                  <w:szCs w:val="20"/>
                </w:rPr>
                <w:t>3</w:t>
              </w:r>
            </w:hyperlink>
            <w:hyperlink r:id="rId59"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Supplement No. 1, dated as of September 30, 2021, to the Amended and Restated Guarantee and Collateral Agreement, dated as of August 22, 2011, as amended and restated as of January 6, 2014, as furthe</w:t>
            </w:r>
            <w:r>
              <w:rPr>
                <w:rFonts w:eastAsia="Times New Roman"/>
                <w:color w:val="000000"/>
                <w:sz w:val="20"/>
                <w:szCs w:val="20"/>
              </w:rPr>
              <w:t>r amended and restated as of March 31, 2016, among NCR Corporation, the Foreign Borrowers from time to time party thereto, the Subsidiary Loan Parties from time to time party thereto and JPMorgan Chase Bank, N.A., as Administrative Agent (Exhibit 10.5 to t</w:t>
            </w:r>
            <w:r>
              <w:rPr>
                <w:rFonts w:eastAsia="Times New Roman"/>
                <w:color w:val="000000"/>
                <w:sz w:val="20"/>
                <w:szCs w:val="20"/>
              </w:rPr>
              <w:t>he Quarterly Report on Form 10-Q of NCR Corporation for the quarter ended September 30, 2021).</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958826097"/>
              <w:rPr>
                <w:rFonts w:eastAsia="Times New Roman"/>
              </w:rPr>
            </w:pPr>
            <w:hyperlink r:id="rId60" w:history="1">
              <w:r>
                <w:rPr>
                  <w:rStyle w:val="a3"/>
                  <w:rFonts w:eastAsia="Times New Roman"/>
                  <w:sz w:val="20"/>
                  <w:szCs w:val="20"/>
                </w:rPr>
                <w:t>10.</w:t>
              </w:r>
            </w:hyperlink>
            <w:hyperlink r:id="rId61" w:history="1">
              <w:r>
                <w:rPr>
                  <w:rStyle w:val="a3"/>
                  <w:rFonts w:eastAsia="Times New Roman"/>
                  <w:sz w:val="20"/>
                  <w:szCs w:val="20"/>
                </w:rPr>
                <w:t>7</w:t>
              </w:r>
            </w:hyperlink>
            <w:hyperlink r:id="rId62" w:history="1">
              <w:r>
                <w:rPr>
                  <w:rStyle w:val="a3"/>
                  <w:rFonts w:eastAsia="Times New Roman"/>
                  <w:sz w:val="20"/>
                  <w:szCs w:val="20"/>
                </w:rPr>
                <w:t>.</w:t>
              </w:r>
            </w:hyperlink>
            <w:hyperlink r:id="rId63"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Annex A to Credit Agreement dated as of August 22, 2011, as amended and restated as of July 25, 20</w:t>
            </w:r>
            <w:r>
              <w:rPr>
                <w:rFonts w:eastAsia="Times New Roman"/>
                <w:color w:val="000000"/>
                <w:sz w:val="20"/>
                <w:szCs w:val="20"/>
              </w:rPr>
              <w:t>13, as further amended and restated as of March 31, 2016, among NCR Corporation, the Foreign Borrowers party thereto, the Lenders party thereto and JPMorgan Chase Bank, N.A. (Exhibit 10.1 to the Second Quarter 2016 Quarterly Report).</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813445300"/>
              <w:rPr>
                <w:rFonts w:eastAsia="Times New Roman"/>
              </w:rPr>
            </w:pPr>
            <w:hyperlink r:id="rId64" w:anchor="toc294010_123" w:history="1">
              <w:r>
                <w:rPr>
                  <w:rStyle w:val="a3"/>
                  <w:rFonts w:eastAsia="Times New Roman"/>
                  <w:sz w:val="20"/>
                  <w:szCs w:val="20"/>
                </w:rPr>
                <w:t>10.</w:t>
              </w:r>
            </w:hyperlink>
            <w:hyperlink r:id="rId65" w:anchor="toc294010_123" w:history="1">
              <w:r>
                <w:rPr>
                  <w:rStyle w:val="a3"/>
                  <w:rFonts w:eastAsia="Times New Roman"/>
                  <w:sz w:val="20"/>
                  <w:szCs w:val="20"/>
                </w:rPr>
                <w:t>8</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Second Amended and Restated NCR Management Incentive Plan (Appendix A to the NCR Corporation Proxy Statement on Schedule 14A for the NCR Corporation 2017 Annual Meeting of Stockholders (the “2017 Proxy Statement”). *</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843934111"/>
              <w:rPr>
                <w:rFonts w:eastAsia="Times New Roman"/>
              </w:rPr>
            </w:pPr>
            <w:hyperlink r:id="rId66" w:anchor="toc294010_126" w:history="1">
              <w:r>
                <w:rPr>
                  <w:rStyle w:val="a3"/>
                  <w:rFonts w:eastAsia="Times New Roman"/>
                  <w:sz w:val="20"/>
                  <w:szCs w:val="20"/>
                </w:rPr>
                <w:t>10.</w:t>
              </w:r>
            </w:hyperlink>
            <w:hyperlink r:id="rId67" w:anchor="toc294010_126" w:history="1">
              <w:r>
                <w:rPr>
                  <w:rStyle w:val="a3"/>
                  <w:rFonts w:eastAsia="Times New Roman"/>
                  <w:sz w:val="20"/>
                  <w:szCs w:val="20"/>
                </w:rPr>
                <w:t>9</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NCR Corporation 2017 Stock Incentive</w:t>
            </w:r>
            <w:r>
              <w:rPr>
                <w:rFonts w:eastAsia="Times New Roman"/>
                <w:color w:val="000000"/>
                <w:sz w:val="20"/>
                <w:szCs w:val="20"/>
              </w:rPr>
              <w:t xml:space="preserve"> Plan (the “2017 Stock Incentive Plan”) (Appendix B to the 2017 Proxy Statement). *</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630550471"/>
              <w:rPr>
                <w:rFonts w:eastAsia="Times New Roman"/>
              </w:rPr>
            </w:pPr>
            <w:hyperlink r:id="rId68" w:history="1">
              <w:r>
                <w:rPr>
                  <w:rStyle w:val="a3"/>
                  <w:rFonts w:eastAsia="Times New Roman"/>
                  <w:sz w:val="20"/>
                  <w:szCs w:val="20"/>
                </w:rPr>
                <w:t>10.</w:t>
              </w:r>
            </w:hyperlink>
            <w:hyperlink r:id="rId69" w:history="1">
              <w:r>
                <w:rPr>
                  <w:rStyle w:val="a3"/>
                  <w:rFonts w:eastAsia="Times New Roman"/>
                  <w:sz w:val="20"/>
                  <w:szCs w:val="20"/>
                </w:rPr>
                <w:t>9</w:t>
              </w:r>
            </w:hyperlink>
            <w:hyperlink r:id="rId70" w:history="1">
              <w:r>
                <w:rPr>
                  <w:rStyle w:val="a3"/>
                  <w:rFonts w:eastAsia="Times New Roman"/>
                  <w:sz w:val="20"/>
                  <w:szCs w:val="20"/>
                </w:rPr>
                <w:t>.</w:t>
              </w:r>
            </w:hyperlink>
            <w:hyperlink r:id="rId71"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Form of 2018 Stock Option Award Agreement under the NCR Corporation 2017 Stock Incentive Plan (the “2017 Stock Incentive</w:t>
            </w:r>
            <w:r>
              <w:rPr>
                <w:rFonts w:eastAsia="Times New Roman"/>
                <w:color w:val="000000"/>
                <w:sz w:val="20"/>
                <w:szCs w:val="20"/>
              </w:rPr>
              <w:t xml:space="preserve"> Plan”) (Exhibit 10.1 to the Quarterly Report on Form 10-Q of NCR Corporation for the quarter ended March 31, 2018). *</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380254597"/>
              <w:rPr>
                <w:rFonts w:eastAsia="Times New Roman"/>
              </w:rPr>
            </w:pPr>
            <w:hyperlink r:id="rId72" w:history="1">
              <w:r>
                <w:rPr>
                  <w:rStyle w:val="a3"/>
                  <w:rFonts w:eastAsia="Times New Roman"/>
                  <w:sz w:val="20"/>
                  <w:szCs w:val="20"/>
                </w:rPr>
                <w:t>10.</w:t>
              </w:r>
            </w:hyperlink>
            <w:hyperlink r:id="rId73" w:history="1">
              <w:r>
                <w:rPr>
                  <w:rStyle w:val="a3"/>
                  <w:rFonts w:eastAsia="Times New Roman"/>
                  <w:sz w:val="20"/>
                  <w:szCs w:val="20"/>
                </w:rPr>
                <w:t>9</w:t>
              </w:r>
            </w:hyperlink>
            <w:hyperlink r:id="rId74" w:history="1">
              <w:r>
                <w:rPr>
                  <w:rStyle w:val="a3"/>
                  <w:rFonts w:eastAsia="Times New Roman"/>
                  <w:sz w:val="20"/>
                  <w:szCs w:val="20"/>
                </w:rPr>
                <w:t>.</w:t>
              </w:r>
            </w:hyperlink>
            <w:hyperlink r:id="rId75"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Form of 2019 Stock Option Award Agreement under the 2017 Stock Incen</w:t>
            </w:r>
            <w:r>
              <w:rPr>
                <w:rFonts w:eastAsia="Times New Roman"/>
                <w:color w:val="000000"/>
                <w:sz w:val="20"/>
                <w:szCs w:val="20"/>
              </w:rPr>
              <w:t>tive Plan (Exhibit 10.1 to the Quarterly Report on Form 10-Q of NCR Corporation for the quarter ended March 31, 2019 (the “First Quarter 2019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269772636"/>
              <w:rPr>
                <w:rFonts w:eastAsia="Times New Roman"/>
              </w:rPr>
            </w:pPr>
            <w:hyperlink r:id="rId76" w:history="1">
              <w:r>
                <w:rPr>
                  <w:rStyle w:val="a3"/>
                  <w:rFonts w:eastAsia="Times New Roman"/>
                  <w:sz w:val="20"/>
                  <w:szCs w:val="20"/>
                </w:rPr>
                <w:t>10.</w:t>
              </w:r>
            </w:hyperlink>
            <w:hyperlink r:id="rId77" w:history="1">
              <w:r>
                <w:rPr>
                  <w:rStyle w:val="a3"/>
                  <w:rFonts w:eastAsia="Times New Roman"/>
                  <w:sz w:val="20"/>
                  <w:szCs w:val="20"/>
                </w:rPr>
                <w:t>9</w:t>
              </w:r>
            </w:hyperlink>
            <w:hyperlink r:id="rId78" w:history="1">
              <w:r>
                <w:rPr>
                  <w:rStyle w:val="a3"/>
                  <w:rFonts w:eastAsia="Times New Roman"/>
                  <w:sz w:val="20"/>
                  <w:szCs w:val="20"/>
                </w:rPr>
                <w:t>.</w:t>
              </w:r>
            </w:hyperlink>
            <w:hyperlink r:id="rId79"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Form of 2020 Premium-Priced Option Award Agreement under the 2017 Stock Incentive Plan (Exhibit 10.1 to the Quarterly Report on Form 10-Q of NCR Corporation for the quarter ended Mar</w:t>
            </w:r>
            <w:r>
              <w:rPr>
                <w:rFonts w:eastAsia="Times New Roman"/>
                <w:color w:val="000000"/>
                <w:sz w:val="20"/>
                <w:szCs w:val="20"/>
              </w:rPr>
              <w:t>ch 31, 2020 (the “First Quarter 2020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738017057"/>
              <w:rPr>
                <w:rFonts w:eastAsia="Times New Roman"/>
              </w:rPr>
            </w:pPr>
            <w:hyperlink r:id="rId80" w:history="1">
              <w:r>
                <w:rPr>
                  <w:rStyle w:val="a3"/>
                  <w:rFonts w:eastAsia="Times New Roman"/>
                  <w:sz w:val="20"/>
                  <w:szCs w:val="20"/>
                </w:rPr>
                <w:t>10.</w:t>
              </w:r>
            </w:hyperlink>
            <w:hyperlink r:id="rId81" w:history="1">
              <w:r>
                <w:rPr>
                  <w:rStyle w:val="a3"/>
                  <w:rFonts w:eastAsia="Times New Roman"/>
                  <w:sz w:val="20"/>
                  <w:szCs w:val="20"/>
                </w:rPr>
                <w:t>9</w:t>
              </w:r>
            </w:hyperlink>
            <w:hyperlink r:id="rId82" w:history="1">
              <w:r>
                <w:rPr>
                  <w:rStyle w:val="a3"/>
                  <w:rFonts w:eastAsia="Times New Roman"/>
                  <w:sz w:val="20"/>
                  <w:szCs w:val="20"/>
                </w:rPr>
                <w:t>.</w:t>
              </w:r>
            </w:hyperlink>
            <w:hyperlink r:id="rId83" w:history="1">
              <w:r>
                <w:rPr>
                  <w:rStyle w:val="a3"/>
                  <w:rFonts w:eastAsia="Times New Roman"/>
                  <w:sz w:val="20"/>
                  <w:szCs w:val="20"/>
                </w:rPr>
                <w:t>4</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 xml:space="preserve">Form of 2020 Premium-Priced Option Award Agreement under the 2017 Stock </w:t>
            </w:r>
            <w:r>
              <w:rPr>
                <w:rFonts w:eastAsia="Times New Roman"/>
                <w:color w:val="000000"/>
                <w:sz w:val="20"/>
                <w:szCs w:val="20"/>
              </w:rPr>
              <w:t>Incentive Plan (Executive Chairman; President and Chief Executive Officer) (Exhibit 10.2 to the First Quarter 2020 Quarterly Report).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jc w:val="center"/>
        <w:divId w:val="891497146"/>
        <w:rPr>
          <w:rFonts w:eastAsia="Times New Roman"/>
        </w:rPr>
      </w:pPr>
      <w:r>
        <w:rPr>
          <w:rFonts w:eastAsia="Times New Roman"/>
          <w:color w:val="000000"/>
          <w:sz w:val="20"/>
          <w:szCs w:val="20"/>
        </w:rPr>
        <w:t>130</w:t>
      </w:r>
    </w:p>
    <w:p w:rsidR="00000000" w:rsidRDefault="0040289C">
      <w:pPr>
        <w:rPr>
          <w:rFonts w:eastAsia="Times New Roman"/>
        </w:rPr>
      </w:pPr>
      <w:r>
        <w:rPr>
          <w:rFonts w:eastAsia="Times New Roman"/>
        </w:rPr>
        <w:pict>
          <v:rect id="_x0000_i1160" style="width:0;height:1.5pt" o:hralign="center" o:hrstd="t" o:hr="t" fillcolor="#a0a0a0" stroked="f"/>
        </w:pict>
      </w:r>
    </w:p>
    <w:p w:rsidR="00000000" w:rsidRDefault="0040289C">
      <w:pPr>
        <w:divId w:val="1571041201"/>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111228984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663"/>
        <w:gridCol w:w="36"/>
        <w:gridCol w:w="36"/>
        <w:gridCol w:w="113"/>
        <w:gridCol w:w="36"/>
        <w:gridCol w:w="61"/>
        <w:gridCol w:w="7256"/>
        <w:gridCol w:w="37"/>
      </w:tblGrid>
      <w:tr w:rsidR="00000000">
        <w:tc>
          <w:tcPr>
            <w:tcW w:w="50" w:type="pct"/>
            <w:vAlign w:val="center"/>
            <w:hideMark/>
          </w:tcPr>
          <w:p w:rsidR="00000000" w:rsidRDefault="0040289C">
            <w:pPr>
              <w:rPr>
                <w:rFonts w:eastAsia="Times New Roman"/>
              </w:rPr>
            </w:pPr>
          </w:p>
        </w:tc>
        <w:tc>
          <w:tcPr>
            <w:tcW w:w="4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8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647562829"/>
              <w:rPr>
                <w:rFonts w:eastAsia="Times New Roman"/>
              </w:rPr>
            </w:pPr>
            <w:hyperlink r:id="rId84" w:history="1">
              <w:r>
                <w:rPr>
                  <w:rStyle w:val="a3"/>
                  <w:rFonts w:eastAsia="Times New Roman"/>
                  <w:sz w:val="20"/>
                  <w:szCs w:val="20"/>
                </w:rPr>
                <w:t>10.</w:t>
              </w:r>
            </w:hyperlink>
            <w:hyperlink r:id="rId85" w:history="1">
              <w:r>
                <w:rPr>
                  <w:rStyle w:val="a3"/>
                  <w:rFonts w:eastAsia="Times New Roman"/>
                  <w:sz w:val="20"/>
                  <w:szCs w:val="20"/>
                </w:rPr>
                <w:t>9</w:t>
              </w:r>
            </w:hyperlink>
            <w:hyperlink r:id="rId86" w:history="1">
              <w:r>
                <w:rPr>
                  <w:rStyle w:val="a3"/>
                  <w:rFonts w:eastAsia="Times New Roman"/>
                  <w:sz w:val="20"/>
                  <w:szCs w:val="20"/>
                </w:rPr>
                <w:t>.</w:t>
              </w:r>
            </w:hyperlink>
            <w:hyperlink r:id="rId87" w:history="1">
              <w:r>
                <w:rPr>
                  <w:rStyle w:val="a3"/>
                  <w:rFonts w:eastAsia="Times New Roman"/>
                  <w:sz w:val="20"/>
                  <w:szCs w:val="20"/>
                </w:rPr>
                <w:t>5</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Form of 2020 Director Restricted Stock Unit Grant Statement under the 20</w:t>
            </w:r>
            <w:r>
              <w:rPr>
                <w:rFonts w:eastAsia="Times New Roman"/>
                <w:color w:val="000000"/>
                <w:sz w:val="20"/>
                <w:szCs w:val="20"/>
              </w:rPr>
              <w:t xml:space="preserve">17 Stock Incentive Plan (Exhibit 10.1 to the Quarterly Report on Form 10-Q of NCR Corporation for the quarter ended June 30, 2020 (the “Second Quarter 2020 Quarterly Report”)). * </w:t>
            </w:r>
          </w:p>
        </w:tc>
      </w:tr>
      <w:tr w:rsidR="00000000">
        <w:trPr>
          <w:trHeight w:val="10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909580079"/>
              <w:rPr>
                <w:rFonts w:eastAsia="Times New Roman"/>
              </w:rPr>
            </w:pPr>
            <w:hyperlink r:id="rId88" w:anchor="toc825867_87" w:history="1">
              <w:r>
                <w:rPr>
                  <w:rStyle w:val="a3"/>
                  <w:rFonts w:eastAsia="Times New Roman"/>
                  <w:sz w:val="20"/>
                  <w:szCs w:val="20"/>
                </w:rPr>
                <w:t>10.</w:t>
              </w:r>
            </w:hyperlink>
            <w:hyperlink r:id="rId89" w:anchor="toc825867_87" w:history="1">
              <w:r>
                <w:rPr>
                  <w:rStyle w:val="a3"/>
                  <w:rFonts w:eastAsia="Times New Roman"/>
                  <w:sz w:val="20"/>
                  <w:szCs w:val="20"/>
                </w:rPr>
                <w:t>9</w:t>
              </w:r>
            </w:hyperlink>
            <w:hyperlink r:id="rId90" w:anchor="toc825867_87" w:history="1">
              <w:r>
                <w:rPr>
                  <w:rStyle w:val="a3"/>
                  <w:rFonts w:eastAsia="Times New Roman"/>
                  <w:sz w:val="20"/>
                  <w:szCs w:val="20"/>
                </w:rPr>
                <w:t>.</w:t>
              </w:r>
            </w:hyperlink>
            <w:hyperlink r:id="rId91" w:anchor="toc825867_87" w:history="1">
              <w:r>
                <w:rPr>
                  <w:rStyle w:val="a3"/>
                  <w:rFonts w:eastAsia="Times New Roman"/>
                  <w:sz w:val="20"/>
                  <w:szCs w:val="20"/>
                </w:rPr>
                <w:t>6</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First Amendment to the 2017 Stoc</w:t>
            </w:r>
            <w:r>
              <w:rPr>
                <w:rFonts w:eastAsia="Times New Roman"/>
                <w:color w:val="000000"/>
                <w:sz w:val="20"/>
                <w:szCs w:val="20"/>
              </w:rPr>
              <w:t>k Incentive Plan (Appendix A to the NCR Corporation Proxy Statement on Schedule 14A for the NCR Corporation 2020 Annual Meeting of Stockholders). *</w:t>
            </w:r>
          </w:p>
        </w:tc>
      </w:tr>
      <w:tr w:rsidR="00000000">
        <w:trPr>
          <w:trHeight w:val="10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688020274"/>
              <w:rPr>
                <w:rFonts w:eastAsia="Times New Roman"/>
              </w:rPr>
            </w:pPr>
            <w:hyperlink r:id="rId92" w:history="1">
              <w:r>
                <w:rPr>
                  <w:rStyle w:val="a3"/>
                  <w:rFonts w:eastAsia="Times New Roman"/>
                  <w:sz w:val="20"/>
                  <w:szCs w:val="20"/>
                </w:rPr>
                <w:t>10.9.7</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shd w:val="clear" w:color="auto" w:fill="FFFFFF"/>
              </w:rPr>
              <w:t>Form of Senior Executive Team 2022 Performance-Based Restricted Stock Unit Award Agreement (With Relative TSR Metric) under the NCR Cor</w:t>
            </w:r>
            <w:r>
              <w:rPr>
                <w:rFonts w:eastAsia="Times New Roman"/>
                <w:color w:val="000000"/>
                <w:sz w:val="20"/>
                <w:szCs w:val="20"/>
                <w:shd w:val="clear" w:color="auto" w:fill="FFFFFF"/>
              </w:rPr>
              <w:t>poration 2017 Stock Incentive Plan. (Exhibit 10.1 to the Quarterly Report on Form 10-Q of NCR Corporation for the quarter ended March 31, 2022 (the “First Quarter 2022 Quarterly Report”)). *</w:t>
            </w:r>
          </w:p>
        </w:tc>
      </w:tr>
      <w:tr w:rsidR="00000000">
        <w:trPr>
          <w:trHeight w:val="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73173427"/>
              <w:rPr>
                <w:rFonts w:eastAsia="Times New Roman"/>
              </w:rPr>
            </w:pPr>
            <w:hyperlink r:id="rId93" w:history="1">
              <w:r>
                <w:rPr>
                  <w:rStyle w:val="a3"/>
                  <w:rFonts w:eastAsia="Times New Roman"/>
                  <w:sz w:val="20"/>
                  <w:szCs w:val="20"/>
                </w:rPr>
                <w:t>10.9.</w:t>
              </w:r>
              <w:r>
                <w:rPr>
                  <w:rStyle w:val="a3"/>
                  <w:rFonts w:eastAsia="Times New Roman"/>
                  <w:sz w:val="20"/>
                  <w:szCs w:val="20"/>
                </w:rPr>
                <w:t>8</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shd w:val="clear" w:color="auto" w:fill="FFFFFF"/>
              </w:rPr>
              <w:t xml:space="preserve">Form of Senior Executive Team 2022 Performance-Based Restricted Stock Unit Award Agreement (with LTI EBITDA &amp; </w:t>
            </w:r>
            <w:r>
              <w:rPr>
                <w:rFonts w:eastAsia="Times New Roman"/>
                <w:color w:val="000000"/>
                <w:sz w:val="20"/>
                <w:szCs w:val="20"/>
                <w:shd w:val="clear" w:color="auto" w:fill="FFFFFF"/>
              </w:rPr>
              <w:t>LTI Recurring Revenue Metric) under the NCR Corporation 2017 Stock Incentive Plan.*</w:t>
            </w:r>
          </w:p>
        </w:tc>
      </w:tr>
      <w:tr w:rsidR="00000000">
        <w:trPr>
          <w:trHeight w:val="10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081369093"/>
              <w:rPr>
                <w:rFonts w:eastAsia="Times New Roman"/>
              </w:rPr>
            </w:pPr>
            <w:hyperlink r:id="rId94" w:history="1">
              <w:r>
                <w:rPr>
                  <w:rStyle w:val="a3"/>
                  <w:rFonts w:eastAsia="Times New Roman"/>
                  <w:sz w:val="20"/>
                  <w:szCs w:val="20"/>
                </w:rPr>
                <w:t>10.9.9</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shd w:val="clear" w:color="auto" w:fill="FFFFFF"/>
              </w:rPr>
              <w:t>Form of Senior Executive Team Qualified Transaction 2023 Performance-Based Restricted Stock Unit Award Agreement (with Relative TSR Metric) under the NCR Corporation 2017 Stock Incentive Plan.*</w:t>
            </w:r>
          </w:p>
        </w:tc>
      </w:tr>
      <w:tr w:rsidR="00000000">
        <w:trPr>
          <w:trHeight w:val="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053387118"/>
              <w:rPr>
                <w:rFonts w:eastAsia="Times New Roman"/>
              </w:rPr>
            </w:pPr>
            <w:hyperlink r:id="rId95" w:history="1">
              <w:r>
                <w:rPr>
                  <w:rStyle w:val="a3"/>
                  <w:rFonts w:eastAsia="Times New Roman"/>
                  <w:sz w:val="20"/>
                  <w:szCs w:val="20"/>
                </w:rPr>
                <w:t>10</w:t>
              </w:r>
              <w:r>
                <w:rPr>
                  <w:rStyle w:val="a3"/>
                  <w:rFonts w:eastAsia="Times New Roman"/>
                  <w:sz w:val="20"/>
                  <w:szCs w:val="20"/>
                </w:rPr>
                <w:t>.9.10</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shd w:val="clear" w:color="auto" w:fill="FFFFFF"/>
              </w:rPr>
              <w:t>Form of Senior Executive Team 2023 Performance-Based Restricted Stock Unit Award Agreement (with Relative TSR Metric) under the NCR Corporation 2017 Stock Incentive Plan. *</w:t>
            </w:r>
          </w:p>
        </w:tc>
      </w:tr>
      <w:tr w:rsidR="00000000">
        <w:trPr>
          <w:trHeight w:val="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45383849"/>
              <w:rPr>
                <w:rFonts w:eastAsia="Times New Roman"/>
              </w:rPr>
            </w:pPr>
            <w:hyperlink r:id="rId96" w:history="1">
              <w:r>
                <w:rPr>
                  <w:rStyle w:val="a3"/>
                  <w:rFonts w:eastAsia="Times New Roman"/>
                  <w:sz w:val="20"/>
                  <w:szCs w:val="20"/>
                </w:rPr>
                <w:t>10.9.11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shd w:val="clear" w:color="auto" w:fill="FFFFFF"/>
              </w:rPr>
              <w:t>Form of Senior Executive Team 2021 Performance-Based Restricted Stock Unit Award Agreement under the NCR Corporation 2017 Stock Incentive Plan. *</w:t>
            </w:r>
          </w:p>
        </w:tc>
      </w:tr>
      <w:tr w:rsidR="00000000">
        <w:trPr>
          <w:trHeight w:val="10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592547238"/>
              <w:rPr>
                <w:rFonts w:eastAsia="Times New Roman"/>
              </w:rPr>
            </w:pPr>
            <w:hyperlink r:id="rId97" w:history="1">
              <w:r>
                <w:rPr>
                  <w:rStyle w:val="a3"/>
                  <w:rFonts w:eastAsia="Times New Roman"/>
                  <w:sz w:val="20"/>
                  <w:szCs w:val="20"/>
                </w:rPr>
                <w:t>10.9.12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shd w:val="clear" w:color="auto" w:fill="FFFFFF"/>
              </w:rPr>
              <w:t>Form of the Senior Executive Team 2021 Market Stock Unit Award Agreement under the NCR Corporation 2017 Stock Incentive Plan. *</w:t>
            </w:r>
          </w:p>
        </w:tc>
      </w:tr>
      <w:tr w:rsidR="00000000">
        <w:trPr>
          <w:trHeight w:val="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555970865"/>
              <w:rPr>
                <w:rFonts w:eastAsia="Times New Roman"/>
              </w:rPr>
            </w:pPr>
            <w:hyperlink r:id="rId98" w:history="1">
              <w:r>
                <w:rPr>
                  <w:rStyle w:val="a3"/>
                  <w:rFonts w:eastAsia="Times New Roman"/>
                  <w:sz w:val="20"/>
                  <w:szCs w:val="20"/>
                </w:rPr>
                <w:t>10.1</w:t>
              </w:r>
            </w:hyperlink>
            <w:hyperlink r:id="rId99" w:history="1">
              <w:r>
                <w:rPr>
                  <w:rStyle w:val="a3"/>
                  <w:rFonts w:eastAsia="Times New Roman"/>
                  <w:sz w:val="20"/>
                  <w:szCs w:val="20"/>
                </w:rPr>
                <w:t>0</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NCR Director Compensati</w:t>
            </w:r>
            <w:r>
              <w:rPr>
                <w:rFonts w:eastAsia="Times New Roman"/>
                <w:color w:val="000000"/>
                <w:sz w:val="20"/>
                <w:szCs w:val="20"/>
              </w:rPr>
              <w:t>on Program effective May 1, 2017 (Exhibit 10.1 to the Quarterly Report on Form 10-Q of NCR Corporation for the quarter ended September 30, 2017). *</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433092328"/>
              <w:rPr>
                <w:rFonts w:eastAsia="Times New Roman"/>
              </w:rPr>
            </w:pPr>
            <w:hyperlink r:id="rId100" w:history="1">
              <w:r>
                <w:rPr>
                  <w:rStyle w:val="a3"/>
                  <w:rFonts w:eastAsia="Times New Roman"/>
                  <w:sz w:val="20"/>
                  <w:szCs w:val="20"/>
                </w:rPr>
                <w:t>10.1</w:t>
              </w:r>
            </w:hyperlink>
            <w:hyperlink r:id="rId101" w:history="1">
              <w:r>
                <w:rPr>
                  <w:rStyle w:val="a3"/>
                  <w:rFonts w:eastAsia="Times New Roman"/>
                  <w:sz w:val="20"/>
                  <w:szCs w:val="20"/>
                </w:rPr>
                <w:t>1</w:t>
              </w:r>
            </w:hyperlink>
            <w:r>
              <w:rPr>
                <w:rFonts w:eastAsia="Times New Roman"/>
                <w:color w:val="000000"/>
                <w:sz w:val="20"/>
                <w:szCs w:val="20"/>
              </w:rPr>
              <w:t xml:space="preserve"> </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Employment Agreement, dated April 27, 2018, between Michael Hayford and NCR Corporation (Exhibit 10.4 to the Second Quarter 2018 Quarterly Report). *</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138571320"/>
              <w:rPr>
                <w:rFonts w:eastAsia="Times New Roman"/>
              </w:rPr>
            </w:pPr>
            <w:hyperlink r:id="rId102" w:history="1">
              <w:r>
                <w:rPr>
                  <w:rStyle w:val="a3"/>
                  <w:rFonts w:eastAsia="Times New Roman"/>
                  <w:sz w:val="20"/>
                  <w:szCs w:val="20"/>
                </w:rPr>
                <w:t>10.1</w:t>
              </w:r>
            </w:hyperlink>
            <w:hyperlink r:id="rId103"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Employment Agreement, dated April 27, 2018, between Frank Martire and NCR Corporation (Exhibit 10.5 to the Second Quarter 2018 Quarterly Report). *</w:t>
            </w:r>
          </w:p>
        </w:tc>
      </w:tr>
      <w:tr w:rsidR="00000000">
        <w:trPr>
          <w:trHeight w:val="16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356350177"/>
              <w:rPr>
                <w:rFonts w:eastAsia="Times New Roman"/>
              </w:rPr>
            </w:pPr>
            <w:hyperlink r:id="rId104" w:history="1">
              <w:r>
                <w:rPr>
                  <w:rStyle w:val="a3"/>
                  <w:rFonts w:eastAsia="Times New Roman"/>
                  <w:sz w:val="20"/>
                  <w:szCs w:val="20"/>
                </w:rPr>
                <w:t>10.1</w:t>
              </w:r>
            </w:hyperlink>
            <w:hyperlink r:id="rId105"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Employment Agreement, dated July 18, 2018, between Owen Sullivan and NCR Corporation (Exhibit 10.1 to the Quarterly Re</w:t>
            </w:r>
            <w:r>
              <w:rPr>
                <w:rFonts w:eastAsia="Times New Roman"/>
                <w:color w:val="000000"/>
                <w:sz w:val="20"/>
                <w:szCs w:val="20"/>
              </w:rPr>
              <w:t>port on Form 10-Q of NCR Corporation for the quarter ended September 30, 2018 (the “Third Quarter 2018 Quarterly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385644740"/>
              <w:rPr>
                <w:rFonts w:eastAsia="Times New Roman"/>
              </w:rPr>
            </w:pPr>
            <w:hyperlink r:id="rId106" w:history="1">
              <w:r>
                <w:rPr>
                  <w:rStyle w:val="a3"/>
                  <w:rFonts w:eastAsia="Times New Roman"/>
                  <w:sz w:val="20"/>
                  <w:szCs w:val="20"/>
                </w:rPr>
                <w:t>10.</w:t>
              </w:r>
            </w:hyperlink>
            <w:hyperlink r:id="rId107" w:history="1">
              <w:r>
                <w:rPr>
                  <w:rStyle w:val="a3"/>
                  <w:rFonts w:eastAsia="Times New Roman"/>
                  <w:sz w:val="20"/>
                  <w:szCs w:val="20"/>
                </w:rPr>
                <w:t>1</w:t>
              </w:r>
            </w:hyperlink>
            <w:hyperlink r:id="rId108" w:history="1">
              <w:r>
                <w:rPr>
                  <w:rStyle w:val="a3"/>
                  <w:rFonts w:eastAsia="Times New Roman"/>
                  <w:sz w:val="20"/>
                  <w:szCs w:val="20"/>
                </w:rPr>
                <w:t>4</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Employment Agreement, dated June 15, 2020, between Timothy Oliver and NCR Corporation (Exhibit 10.4 to the Second Quarter 2020 Quarterly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044749952"/>
              <w:rPr>
                <w:rFonts w:eastAsia="Times New Roman"/>
              </w:rPr>
            </w:pPr>
            <w:hyperlink r:id="rId109" w:history="1">
              <w:r>
                <w:rPr>
                  <w:rStyle w:val="a3"/>
                  <w:rFonts w:eastAsia="Times New Roman"/>
                  <w:sz w:val="20"/>
                  <w:szCs w:val="20"/>
                </w:rPr>
                <w:t>10.</w:t>
              </w:r>
            </w:hyperlink>
            <w:hyperlink r:id="rId110" w:history="1">
              <w:r>
                <w:rPr>
                  <w:rStyle w:val="a3"/>
                  <w:rFonts w:eastAsia="Times New Roman"/>
                  <w:sz w:val="20"/>
                  <w:szCs w:val="20"/>
                </w:rPr>
                <w:t>1</w:t>
              </w:r>
            </w:hyperlink>
            <w:hyperlink r:id="rId111" w:history="1">
              <w:r>
                <w:rPr>
                  <w:rStyle w:val="a3"/>
                  <w:rFonts w:eastAsia="Times New Roman"/>
                  <w:sz w:val="20"/>
                  <w:szCs w:val="20"/>
                </w:rPr>
                <w:t>5</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NCR Corporation Deferred Compensation Plan. (Exhibit 10.30 to 2020 Annual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86914997"/>
              <w:rPr>
                <w:rFonts w:eastAsia="Times New Roman"/>
              </w:rPr>
            </w:pPr>
            <w:hyperlink r:id="rId112" w:history="1">
              <w:r>
                <w:rPr>
                  <w:rStyle w:val="a3"/>
                  <w:rFonts w:eastAsia="Times New Roman"/>
                  <w:sz w:val="20"/>
                  <w:szCs w:val="20"/>
                </w:rPr>
                <w:t>10.</w:t>
              </w:r>
            </w:hyperlink>
            <w:hyperlink r:id="rId113" w:history="1">
              <w:r>
                <w:rPr>
                  <w:rStyle w:val="a3"/>
                  <w:rFonts w:eastAsia="Times New Roman"/>
                  <w:sz w:val="20"/>
                  <w:szCs w:val="20"/>
                </w:rPr>
                <w:t>16</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Letter Agreement, dated December 28, 2017, between Daniel W. Campbell and NCR Corporation (Exhibit 10.2 to the to the Quarterly Report o</w:t>
            </w:r>
            <w:r>
              <w:rPr>
                <w:rFonts w:eastAsia="Times New Roman"/>
                <w:color w:val="000000"/>
                <w:sz w:val="20"/>
                <w:szCs w:val="20"/>
              </w:rPr>
              <w:t>n Form 10-Q of NCR Corporation for the quarter ended March 31, 2022). *</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649625135"/>
              <w:rPr>
                <w:rFonts w:eastAsia="Times New Roman"/>
              </w:rPr>
            </w:pPr>
            <w:hyperlink r:id="rId114" w:history="1">
              <w:r>
                <w:rPr>
                  <w:rStyle w:val="a3"/>
                  <w:rFonts w:eastAsia="Times New Roman"/>
                  <w:sz w:val="20"/>
                  <w:szCs w:val="20"/>
                </w:rPr>
                <w:t>10.</w:t>
              </w:r>
            </w:hyperlink>
            <w:hyperlink r:id="rId115" w:history="1">
              <w:r>
                <w:rPr>
                  <w:rStyle w:val="a3"/>
                  <w:rFonts w:eastAsia="Times New Roman"/>
                  <w:sz w:val="20"/>
                  <w:szCs w:val="20"/>
                </w:rPr>
                <w:t>17</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Letter Agreement, dated January 8, 2018, between Adrian Button and NCR Corporation (Exhibit 10.3 to the First Quarter 2021 Quarterly Report). *</w:t>
            </w:r>
          </w:p>
        </w:tc>
      </w:tr>
      <w:tr w:rsidR="00000000">
        <w:trPr>
          <w:trHeight w:val="1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640962368"/>
              <w:rPr>
                <w:rFonts w:eastAsia="Times New Roman"/>
              </w:rPr>
            </w:pPr>
            <w:hyperlink r:id="rId116"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Letter Agreement, dated October 1, 2021, between Don Layden and NCR Corporation (Exhibit 10.2 to the First Quarter 2022 Quarterly Report). *</w:t>
            </w:r>
          </w:p>
        </w:tc>
      </w:tr>
      <w:tr w:rsidR="00000000">
        <w:trPr>
          <w:trHeight w:val="30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114448149"/>
              <w:rPr>
                <w:rFonts w:eastAsia="Times New Roman"/>
              </w:rPr>
            </w:pPr>
            <w:hyperlink r:id="rId117" w:history="1">
              <w:r>
                <w:rPr>
                  <w:rStyle w:val="a3"/>
                  <w:rFonts w:eastAsia="Times New Roman"/>
                  <w:sz w:val="20"/>
                  <w:szCs w:val="20"/>
                </w:rPr>
                <w:t>10.</w:t>
              </w:r>
            </w:hyperlink>
            <w:hyperlink r:id="rId118" w:history="1">
              <w:r>
                <w:rPr>
                  <w:rStyle w:val="a3"/>
                  <w:rFonts w:eastAsia="Times New Roman"/>
                  <w:sz w:val="20"/>
                  <w:szCs w:val="20"/>
                </w:rPr>
                <w:t>19</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Receivables Purchase Agreement, dated as of September 30, 2021, by and among NCR Receivables LLC, as seller, NCR Canada Receivables LP, as guarantor, N</w:t>
            </w:r>
            <w:r>
              <w:rPr>
                <w:rFonts w:eastAsia="Times New Roman"/>
                <w:color w:val="000000"/>
                <w:sz w:val="20"/>
                <w:szCs w:val="20"/>
              </w:rPr>
              <w:t>CR Corporation, as servicer, NCR Canada Corp., as servicer, PNC Bank, National Association, as administrative agent, and PNC Bank, National Association, MUFG Bank, Ltd., Victory Receivables Corporation and the other purchasers from time to time party there</w:t>
            </w:r>
            <w:r>
              <w:rPr>
                <w:rFonts w:eastAsia="Times New Roman"/>
                <w:color w:val="000000"/>
                <w:sz w:val="20"/>
                <w:szCs w:val="20"/>
              </w:rPr>
              <w:t>to, as purchasers (Exhibit 10.1 to the Current Report on Form 8-K of NCR Corporation dated September 30, 2021 (the “September 30, 2021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bl>
    <w:p w:rsidR="00000000" w:rsidRDefault="0040289C">
      <w:pPr>
        <w:jc w:val="center"/>
        <w:divId w:val="2143694076"/>
        <w:rPr>
          <w:rFonts w:eastAsia="Times New Roman"/>
        </w:rPr>
      </w:pPr>
      <w:r>
        <w:rPr>
          <w:rFonts w:eastAsia="Times New Roman"/>
          <w:color w:val="000000"/>
          <w:sz w:val="20"/>
          <w:szCs w:val="20"/>
        </w:rPr>
        <w:t>131</w:t>
      </w:r>
    </w:p>
    <w:p w:rsidR="00000000" w:rsidRDefault="0040289C">
      <w:pPr>
        <w:rPr>
          <w:rFonts w:eastAsia="Times New Roman"/>
        </w:rPr>
      </w:pPr>
      <w:r>
        <w:rPr>
          <w:rFonts w:eastAsia="Times New Roman"/>
        </w:rPr>
        <w:pict>
          <v:rect id="_x0000_i1161" style="width:0;height:1.5pt" o:hralign="center" o:hrstd="t" o:hr="t" fillcolor="#a0a0a0" stroked="f"/>
        </w:pict>
      </w:r>
    </w:p>
    <w:p w:rsidR="00000000" w:rsidRDefault="0040289C">
      <w:pPr>
        <w:divId w:val="184813057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16291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663"/>
        <w:gridCol w:w="36"/>
        <w:gridCol w:w="36"/>
        <w:gridCol w:w="112"/>
        <w:gridCol w:w="36"/>
        <w:gridCol w:w="61"/>
        <w:gridCol w:w="7256"/>
        <w:gridCol w:w="38"/>
      </w:tblGrid>
      <w:tr w:rsidR="00000000">
        <w:tc>
          <w:tcPr>
            <w:tcW w:w="50" w:type="pct"/>
            <w:vAlign w:val="center"/>
            <w:hideMark/>
          </w:tcPr>
          <w:p w:rsidR="00000000" w:rsidRDefault="0040289C">
            <w:pPr>
              <w:rPr>
                <w:rFonts w:eastAsia="Times New Roman"/>
              </w:rPr>
            </w:pPr>
          </w:p>
        </w:tc>
        <w:tc>
          <w:tcPr>
            <w:tcW w:w="4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81"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380"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93325264"/>
              <w:rPr>
                <w:rFonts w:eastAsia="Times New Roman"/>
              </w:rPr>
            </w:pPr>
            <w:hyperlink r:id="rId119" w:history="1">
              <w:r>
                <w:rPr>
                  <w:rStyle w:val="a3"/>
                  <w:rFonts w:eastAsia="Times New Roman"/>
                  <w:sz w:val="20"/>
                  <w:szCs w:val="20"/>
                </w:rPr>
                <w:t>10.</w:t>
              </w:r>
            </w:hyperlink>
            <w:hyperlink r:id="rId120" w:history="1">
              <w:r>
                <w:rPr>
                  <w:rStyle w:val="a3"/>
                  <w:rFonts w:eastAsia="Times New Roman"/>
                  <w:sz w:val="20"/>
                  <w:szCs w:val="20"/>
                </w:rPr>
                <w:t>19</w:t>
              </w:r>
            </w:hyperlink>
            <w:hyperlink r:id="rId121"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Amended and Restated Purchase and Sale Agreement, dated as of September 30, 2021, among NCR Receivables LLC, as buyer, and NCR Corporation, Cardtronics USA, Inc., ATM National, LLC and the other originator</w:t>
            </w:r>
            <w:r>
              <w:rPr>
                <w:rFonts w:eastAsia="Times New Roman"/>
                <w:color w:val="000000"/>
                <w:sz w:val="20"/>
                <w:szCs w:val="20"/>
              </w:rPr>
              <w:t>s from time to time party thereto, as originators (Exhibit 10.2 to the September 30, 2021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108045429"/>
              <w:rPr>
                <w:rFonts w:eastAsia="Times New Roman"/>
              </w:rPr>
            </w:pPr>
            <w:hyperlink r:id="rId122" w:history="1">
              <w:r>
                <w:rPr>
                  <w:rStyle w:val="a3"/>
                  <w:rFonts w:eastAsia="Times New Roman"/>
                  <w:sz w:val="20"/>
                  <w:szCs w:val="20"/>
                </w:rPr>
                <w:t>10.</w:t>
              </w:r>
            </w:hyperlink>
            <w:hyperlink r:id="rId123" w:history="1">
              <w:r>
                <w:rPr>
                  <w:rStyle w:val="a3"/>
                  <w:rFonts w:eastAsia="Times New Roman"/>
                  <w:sz w:val="20"/>
                  <w:szCs w:val="20"/>
                </w:rPr>
                <w:t>1</w:t>
              </w:r>
            </w:hyperlink>
            <w:hyperlink r:id="rId124" w:history="1">
              <w:r>
                <w:rPr>
                  <w:rStyle w:val="a3"/>
                  <w:rFonts w:eastAsia="Times New Roman"/>
                  <w:sz w:val="20"/>
                  <w:szCs w:val="20"/>
                </w:rPr>
                <w:t>9</w:t>
              </w:r>
            </w:hyperlink>
            <w:hyperlink r:id="rId125"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Canadian Purchase and Sale Agreement, dated as of September 30, 2021, among NCR Canada Receivables LP, as b</w:t>
            </w:r>
            <w:r>
              <w:rPr>
                <w:rFonts w:eastAsia="Times New Roman"/>
                <w:color w:val="000000"/>
                <w:sz w:val="20"/>
                <w:szCs w:val="20"/>
              </w:rPr>
              <w:t>uyer, and NCR Canada Corp. and the other originator originators from time to time party thereto, as originators (Exhibit 10.3 to the September 30, 2021 Form 8-K).</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584608595"/>
              <w:rPr>
                <w:rFonts w:eastAsia="Times New Roman"/>
              </w:rPr>
            </w:pPr>
            <w:hyperlink r:id="rId126" w:history="1">
              <w:r>
                <w:rPr>
                  <w:rStyle w:val="a3"/>
                  <w:rFonts w:eastAsia="Times New Roman"/>
                  <w:sz w:val="20"/>
                  <w:szCs w:val="20"/>
                </w:rPr>
                <w:t>10.</w:t>
              </w:r>
            </w:hyperlink>
            <w:hyperlink r:id="rId127" w:history="1">
              <w:r>
                <w:rPr>
                  <w:rStyle w:val="a3"/>
                  <w:rFonts w:eastAsia="Times New Roman"/>
                  <w:sz w:val="20"/>
                  <w:szCs w:val="20"/>
                </w:rPr>
                <w:t>19</w:t>
              </w:r>
            </w:hyperlink>
            <w:hyperlink r:id="rId128"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 xml:space="preserve">Performance Guaranty, dated as of September 30, 2021, by NCR Corporation, as performance guarantor, and PNC Bank, National Association, as administrative agent (Exhibit 10.4 to the September 30, 2021 Form </w:t>
            </w:r>
            <w:r>
              <w:rPr>
                <w:rFonts w:eastAsia="Times New Roman"/>
                <w:color w:val="000000"/>
                <w:sz w:val="20"/>
                <w:szCs w:val="20"/>
              </w:rPr>
              <w:t xml:space="preserve">8-K). </w:t>
            </w:r>
          </w:p>
        </w:tc>
      </w:tr>
      <w:tr w:rsidR="00000000">
        <w:trPr>
          <w:trHeight w:val="28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781757743"/>
              <w:rPr>
                <w:rFonts w:eastAsia="Times New Roman"/>
              </w:rPr>
            </w:pPr>
            <w:hyperlink r:id="rId129" w:history="1">
              <w:r>
                <w:rPr>
                  <w:rStyle w:val="a3"/>
                  <w:rFonts w:eastAsia="Times New Roman"/>
                  <w:sz w:val="20"/>
                  <w:szCs w:val="20"/>
                </w:rPr>
                <w:t>10.19.4</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First Amendment to the Receivables Purchase Agreement, dated as of August 22, 2022, by and among NCR Receivables LLC, NCR Canada Receivables, LP, NCR Corporation, NCR Canada Corp., MUFG Bank, Ltd., Victory Receivables Corporation, PNC Bank, National Associ</w:t>
            </w:r>
            <w:r>
              <w:rPr>
                <w:rFonts w:eastAsia="Times New Roman"/>
                <w:color w:val="000000"/>
                <w:sz w:val="20"/>
                <w:szCs w:val="20"/>
              </w:rPr>
              <w:t xml:space="preserve">ation, and PNC Capital Markets LLC. (Exhibit 10.1 to the Quarterly Report on Form 10-Q of NCR Corporation for the quarter ended September 30, 2022 (the “Third Quarter 2022 Quarterly Report”)). </w:t>
            </w:r>
          </w:p>
        </w:tc>
      </w:tr>
      <w:tr w:rsidR="00000000">
        <w:trPr>
          <w:trHeight w:val="240"/>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985115567"/>
              <w:rPr>
                <w:rFonts w:eastAsia="Times New Roman"/>
              </w:rPr>
            </w:pPr>
            <w:hyperlink r:id="rId130" w:history="1">
              <w:r>
                <w:rPr>
                  <w:rStyle w:val="a3"/>
                  <w:rFonts w:eastAsia="Times New Roman"/>
                  <w:sz w:val="20"/>
                  <w:szCs w:val="20"/>
                </w:rPr>
                <w:t>10.19.5</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Second Amendment to the Receivables Purchase Agreement, dated as of September 20, 2022, by and among NCR Receivables LLC, NCR Canada Receivables, LP, NCR Corporation, NCR Canada Co</w:t>
            </w:r>
            <w:r>
              <w:rPr>
                <w:rFonts w:eastAsia="Times New Roman"/>
                <w:color w:val="000000"/>
                <w:sz w:val="20"/>
                <w:szCs w:val="20"/>
              </w:rPr>
              <w:t>rp., MUFG Bank, Ltd., Victory Receivables Corporation, PNC Bank, National Association, and PNC Capital Markets LLC. (Exhibit 10.2 to the Third Quarter 2022 Quarterly Report).</w:t>
            </w:r>
          </w:p>
        </w:tc>
      </w:tr>
      <w:tr w:rsidR="00000000">
        <w:trPr>
          <w:trHeight w:val="30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565414932"/>
              <w:rPr>
                <w:rFonts w:eastAsia="Times New Roman"/>
              </w:rPr>
            </w:pPr>
            <w:hyperlink r:id="rId131" w:history="1">
              <w:r>
                <w:rPr>
                  <w:rStyle w:val="a3"/>
                  <w:rFonts w:eastAsia="Times New Roman"/>
                  <w:sz w:val="20"/>
                  <w:szCs w:val="20"/>
                </w:rPr>
                <w:t>10.19.6</w:t>
              </w:r>
            </w:hyperlink>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both"/>
              <w:rPr>
                <w:rFonts w:eastAsia="Times New Roman"/>
              </w:rPr>
            </w:pPr>
            <w:r>
              <w:rPr>
                <w:rFonts w:eastAsia="Times New Roman"/>
                <w:color w:val="000000"/>
                <w:sz w:val="20"/>
                <w:szCs w:val="20"/>
              </w:rPr>
              <w:t>Third Amendment to the Receivables Purchase Agreement, dated as of December 27, 2022, by and among NCR Receivables LLC, NCR Canada Receivables, LP, NCR Corporation, NCR Canada Corp., MUFG Bank, Lt</w:t>
            </w:r>
            <w:r>
              <w:rPr>
                <w:rFonts w:eastAsia="Times New Roman"/>
                <w:color w:val="000000"/>
                <w:sz w:val="20"/>
                <w:szCs w:val="20"/>
              </w:rPr>
              <w:t>d., Victory Receivables Corporation, PNC Bank, National Association, and PNC Capital Markets LLC.</w:t>
            </w:r>
          </w:p>
        </w:tc>
      </w:tr>
      <w:tr w:rsidR="00000000">
        <w:trPr>
          <w:trHeight w:val="30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385712442"/>
              <w:rPr>
                <w:rFonts w:eastAsia="Times New Roman"/>
              </w:rPr>
            </w:pPr>
            <w:hyperlink r:id="rId132"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Subsidiaries of NCR Corporation.</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462121259"/>
              <w:rPr>
                <w:rFonts w:eastAsia="Times New Roman"/>
              </w:rPr>
            </w:pPr>
            <w:hyperlink r:id="rId133"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Consent of Independent Registered Public Accounting Firm.</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824319789"/>
              <w:rPr>
                <w:rFonts w:eastAsia="Times New Roman"/>
              </w:rPr>
            </w:pPr>
            <w:hyperlink r:id="rId134"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180895705"/>
              <w:rPr>
                <w:rFonts w:eastAsia="Times New Roman"/>
              </w:rPr>
            </w:pPr>
            <w:hyperlink r:id="rId135"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divId w:val="222448066"/>
              <w:rPr>
                <w:rFonts w:eastAsia="Times New Roman"/>
              </w:rPr>
            </w:pPr>
            <w:hyperlink r:id="rId136"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Certification pursuant to 18 U.S.C. Section 1350 as adopted pursuant to Section 906 of t</w:t>
            </w:r>
            <w:r>
              <w:rPr>
                <w:rFonts w:eastAsia="Times New Roman"/>
                <w:color w:val="000000"/>
                <w:sz w:val="20"/>
                <w:szCs w:val="20"/>
              </w:rPr>
              <w:t>he Sarbanes-Oxley Act of 2002.</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6"/>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The following materials from NCR Corporation’</w:t>
            </w:r>
            <w:r>
              <w:rPr>
                <w:rFonts w:eastAsia="Times New Roman"/>
                <w:color w:val="000000"/>
                <w:sz w:val="20"/>
                <w:szCs w:val="20"/>
              </w:rPr>
              <w:t xml:space="preserve">s Annual Report on Form 10-K for the year ended December 31, 2022, formatted in iXBRL (Inline Extensible Business Reporting Language): (i) consolidated statements of operations for the fiscal years ended December 31, 2022, 2021 and 2020; (ii) consolidated </w:t>
            </w:r>
            <w:r>
              <w:rPr>
                <w:rFonts w:eastAsia="Times New Roman"/>
                <w:color w:val="000000"/>
                <w:sz w:val="20"/>
                <w:szCs w:val="20"/>
              </w:rPr>
              <w:t>statements of comprehensive income for the fiscal years ended December 31, 2022, 2021 and 2020; (iii) consolidated balance sheets as of December 31, 2022 and 2021; (iv) consolidated statements of cash flows for the fiscal years ended December 31, 2022, 202</w:t>
            </w:r>
            <w:r>
              <w:rPr>
                <w:rFonts w:eastAsia="Times New Roman"/>
                <w:color w:val="000000"/>
                <w:sz w:val="20"/>
                <w:szCs w:val="20"/>
              </w:rPr>
              <w:t>1 and 2020; (v) consolidated statements of changes in stockholders’ equity for fiscal years ended December 31, 2022, 2021 and 2020; and (vi) the notes to the consolidated financial statements.</w:t>
            </w:r>
          </w:p>
        </w:tc>
      </w:tr>
      <w:tr w:rsidR="00000000">
        <w:trPr>
          <w:trHeight w:val="220"/>
        </w:trPr>
        <w:tc>
          <w:tcPr>
            <w:tcW w:w="0" w:type="auto"/>
            <w:gridSpan w:val="3"/>
            <w:tcMar>
              <w:top w:w="0" w:type="dxa"/>
              <w:left w:w="20" w:type="dxa"/>
              <w:bottom w:w="0" w:type="dxa"/>
              <w:right w:w="20" w:type="dxa"/>
            </w:tcMar>
            <w:vAlign w:val="center"/>
            <w:hideMark/>
          </w:tcPr>
          <w:p w:rsidR="00000000" w:rsidRDefault="0040289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hideMark/>
          </w:tcPr>
          <w:p w:rsidR="00000000" w:rsidRDefault="0040289C">
            <w:pPr>
              <w:spacing w:after="100"/>
              <w:jc w:val="both"/>
              <w:rPr>
                <w:rFonts w:eastAsia="Times New Roman"/>
              </w:rPr>
            </w:pPr>
            <w:r>
              <w:rPr>
                <w:rFonts w:eastAsia="Times New Roman"/>
                <w:color w:val="000000"/>
                <w:sz w:val="20"/>
                <w:szCs w:val="20"/>
              </w:rPr>
              <w:t>Cover Page Interactive Data File, formatted in inline XBRL and contained in Exhibit 101.</w:t>
            </w:r>
          </w:p>
          <w:p w:rsidR="00000000" w:rsidRDefault="0040289C">
            <w:pPr>
              <w:spacing w:after="100"/>
              <w:jc w:val="both"/>
              <w:rPr>
                <w:rFonts w:eastAsia="Times New Roman"/>
              </w:rPr>
            </w:pPr>
          </w:p>
        </w:tc>
      </w:tr>
      <w:tr w:rsidR="00000000">
        <w:tc>
          <w:tcPr>
            <w:tcW w:w="0" w:type="auto"/>
            <w:gridSpan w:val="3"/>
            <w:vAlign w:val="center"/>
            <w:hideMark/>
          </w:tcPr>
          <w:p w:rsidR="00000000" w:rsidRDefault="0040289C">
            <w:pPr>
              <w:spacing w:after="100"/>
              <w:jc w:val="both"/>
              <w:rPr>
                <w:rFonts w:eastAsia="Times New Roman"/>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r w:rsidR="00000000">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c>
          <w:tcPr>
            <w:tcW w:w="0" w:type="auto"/>
            <w:gridSpan w:val="3"/>
            <w:vAlign w:val="center"/>
            <w:hideMark/>
          </w:tcPr>
          <w:p w:rsidR="00000000" w:rsidRDefault="0040289C">
            <w:pPr>
              <w:spacing w:after="100"/>
              <w:rPr>
                <w:rFonts w:eastAsia="Times New Roman"/>
                <w:sz w:val="20"/>
                <w:szCs w:val="20"/>
              </w:rPr>
            </w:pPr>
          </w:p>
        </w:tc>
      </w:tr>
    </w:tbl>
    <w:p w:rsidR="00000000" w:rsidRDefault="0040289C">
      <w:pPr>
        <w:jc w:val="both"/>
        <w:rPr>
          <w:rFonts w:eastAsia="Times New Roman"/>
        </w:rPr>
      </w:pPr>
    </w:p>
    <w:p w:rsidR="00000000" w:rsidRDefault="0040289C">
      <w:pPr>
        <w:divId w:val="356079676"/>
        <w:rPr>
          <w:rFonts w:eastAsia="Times New Roman"/>
        </w:rPr>
      </w:pPr>
    </w:p>
    <w:p w:rsidR="00000000" w:rsidRDefault="0040289C">
      <w:pPr>
        <w:jc w:val="both"/>
        <w:rPr>
          <w:rFonts w:eastAsia="Times New Roman"/>
        </w:rPr>
      </w:pPr>
      <w:r>
        <w:rPr>
          <w:rFonts w:eastAsia="Times New Roman"/>
          <w:color w:val="000000"/>
          <w:sz w:val="20"/>
          <w:szCs w:val="20"/>
        </w:rPr>
        <w:t>* Management contracts or compensatory plans/arrangements.</w:t>
      </w:r>
    </w:p>
    <w:p w:rsidR="00000000" w:rsidRDefault="0040289C">
      <w:pPr>
        <w:jc w:val="both"/>
        <w:rPr>
          <w:rFonts w:eastAsia="Times New Roman"/>
        </w:rPr>
      </w:pPr>
    </w:p>
    <w:p w:rsidR="00000000" w:rsidRDefault="0040289C">
      <w:pPr>
        <w:jc w:val="both"/>
        <w:rPr>
          <w:rFonts w:eastAsia="Times New Roman"/>
        </w:rPr>
      </w:pPr>
    </w:p>
    <w:p w:rsidR="00000000" w:rsidRDefault="0040289C">
      <w:pPr>
        <w:ind w:hanging="1170"/>
        <w:divId w:val="305360379"/>
        <w:rPr>
          <w:rFonts w:eastAsia="Times New Roman"/>
        </w:rPr>
      </w:pPr>
      <w:r>
        <w:rPr>
          <w:rFonts w:eastAsia="Times New Roman"/>
          <w:b/>
          <w:bCs/>
          <w:color w:val="000000"/>
          <w:sz w:val="20"/>
          <w:szCs w:val="20"/>
        </w:rPr>
        <w:t>Item 16.     FORM 10-K SUMMARY</w:t>
      </w:r>
    </w:p>
    <w:p w:rsidR="00000000" w:rsidRDefault="0040289C">
      <w:pPr>
        <w:divId w:val="1302156206"/>
        <w:rPr>
          <w:rFonts w:eastAsia="Times New Roman"/>
        </w:rPr>
      </w:pPr>
    </w:p>
    <w:p w:rsidR="00000000" w:rsidRDefault="0040289C">
      <w:pPr>
        <w:divId w:val="1391347957"/>
        <w:rPr>
          <w:rFonts w:eastAsia="Times New Roman"/>
        </w:rPr>
      </w:pPr>
      <w:r>
        <w:rPr>
          <w:rFonts w:eastAsia="Times New Roman"/>
          <w:color w:val="000000"/>
          <w:sz w:val="20"/>
          <w:szCs w:val="20"/>
        </w:rPr>
        <w:t>None.</w:t>
      </w:r>
    </w:p>
    <w:p w:rsidR="00000000" w:rsidRDefault="0040289C">
      <w:pPr>
        <w:jc w:val="center"/>
        <w:divId w:val="2094355862"/>
        <w:rPr>
          <w:rFonts w:eastAsia="Times New Roman"/>
        </w:rPr>
      </w:pPr>
      <w:r>
        <w:rPr>
          <w:rFonts w:eastAsia="Times New Roman"/>
          <w:color w:val="000000"/>
          <w:sz w:val="20"/>
          <w:szCs w:val="20"/>
        </w:rPr>
        <w:t>132</w:t>
      </w:r>
    </w:p>
    <w:p w:rsidR="00000000" w:rsidRDefault="0040289C">
      <w:pPr>
        <w:rPr>
          <w:rFonts w:eastAsia="Times New Roman"/>
        </w:rPr>
      </w:pPr>
      <w:r>
        <w:rPr>
          <w:rFonts w:eastAsia="Times New Roman"/>
        </w:rPr>
        <w:pict>
          <v:rect id="_x0000_i1162" style="width:0;height:1.5pt" o:hralign="center" o:hrstd="t" o:hr="t" fillcolor="#a0a0a0" stroked="f"/>
        </w:pict>
      </w:r>
    </w:p>
    <w:p w:rsidR="00000000" w:rsidRDefault="0040289C">
      <w:pPr>
        <w:divId w:val="1801877675"/>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1361007364"/>
        <w:rPr>
          <w:rFonts w:eastAsia="Times New Roman"/>
        </w:rPr>
      </w:pPr>
    </w:p>
    <w:p w:rsidR="00000000" w:rsidRDefault="0040289C">
      <w:pPr>
        <w:jc w:val="center"/>
        <w:rPr>
          <w:rFonts w:eastAsia="Times New Roman"/>
        </w:rPr>
      </w:pPr>
      <w:r>
        <w:rPr>
          <w:rFonts w:eastAsia="Times New Roman"/>
          <w:b/>
          <w:bCs/>
          <w:color w:val="000000"/>
          <w:sz w:val="20"/>
          <w:szCs w:val="20"/>
        </w:rPr>
        <w:t>NCR Corporation</w:t>
      </w:r>
    </w:p>
    <w:p w:rsidR="00000000" w:rsidRDefault="0040289C">
      <w:pPr>
        <w:jc w:val="center"/>
        <w:rPr>
          <w:rFonts w:eastAsia="Times New Roman"/>
        </w:rPr>
      </w:pPr>
    </w:p>
    <w:p w:rsidR="00000000" w:rsidRDefault="0040289C">
      <w:pPr>
        <w:jc w:val="center"/>
        <w:rPr>
          <w:rFonts w:eastAsia="Times New Roman"/>
        </w:rPr>
      </w:pPr>
      <w:r>
        <w:rPr>
          <w:rFonts w:eastAsia="Times New Roman"/>
          <w:b/>
          <w:bCs/>
          <w:color w:val="000000"/>
          <w:sz w:val="20"/>
          <w:szCs w:val="20"/>
        </w:rPr>
        <w:t>SCHEDULE II--VALUATION AND QUALIFYING ACCOUNTS</w:t>
      </w:r>
    </w:p>
    <w:p w:rsidR="00000000" w:rsidRDefault="0040289C">
      <w:pPr>
        <w:jc w:val="center"/>
        <w:rPr>
          <w:rFonts w:eastAsia="Times New Roman"/>
        </w:rPr>
      </w:pPr>
      <w:r>
        <w:rPr>
          <w:rFonts w:eastAsia="Times New Roman"/>
          <w:b/>
          <w:bCs/>
          <w:color w:val="000000"/>
          <w:sz w:val="20"/>
          <w:szCs w:val="20"/>
        </w:rPr>
        <w:t>(In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56"/>
        <w:gridCol w:w="3651"/>
        <w:gridCol w:w="37"/>
        <w:gridCol w:w="36"/>
        <w:gridCol w:w="36"/>
        <w:gridCol w:w="36"/>
        <w:gridCol w:w="72"/>
        <w:gridCol w:w="689"/>
        <w:gridCol w:w="37"/>
        <w:gridCol w:w="36"/>
        <w:gridCol w:w="36"/>
        <w:gridCol w:w="36"/>
        <w:gridCol w:w="67"/>
        <w:gridCol w:w="694"/>
        <w:gridCol w:w="37"/>
        <w:gridCol w:w="37"/>
        <w:gridCol w:w="36"/>
        <w:gridCol w:w="36"/>
        <w:gridCol w:w="67"/>
        <w:gridCol w:w="696"/>
        <w:gridCol w:w="36"/>
        <w:gridCol w:w="36"/>
        <w:gridCol w:w="36"/>
        <w:gridCol w:w="36"/>
        <w:gridCol w:w="80"/>
        <w:gridCol w:w="718"/>
        <w:gridCol w:w="36"/>
        <w:gridCol w:w="36"/>
        <w:gridCol w:w="36"/>
        <w:gridCol w:w="36"/>
        <w:gridCol w:w="59"/>
        <w:gridCol w:w="672"/>
        <w:gridCol w:w="36"/>
      </w:tblGrid>
      <w:tr w:rsidR="00000000">
        <w:trPr>
          <w:jc w:val="center"/>
        </w:trPr>
        <w:tc>
          <w:tcPr>
            <w:tcW w:w="50" w:type="pct"/>
            <w:vAlign w:val="center"/>
            <w:hideMark/>
          </w:tcPr>
          <w:p w:rsidR="00000000" w:rsidRDefault="0040289C">
            <w:pPr>
              <w:jc w:val="center"/>
              <w:rPr>
                <w:rFonts w:eastAsia="Times New Roman"/>
              </w:rPr>
            </w:pPr>
          </w:p>
        </w:tc>
        <w:tc>
          <w:tcPr>
            <w:tcW w:w="2218"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4"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2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45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rPr>
              <w:t>Column A</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Column B</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Column C</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Column D</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Column E</w:t>
            </w:r>
          </w:p>
        </w:tc>
      </w:tr>
      <w:tr w:rsidR="00000000">
        <w:trPr>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b/>
                <w:bCs/>
                <w:color w:val="000000"/>
                <w:sz w:val="16"/>
                <w:szCs w:val="16"/>
                <w:u w:val="single"/>
              </w:rPr>
              <w:t>Description</w:t>
            </w: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Balance at Beginning of Period</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Charged to Costs &amp; Expenses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Charged to Other Accounts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Deductions</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Balance at End of Period</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Year Ended December 31, 2022</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$24</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$13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$34</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$368</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$133</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$23</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$76</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w:t>
            </w:r>
            <w:r>
              <w:rPr>
                <w:rFonts w:eastAsia="Times New Roman"/>
                <w:color w:val="000000"/>
                <w:sz w:val="20"/>
                <w:szCs w:val="20"/>
              </w:rPr>
              <w:t>448</w:t>
            </w: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Year Ended December 31, 2021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$51</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$29</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$24</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$341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$45</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$21</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$39</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$368</w:t>
            </w: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Year Ended December 31, 2020</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Allowance for doubtful accounts</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$44</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$33</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$26</w:t>
            </w:r>
          </w:p>
        </w:tc>
        <w:tc>
          <w:tcPr>
            <w:tcW w:w="0" w:type="auto"/>
            <w:gridSpan w:val="3"/>
            <w:shd w:val="clear" w:color="auto" w:fill="FFFF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$51</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Deferred tax asset valuation allowance</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$352</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$26</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$47</w:t>
            </w:r>
          </w:p>
        </w:tc>
        <w:tc>
          <w:tcPr>
            <w:tcW w:w="0" w:type="auto"/>
            <w:gridSpan w:val="3"/>
            <w:shd w:val="clear" w:color="auto" w:fill="CCEEFF"/>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$341</w:t>
            </w:r>
          </w:p>
        </w:tc>
      </w:tr>
    </w:tbl>
    <w:p w:rsidR="00000000" w:rsidRDefault="0040289C">
      <w:pPr>
        <w:divId w:val="1013187076"/>
        <w:rPr>
          <w:rFonts w:eastAsia="Times New Roman"/>
        </w:rPr>
      </w:pPr>
    </w:p>
    <w:p w:rsidR="00000000" w:rsidRDefault="0040289C">
      <w:pPr>
        <w:jc w:val="center"/>
        <w:divId w:val="1384672613"/>
        <w:rPr>
          <w:rFonts w:eastAsia="Times New Roman"/>
        </w:rPr>
      </w:pPr>
      <w:r>
        <w:rPr>
          <w:rFonts w:eastAsia="Times New Roman"/>
          <w:color w:val="000000"/>
          <w:sz w:val="20"/>
          <w:szCs w:val="20"/>
        </w:rPr>
        <w:t>133</w:t>
      </w:r>
    </w:p>
    <w:p w:rsidR="00000000" w:rsidRDefault="0040289C">
      <w:pPr>
        <w:rPr>
          <w:rFonts w:eastAsia="Times New Roman"/>
        </w:rPr>
      </w:pPr>
      <w:r>
        <w:rPr>
          <w:rFonts w:eastAsia="Times New Roman"/>
        </w:rPr>
        <w:pict>
          <v:rect id="_x0000_i1163" style="width:0;height:1.5pt" o:hralign="center" o:hrstd="t" o:hr="t" fillcolor="#a0a0a0" stroked="f"/>
        </w:pict>
      </w:r>
    </w:p>
    <w:p w:rsidR="00000000" w:rsidRDefault="0040289C">
      <w:pPr>
        <w:divId w:val="839539744"/>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1778478643"/>
        <w:rPr>
          <w:rFonts w:eastAsia="Times New Roman"/>
        </w:rPr>
      </w:pPr>
    </w:p>
    <w:p w:rsidR="00000000" w:rsidRDefault="0040289C">
      <w:pPr>
        <w:jc w:val="center"/>
        <w:rPr>
          <w:rFonts w:eastAsia="Times New Roman"/>
        </w:rPr>
      </w:pPr>
      <w:r>
        <w:rPr>
          <w:rFonts w:eastAsia="Times New Roman"/>
          <w:b/>
          <w:bCs/>
          <w:color w:val="000000"/>
          <w:sz w:val="20"/>
          <w:szCs w:val="20"/>
        </w:rPr>
        <w:t>SIGNATURES</w:t>
      </w:r>
    </w:p>
    <w:p w:rsidR="00000000" w:rsidRDefault="0040289C">
      <w:pPr>
        <w:divId w:val="1395154165"/>
        <w:rPr>
          <w:rFonts w:eastAsia="Times New Roman"/>
        </w:rPr>
      </w:pPr>
      <w:r>
        <w:rPr>
          <w:rFonts w:eastAsia="Times New Roman"/>
          <w:color w:val="000000"/>
          <w:sz w:val="20"/>
          <w:szCs w:val="20"/>
        </w:rPr>
        <w:t>Pursuant to the requirements of Section 13 or 15 (d) of the Securities Exchange Act of 1934, the registr</w:t>
      </w:r>
      <w:r>
        <w:rPr>
          <w:rFonts w:eastAsia="Times New Roman"/>
          <w:color w:val="000000"/>
          <w:sz w:val="20"/>
          <w:szCs w:val="20"/>
        </w:rPr>
        <w:t>ant has duly caused this report to be signed on its behalf by the undersigned, thereunto duly authorized.</w:t>
      </w:r>
    </w:p>
    <w:p w:rsidR="00000000" w:rsidRDefault="0040289C">
      <w:pPr>
        <w:divId w:val="1258051987"/>
        <w:rPr>
          <w:rFonts w:eastAsia="Times New Roman"/>
        </w:rPr>
      </w:pPr>
      <w:r>
        <w:rPr>
          <w:rFonts w:eastAsia="Times New Roman"/>
          <w:color w:val="000000"/>
          <w:sz w:val="18"/>
          <w:szCs w:val="18"/>
        </w:rPr>
        <w:t> </w:t>
      </w:r>
    </w:p>
    <w:tbl>
      <w:tblPr>
        <w:tblW w:w="4823" w:type="pct"/>
        <w:tblCellMar>
          <w:top w:w="15" w:type="dxa"/>
          <w:left w:w="15" w:type="dxa"/>
          <w:bottom w:w="15" w:type="dxa"/>
          <w:right w:w="15" w:type="dxa"/>
        </w:tblCellMar>
        <w:tblLook w:val="04A0" w:firstRow="1" w:lastRow="0" w:firstColumn="1" w:lastColumn="0" w:noHBand="0" w:noVBand="1"/>
      </w:tblPr>
      <w:tblGrid>
        <w:gridCol w:w="82"/>
        <w:gridCol w:w="384"/>
        <w:gridCol w:w="36"/>
        <w:gridCol w:w="44"/>
        <w:gridCol w:w="3303"/>
        <w:gridCol w:w="36"/>
        <w:gridCol w:w="81"/>
        <w:gridCol w:w="240"/>
        <w:gridCol w:w="37"/>
        <w:gridCol w:w="37"/>
        <w:gridCol w:w="123"/>
        <w:gridCol w:w="37"/>
        <w:gridCol w:w="44"/>
        <w:gridCol w:w="3492"/>
        <w:gridCol w:w="36"/>
      </w:tblGrid>
      <w:tr w:rsidR="00000000">
        <w:trPr>
          <w:divId w:val="1342586983"/>
        </w:trPr>
        <w:tc>
          <w:tcPr>
            <w:tcW w:w="50" w:type="pct"/>
            <w:vAlign w:val="center"/>
            <w:hideMark/>
          </w:tcPr>
          <w:p w:rsidR="00000000" w:rsidRDefault="0040289C">
            <w:pPr>
              <w:rPr>
                <w:rFonts w:eastAsia="Times New Roman"/>
              </w:rPr>
            </w:pPr>
          </w:p>
        </w:tc>
        <w:tc>
          <w:tcPr>
            <w:tcW w:w="237"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082"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4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9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19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divId w:val="1342586983"/>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40289C">
            <w:pPr>
              <w:spacing w:after="100"/>
              <w:rPr>
                <w:rFonts w:eastAsia="Times New Roman"/>
              </w:rPr>
            </w:pPr>
            <w:r>
              <w:rPr>
                <w:rFonts w:eastAsia="Times New Roman"/>
                <w:color w:val="000000"/>
                <w:sz w:val="20"/>
                <w:szCs w:val="20"/>
              </w:rPr>
              <w:t>NCR CORPORATION</w:t>
            </w:r>
          </w:p>
        </w:tc>
      </w:tr>
      <w:tr w:rsidR="00000000">
        <w:trPr>
          <w:divId w:val="1342586983"/>
          <w:trHeight w:val="300"/>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divId w:val="1342586983"/>
        </w:trPr>
        <w:tc>
          <w:tcPr>
            <w:tcW w:w="0" w:type="auto"/>
            <w:gridSpan w:val="3"/>
            <w:tcMar>
              <w:top w:w="30" w:type="dxa"/>
              <w:left w:w="20" w:type="dxa"/>
              <w:bottom w:w="30" w:type="dxa"/>
              <w:right w:w="20" w:type="dxa"/>
            </w:tcMar>
            <w:hideMark/>
          </w:tcPr>
          <w:p w:rsidR="00000000" w:rsidRDefault="0040289C">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February 27, 2023</w:t>
            </w:r>
          </w:p>
        </w:tc>
        <w:tc>
          <w:tcPr>
            <w:tcW w:w="0" w:type="auto"/>
            <w:gridSpan w:val="3"/>
            <w:tcMar>
              <w:top w:w="30" w:type="dxa"/>
              <w:left w:w="20" w:type="dxa"/>
              <w:bottom w:w="30" w:type="dxa"/>
              <w:right w:w="20" w:type="dxa"/>
            </w:tcMar>
            <w:hideMark/>
          </w:tcPr>
          <w:p w:rsidR="00000000" w:rsidRDefault="0040289C">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40289C">
            <w:pPr>
              <w:spacing w:after="100"/>
              <w:jc w:val="center"/>
              <w:rPr>
                <w:rFonts w:eastAsia="Times New Roman"/>
              </w:rPr>
            </w:pPr>
            <w:r>
              <w:rPr>
                <w:rFonts w:eastAsia="Times New Roman"/>
                <w:color w:val="000000"/>
                <w:sz w:val="20"/>
                <w:szCs w:val="20"/>
              </w:rPr>
              <w:t>    /s/ Timothy C. Oliver</w:t>
            </w:r>
          </w:p>
        </w:tc>
      </w:tr>
      <w:tr w:rsidR="00000000">
        <w:trPr>
          <w:divId w:val="1342586983"/>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16"/>
                <w:szCs w:val="16"/>
              </w:rPr>
              <w:t>Timothy C. Oliver</w:t>
            </w:r>
            <w:r>
              <w:rPr>
                <w:rFonts w:eastAsia="Times New Roman"/>
                <w:b/>
                <w:bCs/>
                <w:color w:val="000000"/>
                <w:sz w:val="16"/>
                <w:szCs w:val="16"/>
              </w:rPr>
              <w:br/>
              <w:t>Senior Executive Vice President and Chief Financial Officer</w:t>
            </w:r>
          </w:p>
        </w:tc>
      </w:tr>
    </w:tbl>
    <w:p w:rsidR="00000000" w:rsidRDefault="0040289C">
      <w:pPr>
        <w:divId w:val="991568317"/>
        <w:rPr>
          <w:rFonts w:eastAsia="Times New Roman"/>
        </w:rPr>
      </w:pPr>
    </w:p>
    <w:p w:rsidR="00000000" w:rsidRDefault="0040289C">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 indicated.</w:t>
      </w:r>
    </w:p>
    <w:p w:rsidR="00000000" w:rsidRDefault="0040289C">
      <w:pPr>
        <w:jc w:val="both"/>
        <w:rPr>
          <w:rFonts w:eastAsia="Times New Roman"/>
        </w:rPr>
      </w:pPr>
    </w:p>
    <w:p w:rsidR="00000000" w:rsidRDefault="0040289C">
      <w:pPr>
        <w:jc w:val="both"/>
        <w:rPr>
          <w:rFonts w:eastAsia="Times New Roman"/>
        </w:rPr>
      </w:pPr>
    </w:p>
    <w:p w:rsidR="00000000" w:rsidRDefault="0040289C">
      <w:pPr>
        <w:divId w:val="1576625850"/>
        <w:rPr>
          <w:rFonts w:eastAsia="Times New Roman"/>
        </w:rPr>
      </w:pPr>
    </w:p>
    <w:p w:rsidR="00000000" w:rsidRDefault="0040289C">
      <w:pPr>
        <w:divId w:val="31536478"/>
        <w:rPr>
          <w:rFonts w:eastAsia="Times New Roman"/>
        </w:rPr>
      </w:pPr>
    </w:p>
    <w:p w:rsidR="00000000" w:rsidRDefault="0040289C">
      <w:pPr>
        <w:divId w:val="2031635828"/>
        <w:rPr>
          <w:rFonts w:eastAsia="Times New Roman"/>
        </w:rPr>
      </w:pPr>
    </w:p>
    <w:p w:rsidR="00000000" w:rsidRDefault="0040289C">
      <w:pPr>
        <w:divId w:val="2092653776"/>
        <w:rPr>
          <w:rFonts w:eastAsia="Times New Roman"/>
        </w:rPr>
      </w:pPr>
    </w:p>
    <w:p w:rsidR="00000000" w:rsidRDefault="0040289C">
      <w:pPr>
        <w:divId w:val="1103259171"/>
        <w:rPr>
          <w:rFonts w:eastAsia="Times New Roman"/>
        </w:rPr>
      </w:pPr>
    </w:p>
    <w:p w:rsidR="00000000" w:rsidRDefault="0040289C">
      <w:pPr>
        <w:divId w:val="35398337"/>
        <w:rPr>
          <w:rFonts w:eastAsia="Times New Roman"/>
        </w:rPr>
      </w:pPr>
    </w:p>
    <w:p w:rsidR="00000000" w:rsidRDefault="0040289C">
      <w:pPr>
        <w:divId w:val="1637681997"/>
        <w:rPr>
          <w:rFonts w:eastAsia="Times New Roman"/>
        </w:rPr>
      </w:pPr>
    </w:p>
    <w:p w:rsidR="00000000" w:rsidRDefault="0040289C">
      <w:pPr>
        <w:divId w:val="426771501"/>
        <w:rPr>
          <w:rFonts w:eastAsia="Times New Roman"/>
        </w:rPr>
      </w:pPr>
    </w:p>
    <w:p w:rsidR="00000000" w:rsidRDefault="0040289C">
      <w:pPr>
        <w:divId w:val="1247350347"/>
        <w:rPr>
          <w:rFonts w:eastAsia="Times New Roman"/>
        </w:rPr>
      </w:pPr>
    </w:p>
    <w:p w:rsidR="00000000" w:rsidRDefault="0040289C">
      <w:pPr>
        <w:divId w:val="1908219909"/>
        <w:rPr>
          <w:rFonts w:eastAsia="Times New Roman"/>
        </w:rPr>
      </w:pPr>
    </w:p>
    <w:p w:rsidR="00000000" w:rsidRDefault="0040289C">
      <w:pPr>
        <w:divId w:val="47414837"/>
        <w:rPr>
          <w:rFonts w:eastAsia="Times New Roman"/>
        </w:rPr>
      </w:pPr>
    </w:p>
    <w:p w:rsidR="00000000" w:rsidRDefault="0040289C">
      <w:pPr>
        <w:divId w:val="1887790724"/>
        <w:rPr>
          <w:rFonts w:eastAsia="Times New Roman"/>
        </w:rPr>
      </w:pPr>
    </w:p>
    <w:p w:rsidR="00000000" w:rsidRDefault="0040289C">
      <w:pPr>
        <w:divId w:val="2119597126"/>
        <w:rPr>
          <w:rFonts w:eastAsia="Times New Roman"/>
        </w:rPr>
      </w:pPr>
    </w:p>
    <w:p w:rsidR="00000000" w:rsidRDefault="0040289C">
      <w:pPr>
        <w:divId w:val="787235612"/>
        <w:rPr>
          <w:rFonts w:eastAsia="Times New Roman"/>
        </w:rPr>
      </w:pPr>
    </w:p>
    <w:p w:rsidR="00000000" w:rsidRDefault="0040289C">
      <w:pPr>
        <w:divId w:val="358823312"/>
        <w:rPr>
          <w:rFonts w:eastAsia="Times New Roman"/>
        </w:rPr>
      </w:pPr>
    </w:p>
    <w:p w:rsidR="00000000" w:rsidRDefault="0040289C">
      <w:pPr>
        <w:divId w:val="1864981062"/>
        <w:rPr>
          <w:rFonts w:eastAsia="Times New Roman"/>
        </w:rPr>
      </w:pPr>
    </w:p>
    <w:p w:rsidR="00000000" w:rsidRDefault="0040289C">
      <w:pPr>
        <w:divId w:val="1497526709"/>
        <w:rPr>
          <w:rFonts w:eastAsia="Times New Roman"/>
        </w:rPr>
      </w:pPr>
    </w:p>
    <w:p w:rsidR="00000000" w:rsidRDefault="0040289C">
      <w:pPr>
        <w:divId w:val="1743411080"/>
        <w:rPr>
          <w:rFonts w:eastAsia="Times New Roman"/>
        </w:rPr>
      </w:pPr>
    </w:p>
    <w:p w:rsidR="00000000" w:rsidRDefault="0040289C">
      <w:pPr>
        <w:divId w:val="252592521"/>
        <w:rPr>
          <w:rFonts w:eastAsia="Times New Roman"/>
        </w:rPr>
      </w:pPr>
    </w:p>
    <w:p w:rsidR="00000000" w:rsidRDefault="0040289C">
      <w:pPr>
        <w:divId w:val="1016728950"/>
        <w:rPr>
          <w:rFonts w:eastAsia="Times New Roman"/>
        </w:rPr>
      </w:pPr>
    </w:p>
    <w:p w:rsidR="00000000" w:rsidRDefault="0040289C">
      <w:pPr>
        <w:divId w:val="1956518782"/>
        <w:rPr>
          <w:rFonts w:eastAsia="Times New Roman"/>
        </w:rPr>
      </w:pPr>
    </w:p>
    <w:p w:rsidR="00000000" w:rsidRDefault="0040289C">
      <w:pPr>
        <w:divId w:val="1104887632"/>
        <w:rPr>
          <w:rFonts w:eastAsia="Times New Roman"/>
        </w:rPr>
      </w:pPr>
    </w:p>
    <w:p w:rsidR="00000000" w:rsidRDefault="0040289C">
      <w:pPr>
        <w:divId w:val="2024743150"/>
        <w:rPr>
          <w:rFonts w:eastAsia="Times New Roman"/>
        </w:rPr>
      </w:pPr>
    </w:p>
    <w:p w:rsidR="00000000" w:rsidRDefault="0040289C">
      <w:pPr>
        <w:divId w:val="1431900469"/>
        <w:rPr>
          <w:rFonts w:eastAsia="Times New Roman"/>
        </w:rPr>
      </w:pPr>
    </w:p>
    <w:p w:rsidR="00000000" w:rsidRDefault="0040289C">
      <w:pPr>
        <w:divId w:val="610667296"/>
        <w:rPr>
          <w:rFonts w:eastAsia="Times New Roman"/>
        </w:rPr>
      </w:pPr>
    </w:p>
    <w:p w:rsidR="00000000" w:rsidRDefault="0040289C">
      <w:pPr>
        <w:divId w:val="1405956358"/>
        <w:rPr>
          <w:rFonts w:eastAsia="Times New Roman"/>
        </w:rPr>
      </w:pPr>
    </w:p>
    <w:p w:rsidR="00000000" w:rsidRDefault="0040289C">
      <w:pPr>
        <w:divId w:val="1515420376"/>
        <w:rPr>
          <w:rFonts w:eastAsia="Times New Roman"/>
        </w:rPr>
      </w:pPr>
    </w:p>
    <w:p w:rsidR="00000000" w:rsidRDefault="0040289C">
      <w:pPr>
        <w:divId w:val="1851332091"/>
        <w:rPr>
          <w:rFonts w:eastAsia="Times New Roman"/>
        </w:rPr>
      </w:pPr>
    </w:p>
    <w:p w:rsidR="00000000" w:rsidRDefault="0040289C">
      <w:pPr>
        <w:divId w:val="1524396230"/>
        <w:rPr>
          <w:rFonts w:eastAsia="Times New Roman"/>
        </w:rPr>
      </w:pPr>
    </w:p>
    <w:p w:rsidR="00000000" w:rsidRDefault="0040289C">
      <w:pPr>
        <w:divId w:val="2078555895"/>
        <w:rPr>
          <w:rFonts w:eastAsia="Times New Roman"/>
        </w:rPr>
      </w:pPr>
    </w:p>
    <w:p w:rsidR="00000000" w:rsidRDefault="0040289C">
      <w:pPr>
        <w:divId w:val="587353449"/>
        <w:rPr>
          <w:rFonts w:eastAsia="Times New Roman"/>
        </w:rPr>
      </w:pPr>
    </w:p>
    <w:p w:rsidR="00000000" w:rsidRDefault="0040289C">
      <w:pPr>
        <w:divId w:val="1581402223"/>
        <w:rPr>
          <w:rFonts w:eastAsia="Times New Roman"/>
        </w:rPr>
      </w:pPr>
    </w:p>
    <w:p w:rsidR="00000000" w:rsidRDefault="0040289C">
      <w:pPr>
        <w:divId w:val="1981836656"/>
        <w:rPr>
          <w:rFonts w:eastAsia="Times New Roman"/>
        </w:rPr>
      </w:pPr>
    </w:p>
    <w:p w:rsidR="00000000" w:rsidRDefault="0040289C">
      <w:pPr>
        <w:divId w:val="241987794"/>
        <w:rPr>
          <w:rFonts w:eastAsia="Times New Roman"/>
        </w:rPr>
      </w:pPr>
    </w:p>
    <w:p w:rsidR="00000000" w:rsidRDefault="0040289C">
      <w:pPr>
        <w:divId w:val="1637101711"/>
        <w:rPr>
          <w:rFonts w:eastAsia="Times New Roman"/>
        </w:rPr>
      </w:pPr>
    </w:p>
    <w:p w:rsidR="00000000" w:rsidRDefault="0040289C">
      <w:pPr>
        <w:divId w:val="1634676092"/>
        <w:rPr>
          <w:rFonts w:eastAsia="Times New Roman"/>
        </w:rPr>
      </w:pPr>
    </w:p>
    <w:p w:rsidR="00000000" w:rsidRDefault="0040289C">
      <w:pPr>
        <w:divId w:val="1893493377"/>
        <w:rPr>
          <w:rFonts w:eastAsia="Times New Roman"/>
        </w:rPr>
      </w:pPr>
    </w:p>
    <w:p w:rsidR="00000000" w:rsidRDefault="0040289C">
      <w:pPr>
        <w:divId w:val="92019307"/>
        <w:rPr>
          <w:rFonts w:eastAsia="Times New Roman"/>
        </w:rPr>
      </w:pPr>
    </w:p>
    <w:p w:rsidR="00000000" w:rsidRDefault="0040289C">
      <w:pPr>
        <w:divId w:val="198663494"/>
        <w:rPr>
          <w:rFonts w:eastAsia="Times New Roman"/>
        </w:rPr>
      </w:pPr>
    </w:p>
    <w:p w:rsidR="00000000" w:rsidRDefault="0040289C">
      <w:pPr>
        <w:divId w:val="1736196813"/>
        <w:rPr>
          <w:rFonts w:eastAsia="Times New Roman"/>
        </w:rPr>
      </w:pPr>
    </w:p>
    <w:p w:rsidR="00000000" w:rsidRDefault="0040289C">
      <w:pPr>
        <w:divId w:val="1282420855"/>
        <w:rPr>
          <w:rFonts w:eastAsia="Times New Roman"/>
        </w:rPr>
      </w:pPr>
    </w:p>
    <w:p w:rsidR="00000000" w:rsidRDefault="0040289C">
      <w:pPr>
        <w:divId w:val="1613585653"/>
        <w:rPr>
          <w:rFonts w:eastAsia="Times New Roman"/>
        </w:rPr>
      </w:pPr>
    </w:p>
    <w:p w:rsidR="00000000" w:rsidRDefault="0040289C">
      <w:pPr>
        <w:jc w:val="center"/>
        <w:divId w:val="1115054788"/>
        <w:rPr>
          <w:rFonts w:eastAsia="Times New Roman"/>
        </w:rPr>
      </w:pPr>
      <w:r>
        <w:rPr>
          <w:rFonts w:eastAsia="Times New Roman"/>
          <w:color w:val="000000"/>
          <w:sz w:val="20"/>
          <w:szCs w:val="20"/>
        </w:rPr>
        <w:t>134</w:t>
      </w:r>
    </w:p>
    <w:p w:rsidR="00000000" w:rsidRDefault="0040289C">
      <w:pPr>
        <w:rPr>
          <w:rFonts w:eastAsia="Times New Roman"/>
        </w:rPr>
      </w:pPr>
      <w:r>
        <w:rPr>
          <w:rFonts w:eastAsia="Times New Roman"/>
        </w:rPr>
        <w:pict>
          <v:rect id="_x0000_i1164" style="width:0;height:1.5pt" o:hralign="center" o:hrstd="t" o:hr="t" fillcolor="#a0a0a0" stroked="f"/>
        </w:pict>
      </w:r>
    </w:p>
    <w:p w:rsidR="00000000" w:rsidRDefault="0040289C">
      <w:pPr>
        <w:divId w:val="1428505366"/>
        <w:rPr>
          <w:rFonts w:eastAsia="Times New Roman"/>
        </w:rPr>
      </w:pPr>
      <w:hyperlink w:anchor="if07fd8a5a4294970a048ac5c5178b1ea_10" w:history="1">
        <w:r>
          <w:rPr>
            <w:rStyle w:val="a3"/>
            <w:rFonts w:eastAsia="Times New Roman"/>
            <w:sz w:val="16"/>
            <w:szCs w:val="16"/>
          </w:rPr>
          <w:t>Table of Contents</w:t>
        </w:r>
      </w:hyperlink>
    </w:p>
    <w:p w:rsidR="00000000" w:rsidRDefault="0040289C">
      <w:pPr>
        <w:divId w:val="849638427"/>
        <w:rPr>
          <w:rFonts w:eastAsia="Times New Roman"/>
        </w:rPr>
      </w:pPr>
    </w:p>
    <w:p w:rsidR="00000000" w:rsidRDefault="0040289C">
      <w:pPr>
        <w:divId w:val="776407676"/>
        <w:rPr>
          <w:rFonts w:eastAsia="Times New Roman"/>
        </w:rPr>
      </w:pPr>
    </w:p>
    <w:tbl>
      <w:tblPr>
        <w:tblW w:w="3997" w:type="pct"/>
        <w:jc w:val="center"/>
        <w:tblCellMar>
          <w:top w:w="15" w:type="dxa"/>
          <w:left w:w="15" w:type="dxa"/>
          <w:bottom w:w="15" w:type="dxa"/>
          <w:right w:w="15" w:type="dxa"/>
        </w:tblCellMar>
        <w:tblLook w:val="04A0" w:firstRow="1" w:lastRow="0" w:firstColumn="1" w:lastColumn="0" w:noHBand="0" w:noVBand="1"/>
      </w:tblPr>
      <w:tblGrid>
        <w:gridCol w:w="69"/>
        <w:gridCol w:w="399"/>
        <w:gridCol w:w="36"/>
        <w:gridCol w:w="39"/>
        <w:gridCol w:w="2575"/>
        <w:gridCol w:w="37"/>
        <w:gridCol w:w="39"/>
        <w:gridCol w:w="3409"/>
        <w:gridCol w:w="37"/>
      </w:tblGrid>
      <w:tr w:rsidR="00000000">
        <w:trPr>
          <w:jc w:val="center"/>
        </w:trPr>
        <w:tc>
          <w:tcPr>
            <w:tcW w:w="50" w:type="pct"/>
            <w:vAlign w:val="center"/>
            <w:hideMark/>
          </w:tcPr>
          <w:p w:rsidR="00000000" w:rsidRDefault="0040289C">
            <w:pPr>
              <w:rPr>
                <w:rFonts w:eastAsia="Times New Roman"/>
              </w:rPr>
            </w:pPr>
          </w:p>
        </w:tc>
        <w:tc>
          <w:tcPr>
            <w:tcW w:w="28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1959"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c>
          <w:tcPr>
            <w:tcW w:w="50" w:type="pct"/>
            <w:vAlign w:val="center"/>
            <w:hideMark/>
          </w:tcPr>
          <w:p w:rsidR="00000000" w:rsidRDefault="0040289C">
            <w:pPr>
              <w:spacing w:after="100"/>
              <w:rPr>
                <w:rFonts w:eastAsia="Times New Roman"/>
                <w:sz w:val="20"/>
                <w:szCs w:val="20"/>
              </w:rPr>
            </w:pPr>
          </w:p>
        </w:tc>
        <w:tc>
          <w:tcPr>
            <w:tcW w:w="2586" w:type="pct"/>
            <w:vAlign w:val="center"/>
            <w:hideMark/>
          </w:tcPr>
          <w:p w:rsidR="00000000" w:rsidRDefault="0040289C">
            <w:pPr>
              <w:spacing w:after="100"/>
              <w:rPr>
                <w:rFonts w:eastAsia="Times New Roman"/>
                <w:sz w:val="20"/>
                <w:szCs w:val="20"/>
              </w:rPr>
            </w:pPr>
          </w:p>
        </w:tc>
        <w:tc>
          <w:tcPr>
            <w:tcW w:w="5" w:type="pct"/>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Signature</w:t>
            </w: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Title</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Frank R. Martire</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Executive Chairman</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Frank R. Martire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Michael D. Hayford</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Chief Executive Officer and 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Michael D. Hayford</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(Principal Executive Officer)</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Timothy C. Oliver</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Senior Executive Vice President and Chief Financial Officer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Timothy C. Oliver</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(Principal Financial Officer)</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Beth A. Potter</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Chief Accounting Officer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Beth A. Potter</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(Principal Accounting Officer)</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Mark W. Begor</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 xml:space="preserve">Mark W. Begor </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Gregory Blank</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Gregory Blank</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Catherine L. Burke</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Catherine L. Burke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Deborah A. Farrington</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Deborah A. Farrington</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Georgette D. Kiser</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Georgette D. Kiser</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Kirk T. Larsen</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Kirk T. Larsen</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Martin Mucci</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Martin Mucci</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Joseph E. Reece</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Joseph E. Reece</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/s/ Laura J. Sen</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Laura J. Sen</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color w:val="000000"/>
                <w:sz w:val="20"/>
                <w:szCs w:val="20"/>
              </w:rPr>
              <w:t xml:space="preserve">/s/ </w:t>
            </w:r>
            <w:r>
              <w:rPr>
                <w:rFonts w:eastAsia="Times New Roman"/>
                <w:color w:val="000000"/>
                <w:sz w:val="20"/>
                <w:szCs w:val="20"/>
              </w:rPr>
              <w:t>Glenn W. Welling</w:t>
            </w:r>
          </w:p>
        </w:tc>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Director</w:t>
            </w:r>
          </w:p>
        </w:tc>
      </w:tr>
      <w:tr w:rsidR="00000000">
        <w:trPr>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0289C">
            <w:pPr>
              <w:spacing w:after="100"/>
              <w:jc w:val="center"/>
              <w:rPr>
                <w:rFonts w:eastAsia="Times New Roman"/>
              </w:rPr>
            </w:pPr>
            <w:r>
              <w:rPr>
                <w:rFonts w:eastAsia="Times New Roman"/>
                <w:b/>
                <w:bCs/>
                <w:color w:val="000000"/>
                <w:sz w:val="20"/>
                <w:szCs w:val="20"/>
              </w:rPr>
              <w:t>Glenn W. Welling</w:t>
            </w:r>
          </w:p>
        </w:tc>
        <w:tc>
          <w:tcPr>
            <w:tcW w:w="0" w:type="auto"/>
            <w:gridSpan w:val="3"/>
            <w:tcMar>
              <w:top w:w="0" w:type="dxa"/>
              <w:left w:w="20" w:type="dxa"/>
              <w:bottom w:w="0" w:type="dxa"/>
              <w:right w:w="20" w:type="dxa"/>
            </w:tcMar>
            <w:vAlign w:val="center"/>
            <w:hideMark/>
          </w:tcPr>
          <w:p w:rsidR="00000000" w:rsidRDefault="0040289C">
            <w:pPr>
              <w:spacing w:after="100"/>
              <w:jc w:val="center"/>
              <w:rPr>
                <w:rFonts w:eastAsia="Times New Roman"/>
              </w:rPr>
            </w:pP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40289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40289C">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40289C">
            <w:pPr>
              <w:spacing w:after="100"/>
              <w:jc w:val="right"/>
              <w:rPr>
                <w:rFonts w:eastAsia="Times New Roman"/>
              </w:rPr>
            </w:pPr>
            <w:r>
              <w:rPr>
                <w:rFonts w:eastAsia="Times New Roman"/>
                <w:color w:val="000000"/>
                <w:sz w:val="20"/>
                <w:szCs w:val="20"/>
              </w:rPr>
              <w:t>February 27, 2023</w:t>
            </w:r>
          </w:p>
        </w:tc>
        <w:tc>
          <w:tcPr>
            <w:tcW w:w="0" w:type="auto"/>
            <w:gridSpan w:val="3"/>
            <w:tcMar>
              <w:top w:w="0" w:type="dxa"/>
              <w:left w:w="20" w:type="dxa"/>
              <w:bottom w:w="0" w:type="dxa"/>
              <w:right w:w="20" w:type="dxa"/>
            </w:tcMar>
            <w:vAlign w:val="center"/>
            <w:hideMark/>
          </w:tcPr>
          <w:p w:rsidR="00000000" w:rsidRDefault="0040289C">
            <w:pPr>
              <w:spacing w:after="100"/>
              <w:jc w:val="right"/>
              <w:rPr>
                <w:rFonts w:eastAsia="Times New Roman"/>
              </w:rPr>
            </w:pPr>
          </w:p>
        </w:tc>
      </w:tr>
    </w:tbl>
    <w:p w:rsidR="00000000" w:rsidRDefault="0040289C">
      <w:pPr>
        <w:divId w:val="1849054637"/>
        <w:rPr>
          <w:rFonts w:eastAsia="Times New Roman"/>
        </w:rPr>
      </w:pPr>
    </w:p>
    <w:p w:rsidR="0040289C" w:rsidRDefault="0040289C">
      <w:pPr>
        <w:jc w:val="center"/>
        <w:divId w:val="1812863112"/>
        <w:rPr>
          <w:rFonts w:eastAsia="Times New Roman"/>
        </w:rPr>
      </w:pPr>
      <w:r>
        <w:rPr>
          <w:rFonts w:eastAsia="Times New Roman"/>
          <w:color w:val="000000"/>
          <w:sz w:val="20"/>
          <w:szCs w:val="20"/>
        </w:rPr>
        <w:t>135</w:t>
      </w:r>
    </w:p>
    <w:sectPr w:rsidR="0040289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289C"/>
    <w:rsid w:val="0040289C"/>
  </w:rsids>
  <m:mathPr>
    <m:mathFont m:val="Cambria Math"/>
    <m:brkBin m:val="before"/>
    <m:brkBinSub m:val="--"/>
    <m:smallFrac m:val="0"/>
    <m:dispDef/>
    <m:lMargin m:val="0"/>
    <m:rMargin m:val="0"/>
    <m:defJc m:val="centerGroup"/>
    <m:wrapIndent m:val="1440"/>
    <m:intLim m:val="subSup"/>
    <m:naryLim m:val="undOvr"/>
  </m:mathPr>
  <w:attachedSchema w:val="http://www.ncr.com/20221231"/>
  <w:attachedSchema w:val="http://fasb.org/srt/2022"/>
  <w:attachedSchema w:val="http://www.xbrl.org/inlineXBRL/transformation/2020-02-12"/>
  <w:attachedSchema w:val="http://fasb.org/us-gaap/2022"/>
  <w:attachedSchema w:val="http://www.xbrl.org/2009/utr"/>
  <w:attachedSchema w:val="http://www.xbrl.org/2003/linkbase"/>
  <w:attachedSchema w:val="http://www.xbrl.org/2003/instance"/>
  <w:attachedSchema w:val="http://www.sec.gov/inlineXBRL/transformation/2015-08-31"/>
  <w:attachedSchema w:val="http://xbrl.sec.gov/dei/2022"/>
  <w:attachedSchema w:val="http://xbrl.sec.gov/country/2022"/>
  <w:attachedSchema w:val="http://www.xbrl.org/2013/inlineXBRL"/>
  <w:attachedSchema w:val="http://www.w3.org/1999/xlink"/>
  <w:attachedSchema w:val="http://xbrl.org/2006/xbrldi"/>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434">
      <w:marLeft w:val="0"/>
      <w:marRight w:val="0"/>
      <w:marTop w:val="0"/>
      <w:marBottom w:val="0"/>
      <w:divBdr>
        <w:top w:val="none" w:sz="0" w:space="0" w:color="auto"/>
        <w:left w:val="none" w:sz="0" w:space="0" w:color="auto"/>
        <w:bottom w:val="none" w:sz="0" w:space="0" w:color="auto"/>
        <w:right w:val="none" w:sz="0" w:space="0" w:color="auto"/>
      </w:divBdr>
      <w:divsChild>
        <w:div w:id="1686403924">
          <w:marLeft w:val="0"/>
          <w:marRight w:val="0"/>
          <w:marTop w:val="0"/>
          <w:marBottom w:val="0"/>
          <w:divBdr>
            <w:top w:val="none" w:sz="0" w:space="0" w:color="auto"/>
            <w:left w:val="none" w:sz="0" w:space="0" w:color="auto"/>
            <w:bottom w:val="none" w:sz="0" w:space="0" w:color="auto"/>
            <w:right w:val="none" w:sz="0" w:space="0" w:color="auto"/>
          </w:divBdr>
        </w:div>
      </w:divsChild>
    </w:div>
    <w:div w:id="10882478">
      <w:marLeft w:val="0"/>
      <w:marRight w:val="0"/>
      <w:marTop w:val="0"/>
      <w:marBottom w:val="0"/>
      <w:divBdr>
        <w:top w:val="none" w:sz="0" w:space="0" w:color="auto"/>
        <w:left w:val="none" w:sz="0" w:space="0" w:color="auto"/>
        <w:bottom w:val="none" w:sz="0" w:space="0" w:color="auto"/>
        <w:right w:val="none" w:sz="0" w:space="0" w:color="auto"/>
      </w:divBdr>
    </w:div>
    <w:div w:id="12613140">
      <w:marLeft w:val="0"/>
      <w:marRight w:val="0"/>
      <w:marTop w:val="0"/>
      <w:marBottom w:val="0"/>
      <w:divBdr>
        <w:top w:val="none" w:sz="0" w:space="0" w:color="auto"/>
        <w:left w:val="none" w:sz="0" w:space="0" w:color="auto"/>
        <w:bottom w:val="none" w:sz="0" w:space="0" w:color="auto"/>
        <w:right w:val="none" w:sz="0" w:space="0" w:color="auto"/>
      </w:divBdr>
      <w:divsChild>
        <w:div w:id="631178507">
          <w:marLeft w:val="0"/>
          <w:marRight w:val="0"/>
          <w:marTop w:val="0"/>
          <w:marBottom w:val="0"/>
          <w:divBdr>
            <w:top w:val="none" w:sz="0" w:space="0" w:color="auto"/>
            <w:left w:val="none" w:sz="0" w:space="0" w:color="auto"/>
            <w:bottom w:val="none" w:sz="0" w:space="0" w:color="auto"/>
            <w:right w:val="none" w:sz="0" w:space="0" w:color="auto"/>
          </w:divBdr>
        </w:div>
      </w:divsChild>
    </w:div>
    <w:div w:id="13579144">
      <w:marLeft w:val="0"/>
      <w:marRight w:val="0"/>
      <w:marTop w:val="0"/>
      <w:marBottom w:val="0"/>
      <w:divBdr>
        <w:top w:val="none" w:sz="0" w:space="0" w:color="auto"/>
        <w:left w:val="none" w:sz="0" w:space="0" w:color="auto"/>
        <w:bottom w:val="none" w:sz="0" w:space="0" w:color="auto"/>
        <w:right w:val="none" w:sz="0" w:space="0" w:color="auto"/>
      </w:divBdr>
    </w:div>
    <w:div w:id="22364754">
      <w:marLeft w:val="0"/>
      <w:marRight w:val="0"/>
      <w:marTop w:val="100"/>
      <w:marBottom w:val="0"/>
      <w:divBdr>
        <w:top w:val="none" w:sz="0" w:space="0" w:color="auto"/>
        <w:left w:val="none" w:sz="0" w:space="0" w:color="auto"/>
        <w:bottom w:val="none" w:sz="0" w:space="0" w:color="auto"/>
        <w:right w:val="none" w:sz="0" w:space="0" w:color="auto"/>
      </w:divBdr>
    </w:div>
    <w:div w:id="28578199">
      <w:marLeft w:val="0"/>
      <w:marRight w:val="0"/>
      <w:marTop w:val="0"/>
      <w:marBottom w:val="0"/>
      <w:divBdr>
        <w:top w:val="none" w:sz="0" w:space="0" w:color="auto"/>
        <w:left w:val="none" w:sz="0" w:space="0" w:color="auto"/>
        <w:bottom w:val="none" w:sz="0" w:space="0" w:color="auto"/>
        <w:right w:val="none" w:sz="0" w:space="0" w:color="auto"/>
      </w:divBdr>
      <w:divsChild>
        <w:div w:id="1726030550">
          <w:marLeft w:val="0"/>
          <w:marRight w:val="0"/>
          <w:marTop w:val="0"/>
          <w:marBottom w:val="0"/>
          <w:divBdr>
            <w:top w:val="none" w:sz="0" w:space="0" w:color="auto"/>
            <w:left w:val="none" w:sz="0" w:space="0" w:color="auto"/>
            <w:bottom w:val="none" w:sz="0" w:space="0" w:color="auto"/>
            <w:right w:val="none" w:sz="0" w:space="0" w:color="auto"/>
          </w:divBdr>
        </w:div>
      </w:divsChild>
    </w:div>
    <w:div w:id="28802847">
      <w:marLeft w:val="0"/>
      <w:marRight w:val="0"/>
      <w:marTop w:val="0"/>
      <w:marBottom w:val="60"/>
      <w:divBdr>
        <w:top w:val="none" w:sz="0" w:space="0" w:color="auto"/>
        <w:left w:val="none" w:sz="0" w:space="0" w:color="auto"/>
        <w:bottom w:val="none" w:sz="0" w:space="0" w:color="auto"/>
        <w:right w:val="none" w:sz="0" w:space="0" w:color="auto"/>
      </w:divBdr>
    </w:div>
    <w:div w:id="29762765">
      <w:marLeft w:val="0"/>
      <w:marRight w:val="0"/>
      <w:marTop w:val="0"/>
      <w:marBottom w:val="0"/>
      <w:divBdr>
        <w:top w:val="none" w:sz="0" w:space="0" w:color="auto"/>
        <w:left w:val="none" w:sz="0" w:space="0" w:color="auto"/>
        <w:bottom w:val="none" w:sz="0" w:space="0" w:color="auto"/>
        <w:right w:val="none" w:sz="0" w:space="0" w:color="auto"/>
      </w:divBdr>
    </w:div>
    <w:div w:id="30083135">
      <w:marLeft w:val="0"/>
      <w:marRight w:val="0"/>
      <w:marTop w:val="0"/>
      <w:marBottom w:val="60"/>
      <w:divBdr>
        <w:top w:val="none" w:sz="0" w:space="0" w:color="auto"/>
        <w:left w:val="none" w:sz="0" w:space="0" w:color="auto"/>
        <w:bottom w:val="none" w:sz="0" w:space="0" w:color="auto"/>
        <w:right w:val="none" w:sz="0" w:space="0" w:color="auto"/>
      </w:divBdr>
    </w:div>
    <w:div w:id="31536478">
      <w:marLeft w:val="0"/>
      <w:marRight w:val="0"/>
      <w:marTop w:val="0"/>
      <w:marBottom w:val="0"/>
      <w:divBdr>
        <w:top w:val="none" w:sz="0" w:space="0" w:color="auto"/>
        <w:left w:val="none" w:sz="0" w:space="0" w:color="auto"/>
        <w:bottom w:val="none" w:sz="0" w:space="0" w:color="auto"/>
        <w:right w:val="none" w:sz="0" w:space="0" w:color="auto"/>
      </w:divBdr>
    </w:div>
    <w:div w:id="31619437">
      <w:marLeft w:val="0"/>
      <w:marRight w:val="0"/>
      <w:marTop w:val="0"/>
      <w:marBottom w:val="0"/>
      <w:divBdr>
        <w:top w:val="none" w:sz="0" w:space="0" w:color="auto"/>
        <w:left w:val="none" w:sz="0" w:space="0" w:color="auto"/>
        <w:bottom w:val="none" w:sz="0" w:space="0" w:color="auto"/>
        <w:right w:val="none" w:sz="0" w:space="0" w:color="auto"/>
      </w:divBdr>
    </w:div>
    <w:div w:id="35398337">
      <w:marLeft w:val="0"/>
      <w:marRight w:val="0"/>
      <w:marTop w:val="0"/>
      <w:marBottom w:val="0"/>
      <w:divBdr>
        <w:top w:val="none" w:sz="0" w:space="0" w:color="auto"/>
        <w:left w:val="none" w:sz="0" w:space="0" w:color="auto"/>
        <w:bottom w:val="none" w:sz="0" w:space="0" w:color="auto"/>
        <w:right w:val="none" w:sz="0" w:space="0" w:color="auto"/>
      </w:divBdr>
    </w:div>
    <w:div w:id="39015495">
      <w:marLeft w:val="0"/>
      <w:marRight w:val="0"/>
      <w:marTop w:val="0"/>
      <w:marBottom w:val="0"/>
      <w:divBdr>
        <w:top w:val="none" w:sz="0" w:space="0" w:color="auto"/>
        <w:left w:val="none" w:sz="0" w:space="0" w:color="auto"/>
        <w:bottom w:val="none" w:sz="0" w:space="0" w:color="auto"/>
        <w:right w:val="none" w:sz="0" w:space="0" w:color="auto"/>
      </w:divBdr>
    </w:div>
    <w:div w:id="39019434">
      <w:marLeft w:val="0"/>
      <w:marRight w:val="0"/>
      <w:marTop w:val="0"/>
      <w:marBottom w:val="60"/>
      <w:divBdr>
        <w:top w:val="none" w:sz="0" w:space="0" w:color="auto"/>
        <w:left w:val="none" w:sz="0" w:space="0" w:color="auto"/>
        <w:bottom w:val="none" w:sz="0" w:space="0" w:color="auto"/>
        <w:right w:val="none" w:sz="0" w:space="0" w:color="auto"/>
      </w:divBdr>
    </w:div>
    <w:div w:id="47414837">
      <w:marLeft w:val="0"/>
      <w:marRight w:val="0"/>
      <w:marTop w:val="0"/>
      <w:marBottom w:val="0"/>
      <w:divBdr>
        <w:top w:val="none" w:sz="0" w:space="0" w:color="auto"/>
        <w:left w:val="none" w:sz="0" w:space="0" w:color="auto"/>
        <w:bottom w:val="none" w:sz="0" w:space="0" w:color="auto"/>
        <w:right w:val="none" w:sz="0" w:space="0" w:color="auto"/>
      </w:divBdr>
    </w:div>
    <w:div w:id="53242159">
      <w:marLeft w:val="0"/>
      <w:marRight w:val="0"/>
      <w:marTop w:val="0"/>
      <w:marBottom w:val="0"/>
      <w:divBdr>
        <w:top w:val="none" w:sz="0" w:space="0" w:color="auto"/>
        <w:left w:val="none" w:sz="0" w:space="0" w:color="auto"/>
        <w:bottom w:val="none" w:sz="0" w:space="0" w:color="auto"/>
        <w:right w:val="none" w:sz="0" w:space="0" w:color="auto"/>
      </w:divBdr>
      <w:divsChild>
        <w:div w:id="477770405">
          <w:marLeft w:val="0"/>
          <w:marRight w:val="0"/>
          <w:marTop w:val="0"/>
          <w:marBottom w:val="0"/>
          <w:divBdr>
            <w:top w:val="none" w:sz="0" w:space="0" w:color="auto"/>
            <w:left w:val="none" w:sz="0" w:space="0" w:color="auto"/>
            <w:bottom w:val="none" w:sz="0" w:space="0" w:color="auto"/>
            <w:right w:val="none" w:sz="0" w:space="0" w:color="auto"/>
          </w:divBdr>
        </w:div>
      </w:divsChild>
    </w:div>
    <w:div w:id="56363546">
      <w:marLeft w:val="0"/>
      <w:marRight w:val="0"/>
      <w:marTop w:val="0"/>
      <w:marBottom w:val="0"/>
      <w:divBdr>
        <w:top w:val="none" w:sz="0" w:space="0" w:color="auto"/>
        <w:left w:val="none" w:sz="0" w:space="0" w:color="auto"/>
        <w:bottom w:val="none" w:sz="0" w:space="0" w:color="auto"/>
        <w:right w:val="none" w:sz="0" w:space="0" w:color="auto"/>
      </w:divBdr>
      <w:divsChild>
        <w:div w:id="1006591349">
          <w:marLeft w:val="0"/>
          <w:marRight w:val="0"/>
          <w:marTop w:val="0"/>
          <w:marBottom w:val="0"/>
          <w:divBdr>
            <w:top w:val="none" w:sz="0" w:space="0" w:color="auto"/>
            <w:left w:val="none" w:sz="0" w:space="0" w:color="auto"/>
            <w:bottom w:val="none" w:sz="0" w:space="0" w:color="auto"/>
            <w:right w:val="none" w:sz="0" w:space="0" w:color="auto"/>
          </w:divBdr>
        </w:div>
      </w:divsChild>
    </w:div>
    <w:div w:id="60100915">
      <w:marLeft w:val="0"/>
      <w:marRight w:val="0"/>
      <w:marTop w:val="0"/>
      <w:marBottom w:val="0"/>
      <w:divBdr>
        <w:top w:val="none" w:sz="0" w:space="0" w:color="auto"/>
        <w:left w:val="none" w:sz="0" w:space="0" w:color="auto"/>
        <w:bottom w:val="none" w:sz="0" w:space="0" w:color="auto"/>
        <w:right w:val="none" w:sz="0" w:space="0" w:color="auto"/>
      </w:divBdr>
      <w:divsChild>
        <w:div w:id="2076200295">
          <w:marLeft w:val="0"/>
          <w:marRight w:val="0"/>
          <w:marTop w:val="0"/>
          <w:marBottom w:val="0"/>
          <w:divBdr>
            <w:top w:val="none" w:sz="0" w:space="0" w:color="auto"/>
            <w:left w:val="none" w:sz="0" w:space="0" w:color="auto"/>
            <w:bottom w:val="none" w:sz="0" w:space="0" w:color="auto"/>
            <w:right w:val="none" w:sz="0" w:space="0" w:color="auto"/>
          </w:divBdr>
        </w:div>
      </w:divsChild>
    </w:div>
    <w:div w:id="60370554">
      <w:marLeft w:val="0"/>
      <w:marRight w:val="0"/>
      <w:marTop w:val="0"/>
      <w:marBottom w:val="0"/>
      <w:divBdr>
        <w:top w:val="none" w:sz="0" w:space="0" w:color="auto"/>
        <w:left w:val="none" w:sz="0" w:space="0" w:color="auto"/>
        <w:bottom w:val="none" w:sz="0" w:space="0" w:color="auto"/>
        <w:right w:val="none" w:sz="0" w:space="0" w:color="auto"/>
      </w:divBdr>
    </w:div>
    <w:div w:id="62458699">
      <w:marLeft w:val="0"/>
      <w:marRight w:val="0"/>
      <w:marTop w:val="0"/>
      <w:marBottom w:val="0"/>
      <w:divBdr>
        <w:top w:val="none" w:sz="0" w:space="0" w:color="auto"/>
        <w:left w:val="none" w:sz="0" w:space="0" w:color="auto"/>
        <w:bottom w:val="none" w:sz="0" w:space="0" w:color="auto"/>
        <w:right w:val="none" w:sz="0" w:space="0" w:color="auto"/>
      </w:divBdr>
    </w:div>
    <w:div w:id="64381212">
      <w:marLeft w:val="0"/>
      <w:marRight w:val="0"/>
      <w:marTop w:val="0"/>
      <w:marBottom w:val="0"/>
      <w:divBdr>
        <w:top w:val="none" w:sz="0" w:space="0" w:color="auto"/>
        <w:left w:val="none" w:sz="0" w:space="0" w:color="auto"/>
        <w:bottom w:val="none" w:sz="0" w:space="0" w:color="auto"/>
        <w:right w:val="none" w:sz="0" w:space="0" w:color="auto"/>
      </w:divBdr>
      <w:divsChild>
        <w:div w:id="1146581700">
          <w:marLeft w:val="0"/>
          <w:marRight w:val="0"/>
          <w:marTop w:val="0"/>
          <w:marBottom w:val="0"/>
          <w:divBdr>
            <w:top w:val="none" w:sz="0" w:space="0" w:color="auto"/>
            <w:left w:val="none" w:sz="0" w:space="0" w:color="auto"/>
            <w:bottom w:val="none" w:sz="0" w:space="0" w:color="auto"/>
            <w:right w:val="none" w:sz="0" w:space="0" w:color="auto"/>
          </w:divBdr>
        </w:div>
      </w:divsChild>
    </w:div>
    <w:div w:id="64425726">
      <w:marLeft w:val="0"/>
      <w:marRight w:val="0"/>
      <w:marTop w:val="80"/>
      <w:marBottom w:val="132"/>
      <w:divBdr>
        <w:top w:val="none" w:sz="0" w:space="0" w:color="auto"/>
        <w:left w:val="none" w:sz="0" w:space="0" w:color="auto"/>
        <w:bottom w:val="none" w:sz="0" w:space="0" w:color="auto"/>
        <w:right w:val="none" w:sz="0" w:space="0" w:color="auto"/>
      </w:divBdr>
    </w:div>
    <w:div w:id="64643480">
      <w:marLeft w:val="0"/>
      <w:marRight w:val="0"/>
      <w:marTop w:val="0"/>
      <w:marBottom w:val="0"/>
      <w:divBdr>
        <w:top w:val="none" w:sz="0" w:space="0" w:color="auto"/>
        <w:left w:val="none" w:sz="0" w:space="0" w:color="auto"/>
        <w:bottom w:val="none" w:sz="0" w:space="0" w:color="auto"/>
        <w:right w:val="none" w:sz="0" w:space="0" w:color="auto"/>
      </w:divBdr>
      <w:divsChild>
        <w:div w:id="244612301">
          <w:marLeft w:val="0"/>
          <w:marRight w:val="0"/>
          <w:marTop w:val="0"/>
          <w:marBottom w:val="0"/>
          <w:divBdr>
            <w:top w:val="none" w:sz="0" w:space="0" w:color="auto"/>
            <w:left w:val="none" w:sz="0" w:space="0" w:color="auto"/>
            <w:bottom w:val="none" w:sz="0" w:space="0" w:color="auto"/>
            <w:right w:val="none" w:sz="0" w:space="0" w:color="auto"/>
          </w:divBdr>
        </w:div>
      </w:divsChild>
    </w:div>
    <w:div w:id="66849707">
      <w:marLeft w:val="0"/>
      <w:marRight w:val="0"/>
      <w:marTop w:val="0"/>
      <w:marBottom w:val="0"/>
      <w:divBdr>
        <w:top w:val="none" w:sz="0" w:space="0" w:color="auto"/>
        <w:left w:val="none" w:sz="0" w:space="0" w:color="auto"/>
        <w:bottom w:val="none" w:sz="0" w:space="0" w:color="auto"/>
        <w:right w:val="none" w:sz="0" w:space="0" w:color="auto"/>
      </w:divBdr>
    </w:div>
    <w:div w:id="67576032">
      <w:marLeft w:val="0"/>
      <w:marRight w:val="0"/>
      <w:marTop w:val="0"/>
      <w:marBottom w:val="0"/>
      <w:divBdr>
        <w:top w:val="none" w:sz="0" w:space="0" w:color="auto"/>
        <w:left w:val="none" w:sz="0" w:space="0" w:color="auto"/>
        <w:bottom w:val="none" w:sz="0" w:space="0" w:color="auto"/>
        <w:right w:val="none" w:sz="0" w:space="0" w:color="auto"/>
      </w:divBdr>
    </w:div>
    <w:div w:id="69080684">
      <w:marLeft w:val="0"/>
      <w:marRight w:val="0"/>
      <w:marTop w:val="0"/>
      <w:marBottom w:val="0"/>
      <w:divBdr>
        <w:top w:val="none" w:sz="0" w:space="0" w:color="auto"/>
        <w:left w:val="none" w:sz="0" w:space="0" w:color="auto"/>
        <w:bottom w:val="none" w:sz="0" w:space="0" w:color="auto"/>
        <w:right w:val="none" w:sz="0" w:space="0" w:color="auto"/>
      </w:divBdr>
      <w:divsChild>
        <w:div w:id="891236565">
          <w:marLeft w:val="0"/>
          <w:marRight w:val="0"/>
          <w:marTop w:val="0"/>
          <w:marBottom w:val="0"/>
          <w:divBdr>
            <w:top w:val="none" w:sz="0" w:space="0" w:color="auto"/>
            <w:left w:val="none" w:sz="0" w:space="0" w:color="auto"/>
            <w:bottom w:val="none" w:sz="0" w:space="0" w:color="auto"/>
            <w:right w:val="none" w:sz="0" w:space="0" w:color="auto"/>
          </w:divBdr>
        </w:div>
        <w:div w:id="1744645997">
          <w:marLeft w:val="0"/>
          <w:marRight w:val="0"/>
          <w:marTop w:val="0"/>
          <w:marBottom w:val="0"/>
          <w:divBdr>
            <w:top w:val="none" w:sz="0" w:space="0" w:color="auto"/>
            <w:left w:val="none" w:sz="0" w:space="0" w:color="auto"/>
            <w:bottom w:val="none" w:sz="0" w:space="0" w:color="auto"/>
            <w:right w:val="none" w:sz="0" w:space="0" w:color="auto"/>
          </w:divBdr>
        </w:div>
      </w:divsChild>
    </w:div>
    <w:div w:id="72552552">
      <w:marLeft w:val="0"/>
      <w:marRight w:val="0"/>
      <w:marTop w:val="0"/>
      <w:marBottom w:val="0"/>
      <w:divBdr>
        <w:top w:val="none" w:sz="0" w:space="0" w:color="auto"/>
        <w:left w:val="none" w:sz="0" w:space="0" w:color="auto"/>
        <w:bottom w:val="none" w:sz="0" w:space="0" w:color="auto"/>
        <w:right w:val="none" w:sz="0" w:space="0" w:color="auto"/>
      </w:divBdr>
    </w:div>
    <w:div w:id="74019274">
      <w:marLeft w:val="0"/>
      <w:marRight w:val="0"/>
      <w:marTop w:val="0"/>
      <w:marBottom w:val="0"/>
      <w:divBdr>
        <w:top w:val="none" w:sz="0" w:space="0" w:color="auto"/>
        <w:left w:val="none" w:sz="0" w:space="0" w:color="auto"/>
        <w:bottom w:val="none" w:sz="0" w:space="0" w:color="auto"/>
        <w:right w:val="none" w:sz="0" w:space="0" w:color="auto"/>
      </w:divBdr>
      <w:divsChild>
        <w:div w:id="1948149621">
          <w:marLeft w:val="0"/>
          <w:marRight w:val="0"/>
          <w:marTop w:val="0"/>
          <w:marBottom w:val="0"/>
          <w:divBdr>
            <w:top w:val="none" w:sz="0" w:space="0" w:color="auto"/>
            <w:left w:val="none" w:sz="0" w:space="0" w:color="auto"/>
            <w:bottom w:val="none" w:sz="0" w:space="0" w:color="auto"/>
            <w:right w:val="none" w:sz="0" w:space="0" w:color="auto"/>
          </w:divBdr>
        </w:div>
        <w:div w:id="294336140">
          <w:marLeft w:val="0"/>
          <w:marRight w:val="0"/>
          <w:marTop w:val="0"/>
          <w:marBottom w:val="0"/>
          <w:divBdr>
            <w:top w:val="none" w:sz="0" w:space="0" w:color="auto"/>
            <w:left w:val="none" w:sz="0" w:space="0" w:color="auto"/>
            <w:bottom w:val="none" w:sz="0" w:space="0" w:color="auto"/>
            <w:right w:val="none" w:sz="0" w:space="0" w:color="auto"/>
          </w:divBdr>
        </w:div>
        <w:div w:id="585647104">
          <w:marLeft w:val="0"/>
          <w:marRight w:val="0"/>
          <w:marTop w:val="0"/>
          <w:marBottom w:val="0"/>
          <w:divBdr>
            <w:top w:val="none" w:sz="0" w:space="0" w:color="auto"/>
            <w:left w:val="none" w:sz="0" w:space="0" w:color="auto"/>
            <w:bottom w:val="none" w:sz="0" w:space="0" w:color="auto"/>
            <w:right w:val="none" w:sz="0" w:space="0" w:color="auto"/>
          </w:divBdr>
        </w:div>
      </w:divsChild>
    </w:div>
    <w:div w:id="74284492">
      <w:marLeft w:val="0"/>
      <w:marRight w:val="0"/>
      <w:marTop w:val="0"/>
      <w:marBottom w:val="0"/>
      <w:divBdr>
        <w:top w:val="none" w:sz="0" w:space="0" w:color="auto"/>
        <w:left w:val="none" w:sz="0" w:space="0" w:color="auto"/>
        <w:bottom w:val="none" w:sz="0" w:space="0" w:color="auto"/>
        <w:right w:val="none" w:sz="0" w:space="0" w:color="auto"/>
      </w:divBdr>
      <w:divsChild>
        <w:div w:id="2062947733">
          <w:marLeft w:val="0"/>
          <w:marRight w:val="0"/>
          <w:marTop w:val="0"/>
          <w:marBottom w:val="0"/>
          <w:divBdr>
            <w:top w:val="none" w:sz="0" w:space="0" w:color="auto"/>
            <w:left w:val="none" w:sz="0" w:space="0" w:color="auto"/>
            <w:bottom w:val="none" w:sz="0" w:space="0" w:color="auto"/>
            <w:right w:val="none" w:sz="0" w:space="0" w:color="auto"/>
          </w:divBdr>
        </w:div>
        <w:div w:id="197549156">
          <w:marLeft w:val="0"/>
          <w:marRight w:val="0"/>
          <w:marTop w:val="0"/>
          <w:marBottom w:val="0"/>
          <w:divBdr>
            <w:top w:val="none" w:sz="0" w:space="0" w:color="auto"/>
            <w:left w:val="none" w:sz="0" w:space="0" w:color="auto"/>
            <w:bottom w:val="none" w:sz="0" w:space="0" w:color="auto"/>
            <w:right w:val="none" w:sz="0" w:space="0" w:color="auto"/>
          </w:divBdr>
        </w:div>
      </w:divsChild>
    </w:div>
    <w:div w:id="74672670">
      <w:marLeft w:val="0"/>
      <w:marRight w:val="0"/>
      <w:marTop w:val="0"/>
      <w:marBottom w:val="0"/>
      <w:divBdr>
        <w:top w:val="none" w:sz="0" w:space="0" w:color="auto"/>
        <w:left w:val="none" w:sz="0" w:space="0" w:color="auto"/>
        <w:bottom w:val="none" w:sz="0" w:space="0" w:color="auto"/>
        <w:right w:val="none" w:sz="0" w:space="0" w:color="auto"/>
      </w:divBdr>
    </w:div>
    <w:div w:id="81876468">
      <w:marLeft w:val="0"/>
      <w:marRight w:val="0"/>
      <w:marTop w:val="100"/>
      <w:marBottom w:val="0"/>
      <w:divBdr>
        <w:top w:val="none" w:sz="0" w:space="0" w:color="auto"/>
        <w:left w:val="none" w:sz="0" w:space="0" w:color="auto"/>
        <w:bottom w:val="none" w:sz="0" w:space="0" w:color="auto"/>
        <w:right w:val="none" w:sz="0" w:space="0" w:color="auto"/>
      </w:divBdr>
    </w:div>
    <w:div w:id="82651178">
      <w:marLeft w:val="0"/>
      <w:marRight w:val="0"/>
      <w:marTop w:val="0"/>
      <w:marBottom w:val="0"/>
      <w:divBdr>
        <w:top w:val="none" w:sz="0" w:space="0" w:color="auto"/>
        <w:left w:val="none" w:sz="0" w:space="0" w:color="auto"/>
        <w:bottom w:val="none" w:sz="0" w:space="0" w:color="auto"/>
        <w:right w:val="none" w:sz="0" w:space="0" w:color="auto"/>
      </w:divBdr>
    </w:div>
    <w:div w:id="83186454">
      <w:marLeft w:val="0"/>
      <w:marRight w:val="0"/>
      <w:marTop w:val="100"/>
      <w:marBottom w:val="0"/>
      <w:divBdr>
        <w:top w:val="none" w:sz="0" w:space="0" w:color="auto"/>
        <w:left w:val="none" w:sz="0" w:space="0" w:color="auto"/>
        <w:bottom w:val="none" w:sz="0" w:space="0" w:color="auto"/>
        <w:right w:val="none" w:sz="0" w:space="0" w:color="auto"/>
      </w:divBdr>
    </w:div>
    <w:div w:id="83503300">
      <w:marLeft w:val="0"/>
      <w:marRight w:val="0"/>
      <w:marTop w:val="0"/>
      <w:marBottom w:val="0"/>
      <w:divBdr>
        <w:top w:val="none" w:sz="0" w:space="0" w:color="auto"/>
        <w:left w:val="none" w:sz="0" w:space="0" w:color="auto"/>
        <w:bottom w:val="none" w:sz="0" w:space="0" w:color="auto"/>
        <w:right w:val="none" w:sz="0" w:space="0" w:color="auto"/>
      </w:divBdr>
    </w:div>
    <w:div w:id="86662840">
      <w:marLeft w:val="0"/>
      <w:marRight w:val="0"/>
      <w:marTop w:val="0"/>
      <w:marBottom w:val="60"/>
      <w:divBdr>
        <w:top w:val="none" w:sz="0" w:space="0" w:color="auto"/>
        <w:left w:val="none" w:sz="0" w:space="0" w:color="auto"/>
        <w:bottom w:val="none" w:sz="0" w:space="0" w:color="auto"/>
        <w:right w:val="none" w:sz="0" w:space="0" w:color="auto"/>
      </w:divBdr>
    </w:div>
    <w:div w:id="92019307">
      <w:marLeft w:val="0"/>
      <w:marRight w:val="0"/>
      <w:marTop w:val="0"/>
      <w:marBottom w:val="0"/>
      <w:divBdr>
        <w:top w:val="none" w:sz="0" w:space="0" w:color="auto"/>
        <w:left w:val="none" w:sz="0" w:space="0" w:color="auto"/>
        <w:bottom w:val="none" w:sz="0" w:space="0" w:color="auto"/>
        <w:right w:val="none" w:sz="0" w:space="0" w:color="auto"/>
      </w:divBdr>
    </w:div>
    <w:div w:id="93325264">
      <w:marLeft w:val="0"/>
      <w:marRight w:val="0"/>
      <w:marTop w:val="0"/>
      <w:marBottom w:val="0"/>
      <w:divBdr>
        <w:top w:val="none" w:sz="0" w:space="0" w:color="auto"/>
        <w:left w:val="none" w:sz="0" w:space="0" w:color="auto"/>
        <w:bottom w:val="none" w:sz="0" w:space="0" w:color="auto"/>
        <w:right w:val="none" w:sz="0" w:space="0" w:color="auto"/>
      </w:divBdr>
    </w:div>
    <w:div w:id="93526192">
      <w:marLeft w:val="0"/>
      <w:marRight w:val="0"/>
      <w:marTop w:val="0"/>
      <w:marBottom w:val="0"/>
      <w:divBdr>
        <w:top w:val="none" w:sz="0" w:space="0" w:color="auto"/>
        <w:left w:val="none" w:sz="0" w:space="0" w:color="auto"/>
        <w:bottom w:val="none" w:sz="0" w:space="0" w:color="auto"/>
        <w:right w:val="none" w:sz="0" w:space="0" w:color="auto"/>
      </w:divBdr>
    </w:div>
    <w:div w:id="97146167">
      <w:marLeft w:val="0"/>
      <w:marRight w:val="0"/>
      <w:marTop w:val="0"/>
      <w:marBottom w:val="0"/>
      <w:divBdr>
        <w:top w:val="none" w:sz="0" w:space="0" w:color="auto"/>
        <w:left w:val="none" w:sz="0" w:space="0" w:color="auto"/>
        <w:bottom w:val="none" w:sz="0" w:space="0" w:color="auto"/>
        <w:right w:val="none" w:sz="0" w:space="0" w:color="auto"/>
      </w:divBdr>
    </w:div>
    <w:div w:id="101459547">
      <w:marLeft w:val="0"/>
      <w:marRight w:val="0"/>
      <w:marTop w:val="100"/>
      <w:marBottom w:val="100"/>
      <w:divBdr>
        <w:top w:val="none" w:sz="0" w:space="0" w:color="auto"/>
        <w:left w:val="none" w:sz="0" w:space="0" w:color="auto"/>
        <w:bottom w:val="none" w:sz="0" w:space="0" w:color="auto"/>
        <w:right w:val="none" w:sz="0" w:space="0" w:color="auto"/>
      </w:divBdr>
    </w:div>
    <w:div w:id="105348861">
      <w:marLeft w:val="0"/>
      <w:marRight w:val="0"/>
      <w:marTop w:val="0"/>
      <w:marBottom w:val="0"/>
      <w:divBdr>
        <w:top w:val="none" w:sz="0" w:space="0" w:color="auto"/>
        <w:left w:val="none" w:sz="0" w:space="0" w:color="auto"/>
        <w:bottom w:val="none" w:sz="0" w:space="0" w:color="auto"/>
        <w:right w:val="none" w:sz="0" w:space="0" w:color="auto"/>
      </w:divBdr>
    </w:div>
    <w:div w:id="105662460">
      <w:marLeft w:val="0"/>
      <w:marRight w:val="0"/>
      <w:marTop w:val="0"/>
      <w:marBottom w:val="0"/>
      <w:divBdr>
        <w:top w:val="none" w:sz="0" w:space="0" w:color="auto"/>
        <w:left w:val="none" w:sz="0" w:space="0" w:color="auto"/>
        <w:bottom w:val="none" w:sz="0" w:space="0" w:color="auto"/>
        <w:right w:val="none" w:sz="0" w:space="0" w:color="auto"/>
      </w:divBdr>
    </w:div>
    <w:div w:id="108667115">
      <w:marLeft w:val="0"/>
      <w:marRight w:val="0"/>
      <w:marTop w:val="0"/>
      <w:marBottom w:val="0"/>
      <w:divBdr>
        <w:top w:val="none" w:sz="0" w:space="0" w:color="auto"/>
        <w:left w:val="none" w:sz="0" w:space="0" w:color="auto"/>
        <w:bottom w:val="none" w:sz="0" w:space="0" w:color="auto"/>
        <w:right w:val="none" w:sz="0" w:space="0" w:color="auto"/>
      </w:divBdr>
      <w:divsChild>
        <w:div w:id="1284338549">
          <w:marLeft w:val="0"/>
          <w:marRight w:val="0"/>
          <w:marTop w:val="0"/>
          <w:marBottom w:val="0"/>
          <w:divBdr>
            <w:top w:val="none" w:sz="0" w:space="0" w:color="auto"/>
            <w:left w:val="none" w:sz="0" w:space="0" w:color="auto"/>
            <w:bottom w:val="none" w:sz="0" w:space="0" w:color="auto"/>
            <w:right w:val="none" w:sz="0" w:space="0" w:color="auto"/>
          </w:divBdr>
        </w:div>
      </w:divsChild>
    </w:div>
    <w:div w:id="110638674">
      <w:marLeft w:val="0"/>
      <w:marRight w:val="0"/>
      <w:marTop w:val="0"/>
      <w:marBottom w:val="0"/>
      <w:divBdr>
        <w:top w:val="none" w:sz="0" w:space="0" w:color="auto"/>
        <w:left w:val="none" w:sz="0" w:space="0" w:color="auto"/>
        <w:bottom w:val="none" w:sz="0" w:space="0" w:color="auto"/>
        <w:right w:val="none" w:sz="0" w:space="0" w:color="auto"/>
      </w:divBdr>
    </w:div>
    <w:div w:id="122315878">
      <w:marLeft w:val="0"/>
      <w:marRight w:val="0"/>
      <w:marTop w:val="0"/>
      <w:marBottom w:val="0"/>
      <w:divBdr>
        <w:top w:val="none" w:sz="0" w:space="0" w:color="auto"/>
        <w:left w:val="none" w:sz="0" w:space="0" w:color="auto"/>
        <w:bottom w:val="none" w:sz="0" w:space="0" w:color="auto"/>
        <w:right w:val="none" w:sz="0" w:space="0" w:color="auto"/>
      </w:divBdr>
      <w:divsChild>
        <w:div w:id="78983442">
          <w:marLeft w:val="0"/>
          <w:marRight w:val="0"/>
          <w:marTop w:val="0"/>
          <w:marBottom w:val="0"/>
          <w:divBdr>
            <w:top w:val="none" w:sz="0" w:space="0" w:color="auto"/>
            <w:left w:val="none" w:sz="0" w:space="0" w:color="auto"/>
            <w:bottom w:val="none" w:sz="0" w:space="0" w:color="auto"/>
            <w:right w:val="none" w:sz="0" w:space="0" w:color="auto"/>
          </w:divBdr>
        </w:div>
      </w:divsChild>
    </w:div>
    <w:div w:id="124086645">
      <w:marLeft w:val="0"/>
      <w:marRight w:val="0"/>
      <w:marTop w:val="0"/>
      <w:marBottom w:val="0"/>
      <w:divBdr>
        <w:top w:val="none" w:sz="0" w:space="0" w:color="auto"/>
        <w:left w:val="none" w:sz="0" w:space="0" w:color="auto"/>
        <w:bottom w:val="none" w:sz="0" w:space="0" w:color="auto"/>
        <w:right w:val="none" w:sz="0" w:space="0" w:color="auto"/>
      </w:divBdr>
      <w:divsChild>
        <w:div w:id="365299979">
          <w:marLeft w:val="0"/>
          <w:marRight w:val="0"/>
          <w:marTop w:val="0"/>
          <w:marBottom w:val="0"/>
          <w:divBdr>
            <w:top w:val="none" w:sz="0" w:space="0" w:color="auto"/>
            <w:left w:val="none" w:sz="0" w:space="0" w:color="auto"/>
            <w:bottom w:val="none" w:sz="0" w:space="0" w:color="auto"/>
            <w:right w:val="none" w:sz="0" w:space="0" w:color="auto"/>
          </w:divBdr>
        </w:div>
      </w:divsChild>
    </w:div>
    <w:div w:id="124354000">
      <w:marLeft w:val="0"/>
      <w:marRight w:val="0"/>
      <w:marTop w:val="0"/>
      <w:marBottom w:val="0"/>
      <w:divBdr>
        <w:top w:val="none" w:sz="0" w:space="0" w:color="auto"/>
        <w:left w:val="none" w:sz="0" w:space="0" w:color="auto"/>
        <w:bottom w:val="none" w:sz="0" w:space="0" w:color="auto"/>
        <w:right w:val="none" w:sz="0" w:space="0" w:color="auto"/>
      </w:divBdr>
    </w:div>
    <w:div w:id="124931184">
      <w:marLeft w:val="0"/>
      <w:marRight w:val="0"/>
      <w:marTop w:val="100"/>
      <w:marBottom w:val="0"/>
      <w:divBdr>
        <w:top w:val="none" w:sz="0" w:space="0" w:color="auto"/>
        <w:left w:val="none" w:sz="0" w:space="0" w:color="auto"/>
        <w:bottom w:val="none" w:sz="0" w:space="0" w:color="auto"/>
        <w:right w:val="none" w:sz="0" w:space="0" w:color="auto"/>
      </w:divBdr>
    </w:div>
    <w:div w:id="125855577">
      <w:marLeft w:val="0"/>
      <w:marRight w:val="0"/>
      <w:marTop w:val="0"/>
      <w:marBottom w:val="0"/>
      <w:divBdr>
        <w:top w:val="none" w:sz="0" w:space="0" w:color="auto"/>
        <w:left w:val="none" w:sz="0" w:space="0" w:color="auto"/>
        <w:bottom w:val="none" w:sz="0" w:space="0" w:color="auto"/>
        <w:right w:val="none" w:sz="0" w:space="0" w:color="auto"/>
      </w:divBdr>
    </w:div>
    <w:div w:id="128862659">
      <w:marLeft w:val="0"/>
      <w:marRight w:val="0"/>
      <w:marTop w:val="0"/>
      <w:marBottom w:val="60"/>
      <w:divBdr>
        <w:top w:val="none" w:sz="0" w:space="0" w:color="auto"/>
        <w:left w:val="none" w:sz="0" w:space="0" w:color="auto"/>
        <w:bottom w:val="none" w:sz="0" w:space="0" w:color="auto"/>
        <w:right w:val="none" w:sz="0" w:space="0" w:color="auto"/>
      </w:divBdr>
    </w:div>
    <w:div w:id="130556484">
      <w:marLeft w:val="0"/>
      <w:marRight w:val="0"/>
      <w:marTop w:val="0"/>
      <w:marBottom w:val="0"/>
      <w:divBdr>
        <w:top w:val="none" w:sz="0" w:space="0" w:color="auto"/>
        <w:left w:val="none" w:sz="0" w:space="0" w:color="auto"/>
        <w:bottom w:val="none" w:sz="0" w:space="0" w:color="auto"/>
        <w:right w:val="none" w:sz="0" w:space="0" w:color="auto"/>
      </w:divBdr>
    </w:div>
    <w:div w:id="131755571">
      <w:marLeft w:val="0"/>
      <w:marRight w:val="0"/>
      <w:marTop w:val="0"/>
      <w:marBottom w:val="100"/>
      <w:divBdr>
        <w:top w:val="none" w:sz="0" w:space="0" w:color="auto"/>
        <w:left w:val="none" w:sz="0" w:space="0" w:color="auto"/>
        <w:bottom w:val="none" w:sz="0" w:space="0" w:color="auto"/>
        <w:right w:val="none" w:sz="0" w:space="0" w:color="auto"/>
      </w:divBdr>
    </w:div>
    <w:div w:id="131950484">
      <w:marLeft w:val="0"/>
      <w:marRight w:val="0"/>
      <w:marTop w:val="0"/>
      <w:marBottom w:val="0"/>
      <w:divBdr>
        <w:top w:val="none" w:sz="0" w:space="0" w:color="auto"/>
        <w:left w:val="none" w:sz="0" w:space="0" w:color="auto"/>
        <w:bottom w:val="none" w:sz="0" w:space="0" w:color="auto"/>
        <w:right w:val="none" w:sz="0" w:space="0" w:color="auto"/>
      </w:divBdr>
      <w:divsChild>
        <w:div w:id="52824809">
          <w:marLeft w:val="0"/>
          <w:marRight w:val="0"/>
          <w:marTop w:val="0"/>
          <w:marBottom w:val="0"/>
          <w:divBdr>
            <w:top w:val="none" w:sz="0" w:space="0" w:color="auto"/>
            <w:left w:val="none" w:sz="0" w:space="0" w:color="auto"/>
            <w:bottom w:val="none" w:sz="0" w:space="0" w:color="auto"/>
            <w:right w:val="none" w:sz="0" w:space="0" w:color="auto"/>
          </w:divBdr>
        </w:div>
      </w:divsChild>
    </w:div>
    <w:div w:id="136145032">
      <w:marLeft w:val="0"/>
      <w:marRight w:val="0"/>
      <w:marTop w:val="0"/>
      <w:marBottom w:val="0"/>
      <w:divBdr>
        <w:top w:val="none" w:sz="0" w:space="0" w:color="auto"/>
        <w:left w:val="none" w:sz="0" w:space="0" w:color="auto"/>
        <w:bottom w:val="none" w:sz="0" w:space="0" w:color="auto"/>
        <w:right w:val="none" w:sz="0" w:space="0" w:color="auto"/>
      </w:divBdr>
    </w:div>
    <w:div w:id="139034571">
      <w:marLeft w:val="0"/>
      <w:marRight w:val="0"/>
      <w:marTop w:val="0"/>
      <w:marBottom w:val="0"/>
      <w:divBdr>
        <w:top w:val="none" w:sz="0" w:space="0" w:color="auto"/>
        <w:left w:val="none" w:sz="0" w:space="0" w:color="auto"/>
        <w:bottom w:val="none" w:sz="0" w:space="0" w:color="auto"/>
        <w:right w:val="none" w:sz="0" w:space="0" w:color="auto"/>
      </w:divBdr>
    </w:div>
    <w:div w:id="141040598">
      <w:marLeft w:val="0"/>
      <w:marRight w:val="0"/>
      <w:marTop w:val="0"/>
      <w:marBottom w:val="0"/>
      <w:divBdr>
        <w:top w:val="none" w:sz="0" w:space="0" w:color="auto"/>
        <w:left w:val="none" w:sz="0" w:space="0" w:color="auto"/>
        <w:bottom w:val="none" w:sz="0" w:space="0" w:color="auto"/>
        <w:right w:val="none" w:sz="0" w:space="0" w:color="auto"/>
      </w:divBdr>
      <w:divsChild>
        <w:div w:id="900293482">
          <w:marLeft w:val="0"/>
          <w:marRight w:val="0"/>
          <w:marTop w:val="0"/>
          <w:marBottom w:val="0"/>
          <w:divBdr>
            <w:top w:val="none" w:sz="0" w:space="0" w:color="auto"/>
            <w:left w:val="none" w:sz="0" w:space="0" w:color="auto"/>
            <w:bottom w:val="none" w:sz="0" w:space="0" w:color="auto"/>
            <w:right w:val="none" w:sz="0" w:space="0" w:color="auto"/>
          </w:divBdr>
        </w:div>
      </w:divsChild>
    </w:div>
    <w:div w:id="144049083">
      <w:marLeft w:val="0"/>
      <w:marRight w:val="0"/>
      <w:marTop w:val="0"/>
      <w:marBottom w:val="0"/>
      <w:divBdr>
        <w:top w:val="none" w:sz="0" w:space="0" w:color="auto"/>
        <w:left w:val="none" w:sz="0" w:space="0" w:color="auto"/>
        <w:bottom w:val="none" w:sz="0" w:space="0" w:color="auto"/>
        <w:right w:val="none" w:sz="0" w:space="0" w:color="auto"/>
      </w:divBdr>
    </w:div>
    <w:div w:id="151527124">
      <w:marLeft w:val="0"/>
      <w:marRight w:val="0"/>
      <w:marTop w:val="0"/>
      <w:marBottom w:val="0"/>
      <w:divBdr>
        <w:top w:val="none" w:sz="0" w:space="0" w:color="auto"/>
        <w:left w:val="none" w:sz="0" w:space="0" w:color="auto"/>
        <w:bottom w:val="none" w:sz="0" w:space="0" w:color="auto"/>
        <w:right w:val="none" w:sz="0" w:space="0" w:color="auto"/>
      </w:divBdr>
      <w:divsChild>
        <w:div w:id="1089501559">
          <w:marLeft w:val="0"/>
          <w:marRight w:val="0"/>
          <w:marTop w:val="0"/>
          <w:marBottom w:val="0"/>
          <w:divBdr>
            <w:top w:val="none" w:sz="0" w:space="0" w:color="auto"/>
            <w:left w:val="none" w:sz="0" w:space="0" w:color="auto"/>
            <w:bottom w:val="none" w:sz="0" w:space="0" w:color="auto"/>
            <w:right w:val="none" w:sz="0" w:space="0" w:color="auto"/>
          </w:divBdr>
        </w:div>
      </w:divsChild>
    </w:div>
    <w:div w:id="151992514">
      <w:marLeft w:val="0"/>
      <w:marRight w:val="0"/>
      <w:marTop w:val="0"/>
      <w:marBottom w:val="0"/>
      <w:divBdr>
        <w:top w:val="none" w:sz="0" w:space="0" w:color="auto"/>
        <w:left w:val="none" w:sz="0" w:space="0" w:color="auto"/>
        <w:bottom w:val="none" w:sz="0" w:space="0" w:color="auto"/>
        <w:right w:val="none" w:sz="0" w:space="0" w:color="auto"/>
      </w:divBdr>
      <w:divsChild>
        <w:div w:id="1300384550">
          <w:marLeft w:val="0"/>
          <w:marRight w:val="0"/>
          <w:marTop w:val="0"/>
          <w:marBottom w:val="0"/>
          <w:divBdr>
            <w:top w:val="none" w:sz="0" w:space="0" w:color="auto"/>
            <w:left w:val="none" w:sz="0" w:space="0" w:color="auto"/>
            <w:bottom w:val="none" w:sz="0" w:space="0" w:color="auto"/>
            <w:right w:val="none" w:sz="0" w:space="0" w:color="auto"/>
          </w:divBdr>
        </w:div>
      </w:divsChild>
    </w:div>
    <w:div w:id="158085055">
      <w:marLeft w:val="0"/>
      <w:marRight w:val="0"/>
      <w:marTop w:val="280"/>
      <w:marBottom w:val="0"/>
      <w:divBdr>
        <w:top w:val="none" w:sz="0" w:space="0" w:color="auto"/>
        <w:left w:val="none" w:sz="0" w:space="0" w:color="auto"/>
        <w:bottom w:val="none" w:sz="0" w:space="0" w:color="auto"/>
        <w:right w:val="none" w:sz="0" w:space="0" w:color="auto"/>
      </w:divBdr>
      <w:divsChild>
        <w:div w:id="1176311125">
          <w:marLeft w:val="0"/>
          <w:marRight w:val="0"/>
          <w:marTop w:val="0"/>
          <w:marBottom w:val="0"/>
          <w:divBdr>
            <w:top w:val="none" w:sz="0" w:space="0" w:color="auto"/>
            <w:left w:val="none" w:sz="0" w:space="0" w:color="auto"/>
            <w:bottom w:val="none" w:sz="0" w:space="0" w:color="auto"/>
            <w:right w:val="none" w:sz="0" w:space="0" w:color="auto"/>
          </w:divBdr>
        </w:div>
      </w:divsChild>
    </w:div>
    <w:div w:id="158159994">
      <w:marLeft w:val="0"/>
      <w:marRight w:val="0"/>
      <w:marTop w:val="0"/>
      <w:marBottom w:val="0"/>
      <w:divBdr>
        <w:top w:val="none" w:sz="0" w:space="0" w:color="auto"/>
        <w:left w:val="none" w:sz="0" w:space="0" w:color="auto"/>
        <w:bottom w:val="none" w:sz="0" w:space="0" w:color="auto"/>
        <w:right w:val="none" w:sz="0" w:space="0" w:color="auto"/>
      </w:divBdr>
    </w:div>
    <w:div w:id="159396399">
      <w:marLeft w:val="0"/>
      <w:marRight w:val="0"/>
      <w:marTop w:val="0"/>
      <w:marBottom w:val="0"/>
      <w:divBdr>
        <w:top w:val="none" w:sz="0" w:space="0" w:color="auto"/>
        <w:left w:val="none" w:sz="0" w:space="0" w:color="auto"/>
        <w:bottom w:val="none" w:sz="0" w:space="0" w:color="auto"/>
        <w:right w:val="none" w:sz="0" w:space="0" w:color="auto"/>
      </w:divBdr>
      <w:divsChild>
        <w:div w:id="1440487286">
          <w:marLeft w:val="0"/>
          <w:marRight w:val="0"/>
          <w:marTop w:val="0"/>
          <w:marBottom w:val="0"/>
          <w:divBdr>
            <w:top w:val="none" w:sz="0" w:space="0" w:color="auto"/>
            <w:left w:val="none" w:sz="0" w:space="0" w:color="auto"/>
            <w:bottom w:val="none" w:sz="0" w:space="0" w:color="auto"/>
            <w:right w:val="none" w:sz="0" w:space="0" w:color="auto"/>
          </w:divBdr>
        </w:div>
      </w:divsChild>
    </w:div>
    <w:div w:id="164974428">
      <w:marLeft w:val="0"/>
      <w:marRight w:val="0"/>
      <w:marTop w:val="0"/>
      <w:marBottom w:val="0"/>
      <w:divBdr>
        <w:top w:val="none" w:sz="0" w:space="0" w:color="auto"/>
        <w:left w:val="none" w:sz="0" w:space="0" w:color="auto"/>
        <w:bottom w:val="none" w:sz="0" w:space="0" w:color="auto"/>
        <w:right w:val="none" w:sz="0" w:space="0" w:color="auto"/>
      </w:divBdr>
      <w:divsChild>
        <w:div w:id="1516727227">
          <w:marLeft w:val="0"/>
          <w:marRight w:val="0"/>
          <w:marTop w:val="0"/>
          <w:marBottom w:val="0"/>
          <w:divBdr>
            <w:top w:val="none" w:sz="0" w:space="0" w:color="auto"/>
            <w:left w:val="none" w:sz="0" w:space="0" w:color="auto"/>
            <w:bottom w:val="none" w:sz="0" w:space="0" w:color="auto"/>
            <w:right w:val="none" w:sz="0" w:space="0" w:color="auto"/>
          </w:divBdr>
        </w:div>
      </w:divsChild>
    </w:div>
    <w:div w:id="166099686">
      <w:marLeft w:val="0"/>
      <w:marRight w:val="0"/>
      <w:marTop w:val="0"/>
      <w:marBottom w:val="0"/>
      <w:divBdr>
        <w:top w:val="none" w:sz="0" w:space="0" w:color="auto"/>
        <w:left w:val="none" w:sz="0" w:space="0" w:color="auto"/>
        <w:bottom w:val="none" w:sz="0" w:space="0" w:color="auto"/>
        <w:right w:val="none" w:sz="0" w:space="0" w:color="auto"/>
      </w:divBdr>
    </w:div>
    <w:div w:id="166601366">
      <w:marLeft w:val="0"/>
      <w:marRight w:val="0"/>
      <w:marTop w:val="120"/>
      <w:marBottom w:val="120"/>
      <w:divBdr>
        <w:top w:val="none" w:sz="0" w:space="0" w:color="auto"/>
        <w:left w:val="none" w:sz="0" w:space="0" w:color="auto"/>
        <w:bottom w:val="none" w:sz="0" w:space="0" w:color="auto"/>
        <w:right w:val="none" w:sz="0" w:space="0" w:color="auto"/>
      </w:divBdr>
    </w:div>
    <w:div w:id="167209512">
      <w:marLeft w:val="0"/>
      <w:marRight w:val="0"/>
      <w:marTop w:val="0"/>
      <w:marBottom w:val="0"/>
      <w:divBdr>
        <w:top w:val="none" w:sz="0" w:space="0" w:color="auto"/>
        <w:left w:val="none" w:sz="0" w:space="0" w:color="auto"/>
        <w:bottom w:val="none" w:sz="0" w:space="0" w:color="auto"/>
        <w:right w:val="none" w:sz="0" w:space="0" w:color="auto"/>
      </w:divBdr>
      <w:divsChild>
        <w:div w:id="292715008">
          <w:marLeft w:val="0"/>
          <w:marRight w:val="0"/>
          <w:marTop w:val="0"/>
          <w:marBottom w:val="0"/>
          <w:divBdr>
            <w:top w:val="none" w:sz="0" w:space="0" w:color="auto"/>
            <w:left w:val="none" w:sz="0" w:space="0" w:color="auto"/>
            <w:bottom w:val="none" w:sz="0" w:space="0" w:color="auto"/>
            <w:right w:val="none" w:sz="0" w:space="0" w:color="auto"/>
          </w:divBdr>
        </w:div>
      </w:divsChild>
    </w:div>
    <w:div w:id="171536441">
      <w:marLeft w:val="0"/>
      <w:marRight w:val="0"/>
      <w:marTop w:val="60"/>
      <w:marBottom w:val="60"/>
      <w:divBdr>
        <w:top w:val="none" w:sz="0" w:space="0" w:color="auto"/>
        <w:left w:val="none" w:sz="0" w:space="0" w:color="auto"/>
        <w:bottom w:val="none" w:sz="0" w:space="0" w:color="auto"/>
        <w:right w:val="none" w:sz="0" w:space="0" w:color="auto"/>
      </w:divBdr>
    </w:div>
    <w:div w:id="171845928">
      <w:marLeft w:val="0"/>
      <w:marRight w:val="0"/>
      <w:marTop w:val="0"/>
      <w:marBottom w:val="0"/>
      <w:divBdr>
        <w:top w:val="none" w:sz="0" w:space="0" w:color="auto"/>
        <w:left w:val="none" w:sz="0" w:space="0" w:color="auto"/>
        <w:bottom w:val="none" w:sz="0" w:space="0" w:color="auto"/>
        <w:right w:val="none" w:sz="0" w:space="0" w:color="auto"/>
      </w:divBdr>
      <w:divsChild>
        <w:div w:id="1762070646">
          <w:marLeft w:val="0"/>
          <w:marRight w:val="0"/>
          <w:marTop w:val="0"/>
          <w:marBottom w:val="0"/>
          <w:divBdr>
            <w:top w:val="none" w:sz="0" w:space="0" w:color="auto"/>
            <w:left w:val="none" w:sz="0" w:space="0" w:color="auto"/>
            <w:bottom w:val="none" w:sz="0" w:space="0" w:color="auto"/>
            <w:right w:val="none" w:sz="0" w:space="0" w:color="auto"/>
          </w:divBdr>
        </w:div>
      </w:divsChild>
    </w:div>
    <w:div w:id="175047749">
      <w:marLeft w:val="0"/>
      <w:marRight w:val="0"/>
      <w:marTop w:val="0"/>
      <w:marBottom w:val="0"/>
      <w:divBdr>
        <w:top w:val="none" w:sz="0" w:space="0" w:color="auto"/>
        <w:left w:val="none" w:sz="0" w:space="0" w:color="auto"/>
        <w:bottom w:val="none" w:sz="0" w:space="0" w:color="auto"/>
        <w:right w:val="none" w:sz="0" w:space="0" w:color="auto"/>
      </w:divBdr>
    </w:div>
    <w:div w:id="175510316">
      <w:marLeft w:val="0"/>
      <w:marRight w:val="0"/>
      <w:marTop w:val="0"/>
      <w:marBottom w:val="0"/>
      <w:divBdr>
        <w:top w:val="none" w:sz="0" w:space="0" w:color="auto"/>
        <w:left w:val="none" w:sz="0" w:space="0" w:color="auto"/>
        <w:bottom w:val="none" w:sz="0" w:space="0" w:color="auto"/>
        <w:right w:val="none" w:sz="0" w:space="0" w:color="auto"/>
      </w:divBdr>
    </w:div>
    <w:div w:id="177163776">
      <w:marLeft w:val="0"/>
      <w:marRight w:val="0"/>
      <w:marTop w:val="0"/>
      <w:marBottom w:val="0"/>
      <w:divBdr>
        <w:top w:val="none" w:sz="0" w:space="0" w:color="auto"/>
        <w:left w:val="none" w:sz="0" w:space="0" w:color="auto"/>
        <w:bottom w:val="none" w:sz="0" w:space="0" w:color="auto"/>
        <w:right w:val="none" w:sz="0" w:space="0" w:color="auto"/>
      </w:divBdr>
    </w:div>
    <w:div w:id="179898488">
      <w:marLeft w:val="0"/>
      <w:marRight w:val="0"/>
      <w:marTop w:val="100"/>
      <w:marBottom w:val="0"/>
      <w:divBdr>
        <w:top w:val="none" w:sz="0" w:space="0" w:color="auto"/>
        <w:left w:val="none" w:sz="0" w:space="0" w:color="auto"/>
        <w:bottom w:val="none" w:sz="0" w:space="0" w:color="auto"/>
        <w:right w:val="none" w:sz="0" w:space="0" w:color="auto"/>
      </w:divBdr>
    </w:div>
    <w:div w:id="180895705">
      <w:marLeft w:val="0"/>
      <w:marRight w:val="0"/>
      <w:marTop w:val="0"/>
      <w:marBottom w:val="0"/>
      <w:divBdr>
        <w:top w:val="none" w:sz="0" w:space="0" w:color="auto"/>
        <w:left w:val="none" w:sz="0" w:space="0" w:color="auto"/>
        <w:bottom w:val="none" w:sz="0" w:space="0" w:color="auto"/>
        <w:right w:val="none" w:sz="0" w:space="0" w:color="auto"/>
      </w:divBdr>
    </w:div>
    <w:div w:id="183254549">
      <w:marLeft w:val="0"/>
      <w:marRight w:val="0"/>
      <w:marTop w:val="100"/>
      <w:marBottom w:val="0"/>
      <w:divBdr>
        <w:top w:val="none" w:sz="0" w:space="0" w:color="auto"/>
        <w:left w:val="none" w:sz="0" w:space="0" w:color="auto"/>
        <w:bottom w:val="none" w:sz="0" w:space="0" w:color="auto"/>
        <w:right w:val="none" w:sz="0" w:space="0" w:color="auto"/>
      </w:divBdr>
      <w:divsChild>
        <w:div w:id="1950314232">
          <w:marLeft w:val="0"/>
          <w:marRight w:val="0"/>
          <w:marTop w:val="0"/>
          <w:marBottom w:val="0"/>
          <w:divBdr>
            <w:top w:val="none" w:sz="0" w:space="0" w:color="auto"/>
            <w:left w:val="none" w:sz="0" w:space="0" w:color="auto"/>
            <w:bottom w:val="none" w:sz="0" w:space="0" w:color="auto"/>
            <w:right w:val="none" w:sz="0" w:space="0" w:color="auto"/>
          </w:divBdr>
        </w:div>
        <w:div w:id="1112480747">
          <w:marLeft w:val="0"/>
          <w:marRight w:val="0"/>
          <w:marTop w:val="0"/>
          <w:marBottom w:val="0"/>
          <w:divBdr>
            <w:top w:val="none" w:sz="0" w:space="0" w:color="auto"/>
            <w:left w:val="none" w:sz="0" w:space="0" w:color="auto"/>
            <w:bottom w:val="none" w:sz="0" w:space="0" w:color="auto"/>
            <w:right w:val="none" w:sz="0" w:space="0" w:color="auto"/>
          </w:divBdr>
        </w:div>
        <w:div w:id="220093854">
          <w:marLeft w:val="0"/>
          <w:marRight w:val="0"/>
          <w:marTop w:val="0"/>
          <w:marBottom w:val="0"/>
          <w:divBdr>
            <w:top w:val="none" w:sz="0" w:space="0" w:color="auto"/>
            <w:left w:val="none" w:sz="0" w:space="0" w:color="auto"/>
            <w:bottom w:val="none" w:sz="0" w:space="0" w:color="auto"/>
            <w:right w:val="none" w:sz="0" w:space="0" w:color="auto"/>
          </w:divBdr>
        </w:div>
        <w:div w:id="602614168">
          <w:marLeft w:val="0"/>
          <w:marRight w:val="0"/>
          <w:marTop w:val="0"/>
          <w:marBottom w:val="0"/>
          <w:divBdr>
            <w:top w:val="none" w:sz="0" w:space="0" w:color="auto"/>
            <w:left w:val="none" w:sz="0" w:space="0" w:color="auto"/>
            <w:bottom w:val="none" w:sz="0" w:space="0" w:color="auto"/>
            <w:right w:val="none" w:sz="0" w:space="0" w:color="auto"/>
          </w:divBdr>
        </w:div>
        <w:div w:id="1217931076">
          <w:marLeft w:val="0"/>
          <w:marRight w:val="0"/>
          <w:marTop w:val="0"/>
          <w:marBottom w:val="0"/>
          <w:divBdr>
            <w:top w:val="none" w:sz="0" w:space="0" w:color="auto"/>
            <w:left w:val="none" w:sz="0" w:space="0" w:color="auto"/>
            <w:bottom w:val="none" w:sz="0" w:space="0" w:color="auto"/>
            <w:right w:val="none" w:sz="0" w:space="0" w:color="auto"/>
          </w:divBdr>
        </w:div>
      </w:divsChild>
    </w:div>
    <w:div w:id="184294314">
      <w:marLeft w:val="0"/>
      <w:marRight w:val="0"/>
      <w:marTop w:val="180"/>
      <w:marBottom w:val="0"/>
      <w:divBdr>
        <w:top w:val="none" w:sz="0" w:space="0" w:color="auto"/>
        <w:left w:val="none" w:sz="0" w:space="0" w:color="auto"/>
        <w:bottom w:val="none" w:sz="0" w:space="0" w:color="auto"/>
        <w:right w:val="none" w:sz="0" w:space="0" w:color="auto"/>
      </w:divBdr>
    </w:div>
    <w:div w:id="184833074">
      <w:marLeft w:val="0"/>
      <w:marRight w:val="0"/>
      <w:marTop w:val="0"/>
      <w:marBottom w:val="0"/>
      <w:divBdr>
        <w:top w:val="none" w:sz="0" w:space="0" w:color="auto"/>
        <w:left w:val="none" w:sz="0" w:space="0" w:color="auto"/>
        <w:bottom w:val="none" w:sz="0" w:space="0" w:color="auto"/>
        <w:right w:val="none" w:sz="0" w:space="0" w:color="auto"/>
      </w:divBdr>
    </w:div>
    <w:div w:id="185021061">
      <w:marLeft w:val="0"/>
      <w:marRight w:val="0"/>
      <w:marTop w:val="80"/>
      <w:marBottom w:val="0"/>
      <w:divBdr>
        <w:top w:val="none" w:sz="0" w:space="0" w:color="auto"/>
        <w:left w:val="none" w:sz="0" w:space="0" w:color="auto"/>
        <w:bottom w:val="none" w:sz="0" w:space="0" w:color="auto"/>
        <w:right w:val="none" w:sz="0" w:space="0" w:color="auto"/>
      </w:divBdr>
    </w:div>
    <w:div w:id="186405137">
      <w:marLeft w:val="0"/>
      <w:marRight w:val="0"/>
      <w:marTop w:val="100"/>
      <w:marBottom w:val="0"/>
      <w:divBdr>
        <w:top w:val="none" w:sz="0" w:space="0" w:color="auto"/>
        <w:left w:val="none" w:sz="0" w:space="0" w:color="auto"/>
        <w:bottom w:val="none" w:sz="0" w:space="0" w:color="auto"/>
        <w:right w:val="none" w:sz="0" w:space="0" w:color="auto"/>
      </w:divBdr>
    </w:div>
    <w:div w:id="186914997">
      <w:marLeft w:val="0"/>
      <w:marRight w:val="0"/>
      <w:marTop w:val="0"/>
      <w:marBottom w:val="0"/>
      <w:divBdr>
        <w:top w:val="none" w:sz="0" w:space="0" w:color="auto"/>
        <w:left w:val="none" w:sz="0" w:space="0" w:color="auto"/>
        <w:bottom w:val="none" w:sz="0" w:space="0" w:color="auto"/>
        <w:right w:val="none" w:sz="0" w:space="0" w:color="auto"/>
      </w:divBdr>
    </w:div>
    <w:div w:id="188953742">
      <w:marLeft w:val="0"/>
      <w:marRight w:val="0"/>
      <w:marTop w:val="100"/>
      <w:marBottom w:val="0"/>
      <w:divBdr>
        <w:top w:val="none" w:sz="0" w:space="0" w:color="auto"/>
        <w:left w:val="none" w:sz="0" w:space="0" w:color="auto"/>
        <w:bottom w:val="none" w:sz="0" w:space="0" w:color="auto"/>
        <w:right w:val="none" w:sz="0" w:space="0" w:color="auto"/>
      </w:divBdr>
      <w:divsChild>
        <w:div w:id="1268545203">
          <w:marLeft w:val="0"/>
          <w:marRight w:val="0"/>
          <w:marTop w:val="0"/>
          <w:marBottom w:val="0"/>
          <w:divBdr>
            <w:top w:val="none" w:sz="0" w:space="0" w:color="auto"/>
            <w:left w:val="none" w:sz="0" w:space="0" w:color="auto"/>
            <w:bottom w:val="none" w:sz="0" w:space="0" w:color="auto"/>
            <w:right w:val="none" w:sz="0" w:space="0" w:color="auto"/>
          </w:divBdr>
        </w:div>
        <w:div w:id="1824661901">
          <w:marLeft w:val="0"/>
          <w:marRight w:val="0"/>
          <w:marTop w:val="0"/>
          <w:marBottom w:val="0"/>
          <w:divBdr>
            <w:top w:val="none" w:sz="0" w:space="0" w:color="auto"/>
            <w:left w:val="none" w:sz="0" w:space="0" w:color="auto"/>
            <w:bottom w:val="none" w:sz="0" w:space="0" w:color="auto"/>
            <w:right w:val="none" w:sz="0" w:space="0" w:color="auto"/>
          </w:divBdr>
        </w:div>
        <w:div w:id="504322049">
          <w:marLeft w:val="0"/>
          <w:marRight w:val="0"/>
          <w:marTop w:val="0"/>
          <w:marBottom w:val="0"/>
          <w:divBdr>
            <w:top w:val="none" w:sz="0" w:space="0" w:color="auto"/>
            <w:left w:val="none" w:sz="0" w:space="0" w:color="auto"/>
            <w:bottom w:val="none" w:sz="0" w:space="0" w:color="auto"/>
            <w:right w:val="none" w:sz="0" w:space="0" w:color="auto"/>
          </w:divBdr>
        </w:div>
      </w:divsChild>
    </w:div>
    <w:div w:id="191189161">
      <w:marLeft w:val="0"/>
      <w:marRight w:val="0"/>
      <w:marTop w:val="0"/>
      <w:marBottom w:val="0"/>
      <w:divBdr>
        <w:top w:val="none" w:sz="0" w:space="0" w:color="auto"/>
        <w:left w:val="none" w:sz="0" w:space="0" w:color="auto"/>
        <w:bottom w:val="none" w:sz="0" w:space="0" w:color="auto"/>
        <w:right w:val="none" w:sz="0" w:space="0" w:color="auto"/>
      </w:divBdr>
    </w:div>
    <w:div w:id="191916840">
      <w:marLeft w:val="0"/>
      <w:marRight w:val="0"/>
      <w:marTop w:val="100"/>
      <w:marBottom w:val="0"/>
      <w:divBdr>
        <w:top w:val="none" w:sz="0" w:space="0" w:color="auto"/>
        <w:left w:val="none" w:sz="0" w:space="0" w:color="auto"/>
        <w:bottom w:val="none" w:sz="0" w:space="0" w:color="auto"/>
        <w:right w:val="none" w:sz="0" w:space="0" w:color="auto"/>
      </w:divBdr>
    </w:div>
    <w:div w:id="196285345">
      <w:marLeft w:val="0"/>
      <w:marRight w:val="0"/>
      <w:marTop w:val="100"/>
      <w:marBottom w:val="0"/>
      <w:divBdr>
        <w:top w:val="none" w:sz="0" w:space="0" w:color="auto"/>
        <w:left w:val="none" w:sz="0" w:space="0" w:color="auto"/>
        <w:bottom w:val="none" w:sz="0" w:space="0" w:color="auto"/>
        <w:right w:val="none" w:sz="0" w:space="0" w:color="auto"/>
      </w:divBdr>
    </w:div>
    <w:div w:id="196503286">
      <w:marLeft w:val="0"/>
      <w:marRight w:val="0"/>
      <w:marTop w:val="0"/>
      <w:marBottom w:val="0"/>
      <w:divBdr>
        <w:top w:val="none" w:sz="0" w:space="0" w:color="auto"/>
        <w:left w:val="none" w:sz="0" w:space="0" w:color="auto"/>
        <w:bottom w:val="none" w:sz="0" w:space="0" w:color="auto"/>
        <w:right w:val="none" w:sz="0" w:space="0" w:color="auto"/>
      </w:divBdr>
      <w:divsChild>
        <w:div w:id="738140513">
          <w:marLeft w:val="0"/>
          <w:marRight w:val="0"/>
          <w:marTop w:val="0"/>
          <w:marBottom w:val="0"/>
          <w:divBdr>
            <w:top w:val="none" w:sz="0" w:space="0" w:color="auto"/>
            <w:left w:val="none" w:sz="0" w:space="0" w:color="auto"/>
            <w:bottom w:val="none" w:sz="0" w:space="0" w:color="auto"/>
            <w:right w:val="none" w:sz="0" w:space="0" w:color="auto"/>
          </w:divBdr>
        </w:div>
      </w:divsChild>
    </w:div>
    <w:div w:id="196742027">
      <w:marLeft w:val="0"/>
      <w:marRight w:val="0"/>
      <w:marTop w:val="0"/>
      <w:marBottom w:val="0"/>
      <w:divBdr>
        <w:top w:val="none" w:sz="0" w:space="0" w:color="auto"/>
        <w:left w:val="none" w:sz="0" w:space="0" w:color="auto"/>
        <w:bottom w:val="none" w:sz="0" w:space="0" w:color="auto"/>
        <w:right w:val="none" w:sz="0" w:space="0" w:color="auto"/>
      </w:divBdr>
    </w:div>
    <w:div w:id="198663494">
      <w:marLeft w:val="0"/>
      <w:marRight w:val="0"/>
      <w:marTop w:val="0"/>
      <w:marBottom w:val="0"/>
      <w:divBdr>
        <w:top w:val="none" w:sz="0" w:space="0" w:color="auto"/>
        <w:left w:val="none" w:sz="0" w:space="0" w:color="auto"/>
        <w:bottom w:val="none" w:sz="0" w:space="0" w:color="auto"/>
        <w:right w:val="none" w:sz="0" w:space="0" w:color="auto"/>
      </w:divBdr>
    </w:div>
    <w:div w:id="199126182">
      <w:marLeft w:val="0"/>
      <w:marRight w:val="0"/>
      <w:marTop w:val="100"/>
      <w:marBottom w:val="0"/>
      <w:divBdr>
        <w:top w:val="none" w:sz="0" w:space="0" w:color="auto"/>
        <w:left w:val="none" w:sz="0" w:space="0" w:color="auto"/>
        <w:bottom w:val="none" w:sz="0" w:space="0" w:color="auto"/>
        <w:right w:val="none" w:sz="0" w:space="0" w:color="auto"/>
      </w:divBdr>
    </w:div>
    <w:div w:id="200243882">
      <w:marLeft w:val="0"/>
      <w:marRight w:val="0"/>
      <w:marTop w:val="180"/>
      <w:marBottom w:val="180"/>
      <w:divBdr>
        <w:top w:val="none" w:sz="0" w:space="0" w:color="auto"/>
        <w:left w:val="none" w:sz="0" w:space="0" w:color="auto"/>
        <w:bottom w:val="none" w:sz="0" w:space="0" w:color="auto"/>
        <w:right w:val="none" w:sz="0" w:space="0" w:color="auto"/>
      </w:divBdr>
    </w:div>
    <w:div w:id="205265983">
      <w:marLeft w:val="0"/>
      <w:marRight w:val="0"/>
      <w:marTop w:val="0"/>
      <w:marBottom w:val="0"/>
      <w:divBdr>
        <w:top w:val="none" w:sz="0" w:space="0" w:color="auto"/>
        <w:left w:val="none" w:sz="0" w:space="0" w:color="auto"/>
        <w:bottom w:val="none" w:sz="0" w:space="0" w:color="auto"/>
        <w:right w:val="none" w:sz="0" w:space="0" w:color="auto"/>
      </w:divBdr>
    </w:div>
    <w:div w:id="207646444">
      <w:marLeft w:val="0"/>
      <w:marRight w:val="0"/>
      <w:marTop w:val="100"/>
      <w:marBottom w:val="0"/>
      <w:divBdr>
        <w:top w:val="none" w:sz="0" w:space="0" w:color="auto"/>
        <w:left w:val="none" w:sz="0" w:space="0" w:color="auto"/>
        <w:bottom w:val="none" w:sz="0" w:space="0" w:color="auto"/>
        <w:right w:val="none" w:sz="0" w:space="0" w:color="auto"/>
      </w:divBdr>
    </w:div>
    <w:div w:id="208230914">
      <w:marLeft w:val="0"/>
      <w:marRight w:val="0"/>
      <w:marTop w:val="0"/>
      <w:marBottom w:val="0"/>
      <w:divBdr>
        <w:top w:val="none" w:sz="0" w:space="0" w:color="auto"/>
        <w:left w:val="none" w:sz="0" w:space="0" w:color="auto"/>
        <w:bottom w:val="none" w:sz="0" w:space="0" w:color="auto"/>
        <w:right w:val="none" w:sz="0" w:space="0" w:color="auto"/>
      </w:divBdr>
    </w:div>
    <w:div w:id="211426275">
      <w:marLeft w:val="0"/>
      <w:marRight w:val="0"/>
      <w:marTop w:val="0"/>
      <w:marBottom w:val="0"/>
      <w:divBdr>
        <w:top w:val="none" w:sz="0" w:space="0" w:color="auto"/>
        <w:left w:val="none" w:sz="0" w:space="0" w:color="auto"/>
        <w:bottom w:val="none" w:sz="0" w:space="0" w:color="auto"/>
        <w:right w:val="none" w:sz="0" w:space="0" w:color="auto"/>
      </w:divBdr>
    </w:div>
    <w:div w:id="215119682">
      <w:marLeft w:val="0"/>
      <w:marRight w:val="0"/>
      <w:marTop w:val="0"/>
      <w:marBottom w:val="120"/>
      <w:divBdr>
        <w:top w:val="none" w:sz="0" w:space="0" w:color="auto"/>
        <w:left w:val="none" w:sz="0" w:space="0" w:color="auto"/>
        <w:bottom w:val="none" w:sz="0" w:space="0" w:color="auto"/>
        <w:right w:val="none" w:sz="0" w:space="0" w:color="auto"/>
      </w:divBdr>
    </w:div>
    <w:div w:id="216939742">
      <w:marLeft w:val="0"/>
      <w:marRight w:val="0"/>
      <w:marTop w:val="0"/>
      <w:marBottom w:val="0"/>
      <w:divBdr>
        <w:top w:val="none" w:sz="0" w:space="0" w:color="auto"/>
        <w:left w:val="none" w:sz="0" w:space="0" w:color="auto"/>
        <w:bottom w:val="none" w:sz="0" w:space="0" w:color="auto"/>
        <w:right w:val="none" w:sz="0" w:space="0" w:color="auto"/>
      </w:divBdr>
      <w:divsChild>
        <w:div w:id="1307273220">
          <w:marLeft w:val="0"/>
          <w:marRight w:val="0"/>
          <w:marTop w:val="0"/>
          <w:marBottom w:val="0"/>
          <w:divBdr>
            <w:top w:val="none" w:sz="0" w:space="0" w:color="auto"/>
            <w:left w:val="none" w:sz="0" w:space="0" w:color="auto"/>
            <w:bottom w:val="none" w:sz="0" w:space="0" w:color="auto"/>
            <w:right w:val="none" w:sz="0" w:space="0" w:color="auto"/>
          </w:divBdr>
        </w:div>
      </w:divsChild>
    </w:div>
    <w:div w:id="221716850">
      <w:marLeft w:val="0"/>
      <w:marRight w:val="0"/>
      <w:marTop w:val="0"/>
      <w:marBottom w:val="0"/>
      <w:divBdr>
        <w:top w:val="none" w:sz="0" w:space="0" w:color="auto"/>
        <w:left w:val="none" w:sz="0" w:space="0" w:color="auto"/>
        <w:bottom w:val="none" w:sz="0" w:space="0" w:color="auto"/>
        <w:right w:val="none" w:sz="0" w:space="0" w:color="auto"/>
      </w:divBdr>
    </w:div>
    <w:div w:id="221908501">
      <w:marLeft w:val="0"/>
      <w:marRight w:val="0"/>
      <w:marTop w:val="0"/>
      <w:marBottom w:val="200"/>
      <w:divBdr>
        <w:top w:val="none" w:sz="0" w:space="0" w:color="auto"/>
        <w:left w:val="none" w:sz="0" w:space="0" w:color="auto"/>
        <w:bottom w:val="none" w:sz="0" w:space="0" w:color="auto"/>
        <w:right w:val="none" w:sz="0" w:space="0" w:color="auto"/>
      </w:divBdr>
    </w:div>
    <w:div w:id="221909009">
      <w:marLeft w:val="0"/>
      <w:marRight w:val="0"/>
      <w:marTop w:val="0"/>
      <w:marBottom w:val="0"/>
      <w:divBdr>
        <w:top w:val="none" w:sz="0" w:space="0" w:color="auto"/>
        <w:left w:val="none" w:sz="0" w:space="0" w:color="auto"/>
        <w:bottom w:val="none" w:sz="0" w:space="0" w:color="auto"/>
        <w:right w:val="none" w:sz="0" w:space="0" w:color="auto"/>
      </w:divBdr>
    </w:div>
    <w:div w:id="222448066">
      <w:marLeft w:val="0"/>
      <w:marRight w:val="0"/>
      <w:marTop w:val="0"/>
      <w:marBottom w:val="0"/>
      <w:divBdr>
        <w:top w:val="none" w:sz="0" w:space="0" w:color="auto"/>
        <w:left w:val="none" w:sz="0" w:space="0" w:color="auto"/>
        <w:bottom w:val="none" w:sz="0" w:space="0" w:color="auto"/>
        <w:right w:val="none" w:sz="0" w:space="0" w:color="auto"/>
      </w:divBdr>
    </w:div>
    <w:div w:id="228855014">
      <w:marLeft w:val="0"/>
      <w:marRight w:val="0"/>
      <w:marTop w:val="0"/>
      <w:marBottom w:val="0"/>
      <w:divBdr>
        <w:top w:val="none" w:sz="0" w:space="0" w:color="auto"/>
        <w:left w:val="none" w:sz="0" w:space="0" w:color="auto"/>
        <w:bottom w:val="none" w:sz="0" w:space="0" w:color="auto"/>
        <w:right w:val="none" w:sz="0" w:space="0" w:color="auto"/>
      </w:divBdr>
    </w:div>
    <w:div w:id="229924859">
      <w:marLeft w:val="0"/>
      <w:marRight w:val="0"/>
      <w:marTop w:val="0"/>
      <w:marBottom w:val="0"/>
      <w:divBdr>
        <w:top w:val="none" w:sz="0" w:space="0" w:color="auto"/>
        <w:left w:val="none" w:sz="0" w:space="0" w:color="auto"/>
        <w:bottom w:val="none" w:sz="0" w:space="0" w:color="auto"/>
        <w:right w:val="none" w:sz="0" w:space="0" w:color="auto"/>
      </w:divBdr>
    </w:div>
    <w:div w:id="239292949">
      <w:marLeft w:val="0"/>
      <w:marRight w:val="0"/>
      <w:marTop w:val="0"/>
      <w:marBottom w:val="0"/>
      <w:divBdr>
        <w:top w:val="none" w:sz="0" w:space="0" w:color="auto"/>
        <w:left w:val="none" w:sz="0" w:space="0" w:color="auto"/>
        <w:bottom w:val="none" w:sz="0" w:space="0" w:color="auto"/>
        <w:right w:val="none" w:sz="0" w:space="0" w:color="auto"/>
      </w:divBdr>
    </w:div>
    <w:div w:id="241987794">
      <w:marLeft w:val="0"/>
      <w:marRight w:val="0"/>
      <w:marTop w:val="0"/>
      <w:marBottom w:val="0"/>
      <w:divBdr>
        <w:top w:val="none" w:sz="0" w:space="0" w:color="auto"/>
        <w:left w:val="none" w:sz="0" w:space="0" w:color="auto"/>
        <w:bottom w:val="none" w:sz="0" w:space="0" w:color="auto"/>
        <w:right w:val="none" w:sz="0" w:space="0" w:color="auto"/>
      </w:divBdr>
    </w:div>
    <w:div w:id="245383849">
      <w:marLeft w:val="0"/>
      <w:marRight w:val="0"/>
      <w:marTop w:val="0"/>
      <w:marBottom w:val="0"/>
      <w:divBdr>
        <w:top w:val="none" w:sz="0" w:space="0" w:color="auto"/>
        <w:left w:val="none" w:sz="0" w:space="0" w:color="auto"/>
        <w:bottom w:val="none" w:sz="0" w:space="0" w:color="auto"/>
        <w:right w:val="none" w:sz="0" w:space="0" w:color="auto"/>
      </w:divBdr>
    </w:div>
    <w:div w:id="246040494">
      <w:marLeft w:val="0"/>
      <w:marRight w:val="0"/>
      <w:marTop w:val="0"/>
      <w:marBottom w:val="0"/>
      <w:divBdr>
        <w:top w:val="none" w:sz="0" w:space="0" w:color="auto"/>
        <w:left w:val="none" w:sz="0" w:space="0" w:color="auto"/>
        <w:bottom w:val="none" w:sz="0" w:space="0" w:color="auto"/>
        <w:right w:val="none" w:sz="0" w:space="0" w:color="auto"/>
      </w:divBdr>
      <w:divsChild>
        <w:div w:id="149955140">
          <w:marLeft w:val="0"/>
          <w:marRight w:val="0"/>
          <w:marTop w:val="0"/>
          <w:marBottom w:val="0"/>
          <w:divBdr>
            <w:top w:val="none" w:sz="0" w:space="0" w:color="auto"/>
            <w:left w:val="none" w:sz="0" w:space="0" w:color="auto"/>
            <w:bottom w:val="none" w:sz="0" w:space="0" w:color="auto"/>
            <w:right w:val="none" w:sz="0" w:space="0" w:color="auto"/>
          </w:divBdr>
        </w:div>
      </w:divsChild>
    </w:div>
    <w:div w:id="252592521">
      <w:marLeft w:val="0"/>
      <w:marRight w:val="0"/>
      <w:marTop w:val="0"/>
      <w:marBottom w:val="0"/>
      <w:divBdr>
        <w:top w:val="none" w:sz="0" w:space="0" w:color="auto"/>
        <w:left w:val="none" w:sz="0" w:space="0" w:color="auto"/>
        <w:bottom w:val="none" w:sz="0" w:space="0" w:color="auto"/>
        <w:right w:val="none" w:sz="0" w:space="0" w:color="auto"/>
      </w:divBdr>
    </w:div>
    <w:div w:id="259216884">
      <w:marLeft w:val="0"/>
      <w:marRight w:val="0"/>
      <w:marTop w:val="0"/>
      <w:marBottom w:val="0"/>
      <w:divBdr>
        <w:top w:val="none" w:sz="0" w:space="0" w:color="auto"/>
        <w:left w:val="none" w:sz="0" w:space="0" w:color="auto"/>
        <w:bottom w:val="none" w:sz="0" w:space="0" w:color="auto"/>
        <w:right w:val="none" w:sz="0" w:space="0" w:color="auto"/>
      </w:divBdr>
      <w:divsChild>
        <w:div w:id="1848130574">
          <w:marLeft w:val="0"/>
          <w:marRight w:val="0"/>
          <w:marTop w:val="0"/>
          <w:marBottom w:val="0"/>
          <w:divBdr>
            <w:top w:val="none" w:sz="0" w:space="0" w:color="auto"/>
            <w:left w:val="none" w:sz="0" w:space="0" w:color="auto"/>
            <w:bottom w:val="none" w:sz="0" w:space="0" w:color="auto"/>
            <w:right w:val="none" w:sz="0" w:space="0" w:color="auto"/>
          </w:divBdr>
        </w:div>
        <w:div w:id="162912">
          <w:marLeft w:val="0"/>
          <w:marRight w:val="0"/>
          <w:marTop w:val="0"/>
          <w:marBottom w:val="0"/>
          <w:divBdr>
            <w:top w:val="none" w:sz="0" w:space="0" w:color="auto"/>
            <w:left w:val="none" w:sz="0" w:space="0" w:color="auto"/>
            <w:bottom w:val="none" w:sz="0" w:space="0" w:color="auto"/>
            <w:right w:val="none" w:sz="0" w:space="0" w:color="auto"/>
          </w:divBdr>
        </w:div>
      </w:divsChild>
    </w:div>
    <w:div w:id="259223597">
      <w:marLeft w:val="0"/>
      <w:marRight w:val="0"/>
      <w:marTop w:val="100"/>
      <w:marBottom w:val="0"/>
      <w:divBdr>
        <w:top w:val="none" w:sz="0" w:space="0" w:color="auto"/>
        <w:left w:val="none" w:sz="0" w:space="0" w:color="auto"/>
        <w:bottom w:val="none" w:sz="0" w:space="0" w:color="auto"/>
        <w:right w:val="none" w:sz="0" w:space="0" w:color="auto"/>
      </w:divBdr>
    </w:div>
    <w:div w:id="260841573">
      <w:marLeft w:val="0"/>
      <w:marRight w:val="0"/>
      <w:marTop w:val="0"/>
      <w:marBottom w:val="120"/>
      <w:divBdr>
        <w:top w:val="none" w:sz="0" w:space="0" w:color="auto"/>
        <w:left w:val="none" w:sz="0" w:space="0" w:color="auto"/>
        <w:bottom w:val="none" w:sz="0" w:space="0" w:color="auto"/>
        <w:right w:val="none" w:sz="0" w:space="0" w:color="auto"/>
      </w:divBdr>
    </w:div>
    <w:div w:id="260988625">
      <w:marLeft w:val="0"/>
      <w:marRight w:val="0"/>
      <w:marTop w:val="0"/>
      <w:marBottom w:val="0"/>
      <w:divBdr>
        <w:top w:val="none" w:sz="0" w:space="0" w:color="auto"/>
        <w:left w:val="none" w:sz="0" w:space="0" w:color="auto"/>
        <w:bottom w:val="none" w:sz="0" w:space="0" w:color="auto"/>
        <w:right w:val="none" w:sz="0" w:space="0" w:color="auto"/>
      </w:divBdr>
      <w:divsChild>
        <w:div w:id="410003352">
          <w:marLeft w:val="0"/>
          <w:marRight w:val="0"/>
          <w:marTop w:val="0"/>
          <w:marBottom w:val="0"/>
          <w:divBdr>
            <w:top w:val="none" w:sz="0" w:space="0" w:color="auto"/>
            <w:left w:val="none" w:sz="0" w:space="0" w:color="auto"/>
            <w:bottom w:val="none" w:sz="0" w:space="0" w:color="auto"/>
            <w:right w:val="none" w:sz="0" w:space="0" w:color="auto"/>
          </w:divBdr>
        </w:div>
      </w:divsChild>
    </w:div>
    <w:div w:id="261228778">
      <w:marLeft w:val="0"/>
      <w:marRight w:val="0"/>
      <w:marTop w:val="0"/>
      <w:marBottom w:val="0"/>
      <w:divBdr>
        <w:top w:val="none" w:sz="0" w:space="0" w:color="auto"/>
        <w:left w:val="none" w:sz="0" w:space="0" w:color="auto"/>
        <w:bottom w:val="none" w:sz="0" w:space="0" w:color="auto"/>
        <w:right w:val="none" w:sz="0" w:space="0" w:color="auto"/>
      </w:divBdr>
    </w:div>
    <w:div w:id="262348084">
      <w:marLeft w:val="0"/>
      <w:marRight w:val="0"/>
      <w:marTop w:val="0"/>
      <w:marBottom w:val="0"/>
      <w:divBdr>
        <w:top w:val="none" w:sz="0" w:space="0" w:color="auto"/>
        <w:left w:val="none" w:sz="0" w:space="0" w:color="auto"/>
        <w:bottom w:val="none" w:sz="0" w:space="0" w:color="auto"/>
        <w:right w:val="none" w:sz="0" w:space="0" w:color="auto"/>
      </w:divBdr>
    </w:div>
    <w:div w:id="262884541">
      <w:marLeft w:val="0"/>
      <w:marRight w:val="0"/>
      <w:marTop w:val="80"/>
      <w:marBottom w:val="0"/>
      <w:divBdr>
        <w:top w:val="none" w:sz="0" w:space="0" w:color="auto"/>
        <w:left w:val="none" w:sz="0" w:space="0" w:color="auto"/>
        <w:bottom w:val="none" w:sz="0" w:space="0" w:color="auto"/>
        <w:right w:val="none" w:sz="0" w:space="0" w:color="auto"/>
      </w:divBdr>
    </w:div>
    <w:div w:id="263000372">
      <w:marLeft w:val="0"/>
      <w:marRight w:val="0"/>
      <w:marTop w:val="0"/>
      <w:marBottom w:val="0"/>
      <w:divBdr>
        <w:top w:val="none" w:sz="0" w:space="0" w:color="auto"/>
        <w:left w:val="none" w:sz="0" w:space="0" w:color="auto"/>
        <w:bottom w:val="none" w:sz="0" w:space="0" w:color="auto"/>
        <w:right w:val="none" w:sz="0" w:space="0" w:color="auto"/>
      </w:divBdr>
    </w:div>
    <w:div w:id="265970697">
      <w:marLeft w:val="0"/>
      <w:marRight w:val="0"/>
      <w:marTop w:val="0"/>
      <w:marBottom w:val="0"/>
      <w:divBdr>
        <w:top w:val="none" w:sz="0" w:space="0" w:color="auto"/>
        <w:left w:val="none" w:sz="0" w:space="0" w:color="auto"/>
        <w:bottom w:val="none" w:sz="0" w:space="0" w:color="auto"/>
        <w:right w:val="none" w:sz="0" w:space="0" w:color="auto"/>
      </w:divBdr>
      <w:divsChild>
        <w:div w:id="1181965689">
          <w:marLeft w:val="0"/>
          <w:marRight w:val="0"/>
          <w:marTop w:val="0"/>
          <w:marBottom w:val="0"/>
          <w:divBdr>
            <w:top w:val="none" w:sz="0" w:space="0" w:color="auto"/>
            <w:left w:val="none" w:sz="0" w:space="0" w:color="auto"/>
            <w:bottom w:val="none" w:sz="0" w:space="0" w:color="auto"/>
            <w:right w:val="none" w:sz="0" w:space="0" w:color="auto"/>
          </w:divBdr>
        </w:div>
      </w:divsChild>
    </w:div>
    <w:div w:id="266813095">
      <w:marLeft w:val="0"/>
      <w:marRight w:val="0"/>
      <w:marTop w:val="0"/>
      <w:marBottom w:val="0"/>
      <w:divBdr>
        <w:top w:val="none" w:sz="0" w:space="0" w:color="auto"/>
        <w:left w:val="none" w:sz="0" w:space="0" w:color="auto"/>
        <w:bottom w:val="none" w:sz="0" w:space="0" w:color="auto"/>
        <w:right w:val="none" w:sz="0" w:space="0" w:color="auto"/>
      </w:divBdr>
    </w:div>
    <w:div w:id="268859026">
      <w:marLeft w:val="0"/>
      <w:marRight w:val="0"/>
      <w:marTop w:val="0"/>
      <w:marBottom w:val="0"/>
      <w:divBdr>
        <w:top w:val="none" w:sz="0" w:space="0" w:color="auto"/>
        <w:left w:val="none" w:sz="0" w:space="0" w:color="auto"/>
        <w:bottom w:val="none" w:sz="0" w:space="0" w:color="auto"/>
        <w:right w:val="none" w:sz="0" w:space="0" w:color="auto"/>
      </w:divBdr>
      <w:divsChild>
        <w:div w:id="923145645">
          <w:marLeft w:val="0"/>
          <w:marRight w:val="0"/>
          <w:marTop w:val="0"/>
          <w:marBottom w:val="0"/>
          <w:divBdr>
            <w:top w:val="none" w:sz="0" w:space="0" w:color="auto"/>
            <w:left w:val="none" w:sz="0" w:space="0" w:color="auto"/>
            <w:bottom w:val="none" w:sz="0" w:space="0" w:color="auto"/>
            <w:right w:val="none" w:sz="0" w:space="0" w:color="auto"/>
          </w:divBdr>
        </w:div>
      </w:divsChild>
    </w:div>
    <w:div w:id="273173427">
      <w:marLeft w:val="0"/>
      <w:marRight w:val="0"/>
      <w:marTop w:val="0"/>
      <w:marBottom w:val="0"/>
      <w:divBdr>
        <w:top w:val="none" w:sz="0" w:space="0" w:color="auto"/>
        <w:left w:val="none" w:sz="0" w:space="0" w:color="auto"/>
        <w:bottom w:val="none" w:sz="0" w:space="0" w:color="auto"/>
        <w:right w:val="none" w:sz="0" w:space="0" w:color="auto"/>
      </w:divBdr>
    </w:div>
    <w:div w:id="274168558">
      <w:marLeft w:val="0"/>
      <w:marRight w:val="0"/>
      <w:marTop w:val="0"/>
      <w:marBottom w:val="0"/>
      <w:divBdr>
        <w:top w:val="none" w:sz="0" w:space="0" w:color="auto"/>
        <w:left w:val="none" w:sz="0" w:space="0" w:color="auto"/>
        <w:bottom w:val="none" w:sz="0" w:space="0" w:color="auto"/>
        <w:right w:val="none" w:sz="0" w:space="0" w:color="auto"/>
      </w:divBdr>
    </w:div>
    <w:div w:id="274555873">
      <w:marLeft w:val="0"/>
      <w:marRight w:val="0"/>
      <w:marTop w:val="0"/>
      <w:marBottom w:val="0"/>
      <w:divBdr>
        <w:top w:val="none" w:sz="0" w:space="0" w:color="auto"/>
        <w:left w:val="none" w:sz="0" w:space="0" w:color="auto"/>
        <w:bottom w:val="none" w:sz="0" w:space="0" w:color="auto"/>
        <w:right w:val="none" w:sz="0" w:space="0" w:color="auto"/>
      </w:divBdr>
    </w:div>
    <w:div w:id="280956830">
      <w:marLeft w:val="0"/>
      <w:marRight w:val="0"/>
      <w:marTop w:val="0"/>
      <w:marBottom w:val="0"/>
      <w:divBdr>
        <w:top w:val="none" w:sz="0" w:space="0" w:color="auto"/>
        <w:left w:val="none" w:sz="0" w:space="0" w:color="auto"/>
        <w:bottom w:val="none" w:sz="0" w:space="0" w:color="auto"/>
        <w:right w:val="none" w:sz="0" w:space="0" w:color="auto"/>
      </w:divBdr>
      <w:divsChild>
        <w:div w:id="112214575">
          <w:marLeft w:val="0"/>
          <w:marRight w:val="0"/>
          <w:marTop w:val="0"/>
          <w:marBottom w:val="0"/>
          <w:divBdr>
            <w:top w:val="none" w:sz="0" w:space="0" w:color="auto"/>
            <w:left w:val="none" w:sz="0" w:space="0" w:color="auto"/>
            <w:bottom w:val="none" w:sz="0" w:space="0" w:color="auto"/>
            <w:right w:val="none" w:sz="0" w:space="0" w:color="auto"/>
          </w:divBdr>
        </w:div>
      </w:divsChild>
    </w:div>
    <w:div w:id="283931474">
      <w:marLeft w:val="0"/>
      <w:marRight w:val="0"/>
      <w:marTop w:val="100"/>
      <w:marBottom w:val="0"/>
      <w:divBdr>
        <w:top w:val="none" w:sz="0" w:space="0" w:color="auto"/>
        <w:left w:val="none" w:sz="0" w:space="0" w:color="auto"/>
        <w:bottom w:val="none" w:sz="0" w:space="0" w:color="auto"/>
        <w:right w:val="none" w:sz="0" w:space="0" w:color="auto"/>
      </w:divBdr>
    </w:div>
    <w:div w:id="286621375">
      <w:marLeft w:val="0"/>
      <w:marRight w:val="0"/>
      <w:marTop w:val="180"/>
      <w:marBottom w:val="0"/>
      <w:divBdr>
        <w:top w:val="none" w:sz="0" w:space="0" w:color="auto"/>
        <w:left w:val="none" w:sz="0" w:space="0" w:color="auto"/>
        <w:bottom w:val="none" w:sz="0" w:space="0" w:color="auto"/>
        <w:right w:val="none" w:sz="0" w:space="0" w:color="auto"/>
      </w:divBdr>
    </w:div>
    <w:div w:id="286666225">
      <w:marLeft w:val="0"/>
      <w:marRight w:val="0"/>
      <w:marTop w:val="0"/>
      <w:marBottom w:val="0"/>
      <w:divBdr>
        <w:top w:val="none" w:sz="0" w:space="0" w:color="auto"/>
        <w:left w:val="none" w:sz="0" w:space="0" w:color="auto"/>
        <w:bottom w:val="none" w:sz="0" w:space="0" w:color="auto"/>
        <w:right w:val="none" w:sz="0" w:space="0" w:color="auto"/>
      </w:divBdr>
    </w:div>
    <w:div w:id="289093007">
      <w:marLeft w:val="0"/>
      <w:marRight w:val="0"/>
      <w:marTop w:val="0"/>
      <w:marBottom w:val="0"/>
      <w:divBdr>
        <w:top w:val="none" w:sz="0" w:space="0" w:color="auto"/>
        <w:left w:val="none" w:sz="0" w:space="0" w:color="auto"/>
        <w:bottom w:val="none" w:sz="0" w:space="0" w:color="auto"/>
        <w:right w:val="none" w:sz="0" w:space="0" w:color="auto"/>
      </w:divBdr>
    </w:div>
    <w:div w:id="294917475">
      <w:marLeft w:val="0"/>
      <w:marRight w:val="0"/>
      <w:marTop w:val="100"/>
      <w:marBottom w:val="100"/>
      <w:divBdr>
        <w:top w:val="none" w:sz="0" w:space="0" w:color="auto"/>
        <w:left w:val="none" w:sz="0" w:space="0" w:color="auto"/>
        <w:bottom w:val="none" w:sz="0" w:space="0" w:color="auto"/>
        <w:right w:val="none" w:sz="0" w:space="0" w:color="auto"/>
      </w:divBdr>
    </w:div>
    <w:div w:id="296841218">
      <w:marLeft w:val="0"/>
      <w:marRight w:val="0"/>
      <w:marTop w:val="180"/>
      <w:marBottom w:val="180"/>
      <w:divBdr>
        <w:top w:val="none" w:sz="0" w:space="0" w:color="auto"/>
        <w:left w:val="none" w:sz="0" w:space="0" w:color="auto"/>
        <w:bottom w:val="none" w:sz="0" w:space="0" w:color="auto"/>
        <w:right w:val="none" w:sz="0" w:space="0" w:color="auto"/>
      </w:divBdr>
    </w:div>
    <w:div w:id="298803468">
      <w:marLeft w:val="0"/>
      <w:marRight w:val="0"/>
      <w:marTop w:val="0"/>
      <w:marBottom w:val="0"/>
      <w:divBdr>
        <w:top w:val="none" w:sz="0" w:space="0" w:color="auto"/>
        <w:left w:val="none" w:sz="0" w:space="0" w:color="auto"/>
        <w:bottom w:val="none" w:sz="0" w:space="0" w:color="auto"/>
        <w:right w:val="none" w:sz="0" w:space="0" w:color="auto"/>
      </w:divBdr>
    </w:div>
    <w:div w:id="299305771">
      <w:marLeft w:val="0"/>
      <w:marRight w:val="0"/>
      <w:marTop w:val="0"/>
      <w:marBottom w:val="0"/>
      <w:divBdr>
        <w:top w:val="none" w:sz="0" w:space="0" w:color="auto"/>
        <w:left w:val="none" w:sz="0" w:space="0" w:color="auto"/>
        <w:bottom w:val="none" w:sz="0" w:space="0" w:color="auto"/>
        <w:right w:val="none" w:sz="0" w:space="0" w:color="auto"/>
      </w:divBdr>
      <w:divsChild>
        <w:div w:id="2097632452">
          <w:marLeft w:val="0"/>
          <w:marRight w:val="0"/>
          <w:marTop w:val="0"/>
          <w:marBottom w:val="0"/>
          <w:divBdr>
            <w:top w:val="none" w:sz="0" w:space="0" w:color="auto"/>
            <w:left w:val="none" w:sz="0" w:space="0" w:color="auto"/>
            <w:bottom w:val="none" w:sz="0" w:space="0" w:color="auto"/>
            <w:right w:val="none" w:sz="0" w:space="0" w:color="auto"/>
          </w:divBdr>
        </w:div>
      </w:divsChild>
    </w:div>
    <w:div w:id="301614252">
      <w:marLeft w:val="0"/>
      <w:marRight w:val="0"/>
      <w:marTop w:val="0"/>
      <w:marBottom w:val="0"/>
      <w:divBdr>
        <w:top w:val="none" w:sz="0" w:space="0" w:color="auto"/>
        <w:left w:val="none" w:sz="0" w:space="0" w:color="auto"/>
        <w:bottom w:val="none" w:sz="0" w:space="0" w:color="auto"/>
        <w:right w:val="none" w:sz="0" w:space="0" w:color="auto"/>
      </w:divBdr>
      <w:divsChild>
        <w:div w:id="1453474497">
          <w:marLeft w:val="0"/>
          <w:marRight w:val="0"/>
          <w:marTop w:val="0"/>
          <w:marBottom w:val="0"/>
          <w:divBdr>
            <w:top w:val="none" w:sz="0" w:space="0" w:color="auto"/>
            <w:left w:val="none" w:sz="0" w:space="0" w:color="auto"/>
            <w:bottom w:val="none" w:sz="0" w:space="0" w:color="auto"/>
            <w:right w:val="none" w:sz="0" w:space="0" w:color="auto"/>
          </w:divBdr>
        </w:div>
      </w:divsChild>
    </w:div>
    <w:div w:id="305360379">
      <w:marLeft w:val="0"/>
      <w:marRight w:val="0"/>
      <w:marTop w:val="0"/>
      <w:marBottom w:val="0"/>
      <w:divBdr>
        <w:top w:val="none" w:sz="0" w:space="0" w:color="auto"/>
        <w:left w:val="none" w:sz="0" w:space="0" w:color="auto"/>
        <w:bottom w:val="none" w:sz="0" w:space="0" w:color="auto"/>
        <w:right w:val="none" w:sz="0" w:space="0" w:color="auto"/>
      </w:divBdr>
    </w:div>
    <w:div w:id="306710506">
      <w:marLeft w:val="0"/>
      <w:marRight w:val="0"/>
      <w:marTop w:val="0"/>
      <w:marBottom w:val="0"/>
      <w:divBdr>
        <w:top w:val="none" w:sz="0" w:space="0" w:color="auto"/>
        <w:left w:val="none" w:sz="0" w:space="0" w:color="auto"/>
        <w:bottom w:val="none" w:sz="0" w:space="0" w:color="auto"/>
        <w:right w:val="none" w:sz="0" w:space="0" w:color="auto"/>
      </w:divBdr>
      <w:divsChild>
        <w:div w:id="372389051">
          <w:marLeft w:val="0"/>
          <w:marRight w:val="0"/>
          <w:marTop w:val="0"/>
          <w:marBottom w:val="0"/>
          <w:divBdr>
            <w:top w:val="none" w:sz="0" w:space="0" w:color="auto"/>
            <w:left w:val="none" w:sz="0" w:space="0" w:color="auto"/>
            <w:bottom w:val="none" w:sz="0" w:space="0" w:color="auto"/>
            <w:right w:val="none" w:sz="0" w:space="0" w:color="auto"/>
          </w:divBdr>
        </w:div>
      </w:divsChild>
    </w:div>
    <w:div w:id="306787134">
      <w:marLeft w:val="0"/>
      <w:marRight w:val="0"/>
      <w:marTop w:val="0"/>
      <w:marBottom w:val="0"/>
      <w:divBdr>
        <w:top w:val="none" w:sz="0" w:space="0" w:color="auto"/>
        <w:left w:val="none" w:sz="0" w:space="0" w:color="auto"/>
        <w:bottom w:val="none" w:sz="0" w:space="0" w:color="auto"/>
        <w:right w:val="none" w:sz="0" w:space="0" w:color="auto"/>
      </w:divBdr>
    </w:div>
    <w:div w:id="307173178">
      <w:marLeft w:val="0"/>
      <w:marRight w:val="0"/>
      <w:marTop w:val="0"/>
      <w:marBottom w:val="0"/>
      <w:divBdr>
        <w:top w:val="none" w:sz="0" w:space="0" w:color="auto"/>
        <w:left w:val="none" w:sz="0" w:space="0" w:color="auto"/>
        <w:bottom w:val="none" w:sz="0" w:space="0" w:color="auto"/>
        <w:right w:val="none" w:sz="0" w:space="0" w:color="auto"/>
      </w:divBdr>
    </w:div>
    <w:div w:id="307979925">
      <w:marLeft w:val="0"/>
      <w:marRight w:val="0"/>
      <w:marTop w:val="100"/>
      <w:marBottom w:val="0"/>
      <w:divBdr>
        <w:top w:val="none" w:sz="0" w:space="0" w:color="auto"/>
        <w:left w:val="none" w:sz="0" w:space="0" w:color="auto"/>
        <w:bottom w:val="none" w:sz="0" w:space="0" w:color="auto"/>
        <w:right w:val="none" w:sz="0" w:space="0" w:color="auto"/>
      </w:divBdr>
    </w:div>
    <w:div w:id="311641866">
      <w:marLeft w:val="0"/>
      <w:marRight w:val="0"/>
      <w:marTop w:val="0"/>
      <w:marBottom w:val="0"/>
      <w:divBdr>
        <w:top w:val="none" w:sz="0" w:space="0" w:color="auto"/>
        <w:left w:val="none" w:sz="0" w:space="0" w:color="auto"/>
        <w:bottom w:val="none" w:sz="0" w:space="0" w:color="auto"/>
        <w:right w:val="none" w:sz="0" w:space="0" w:color="auto"/>
      </w:divBdr>
    </w:div>
    <w:div w:id="312176760">
      <w:marLeft w:val="0"/>
      <w:marRight w:val="0"/>
      <w:marTop w:val="0"/>
      <w:marBottom w:val="0"/>
      <w:divBdr>
        <w:top w:val="none" w:sz="0" w:space="0" w:color="auto"/>
        <w:left w:val="none" w:sz="0" w:space="0" w:color="auto"/>
        <w:bottom w:val="none" w:sz="0" w:space="0" w:color="auto"/>
        <w:right w:val="none" w:sz="0" w:space="0" w:color="auto"/>
      </w:divBdr>
      <w:divsChild>
        <w:div w:id="1687364547">
          <w:marLeft w:val="0"/>
          <w:marRight w:val="0"/>
          <w:marTop w:val="0"/>
          <w:marBottom w:val="0"/>
          <w:divBdr>
            <w:top w:val="none" w:sz="0" w:space="0" w:color="auto"/>
            <w:left w:val="none" w:sz="0" w:space="0" w:color="auto"/>
            <w:bottom w:val="none" w:sz="0" w:space="0" w:color="auto"/>
            <w:right w:val="none" w:sz="0" w:space="0" w:color="auto"/>
          </w:divBdr>
        </w:div>
      </w:divsChild>
    </w:div>
    <w:div w:id="312947946">
      <w:marLeft w:val="0"/>
      <w:marRight w:val="0"/>
      <w:marTop w:val="180"/>
      <w:marBottom w:val="0"/>
      <w:divBdr>
        <w:top w:val="none" w:sz="0" w:space="0" w:color="auto"/>
        <w:left w:val="none" w:sz="0" w:space="0" w:color="auto"/>
        <w:bottom w:val="none" w:sz="0" w:space="0" w:color="auto"/>
        <w:right w:val="none" w:sz="0" w:space="0" w:color="auto"/>
      </w:divBdr>
    </w:div>
    <w:div w:id="317267145">
      <w:marLeft w:val="0"/>
      <w:marRight w:val="0"/>
      <w:marTop w:val="0"/>
      <w:marBottom w:val="0"/>
      <w:divBdr>
        <w:top w:val="none" w:sz="0" w:space="0" w:color="auto"/>
        <w:left w:val="none" w:sz="0" w:space="0" w:color="auto"/>
        <w:bottom w:val="none" w:sz="0" w:space="0" w:color="auto"/>
        <w:right w:val="none" w:sz="0" w:space="0" w:color="auto"/>
      </w:divBdr>
    </w:div>
    <w:div w:id="321860852">
      <w:marLeft w:val="0"/>
      <w:marRight w:val="0"/>
      <w:marTop w:val="100"/>
      <w:marBottom w:val="0"/>
      <w:divBdr>
        <w:top w:val="none" w:sz="0" w:space="0" w:color="auto"/>
        <w:left w:val="none" w:sz="0" w:space="0" w:color="auto"/>
        <w:bottom w:val="none" w:sz="0" w:space="0" w:color="auto"/>
        <w:right w:val="none" w:sz="0" w:space="0" w:color="auto"/>
      </w:divBdr>
    </w:div>
    <w:div w:id="324474937">
      <w:marLeft w:val="0"/>
      <w:marRight w:val="0"/>
      <w:marTop w:val="0"/>
      <w:marBottom w:val="0"/>
      <w:divBdr>
        <w:top w:val="none" w:sz="0" w:space="0" w:color="auto"/>
        <w:left w:val="none" w:sz="0" w:space="0" w:color="auto"/>
        <w:bottom w:val="none" w:sz="0" w:space="0" w:color="auto"/>
        <w:right w:val="none" w:sz="0" w:space="0" w:color="auto"/>
      </w:divBdr>
      <w:divsChild>
        <w:div w:id="1037900362">
          <w:marLeft w:val="0"/>
          <w:marRight w:val="0"/>
          <w:marTop w:val="0"/>
          <w:marBottom w:val="0"/>
          <w:divBdr>
            <w:top w:val="none" w:sz="0" w:space="0" w:color="auto"/>
            <w:left w:val="none" w:sz="0" w:space="0" w:color="auto"/>
            <w:bottom w:val="none" w:sz="0" w:space="0" w:color="auto"/>
            <w:right w:val="none" w:sz="0" w:space="0" w:color="auto"/>
          </w:divBdr>
        </w:div>
      </w:divsChild>
    </w:div>
    <w:div w:id="328140706">
      <w:marLeft w:val="0"/>
      <w:marRight w:val="0"/>
      <w:marTop w:val="0"/>
      <w:marBottom w:val="0"/>
      <w:divBdr>
        <w:top w:val="none" w:sz="0" w:space="0" w:color="auto"/>
        <w:left w:val="none" w:sz="0" w:space="0" w:color="auto"/>
        <w:bottom w:val="none" w:sz="0" w:space="0" w:color="auto"/>
        <w:right w:val="none" w:sz="0" w:space="0" w:color="auto"/>
      </w:divBdr>
    </w:div>
    <w:div w:id="329408743">
      <w:marLeft w:val="0"/>
      <w:marRight w:val="0"/>
      <w:marTop w:val="180"/>
      <w:marBottom w:val="0"/>
      <w:divBdr>
        <w:top w:val="none" w:sz="0" w:space="0" w:color="auto"/>
        <w:left w:val="none" w:sz="0" w:space="0" w:color="auto"/>
        <w:bottom w:val="none" w:sz="0" w:space="0" w:color="auto"/>
        <w:right w:val="none" w:sz="0" w:space="0" w:color="auto"/>
      </w:divBdr>
    </w:div>
    <w:div w:id="330061694">
      <w:marLeft w:val="0"/>
      <w:marRight w:val="0"/>
      <w:marTop w:val="0"/>
      <w:marBottom w:val="0"/>
      <w:divBdr>
        <w:top w:val="none" w:sz="0" w:space="0" w:color="auto"/>
        <w:left w:val="none" w:sz="0" w:space="0" w:color="auto"/>
        <w:bottom w:val="none" w:sz="0" w:space="0" w:color="auto"/>
        <w:right w:val="none" w:sz="0" w:space="0" w:color="auto"/>
      </w:divBdr>
      <w:divsChild>
        <w:div w:id="811404539">
          <w:marLeft w:val="0"/>
          <w:marRight w:val="0"/>
          <w:marTop w:val="0"/>
          <w:marBottom w:val="0"/>
          <w:divBdr>
            <w:top w:val="none" w:sz="0" w:space="0" w:color="auto"/>
            <w:left w:val="none" w:sz="0" w:space="0" w:color="auto"/>
            <w:bottom w:val="none" w:sz="0" w:space="0" w:color="auto"/>
            <w:right w:val="none" w:sz="0" w:space="0" w:color="auto"/>
          </w:divBdr>
        </w:div>
      </w:divsChild>
    </w:div>
    <w:div w:id="330259336">
      <w:marLeft w:val="0"/>
      <w:marRight w:val="0"/>
      <w:marTop w:val="0"/>
      <w:marBottom w:val="0"/>
      <w:divBdr>
        <w:top w:val="none" w:sz="0" w:space="0" w:color="auto"/>
        <w:left w:val="none" w:sz="0" w:space="0" w:color="auto"/>
        <w:bottom w:val="none" w:sz="0" w:space="0" w:color="auto"/>
        <w:right w:val="none" w:sz="0" w:space="0" w:color="auto"/>
      </w:divBdr>
      <w:divsChild>
        <w:div w:id="135495019">
          <w:marLeft w:val="0"/>
          <w:marRight w:val="0"/>
          <w:marTop w:val="0"/>
          <w:marBottom w:val="0"/>
          <w:divBdr>
            <w:top w:val="none" w:sz="0" w:space="0" w:color="auto"/>
            <w:left w:val="none" w:sz="0" w:space="0" w:color="auto"/>
            <w:bottom w:val="none" w:sz="0" w:space="0" w:color="auto"/>
            <w:right w:val="none" w:sz="0" w:space="0" w:color="auto"/>
          </w:divBdr>
        </w:div>
      </w:divsChild>
    </w:div>
    <w:div w:id="332998631">
      <w:marLeft w:val="0"/>
      <w:marRight w:val="0"/>
      <w:marTop w:val="0"/>
      <w:marBottom w:val="0"/>
      <w:divBdr>
        <w:top w:val="none" w:sz="0" w:space="0" w:color="auto"/>
        <w:left w:val="none" w:sz="0" w:space="0" w:color="auto"/>
        <w:bottom w:val="none" w:sz="0" w:space="0" w:color="auto"/>
        <w:right w:val="none" w:sz="0" w:space="0" w:color="auto"/>
      </w:divBdr>
      <w:divsChild>
        <w:div w:id="2087071698">
          <w:marLeft w:val="0"/>
          <w:marRight w:val="0"/>
          <w:marTop w:val="0"/>
          <w:marBottom w:val="0"/>
          <w:divBdr>
            <w:top w:val="none" w:sz="0" w:space="0" w:color="auto"/>
            <w:left w:val="none" w:sz="0" w:space="0" w:color="auto"/>
            <w:bottom w:val="none" w:sz="0" w:space="0" w:color="auto"/>
            <w:right w:val="none" w:sz="0" w:space="0" w:color="auto"/>
          </w:divBdr>
        </w:div>
      </w:divsChild>
    </w:div>
    <w:div w:id="335041890">
      <w:marLeft w:val="0"/>
      <w:marRight w:val="0"/>
      <w:marTop w:val="0"/>
      <w:marBottom w:val="60"/>
      <w:divBdr>
        <w:top w:val="none" w:sz="0" w:space="0" w:color="auto"/>
        <w:left w:val="none" w:sz="0" w:space="0" w:color="auto"/>
        <w:bottom w:val="none" w:sz="0" w:space="0" w:color="auto"/>
        <w:right w:val="none" w:sz="0" w:space="0" w:color="auto"/>
      </w:divBdr>
    </w:div>
    <w:div w:id="335807370">
      <w:marLeft w:val="0"/>
      <w:marRight w:val="0"/>
      <w:marTop w:val="180"/>
      <w:marBottom w:val="0"/>
      <w:divBdr>
        <w:top w:val="none" w:sz="0" w:space="0" w:color="auto"/>
        <w:left w:val="none" w:sz="0" w:space="0" w:color="auto"/>
        <w:bottom w:val="none" w:sz="0" w:space="0" w:color="auto"/>
        <w:right w:val="none" w:sz="0" w:space="0" w:color="auto"/>
      </w:divBdr>
    </w:div>
    <w:div w:id="338510055">
      <w:marLeft w:val="0"/>
      <w:marRight w:val="0"/>
      <w:marTop w:val="0"/>
      <w:marBottom w:val="0"/>
      <w:divBdr>
        <w:top w:val="none" w:sz="0" w:space="0" w:color="auto"/>
        <w:left w:val="none" w:sz="0" w:space="0" w:color="auto"/>
        <w:bottom w:val="none" w:sz="0" w:space="0" w:color="auto"/>
        <w:right w:val="none" w:sz="0" w:space="0" w:color="auto"/>
      </w:divBdr>
    </w:div>
    <w:div w:id="338894652">
      <w:marLeft w:val="0"/>
      <w:marRight w:val="0"/>
      <w:marTop w:val="0"/>
      <w:marBottom w:val="0"/>
      <w:divBdr>
        <w:top w:val="none" w:sz="0" w:space="0" w:color="auto"/>
        <w:left w:val="none" w:sz="0" w:space="0" w:color="auto"/>
        <w:bottom w:val="none" w:sz="0" w:space="0" w:color="auto"/>
        <w:right w:val="none" w:sz="0" w:space="0" w:color="auto"/>
      </w:divBdr>
    </w:div>
    <w:div w:id="349383110">
      <w:marLeft w:val="0"/>
      <w:marRight w:val="0"/>
      <w:marTop w:val="0"/>
      <w:marBottom w:val="0"/>
      <w:divBdr>
        <w:top w:val="none" w:sz="0" w:space="0" w:color="auto"/>
        <w:left w:val="none" w:sz="0" w:space="0" w:color="auto"/>
        <w:bottom w:val="none" w:sz="0" w:space="0" w:color="auto"/>
        <w:right w:val="none" w:sz="0" w:space="0" w:color="auto"/>
      </w:divBdr>
      <w:divsChild>
        <w:div w:id="1490441966">
          <w:marLeft w:val="0"/>
          <w:marRight w:val="0"/>
          <w:marTop w:val="0"/>
          <w:marBottom w:val="0"/>
          <w:divBdr>
            <w:top w:val="none" w:sz="0" w:space="0" w:color="auto"/>
            <w:left w:val="none" w:sz="0" w:space="0" w:color="auto"/>
            <w:bottom w:val="none" w:sz="0" w:space="0" w:color="auto"/>
            <w:right w:val="none" w:sz="0" w:space="0" w:color="auto"/>
          </w:divBdr>
        </w:div>
      </w:divsChild>
    </w:div>
    <w:div w:id="349722916">
      <w:marLeft w:val="0"/>
      <w:marRight w:val="0"/>
      <w:marTop w:val="0"/>
      <w:marBottom w:val="0"/>
      <w:divBdr>
        <w:top w:val="none" w:sz="0" w:space="0" w:color="auto"/>
        <w:left w:val="none" w:sz="0" w:space="0" w:color="auto"/>
        <w:bottom w:val="none" w:sz="0" w:space="0" w:color="auto"/>
        <w:right w:val="none" w:sz="0" w:space="0" w:color="auto"/>
      </w:divBdr>
    </w:div>
    <w:div w:id="352539636">
      <w:marLeft w:val="0"/>
      <w:marRight w:val="0"/>
      <w:marTop w:val="0"/>
      <w:marBottom w:val="0"/>
      <w:divBdr>
        <w:top w:val="none" w:sz="0" w:space="0" w:color="auto"/>
        <w:left w:val="none" w:sz="0" w:space="0" w:color="auto"/>
        <w:bottom w:val="none" w:sz="0" w:space="0" w:color="auto"/>
        <w:right w:val="none" w:sz="0" w:space="0" w:color="auto"/>
      </w:divBdr>
    </w:div>
    <w:div w:id="354768643">
      <w:marLeft w:val="0"/>
      <w:marRight w:val="0"/>
      <w:marTop w:val="100"/>
      <w:marBottom w:val="0"/>
      <w:divBdr>
        <w:top w:val="none" w:sz="0" w:space="0" w:color="auto"/>
        <w:left w:val="none" w:sz="0" w:space="0" w:color="auto"/>
        <w:bottom w:val="none" w:sz="0" w:space="0" w:color="auto"/>
        <w:right w:val="none" w:sz="0" w:space="0" w:color="auto"/>
      </w:divBdr>
    </w:div>
    <w:div w:id="356079676">
      <w:marLeft w:val="0"/>
      <w:marRight w:val="0"/>
      <w:marTop w:val="0"/>
      <w:marBottom w:val="0"/>
      <w:divBdr>
        <w:top w:val="none" w:sz="0" w:space="0" w:color="auto"/>
        <w:left w:val="none" w:sz="0" w:space="0" w:color="auto"/>
        <w:bottom w:val="none" w:sz="0" w:space="0" w:color="auto"/>
        <w:right w:val="none" w:sz="0" w:space="0" w:color="auto"/>
      </w:divBdr>
    </w:div>
    <w:div w:id="357052726">
      <w:marLeft w:val="0"/>
      <w:marRight w:val="0"/>
      <w:marTop w:val="0"/>
      <w:marBottom w:val="0"/>
      <w:divBdr>
        <w:top w:val="none" w:sz="0" w:space="0" w:color="auto"/>
        <w:left w:val="none" w:sz="0" w:space="0" w:color="auto"/>
        <w:bottom w:val="none" w:sz="0" w:space="0" w:color="auto"/>
        <w:right w:val="none" w:sz="0" w:space="0" w:color="auto"/>
      </w:divBdr>
    </w:div>
    <w:div w:id="357587497">
      <w:marLeft w:val="0"/>
      <w:marRight w:val="0"/>
      <w:marTop w:val="0"/>
      <w:marBottom w:val="0"/>
      <w:divBdr>
        <w:top w:val="none" w:sz="0" w:space="0" w:color="auto"/>
        <w:left w:val="none" w:sz="0" w:space="0" w:color="auto"/>
        <w:bottom w:val="none" w:sz="0" w:space="0" w:color="auto"/>
        <w:right w:val="none" w:sz="0" w:space="0" w:color="auto"/>
      </w:divBdr>
    </w:div>
    <w:div w:id="358823312">
      <w:marLeft w:val="0"/>
      <w:marRight w:val="0"/>
      <w:marTop w:val="0"/>
      <w:marBottom w:val="0"/>
      <w:divBdr>
        <w:top w:val="none" w:sz="0" w:space="0" w:color="auto"/>
        <w:left w:val="none" w:sz="0" w:space="0" w:color="auto"/>
        <w:bottom w:val="none" w:sz="0" w:space="0" w:color="auto"/>
        <w:right w:val="none" w:sz="0" w:space="0" w:color="auto"/>
      </w:divBdr>
    </w:div>
    <w:div w:id="358972260">
      <w:marLeft w:val="0"/>
      <w:marRight w:val="0"/>
      <w:marTop w:val="0"/>
      <w:marBottom w:val="0"/>
      <w:divBdr>
        <w:top w:val="none" w:sz="0" w:space="0" w:color="auto"/>
        <w:left w:val="none" w:sz="0" w:space="0" w:color="auto"/>
        <w:bottom w:val="none" w:sz="0" w:space="0" w:color="auto"/>
        <w:right w:val="none" w:sz="0" w:space="0" w:color="auto"/>
      </w:divBdr>
    </w:div>
    <w:div w:id="364137310">
      <w:marLeft w:val="0"/>
      <w:marRight w:val="0"/>
      <w:marTop w:val="100"/>
      <w:marBottom w:val="0"/>
      <w:divBdr>
        <w:top w:val="none" w:sz="0" w:space="0" w:color="auto"/>
        <w:left w:val="none" w:sz="0" w:space="0" w:color="auto"/>
        <w:bottom w:val="none" w:sz="0" w:space="0" w:color="auto"/>
        <w:right w:val="none" w:sz="0" w:space="0" w:color="auto"/>
      </w:divBdr>
    </w:div>
    <w:div w:id="365644369">
      <w:marLeft w:val="0"/>
      <w:marRight w:val="0"/>
      <w:marTop w:val="0"/>
      <w:marBottom w:val="0"/>
      <w:divBdr>
        <w:top w:val="none" w:sz="0" w:space="0" w:color="auto"/>
        <w:left w:val="none" w:sz="0" w:space="0" w:color="auto"/>
        <w:bottom w:val="none" w:sz="0" w:space="0" w:color="auto"/>
        <w:right w:val="none" w:sz="0" w:space="0" w:color="auto"/>
      </w:divBdr>
    </w:div>
    <w:div w:id="366301862">
      <w:marLeft w:val="0"/>
      <w:marRight w:val="0"/>
      <w:marTop w:val="0"/>
      <w:marBottom w:val="0"/>
      <w:divBdr>
        <w:top w:val="none" w:sz="0" w:space="0" w:color="auto"/>
        <w:left w:val="none" w:sz="0" w:space="0" w:color="auto"/>
        <w:bottom w:val="none" w:sz="0" w:space="0" w:color="auto"/>
        <w:right w:val="none" w:sz="0" w:space="0" w:color="auto"/>
      </w:divBdr>
    </w:div>
    <w:div w:id="371852312">
      <w:marLeft w:val="0"/>
      <w:marRight w:val="0"/>
      <w:marTop w:val="0"/>
      <w:marBottom w:val="0"/>
      <w:divBdr>
        <w:top w:val="none" w:sz="0" w:space="0" w:color="auto"/>
        <w:left w:val="none" w:sz="0" w:space="0" w:color="auto"/>
        <w:bottom w:val="none" w:sz="0" w:space="0" w:color="auto"/>
        <w:right w:val="none" w:sz="0" w:space="0" w:color="auto"/>
      </w:divBdr>
    </w:div>
    <w:div w:id="372930234">
      <w:marLeft w:val="0"/>
      <w:marRight w:val="0"/>
      <w:marTop w:val="0"/>
      <w:marBottom w:val="0"/>
      <w:divBdr>
        <w:top w:val="none" w:sz="0" w:space="0" w:color="auto"/>
        <w:left w:val="none" w:sz="0" w:space="0" w:color="auto"/>
        <w:bottom w:val="none" w:sz="0" w:space="0" w:color="auto"/>
        <w:right w:val="none" w:sz="0" w:space="0" w:color="auto"/>
      </w:divBdr>
    </w:div>
    <w:div w:id="373500490">
      <w:marLeft w:val="0"/>
      <w:marRight w:val="0"/>
      <w:marTop w:val="0"/>
      <w:marBottom w:val="0"/>
      <w:divBdr>
        <w:top w:val="none" w:sz="0" w:space="0" w:color="auto"/>
        <w:left w:val="none" w:sz="0" w:space="0" w:color="auto"/>
        <w:bottom w:val="none" w:sz="0" w:space="0" w:color="auto"/>
        <w:right w:val="none" w:sz="0" w:space="0" w:color="auto"/>
      </w:divBdr>
      <w:divsChild>
        <w:div w:id="855264642">
          <w:marLeft w:val="0"/>
          <w:marRight w:val="0"/>
          <w:marTop w:val="0"/>
          <w:marBottom w:val="0"/>
          <w:divBdr>
            <w:top w:val="none" w:sz="0" w:space="0" w:color="auto"/>
            <w:left w:val="none" w:sz="0" w:space="0" w:color="auto"/>
            <w:bottom w:val="none" w:sz="0" w:space="0" w:color="auto"/>
            <w:right w:val="none" w:sz="0" w:space="0" w:color="auto"/>
          </w:divBdr>
        </w:div>
      </w:divsChild>
    </w:div>
    <w:div w:id="375357433">
      <w:marLeft w:val="0"/>
      <w:marRight w:val="0"/>
      <w:marTop w:val="0"/>
      <w:marBottom w:val="0"/>
      <w:divBdr>
        <w:top w:val="none" w:sz="0" w:space="0" w:color="auto"/>
        <w:left w:val="none" w:sz="0" w:space="0" w:color="auto"/>
        <w:bottom w:val="none" w:sz="0" w:space="0" w:color="auto"/>
        <w:right w:val="none" w:sz="0" w:space="0" w:color="auto"/>
      </w:divBdr>
    </w:div>
    <w:div w:id="377439899">
      <w:marLeft w:val="0"/>
      <w:marRight w:val="0"/>
      <w:marTop w:val="0"/>
      <w:marBottom w:val="0"/>
      <w:divBdr>
        <w:top w:val="none" w:sz="0" w:space="0" w:color="auto"/>
        <w:left w:val="none" w:sz="0" w:space="0" w:color="auto"/>
        <w:bottom w:val="none" w:sz="0" w:space="0" w:color="auto"/>
        <w:right w:val="none" w:sz="0" w:space="0" w:color="auto"/>
      </w:divBdr>
    </w:div>
    <w:div w:id="378089665">
      <w:marLeft w:val="0"/>
      <w:marRight w:val="0"/>
      <w:marTop w:val="100"/>
      <w:marBottom w:val="100"/>
      <w:divBdr>
        <w:top w:val="none" w:sz="0" w:space="0" w:color="auto"/>
        <w:left w:val="none" w:sz="0" w:space="0" w:color="auto"/>
        <w:bottom w:val="none" w:sz="0" w:space="0" w:color="auto"/>
        <w:right w:val="none" w:sz="0" w:space="0" w:color="auto"/>
      </w:divBdr>
    </w:div>
    <w:div w:id="378436690">
      <w:marLeft w:val="0"/>
      <w:marRight w:val="0"/>
      <w:marTop w:val="0"/>
      <w:marBottom w:val="0"/>
      <w:divBdr>
        <w:top w:val="none" w:sz="0" w:space="0" w:color="auto"/>
        <w:left w:val="none" w:sz="0" w:space="0" w:color="auto"/>
        <w:bottom w:val="none" w:sz="0" w:space="0" w:color="auto"/>
        <w:right w:val="none" w:sz="0" w:space="0" w:color="auto"/>
      </w:divBdr>
      <w:divsChild>
        <w:div w:id="912667108">
          <w:marLeft w:val="0"/>
          <w:marRight w:val="0"/>
          <w:marTop w:val="0"/>
          <w:marBottom w:val="0"/>
          <w:divBdr>
            <w:top w:val="none" w:sz="0" w:space="0" w:color="auto"/>
            <w:left w:val="none" w:sz="0" w:space="0" w:color="auto"/>
            <w:bottom w:val="none" w:sz="0" w:space="0" w:color="auto"/>
            <w:right w:val="none" w:sz="0" w:space="0" w:color="auto"/>
          </w:divBdr>
        </w:div>
      </w:divsChild>
    </w:div>
    <w:div w:id="380254597">
      <w:marLeft w:val="0"/>
      <w:marRight w:val="0"/>
      <w:marTop w:val="0"/>
      <w:marBottom w:val="0"/>
      <w:divBdr>
        <w:top w:val="none" w:sz="0" w:space="0" w:color="auto"/>
        <w:left w:val="none" w:sz="0" w:space="0" w:color="auto"/>
        <w:bottom w:val="none" w:sz="0" w:space="0" w:color="auto"/>
        <w:right w:val="none" w:sz="0" w:space="0" w:color="auto"/>
      </w:divBdr>
    </w:div>
    <w:div w:id="384253925">
      <w:marLeft w:val="0"/>
      <w:marRight w:val="0"/>
      <w:marTop w:val="80"/>
      <w:marBottom w:val="0"/>
      <w:divBdr>
        <w:top w:val="none" w:sz="0" w:space="0" w:color="auto"/>
        <w:left w:val="none" w:sz="0" w:space="0" w:color="auto"/>
        <w:bottom w:val="none" w:sz="0" w:space="0" w:color="auto"/>
        <w:right w:val="none" w:sz="0" w:space="0" w:color="auto"/>
      </w:divBdr>
    </w:div>
    <w:div w:id="384837597">
      <w:marLeft w:val="0"/>
      <w:marRight w:val="0"/>
      <w:marTop w:val="0"/>
      <w:marBottom w:val="0"/>
      <w:divBdr>
        <w:top w:val="none" w:sz="0" w:space="0" w:color="auto"/>
        <w:left w:val="none" w:sz="0" w:space="0" w:color="auto"/>
        <w:bottom w:val="none" w:sz="0" w:space="0" w:color="auto"/>
        <w:right w:val="none" w:sz="0" w:space="0" w:color="auto"/>
      </w:divBdr>
    </w:div>
    <w:div w:id="386340634">
      <w:marLeft w:val="0"/>
      <w:marRight w:val="0"/>
      <w:marTop w:val="280"/>
      <w:marBottom w:val="0"/>
      <w:divBdr>
        <w:top w:val="none" w:sz="0" w:space="0" w:color="auto"/>
        <w:left w:val="none" w:sz="0" w:space="0" w:color="auto"/>
        <w:bottom w:val="none" w:sz="0" w:space="0" w:color="auto"/>
        <w:right w:val="none" w:sz="0" w:space="0" w:color="auto"/>
      </w:divBdr>
    </w:div>
    <w:div w:id="387723304">
      <w:marLeft w:val="0"/>
      <w:marRight w:val="0"/>
      <w:marTop w:val="0"/>
      <w:marBottom w:val="0"/>
      <w:divBdr>
        <w:top w:val="none" w:sz="0" w:space="0" w:color="auto"/>
        <w:left w:val="none" w:sz="0" w:space="0" w:color="auto"/>
        <w:bottom w:val="none" w:sz="0" w:space="0" w:color="auto"/>
        <w:right w:val="none" w:sz="0" w:space="0" w:color="auto"/>
      </w:divBdr>
    </w:div>
    <w:div w:id="388267341">
      <w:marLeft w:val="0"/>
      <w:marRight w:val="0"/>
      <w:marTop w:val="60"/>
      <w:marBottom w:val="60"/>
      <w:divBdr>
        <w:top w:val="none" w:sz="0" w:space="0" w:color="auto"/>
        <w:left w:val="none" w:sz="0" w:space="0" w:color="auto"/>
        <w:bottom w:val="none" w:sz="0" w:space="0" w:color="auto"/>
        <w:right w:val="none" w:sz="0" w:space="0" w:color="auto"/>
      </w:divBdr>
    </w:div>
    <w:div w:id="390081212">
      <w:marLeft w:val="0"/>
      <w:marRight w:val="0"/>
      <w:marTop w:val="100"/>
      <w:marBottom w:val="0"/>
      <w:divBdr>
        <w:top w:val="none" w:sz="0" w:space="0" w:color="auto"/>
        <w:left w:val="none" w:sz="0" w:space="0" w:color="auto"/>
        <w:bottom w:val="none" w:sz="0" w:space="0" w:color="auto"/>
        <w:right w:val="none" w:sz="0" w:space="0" w:color="auto"/>
      </w:divBdr>
    </w:div>
    <w:div w:id="393310292">
      <w:marLeft w:val="0"/>
      <w:marRight w:val="0"/>
      <w:marTop w:val="0"/>
      <w:marBottom w:val="0"/>
      <w:divBdr>
        <w:top w:val="none" w:sz="0" w:space="0" w:color="auto"/>
        <w:left w:val="none" w:sz="0" w:space="0" w:color="auto"/>
        <w:bottom w:val="none" w:sz="0" w:space="0" w:color="auto"/>
        <w:right w:val="none" w:sz="0" w:space="0" w:color="auto"/>
      </w:divBdr>
      <w:divsChild>
        <w:div w:id="836775136">
          <w:marLeft w:val="0"/>
          <w:marRight w:val="0"/>
          <w:marTop w:val="0"/>
          <w:marBottom w:val="0"/>
          <w:divBdr>
            <w:top w:val="none" w:sz="0" w:space="0" w:color="auto"/>
            <w:left w:val="none" w:sz="0" w:space="0" w:color="auto"/>
            <w:bottom w:val="none" w:sz="0" w:space="0" w:color="auto"/>
            <w:right w:val="none" w:sz="0" w:space="0" w:color="auto"/>
          </w:divBdr>
        </w:div>
      </w:divsChild>
    </w:div>
    <w:div w:id="396325302">
      <w:marLeft w:val="0"/>
      <w:marRight w:val="0"/>
      <w:marTop w:val="0"/>
      <w:marBottom w:val="0"/>
      <w:divBdr>
        <w:top w:val="none" w:sz="0" w:space="0" w:color="auto"/>
        <w:left w:val="none" w:sz="0" w:space="0" w:color="auto"/>
        <w:bottom w:val="none" w:sz="0" w:space="0" w:color="auto"/>
        <w:right w:val="none" w:sz="0" w:space="0" w:color="auto"/>
      </w:divBdr>
      <w:divsChild>
        <w:div w:id="488444329">
          <w:marLeft w:val="0"/>
          <w:marRight w:val="0"/>
          <w:marTop w:val="0"/>
          <w:marBottom w:val="0"/>
          <w:divBdr>
            <w:top w:val="none" w:sz="0" w:space="0" w:color="auto"/>
            <w:left w:val="none" w:sz="0" w:space="0" w:color="auto"/>
            <w:bottom w:val="none" w:sz="0" w:space="0" w:color="auto"/>
            <w:right w:val="none" w:sz="0" w:space="0" w:color="auto"/>
          </w:divBdr>
        </w:div>
      </w:divsChild>
    </w:div>
    <w:div w:id="397555290">
      <w:marLeft w:val="0"/>
      <w:marRight w:val="0"/>
      <w:marTop w:val="0"/>
      <w:marBottom w:val="0"/>
      <w:divBdr>
        <w:top w:val="none" w:sz="0" w:space="0" w:color="auto"/>
        <w:left w:val="none" w:sz="0" w:space="0" w:color="auto"/>
        <w:bottom w:val="none" w:sz="0" w:space="0" w:color="auto"/>
        <w:right w:val="none" w:sz="0" w:space="0" w:color="auto"/>
      </w:divBdr>
      <w:divsChild>
        <w:div w:id="1823228866">
          <w:marLeft w:val="0"/>
          <w:marRight w:val="0"/>
          <w:marTop w:val="0"/>
          <w:marBottom w:val="0"/>
          <w:divBdr>
            <w:top w:val="none" w:sz="0" w:space="0" w:color="auto"/>
            <w:left w:val="none" w:sz="0" w:space="0" w:color="auto"/>
            <w:bottom w:val="none" w:sz="0" w:space="0" w:color="auto"/>
            <w:right w:val="none" w:sz="0" w:space="0" w:color="auto"/>
          </w:divBdr>
        </w:div>
      </w:divsChild>
    </w:div>
    <w:div w:id="399520444">
      <w:marLeft w:val="0"/>
      <w:marRight w:val="0"/>
      <w:marTop w:val="0"/>
      <w:marBottom w:val="0"/>
      <w:divBdr>
        <w:top w:val="none" w:sz="0" w:space="0" w:color="auto"/>
        <w:left w:val="none" w:sz="0" w:space="0" w:color="auto"/>
        <w:bottom w:val="none" w:sz="0" w:space="0" w:color="auto"/>
        <w:right w:val="none" w:sz="0" w:space="0" w:color="auto"/>
      </w:divBdr>
      <w:divsChild>
        <w:div w:id="198326883">
          <w:marLeft w:val="0"/>
          <w:marRight w:val="0"/>
          <w:marTop w:val="0"/>
          <w:marBottom w:val="0"/>
          <w:divBdr>
            <w:top w:val="none" w:sz="0" w:space="0" w:color="auto"/>
            <w:left w:val="none" w:sz="0" w:space="0" w:color="auto"/>
            <w:bottom w:val="none" w:sz="0" w:space="0" w:color="auto"/>
            <w:right w:val="none" w:sz="0" w:space="0" w:color="auto"/>
          </w:divBdr>
        </w:div>
        <w:div w:id="2106418857">
          <w:marLeft w:val="0"/>
          <w:marRight w:val="0"/>
          <w:marTop w:val="0"/>
          <w:marBottom w:val="0"/>
          <w:divBdr>
            <w:top w:val="none" w:sz="0" w:space="0" w:color="auto"/>
            <w:left w:val="none" w:sz="0" w:space="0" w:color="auto"/>
            <w:bottom w:val="none" w:sz="0" w:space="0" w:color="auto"/>
            <w:right w:val="none" w:sz="0" w:space="0" w:color="auto"/>
          </w:divBdr>
        </w:div>
      </w:divsChild>
    </w:div>
    <w:div w:id="399670532">
      <w:marLeft w:val="0"/>
      <w:marRight w:val="0"/>
      <w:marTop w:val="0"/>
      <w:marBottom w:val="0"/>
      <w:divBdr>
        <w:top w:val="none" w:sz="0" w:space="0" w:color="auto"/>
        <w:left w:val="none" w:sz="0" w:space="0" w:color="auto"/>
        <w:bottom w:val="none" w:sz="0" w:space="0" w:color="auto"/>
        <w:right w:val="none" w:sz="0" w:space="0" w:color="auto"/>
      </w:divBdr>
    </w:div>
    <w:div w:id="400719368">
      <w:marLeft w:val="0"/>
      <w:marRight w:val="0"/>
      <w:marTop w:val="100"/>
      <w:marBottom w:val="0"/>
      <w:divBdr>
        <w:top w:val="none" w:sz="0" w:space="0" w:color="auto"/>
        <w:left w:val="none" w:sz="0" w:space="0" w:color="auto"/>
        <w:bottom w:val="none" w:sz="0" w:space="0" w:color="auto"/>
        <w:right w:val="none" w:sz="0" w:space="0" w:color="auto"/>
      </w:divBdr>
      <w:divsChild>
        <w:div w:id="1089349186">
          <w:marLeft w:val="0"/>
          <w:marRight w:val="0"/>
          <w:marTop w:val="0"/>
          <w:marBottom w:val="0"/>
          <w:divBdr>
            <w:top w:val="none" w:sz="0" w:space="0" w:color="auto"/>
            <w:left w:val="none" w:sz="0" w:space="0" w:color="auto"/>
            <w:bottom w:val="none" w:sz="0" w:space="0" w:color="auto"/>
            <w:right w:val="none" w:sz="0" w:space="0" w:color="auto"/>
          </w:divBdr>
        </w:div>
        <w:div w:id="866522367">
          <w:marLeft w:val="0"/>
          <w:marRight w:val="0"/>
          <w:marTop w:val="0"/>
          <w:marBottom w:val="0"/>
          <w:divBdr>
            <w:top w:val="none" w:sz="0" w:space="0" w:color="auto"/>
            <w:left w:val="none" w:sz="0" w:space="0" w:color="auto"/>
            <w:bottom w:val="none" w:sz="0" w:space="0" w:color="auto"/>
            <w:right w:val="none" w:sz="0" w:space="0" w:color="auto"/>
          </w:divBdr>
        </w:div>
        <w:div w:id="325714412">
          <w:marLeft w:val="0"/>
          <w:marRight w:val="0"/>
          <w:marTop w:val="0"/>
          <w:marBottom w:val="0"/>
          <w:divBdr>
            <w:top w:val="none" w:sz="0" w:space="0" w:color="auto"/>
            <w:left w:val="none" w:sz="0" w:space="0" w:color="auto"/>
            <w:bottom w:val="none" w:sz="0" w:space="0" w:color="auto"/>
            <w:right w:val="none" w:sz="0" w:space="0" w:color="auto"/>
          </w:divBdr>
        </w:div>
        <w:div w:id="1404454767">
          <w:marLeft w:val="0"/>
          <w:marRight w:val="0"/>
          <w:marTop w:val="0"/>
          <w:marBottom w:val="0"/>
          <w:divBdr>
            <w:top w:val="none" w:sz="0" w:space="0" w:color="auto"/>
            <w:left w:val="none" w:sz="0" w:space="0" w:color="auto"/>
            <w:bottom w:val="none" w:sz="0" w:space="0" w:color="auto"/>
            <w:right w:val="none" w:sz="0" w:space="0" w:color="auto"/>
          </w:divBdr>
        </w:div>
        <w:div w:id="233853990">
          <w:marLeft w:val="0"/>
          <w:marRight w:val="0"/>
          <w:marTop w:val="0"/>
          <w:marBottom w:val="0"/>
          <w:divBdr>
            <w:top w:val="none" w:sz="0" w:space="0" w:color="auto"/>
            <w:left w:val="none" w:sz="0" w:space="0" w:color="auto"/>
            <w:bottom w:val="none" w:sz="0" w:space="0" w:color="auto"/>
            <w:right w:val="none" w:sz="0" w:space="0" w:color="auto"/>
          </w:divBdr>
        </w:div>
        <w:div w:id="1771315907">
          <w:marLeft w:val="0"/>
          <w:marRight w:val="0"/>
          <w:marTop w:val="0"/>
          <w:marBottom w:val="0"/>
          <w:divBdr>
            <w:top w:val="none" w:sz="0" w:space="0" w:color="auto"/>
            <w:left w:val="none" w:sz="0" w:space="0" w:color="auto"/>
            <w:bottom w:val="none" w:sz="0" w:space="0" w:color="auto"/>
            <w:right w:val="none" w:sz="0" w:space="0" w:color="auto"/>
          </w:divBdr>
        </w:div>
        <w:div w:id="387925591">
          <w:marLeft w:val="0"/>
          <w:marRight w:val="0"/>
          <w:marTop w:val="0"/>
          <w:marBottom w:val="0"/>
          <w:divBdr>
            <w:top w:val="none" w:sz="0" w:space="0" w:color="auto"/>
            <w:left w:val="none" w:sz="0" w:space="0" w:color="auto"/>
            <w:bottom w:val="none" w:sz="0" w:space="0" w:color="auto"/>
            <w:right w:val="none" w:sz="0" w:space="0" w:color="auto"/>
          </w:divBdr>
        </w:div>
        <w:div w:id="476264528">
          <w:marLeft w:val="0"/>
          <w:marRight w:val="0"/>
          <w:marTop w:val="0"/>
          <w:marBottom w:val="0"/>
          <w:divBdr>
            <w:top w:val="none" w:sz="0" w:space="0" w:color="auto"/>
            <w:left w:val="none" w:sz="0" w:space="0" w:color="auto"/>
            <w:bottom w:val="none" w:sz="0" w:space="0" w:color="auto"/>
            <w:right w:val="none" w:sz="0" w:space="0" w:color="auto"/>
          </w:divBdr>
        </w:div>
        <w:div w:id="10423090">
          <w:marLeft w:val="0"/>
          <w:marRight w:val="0"/>
          <w:marTop w:val="0"/>
          <w:marBottom w:val="0"/>
          <w:divBdr>
            <w:top w:val="none" w:sz="0" w:space="0" w:color="auto"/>
            <w:left w:val="none" w:sz="0" w:space="0" w:color="auto"/>
            <w:bottom w:val="none" w:sz="0" w:space="0" w:color="auto"/>
            <w:right w:val="none" w:sz="0" w:space="0" w:color="auto"/>
          </w:divBdr>
        </w:div>
        <w:div w:id="103616446">
          <w:marLeft w:val="0"/>
          <w:marRight w:val="0"/>
          <w:marTop w:val="0"/>
          <w:marBottom w:val="0"/>
          <w:divBdr>
            <w:top w:val="none" w:sz="0" w:space="0" w:color="auto"/>
            <w:left w:val="none" w:sz="0" w:space="0" w:color="auto"/>
            <w:bottom w:val="none" w:sz="0" w:space="0" w:color="auto"/>
            <w:right w:val="none" w:sz="0" w:space="0" w:color="auto"/>
          </w:divBdr>
        </w:div>
        <w:div w:id="72826111">
          <w:marLeft w:val="0"/>
          <w:marRight w:val="0"/>
          <w:marTop w:val="0"/>
          <w:marBottom w:val="0"/>
          <w:divBdr>
            <w:top w:val="none" w:sz="0" w:space="0" w:color="auto"/>
            <w:left w:val="none" w:sz="0" w:space="0" w:color="auto"/>
            <w:bottom w:val="none" w:sz="0" w:space="0" w:color="auto"/>
            <w:right w:val="none" w:sz="0" w:space="0" w:color="auto"/>
          </w:divBdr>
        </w:div>
        <w:div w:id="489758189">
          <w:marLeft w:val="0"/>
          <w:marRight w:val="0"/>
          <w:marTop w:val="0"/>
          <w:marBottom w:val="0"/>
          <w:divBdr>
            <w:top w:val="none" w:sz="0" w:space="0" w:color="auto"/>
            <w:left w:val="none" w:sz="0" w:space="0" w:color="auto"/>
            <w:bottom w:val="none" w:sz="0" w:space="0" w:color="auto"/>
            <w:right w:val="none" w:sz="0" w:space="0" w:color="auto"/>
          </w:divBdr>
        </w:div>
        <w:div w:id="251358081">
          <w:marLeft w:val="0"/>
          <w:marRight w:val="0"/>
          <w:marTop w:val="0"/>
          <w:marBottom w:val="0"/>
          <w:divBdr>
            <w:top w:val="none" w:sz="0" w:space="0" w:color="auto"/>
            <w:left w:val="none" w:sz="0" w:space="0" w:color="auto"/>
            <w:bottom w:val="none" w:sz="0" w:space="0" w:color="auto"/>
            <w:right w:val="none" w:sz="0" w:space="0" w:color="auto"/>
          </w:divBdr>
        </w:div>
        <w:div w:id="1249123037">
          <w:marLeft w:val="0"/>
          <w:marRight w:val="0"/>
          <w:marTop w:val="0"/>
          <w:marBottom w:val="0"/>
          <w:divBdr>
            <w:top w:val="none" w:sz="0" w:space="0" w:color="auto"/>
            <w:left w:val="none" w:sz="0" w:space="0" w:color="auto"/>
            <w:bottom w:val="none" w:sz="0" w:space="0" w:color="auto"/>
            <w:right w:val="none" w:sz="0" w:space="0" w:color="auto"/>
          </w:divBdr>
        </w:div>
        <w:div w:id="575867437">
          <w:marLeft w:val="0"/>
          <w:marRight w:val="0"/>
          <w:marTop w:val="0"/>
          <w:marBottom w:val="0"/>
          <w:divBdr>
            <w:top w:val="none" w:sz="0" w:space="0" w:color="auto"/>
            <w:left w:val="none" w:sz="0" w:space="0" w:color="auto"/>
            <w:bottom w:val="none" w:sz="0" w:space="0" w:color="auto"/>
            <w:right w:val="none" w:sz="0" w:space="0" w:color="auto"/>
          </w:divBdr>
        </w:div>
        <w:div w:id="1874345468">
          <w:marLeft w:val="0"/>
          <w:marRight w:val="0"/>
          <w:marTop w:val="0"/>
          <w:marBottom w:val="0"/>
          <w:divBdr>
            <w:top w:val="none" w:sz="0" w:space="0" w:color="auto"/>
            <w:left w:val="none" w:sz="0" w:space="0" w:color="auto"/>
            <w:bottom w:val="none" w:sz="0" w:space="0" w:color="auto"/>
            <w:right w:val="none" w:sz="0" w:space="0" w:color="auto"/>
          </w:divBdr>
        </w:div>
        <w:div w:id="266079170">
          <w:marLeft w:val="0"/>
          <w:marRight w:val="0"/>
          <w:marTop w:val="0"/>
          <w:marBottom w:val="0"/>
          <w:divBdr>
            <w:top w:val="none" w:sz="0" w:space="0" w:color="auto"/>
            <w:left w:val="none" w:sz="0" w:space="0" w:color="auto"/>
            <w:bottom w:val="none" w:sz="0" w:space="0" w:color="auto"/>
            <w:right w:val="none" w:sz="0" w:space="0" w:color="auto"/>
          </w:divBdr>
        </w:div>
        <w:div w:id="182329474">
          <w:marLeft w:val="0"/>
          <w:marRight w:val="0"/>
          <w:marTop w:val="0"/>
          <w:marBottom w:val="0"/>
          <w:divBdr>
            <w:top w:val="none" w:sz="0" w:space="0" w:color="auto"/>
            <w:left w:val="none" w:sz="0" w:space="0" w:color="auto"/>
            <w:bottom w:val="none" w:sz="0" w:space="0" w:color="auto"/>
            <w:right w:val="none" w:sz="0" w:space="0" w:color="auto"/>
          </w:divBdr>
        </w:div>
        <w:div w:id="993220721">
          <w:marLeft w:val="0"/>
          <w:marRight w:val="0"/>
          <w:marTop w:val="0"/>
          <w:marBottom w:val="0"/>
          <w:divBdr>
            <w:top w:val="none" w:sz="0" w:space="0" w:color="auto"/>
            <w:left w:val="none" w:sz="0" w:space="0" w:color="auto"/>
            <w:bottom w:val="none" w:sz="0" w:space="0" w:color="auto"/>
            <w:right w:val="none" w:sz="0" w:space="0" w:color="auto"/>
          </w:divBdr>
        </w:div>
        <w:div w:id="2005929877">
          <w:marLeft w:val="0"/>
          <w:marRight w:val="0"/>
          <w:marTop w:val="0"/>
          <w:marBottom w:val="0"/>
          <w:divBdr>
            <w:top w:val="none" w:sz="0" w:space="0" w:color="auto"/>
            <w:left w:val="none" w:sz="0" w:space="0" w:color="auto"/>
            <w:bottom w:val="none" w:sz="0" w:space="0" w:color="auto"/>
            <w:right w:val="none" w:sz="0" w:space="0" w:color="auto"/>
          </w:divBdr>
        </w:div>
        <w:div w:id="1115442149">
          <w:marLeft w:val="0"/>
          <w:marRight w:val="0"/>
          <w:marTop w:val="0"/>
          <w:marBottom w:val="0"/>
          <w:divBdr>
            <w:top w:val="none" w:sz="0" w:space="0" w:color="auto"/>
            <w:left w:val="none" w:sz="0" w:space="0" w:color="auto"/>
            <w:bottom w:val="none" w:sz="0" w:space="0" w:color="auto"/>
            <w:right w:val="none" w:sz="0" w:space="0" w:color="auto"/>
          </w:divBdr>
        </w:div>
        <w:div w:id="608515503">
          <w:marLeft w:val="0"/>
          <w:marRight w:val="0"/>
          <w:marTop w:val="0"/>
          <w:marBottom w:val="0"/>
          <w:divBdr>
            <w:top w:val="none" w:sz="0" w:space="0" w:color="auto"/>
            <w:left w:val="none" w:sz="0" w:space="0" w:color="auto"/>
            <w:bottom w:val="none" w:sz="0" w:space="0" w:color="auto"/>
            <w:right w:val="none" w:sz="0" w:space="0" w:color="auto"/>
          </w:divBdr>
        </w:div>
        <w:div w:id="442917553">
          <w:marLeft w:val="0"/>
          <w:marRight w:val="0"/>
          <w:marTop w:val="0"/>
          <w:marBottom w:val="0"/>
          <w:divBdr>
            <w:top w:val="none" w:sz="0" w:space="0" w:color="auto"/>
            <w:left w:val="none" w:sz="0" w:space="0" w:color="auto"/>
            <w:bottom w:val="none" w:sz="0" w:space="0" w:color="auto"/>
            <w:right w:val="none" w:sz="0" w:space="0" w:color="auto"/>
          </w:divBdr>
        </w:div>
      </w:divsChild>
    </w:div>
    <w:div w:id="408187801">
      <w:marLeft w:val="0"/>
      <w:marRight w:val="0"/>
      <w:marTop w:val="0"/>
      <w:marBottom w:val="0"/>
      <w:divBdr>
        <w:top w:val="none" w:sz="0" w:space="0" w:color="auto"/>
        <w:left w:val="none" w:sz="0" w:space="0" w:color="auto"/>
        <w:bottom w:val="none" w:sz="0" w:space="0" w:color="auto"/>
        <w:right w:val="none" w:sz="0" w:space="0" w:color="auto"/>
      </w:divBdr>
    </w:div>
    <w:div w:id="408770400">
      <w:marLeft w:val="0"/>
      <w:marRight w:val="0"/>
      <w:marTop w:val="0"/>
      <w:marBottom w:val="0"/>
      <w:divBdr>
        <w:top w:val="none" w:sz="0" w:space="0" w:color="auto"/>
        <w:left w:val="none" w:sz="0" w:space="0" w:color="auto"/>
        <w:bottom w:val="none" w:sz="0" w:space="0" w:color="auto"/>
        <w:right w:val="none" w:sz="0" w:space="0" w:color="auto"/>
      </w:divBdr>
    </w:div>
    <w:div w:id="409422627">
      <w:marLeft w:val="0"/>
      <w:marRight w:val="0"/>
      <w:marTop w:val="0"/>
      <w:marBottom w:val="0"/>
      <w:divBdr>
        <w:top w:val="none" w:sz="0" w:space="0" w:color="auto"/>
        <w:left w:val="none" w:sz="0" w:space="0" w:color="auto"/>
        <w:bottom w:val="none" w:sz="0" w:space="0" w:color="auto"/>
        <w:right w:val="none" w:sz="0" w:space="0" w:color="auto"/>
      </w:divBdr>
      <w:divsChild>
        <w:div w:id="1495219545">
          <w:marLeft w:val="0"/>
          <w:marRight w:val="0"/>
          <w:marTop w:val="0"/>
          <w:marBottom w:val="0"/>
          <w:divBdr>
            <w:top w:val="none" w:sz="0" w:space="0" w:color="auto"/>
            <w:left w:val="none" w:sz="0" w:space="0" w:color="auto"/>
            <w:bottom w:val="none" w:sz="0" w:space="0" w:color="auto"/>
            <w:right w:val="none" w:sz="0" w:space="0" w:color="auto"/>
          </w:divBdr>
        </w:div>
      </w:divsChild>
    </w:div>
    <w:div w:id="413406245">
      <w:marLeft w:val="0"/>
      <w:marRight w:val="0"/>
      <w:marTop w:val="0"/>
      <w:marBottom w:val="0"/>
      <w:divBdr>
        <w:top w:val="none" w:sz="0" w:space="0" w:color="auto"/>
        <w:left w:val="none" w:sz="0" w:space="0" w:color="auto"/>
        <w:bottom w:val="none" w:sz="0" w:space="0" w:color="auto"/>
        <w:right w:val="none" w:sz="0" w:space="0" w:color="auto"/>
      </w:divBdr>
    </w:div>
    <w:div w:id="414085060">
      <w:marLeft w:val="0"/>
      <w:marRight w:val="0"/>
      <w:marTop w:val="0"/>
      <w:marBottom w:val="0"/>
      <w:divBdr>
        <w:top w:val="none" w:sz="0" w:space="0" w:color="auto"/>
        <w:left w:val="none" w:sz="0" w:space="0" w:color="auto"/>
        <w:bottom w:val="none" w:sz="0" w:space="0" w:color="auto"/>
        <w:right w:val="none" w:sz="0" w:space="0" w:color="auto"/>
      </w:divBdr>
      <w:divsChild>
        <w:div w:id="492374848">
          <w:marLeft w:val="0"/>
          <w:marRight w:val="0"/>
          <w:marTop w:val="0"/>
          <w:marBottom w:val="0"/>
          <w:divBdr>
            <w:top w:val="none" w:sz="0" w:space="0" w:color="auto"/>
            <w:left w:val="none" w:sz="0" w:space="0" w:color="auto"/>
            <w:bottom w:val="none" w:sz="0" w:space="0" w:color="auto"/>
            <w:right w:val="none" w:sz="0" w:space="0" w:color="auto"/>
          </w:divBdr>
        </w:div>
      </w:divsChild>
    </w:div>
    <w:div w:id="415903544">
      <w:marLeft w:val="0"/>
      <w:marRight w:val="0"/>
      <w:marTop w:val="100"/>
      <w:marBottom w:val="0"/>
      <w:divBdr>
        <w:top w:val="none" w:sz="0" w:space="0" w:color="auto"/>
        <w:left w:val="none" w:sz="0" w:space="0" w:color="auto"/>
        <w:bottom w:val="none" w:sz="0" w:space="0" w:color="auto"/>
        <w:right w:val="none" w:sz="0" w:space="0" w:color="auto"/>
      </w:divBdr>
    </w:div>
    <w:div w:id="419446858">
      <w:marLeft w:val="0"/>
      <w:marRight w:val="0"/>
      <w:marTop w:val="0"/>
      <w:marBottom w:val="60"/>
      <w:divBdr>
        <w:top w:val="none" w:sz="0" w:space="0" w:color="auto"/>
        <w:left w:val="none" w:sz="0" w:space="0" w:color="auto"/>
        <w:bottom w:val="none" w:sz="0" w:space="0" w:color="auto"/>
        <w:right w:val="none" w:sz="0" w:space="0" w:color="auto"/>
      </w:divBdr>
    </w:div>
    <w:div w:id="423428566">
      <w:marLeft w:val="0"/>
      <w:marRight w:val="0"/>
      <w:marTop w:val="0"/>
      <w:marBottom w:val="0"/>
      <w:divBdr>
        <w:top w:val="none" w:sz="0" w:space="0" w:color="auto"/>
        <w:left w:val="none" w:sz="0" w:space="0" w:color="auto"/>
        <w:bottom w:val="none" w:sz="0" w:space="0" w:color="auto"/>
        <w:right w:val="none" w:sz="0" w:space="0" w:color="auto"/>
      </w:divBdr>
    </w:div>
    <w:div w:id="424571954">
      <w:marLeft w:val="0"/>
      <w:marRight w:val="0"/>
      <w:marTop w:val="0"/>
      <w:marBottom w:val="0"/>
      <w:divBdr>
        <w:top w:val="none" w:sz="0" w:space="0" w:color="auto"/>
        <w:left w:val="none" w:sz="0" w:space="0" w:color="auto"/>
        <w:bottom w:val="none" w:sz="0" w:space="0" w:color="auto"/>
        <w:right w:val="none" w:sz="0" w:space="0" w:color="auto"/>
      </w:divBdr>
    </w:div>
    <w:div w:id="425541109">
      <w:marLeft w:val="0"/>
      <w:marRight w:val="0"/>
      <w:marTop w:val="0"/>
      <w:marBottom w:val="0"/>
      <w:divBdr>
        <w:top w:val="none" w:sz="0" w:space="0" w:color="auto"/>
        <w:left w:val="none" w:sz="0" w:space="0" w:color="auto"/>
        <w:bottom w:val="none" w:sz="0" w:space="0" w:color="auto"/>
        <w:right w:val="none" w:sz="0" w:space="0" w:color="auto"/>
      </w:divBdr>
      <w:divsChild>
        <w:div w:id="1705984285">
          <w:marLeft w:val="0"/>
          <w:marRight w:val="0"/>
          <w:marTop w:val="0"/>
          <w:marBottom w:val="0"/>
          <w:divBdr>
            <w:top w:val="none" w:sz="0" w:space="0" w:color="auto"/>
            <w:left w:val="none" w:sz="0" w:space="0" w:color="auto"/>
            <w:bottom w:val="none" w:sz="0" w:space="0" w:color="auto"/>
            <w:right w:val="none" w:sz="0" w:space="0" w:color="auto"/>
          </w:divBdr>
        </w:div>
      </w:divsChild>
    </w:div>
    <w:div w:id="425613079">
      <w:marLeft w:val="0"/>
      <w:marRight w:val="0"/>
      <w:marTop w:val="120"/>
      <w:marBottom w:val="120"/>
      <w:divBdr>
        <w:top w:val="none" w:sz="0" w:space="0" w:color="auto"/>
        <w:left w:val="none" w:sz="0" w:space="0" w:color="auto"/>
        <w:bottom w:val="none" w:sz="0" w:space="0" w:color="auto"/>
        <w:right w:val="none" w:sz="0" w:space="0" w:color="auto"/>
      </w:divBdr>
    </w:div>
    <w:div w:id="425807574">
      <w:marLeft w:val="0"/>
      <w:marRight w:val="0"/>
      <w:marTop w:val="0"/>
      <w:marBottom w:val="0"/>
      <w:divBdr>
        <w:top w:val="none" w:sz="0" w:space="0" w:color="auto"/>
        <w:left w:val="none" w:sz="0" w:space="0" w:color="auto"/>
        <w:bottom w:val="none" w:sz="0" w:space="0" w:color="auto"/>
        <w:right w:val="none" w:sz="0" w:space="0" w:color="auto"/>
      </w:divBdr>
      <w:divsChild>
        <w:div w:id="733282435">
          <w:marLeft w:val="0"/>
          <w:marRight w:val="0"/>
          <w:marTop w:val="0"/>
          <w:marBottom w:val="0"/>
          <w:divBdr>
            <w:top w:val="none" w:sz="0" w:space="0" w:color="auto"/>
            <w:left w:val="none" w:sz="0" w:space="0" w:color="auto"/>
            <w:bottom w:val="none" w:sz="0" w:space="0" w:color="auto"/>
            <w:right w:val="none" w:sz="0" w:space="0" w:color="auto"/>
          </w:divBdr>
        </w:div>
      </w:divsChild>
    </w:div>
    <w:div w:id="426737104">
      <w:marLeft w:val="0"/>
      <w:marRight w:val="0"/>
      <w:marTop w:val="0"/>
      <w:marBottom w:val="0"/>
      <w:divBdr>
        <w:top w:val="none" w:sz="0" w:space="0" w:color="auto"/>
        <w:left w:val="none" w:sz="0" w:space="0" w:color="auto"/>
        <w:bottom w:val="none" w:sz="0" w:space="0" w:color="auto"/>
        <w:right w:val="none" w:sz="0" w:space="0" w:color="auto"/>
      </w:divBdr>
      <w:divsChild>
        <w:div w:id="1355963616">
          <w:marLeft w:val="0"/>
          <w:marRight w:val="0"/>
          <w:marTop w:val="0"/>
          <w:marBottom w:val="0"/>
          <w:divBdr>
            <w:top w:val="none" w:sz="0" w:space="0" w:color="auto"/>
            <w:left w:val="none" w:sz="0" w:space="0" w:color="auto"/>
            <w:bottom w:val="none" w:sz="0" w:space="0" w:color="auto"/>
            <w:right w:val="none" w:sz="0" w:space="0" w:color="auto"/>
          </w:divBdr>
        </w:div>
      </w:divsChild>
    </w:div>
    <w:div w:id="426771501">
      <w:marLeft w:val="0"/>
      <w:marRight w:val="0"/>
      <w:marTop w:val="0"/>
      <w:marBottom w:val="0"/>
      <w:divBdr>
        <w:top w:val="none" w:sz="0" w:space="0" w:color="auto"/>
        <w:left w:val="none" w:sz="0" w:space="0" w:color="auto"/>
        <w:bottom w:val="none" w:sz="0" w:space="0" w:color="auto"/>
        <w:right w:val="none" w:sz="0" w:space="0" w:color="auto"/>
      </w:divBdr>
    </w:div>
    <w:div w:id="428815212">
      <w:marLeft w:val="0"/>
      <w:marRight w:val="0"/>
      <w:marTop w:val="120"/>
      <w:marBottom w:val="120"/>
      <w:divBdr>
        <w:top w:val="none" w:sz="0" w:space="0" w:color="auto"/>
        <w:left w:val="none" w:sz="0" w:space="0" w:color="auto"/>
        <w:bottom w:val="none" w:sz="0" w:space="0" w:color="auto"/>
        <w:right w:val="none" w:sz="0" w:space="0" w:color="auto"/>
      </w:divBdr>
    </w:div>
    <w:div w:id="430052768">
      <w:marLeft w:val="0"/>
      <w:marRight w:val="0"/>
      <w:marTop w:val="100"/>
      <w:marBottom w:val="0"/>
      <w:divBdr>
        <w:top w:val="none" w:sz="0" w:space="0" w:color="auto"/>
        <w:left w:val="none" w:sz="0" w:space="0" w:color="auto"/>
        <w:bottom w:val="none" w:sz="0" w:space="0" w:color="auto"/>
        <w:right w:val="none" w:sz="0" w:space="0" w:color="auto"/>
      </w:divBdr>
    </w:div>
    <w:div w:id="430204670">
      <w:marLeft w:val="0"/>
      <w:marRight w:val="0"/>
      <w:marTop w:val="0"/>
      <w:marBottom w:val="0"/>
      <w:divBdr>
        <w:top w:val="none" w:sz="0" w:space="0" w:color="auto"/>
        <w:left w:val="none" w:sz="0" w:space="0" w:color="auto"/>
        <w:bottom w:val="none" w:sz="0" w:space="0" w:color="auto"/>
        <w:right w:val="none" w:sz="0" w:space="0" w:color="auto"/>
      </w:divBdr>
      <w:divsChild>
        <w:div w:id="703942042">
          <w:marLeft w:val="0"/>
          <w:marRight w:val="0"/>
          <w:marTop w:val="0"/>
          <w:marBottom w:val="0"/>
          <w:divBdr>
            <w:top w:val="none" w:sz="0" w:space="0" w:color="auto"/>
            <w:left w:val="none" w:sz="0" w:space="0" w:color="auto"/>
            <w:bottom w:val="none" w:sz="0" w:space="0" w:color="auto"/>
            <w:right w:val="none" w:sz="0" w:space="0" w:color="auto"/>
          </w:divBdr>
        </w:div>
        <w:div w:id="664476327">
          <w:marLeft w:val="0"/>
          <w:marRight w:val="0"/>
          <w:marTop w:val="0"/>
          <w:marBottom w:val="0"/>
          <w:divBdr>
            <w:top w:val="none" w:sz="0" w:space="0" w:color="auto"/>
            <w:left w:val="none" w:sz="0" w:space="0" w:color="auto"/>
            <w:bottom w:val="none" w:sz="0" w:space="0" w:color="auto"/>
            <w:right w:val="none" w:sz="0" w:space="0" w:color="auto"/>
          </w:divBdr>
        </w:div>
      </w:divsChild>
    </w:div>
    <w:div w:id="433092328">
      <w:marLeft w:val="0"/>
      <w:marRight w:val="0"/>
      <w:marTop w:val="0"/>
      <w:marBottom w:val="0"/>
      <w:divBdr>
        <w:top w:val="none" w:sz="0" w:space="0" w:color="auto"/>
        <w:left w:val="none" w:sz="0" w:space="0" w:color="auto"/>
        <w:bottom w:val="none" w:sz="0" w:space="0" w:color="auto"/>
        <w:right w:val="none" w:sz="0" w:space="0" w:color="auto"/>
      </w:divBdr>
    </w:div>
    <w:div w:id="439683052">
      <w:marLeft w:val="0"/>
      <w:marRight w:val="0"/>
      <w:marTop w:val="0"/>
      <w:marBottom w:val="0"/>
      <w:divBdr>
        <w:top w:val="none" w:sz="0" w:space="0" w:color="auto"/>
        <w:left w:val="none" w:sz="0" w:space="0" w:color="auto"/>
        <w:bottom w:val="none" w:sz="0" w:space="0" w:color="auto"/>
        <w:right w:val="none" w:sz="0" w:space="0" w:color="auto"/>
      </w:divBdr>
    </w:div>
    <w:div w:id="440271977">
      <w:marLeft w:val="0"/>
      <w:marRight w:val="0"/>
      <w:marTop w:val="0"/>
      <w:marBottom w:val="0"/>
      <w:divBdr>
        <w:top w:val="none" w:sz="0" w:space="0" w:color="auto"/>
        <w:left w:val="none" w:sz="0" w:space="0" w:color="auto"/>
        <w:bottom w:val="none" w:sz="0" w:space="0" w:color="auto"/>
        <w:right w:val="none" w:sz="0" w:space="0" w:color="auto"/>
      </w:divBdr>
      <w:divsChild>
        <w:div w:id="1173571686">
          <w:marLeft w:val="0"/>
          <w:marRight w:val="0"/>
          <w:marTop w:val="0"/>
          <w:marBottom w:val="0"/>
          <w:divBdr>
            <w:top w:val="none" w:sz="0" w:space="0" w:color="auto"/>
            <w:left w:val="none" w:sz="0" w:space="0" w:color="auto"/>
            <w:bottom w:val="none" w:sz="0" w:space="0" w:color="auto"/>
            <w:right w:val="none" w:sz="0" w:space="0" w:color="auto"/>
          </w:divBdr>
        </w:div>
      </w:divsChild>
    </w:div>
    <w:div w:id="442917098">
      <w:marLeft w:val="0"/>
      <w:marRight w:val="0"/>
      <w:marTop w:val="0"/>
      <w:marBottom w:val="0"/>
      <w:divBdr>
        <w:top w:val="none" w:sz="0" w:space="0" w:color="auto"/>
        <w:left w:val="none" w:sz="0" w:space="0" w:color="auto"/>
        <w:bottom w:val="none" w:sz="0" w:space="0" w:color="auto"/>
        <w:right w:val="none" w:sz="0" w:space="0" w:color="auto"/>
      </w:divBdr>
    </w:div>
    <w:div w:id="445080221">
      <w:marLeft w:val="0"/>
      <w:marRight w:val="0"/>
      <w:marTop w:val="0"/>
      <w:marBottom w:val="0"/>
      <w:divBdr>
        <w:top w:val="none" w:sz="0" w:space="0" w:color="auto"/>
        <w:left w:val="none" w:sz="0" w:space="0" w:color="auto"/>
        <w:bottom w:val="none" w:sz="0" w:space="0" w:color="auto"/>
        <w:right w:val="none" w:sz="0" w:space="0" w:color="auto"/>
      </w:divBdr>
      <w:divsChild>
        <w:div w:id="753935246">
          <w:marLeft w:val="0"/>
          <w:marRight w:val="0"/>
          <w:marTop w:val="0"/>
          <w:marBottom w:val="0"/>
          <w:divBdr>
            <w:top w:val="none" w:sz="0" w:space="0" w:color="auto"/>
            <w:left w:val="none" w:sz="0" w:space="0" w:color="auto"/>
            <w:bottom w:val="none" w:sz="0" w:space="0" w:color="auto"/>
            <w:right w:val="none" w:sz="0" w:space="0" w:color="auto"/>
          </w:divBdr>
        </w:div>
      </w:divsChild>
    </w:div>
    <w:div w:id="446236128">
      <w:marLeft w:val="0"/>
      <w:marRight w:val="0"/>
      <w:marTop w:val="100"/>
      <w:marBottom w:val="0"/>
      <w:divBdr>
        <w:top w:val="none" w:sz="0" w:space="0" w:color="auto"/>
        <w:left w:val="none" w:sz="0" w:space="0" w:color="auto"/>
        <w:bottom w:val="none" w:sz="0" w:space="0" w:color="auto"/>
        <w:right w:val="none" w:sz="0" w:space="0" w:color="auto"/>
      </w:divBdr>
    </w:div>
    <w:div w:id="449596674">
      <w:marLeft w:val="0"/>
      <w:marRight w:val="0"/>
      <w:marTop w:val="0"/>
      <w:marBottom w:val="0"/>
      <w:divBdr>
        <w:top w:val="none" w:sz="0" w:space="0" w:color="auto"/>
        <w:left w:val="none" w:sz="0" w:space="0" w:color="auto"/>
        <w:bottom w:val="none" w:sz="0" w:space="0" w:color="auto"/>
        <w:right w:val="none" w:sz="0" w:space="0" w:color="auto"/>
      </w:divBdr>
    </w:div>
    <w:div w:id="450516708">
      <w:marLeft w:val="0"/>
      <w:marRight w:val="0"/>
      <w:marTop w:val="0"/>
      <w:marBottom w:val="0"/>
      <w:divBdr>
        <w:top w:val="none" w:sz="0" w:space="0" w:color="auto"/>
        <w:left w:val="none" w:sz="0" w:space="0" w:color="auto"/>
        <w:bottom w:val="none" w:sz="0" w:space="0" w:color="auto"/>
        <w:right w:val="none" w:sz="0" w:space="0" w:color="auto"/>
      </w:divBdr>
    </w:div>
    <w:div w:id="452673184">
      <w:marLeft w:val="0"/>
      <w:marRight w:val="0"/>
      <w:marTop w:val="0"/>
      <w:marBottom w:val="0"/>
      <w:divBdr>
        <w:top w:val="none" w:sz="0" w:space="0" w:color="auto"/>
        <w:left w:val="none" w:sz="0" w:space="0" w:color="auto"/>
        <w:bottom w:val="none" w:sz="0" w:space="0" w:color="auto"/>
        <w:right w:val="none" w:sz="0" w:space="0" w:color="auto"/>
      </w:divBdr>
    </w:div>
    <w:div w:id="452676174">
      <w:marLeft w:val="0"/>
      <w:marRight w:val="0"/>
      <w:marTop w:val="180"/>
      <w:marBottom w:val="0"/>
      <w:divBdr>
        <w:top w:val="none" w:sz="0" w:space="0" w:color="auto"/>
        <w:left w:val="none" w:sz="0" w:space="0" w:color="auto"/>
        <w:bottom w:val="none" w:sz="0" w:space="0" w:color="auto"/>
        <w:right w:val="none" w:sz="0" w:space="0" w:color="auto"/>
      </w:divBdr>
    </w:div>
    <w:div w:id="455832094">
      <w:marLeft w:val="0"/>
      <w:marRight w:val="0"/>
      <w:marTop w:val="0"/>
      <w:marBottom w:val="0"/>
      <w:divBdr>
        <w:top w:val="none" w:sz="0" w:space="0" w:color="auto"/>
        <w:left w:val="none" w:sz="0" w:space="0" w:color="auto"/>
        <w:bottom w:val="none" w:sz="0" w:space="0" w:color="auto"/>
        <w:right w:val="none" w:sz="0" w:space="0" w:color="auto"/>
      </w:divBdr>
    </w:div>
    <w:div w:id="458187505">
      <w:marLeft w:val="0"/>
      <w:marRight w:val="0"/>
      <w:marTop w:val="0"/>
      <w:marBottom w:val="0"/>
      <w:divBdr>
        <w:top w:val="none" w:sz="0" w:space="0" w:color="auto"/>
        <w:left w:val="none" w:sz="0" w:space="0" w:color="auto"/>
        <w:bottom w:val="none" w:sz="0" w:space="0" w:color="auto"/>
        <w:right w:val="none" w:sz="0" w:space="0" w:color="auto"/>
      </w:divBdr>
    </w:div>
    <w:div w:id="461970629">
      <w:marLeft w:val="0"/>
      <w:marRight w:val="0"/>
      <w:marTop w:val="0"/>
      <w:marBottom w:val="0"/>
      <w:divBdr>
        <w:top w:val="none" w:sz="0" w:space="0" w:color="auto"/>
        <w:left w:val="none" w:sz="0" w:space="0" w:color="auto"/>
        <w:bottom w:val="none" w:sz="0" w:space="0" w:color="auto"/>
        <w:right w:val="none" w:sz="0" w:space="0" w:color="auto"/>
      </w:divBdr>
      <w:divsChild>
        <w:div w:id="393966033">
          <w:marLeft w:val="0"/>
          <w:marRight w:val="0"/>
          <w:marTop w:val="0"/>
          <w:marBottom w:val="0"/>
          <w:divBdr>
            <w:top w:val="none" w:sz="0" w:space="0" w:color="auto"/>
            <w:left w:val="none" w:sz="0" w:space="0" w:color="auto"/>
            <w:bottom w:val="none" w:sz="0" w:space="0" w:color="auto"/>
            <w:right w:val="none" w:sz="0" w:space="0" w:color="auto"/>
          </w:divBdr>
        </w:div>
      </w:divsChild>
    </w:div>
    <w:div w:id="462121259">
      <w:marLeft w:val="0"/>
      <w:marRight w:val="0"/>
      <w:marTop w:val="0"/>
      <w:marBottom w:val="0"/>
      <w:divBdr>
        <w:top w:val="none" w:sz="0" w:space="0" w:color="auto"/>
        <w:left w:val="none" w:sz="0" w:space="0" w:color="auto"/>
        <w:bottom w:val="none" w:sz="0" w:space="0" w:color="auto"/>
        <w:right w:val="none" w:sz="0" w:space="0" w:color="auto"/>
      </w:divBdr>
    </w:div>
    <w:div w:id="465323091">
      <w:marLeft w:val="0"/>
      <w:marRight w:val="0"/>
      <w:marTop w:val="0"/>
      <w:marBottom w:val="60"/>
      <w:divBdr>
        <w:top w:val="none" w:sz="0" w:space="0" w:color="auto"/>
        <w:left w:val="none" w:sz="0" w:space="0" w:color="auto"/>
        <w:bottom w:val="none" w:sz="0" w:space="0" w:color="auto"/>
        <w:right w:val="none" w:sz="0" w:space="0" w:color="auto"/>
      </w:divBdr>
    </w:div>
    <w:div w:id="468287346">
      <w:marLeft w:val="0"/>
      <w:marRight w:val="0"/>
      <w:marTop w:val="0"/>
      <w:marBottom w:val="0"/>
      <w:divBdr>
        <w:top w:val="none" w:sz="0" w:space="0" w:color="auto"/>
        <w:left w:val="none" w:sz="0" w:space="0" w:color="auto"/>
        <w:bottom w:val="none" w:sz="0" w:space="0" w:color="auto"/>
        <w:right w:val="none" w:sz="0" w:space="0" w:color="auto"/>
      </w:divBdr>
      <w:divsChild>
        <w:div w:id="363795428">
          <w:marLeft w:val="0"/>
          <w:marRight w:val="0"/>
          <w:marTop w:val="0"/>
          <w:marBottom w:val="0"/>
          <w:divBdr>
            <w:top w:val="none" w:sz="0" w:space="0" w:color="auto"/>
            <w:left w:val="none" w:sz="0" w:space="0" w:color="auto"/>
            <w:bottom w:val="none" w:sz="0" w:space="0" w:color="auto"/>
            <w:right w:val="none" w:sz="0" w:space="0" w:color="auto"/>
          </w:divBdr>
        </w:div>
      </w:divsChild>
    </w:div>
    <w:div w:id="470446736">
      <w:marLeft w:val="0"/>
      <w:marRight w:val="0"/>
      <w:marTop w:val="0"/>
      <w:marBottom w:val="0"/>
      <w:divBdr>
        <w:top w:val="none" w:sz="0" w:space="0" w:color="auto"/>
        <w:left w:val="none" w:sz="0" w:space="0" w:color="auto"/>
        <w:bottom w:val="none" w:sz="0" w:space="0" w:color="auto"/>
        <w:right w:val="none" w:sz="0" w:space="0" w:color="auto"/>
      </w:divBdr>
    </w:div>
    <w:div w:id="473956365">
      <w:marLeft w:val="0"/>
      <w:marRight w:val="0"/>
      <w:marTop w:val="0"/>
      <w:marBottom w:val="0"/>
      <w:divBdr>
        <w:top w:val="none" w:sz="0" w:space="0" w:color="auto"/>
        <w:left w:val="none" w:sz="0" w:space="0" w:color="auto"/>
        <w:bottom w:val="none" w:sz="0" w:space="0" w:color="auto"/>
        <w:right w:val="none" w:sz="0" w:space="0" w:color="auto"/>
      </w:divBdr>
      <w:divsChild>
        <w:div w:id="1162434286">
          <w:marLeft w:val="0"/>
          <w:marRight w:val="0"/>
          <w:marTop w:val="0"/>
          <w:marBottom w:val="0"/>
          <w:divBdr>
            <w:top w:val="none" w:sz="0" w:space="0" w:color="auto"/>
            <w:left w:val="none" w:sz="0" w:space="0" w:color="auto"/>
            <w:bottom w:val="none" w:sz="0" w:space="0" w:color="auto"/>
            <w:right w:val="none" w:sz="0" w:space="0" w:color="auto"/>
          </w:divBdr>
        </w:div>
      </w:divsChild>
    </w:div>
    <w:div w:id="474108563">
      <w:marLeft w:val="0"/>
      <w:marRight w:val="0"/>
      <w:marTop w:val="180"/>
      <w:marBottom w:val="180"/>
      <w:divBdr>
        <w:top w:val="none" w:sz="0" w:space="0" w:color="auto"/>
        <w:left w:val="none" w:sz="0" w:space="0" w:color="auto"/>
        <w:bottom w:val="none" w:sz="0" w:space="0" w:color="auto"/>
        <w:right w:val="none" w:sz="0" w:space="0" w:color="auto"/>
      </w:divBdr>
    </w:div>
    <w:div w:id="477763790">
      <w:marLeft w:val="0"/>
      <w:marRight w:val="0"/>
      <w:marTop w:val="0"/>
      <w:marBottom w:val="0"/>
      <w:divBdr>
        <w:top w:val="none" w:sz="0" w:space="0" w:color="auto"/>
        <w:left w:val="none" w:sz="0" w:space="0" w:color="auto"/>
        <w:bottom w:val="none" w:sz="0" w:space="0" w:color="auto"/>
        <w:right w:val="none" w:sz="0" w:space="0" w:color="auto"/>
      </w:divBdr>
    </w:div>
    <w:div w:id="484787499">
      <w:marLeft w:val="0"/>
      <w:marRight w:val="0"/>
      <w:marTop w:val="0"/>
      <w:marBottom w:val="0"/>
      <w:divBdr>
        <w:top w:val="none" w:sz="0" w:space="0" w:color="auto"/>
        <w:left w:val="none" w:sz="0" w:space="0" w:color="auto"/>
        <w:bottom w:val="none" w:sz="0" w:space="0" w:color="auto"/>
        <w:right w:val="none" w:sz="0" w:space="0" w:color="auto"/>
      </w:divBdr>
      <w:divsChild>
        <w:div w:id="630289243">
          <w:marLeft w:val="0"/>
          <w:marRight w:val="0"/>
          <w:marTop w:val="0"/>
          <w:marBottom w:val="0"/>
          <w:divBdr>
            <w:top w:val="none" w:sz="0" w:space="0" w:color="auto"/>
            <w:left w:val="none" w:sz="0" w:space="0" w:color="auto"/>
            <w:bottom w:val="none" w:sz="0" w:space="0" w:color="auto"/>
            <w:right w:val="none" w:sz="0" w:space="0" w:color="auto"/>
          </w:divBdr>
        </w:div>
      </w:divsChild>
    </w:div>
    <w:div w:id="484862340">
      <w:marLeft w:val="0"/>
      <w:marRight w:val="0"/>
      <w:marTop w:val="0"/>
      <w:marBottom w:val="0"/>
      <w:divBdr>
        <w:top w:val="none" w:sz="0" w:space="0" w:color="auto"/>
        <w:left w:val="none" w:sz="0" w:space="0" w:color="auto"/>
        <w:bottom w:val="none" w:sz="0" w:space="0" w:color="auto"/>
        <w:right w:val="none" w:sz="0" w:space="0" w:color="auto"/>
      </w:divBdr>
      <w:divsChild>
        <w:div w:id="2091150431">
          <w:marLeft w:val="0"/>
          <w:marRight w:val="0"/>
          <w:marTop w:val="0"/>
          <w:marBottom w:val="0"/>
          <w:divBdr>
            <w:top w:val="none" w:sz="0" w:space="0" w:color="auto"/>
            <w:left w:val="none" w:sz="0" w:space="0" w:color="auto"/>
            <w:bottom w:val="none" w:sz="0" w:space="0" w:color="auto"/>
            <w:right w:val="none" w:sz="0" w:space="0" w:color="auto"/>
          </w:divBdr>
        </w:div>
      </w:divsChild>
    </w:div>
    <w:div w:id="484979145">
      <w:marLeft w:val="0"/>
      <w:marRight w:val="0"/>
      <w:marTop w:val="0"/>
      <w:marBottom w:val="0"/>
      <w:divBdr>
        <w:top w:val="none" w:sz="0" w:space="0" w:color="auto"/>
        <w:left w:val="none" w:sz="0" w:space="0" w:color="auto"/>
        <w:bottom w:val="none" w:sz="0" w:space="0" w:color="auto"/>
        <w:right w:val="none" w:sz="0" w:space="0" w:color="auto"/>
      </w:divBdr>
      <w:divsChild>
        <w:div w:id="1614550702">
          <w:marLeft w:val="0"/>
          <w:marRight w:val="0"/>
          <w:marTop w:val="0"/>
          <w:marBottom w:val="0"/>
          <w:divBdr>
            <w:top w:val="none" w:sz="0" w:space="0" w:color="auto"/>
            <w:left w:val="none" w:sz="0" w:space="0" w:color="auto"/>
            <w:bottom w:val="none" w:sz="0" w:space="0" w:color="auto"/>
            <w:right w:val="none" w:sz="0" w:space="0" w:color="auto"/>
          </w:divBdr>
        </w:div>
      </w:divsChild>
    </w:div>
    <w:div w:id="485434442">
      <w:marLeft w:val="0"/>
      <w:marRight w:val="0"/>
      <w:marTop w:val="0"/>
      <w:marBottom w:val="0"/>
      <w:divBdr>
        <w:top w:val="none" w:sz="0" w:space="0" w:color="auto"/>
        <w:left w:val="none" w:sz="0" w:space="0" w:color="auto"/>
        <w:bottom w:val="none" w:sz="0" w:space="0" w:color="auto"/>
        <w:right w:val="none" w:sz="0" w:space="0" w:color="auto"/>
      </w:divBdr>
    </w:div>
    <w:div w:id="486089745">
      <w:marLeft w:val="0"/>
      <w:marRight w:val="0"/>
      <w:marTop w:val="0"/>
      <w:marBottom w:val="0"/>
      <w:divBdr>
        <w:top w:val="none" w:sz="0" w:space="0" w:color="auto"/>
        <w:left w:val="none" w:sz="0" w:space="0" w:color="auto"/>
        <w:bottom w:val="none" w:sz="0" w:space="0" w:color="auto"/>
        <w:right w:val="none" w:sz="0" w:space="0" w:color="auto"/>
      </w:divBdr>
    </w:div>
    <w:div w:id="490683005">
      <w:marLeft w:val="0"/>
      <w:marRight w:val="0"/>
      <w:marTop w:val="0"/>
      <w:marBottom w:val="0"/>
      <w:divBdr>
        <w:top w:val="none" w:sz="0" w:space="0" w:color="auto"/>
        <w:left w:val="none" w:sz="0" w:space="0" w:color="auto"/>
        <w:bottom w:val="none" w:sz="0" w:space="0" w:color="auto"/>
        <w:right w:val="none" w:sz="0" w:space="0" w:color="auto"/>
      </w:divBdr>
    </w:div>
    <w:div w:id="491608564">
      <w:marLeft w:val="0"/>
      <w:marRight w:val="0"/>
      <w:marTop w:val="0"/>
      <w:marBottom w:val="0"/>
      <w:divBdr>
        <w:top w:val="none" w:sz="0" w:space="0" w:color="auto"/>
        <w:left w:val="none" w:sz="0" w:space="0" w:color="auto"/>
        <w:bottom w:val="none" w:sz="0" w:space="0" w:color="auto"/>
        <w:right w:val="none" w:sz="0" w:space="0" w:color="auto"/>
      </w:divBdr>
      <w:divsChild>
        <w:div w:id="971209117">
          <w:marLeft w:val="0"/>
          <w:marRight w:val="0"/>
          <w:marTop w:val="0"/>
          <w:marBottom w:val="0"/>
          <w:divBdr>
            <w:top w:val="none" w:sz="0" w:space="0" w:color="auto"/>
            <w:left w:val="none" w:sz="0" w:space="0" w:color="auto"/>
            <w:bottom w:val="none" w:sz="0" w:space="0" w:color="auto"/>
            <w:right w:val="none" w:sz="0" w:space="0" w:color="auto"/>
          </w:divBdr>
        </w:div>
        <w:div w:id="613175165">
          <w:marLeft w:val="0"/>
          <w:marRight w:val="0"/>
          <w:marTop w:val="0"/>
          <w:marBottom w:val="0"/>
          <w:divBdr>
            <w:top w:val="none" w:sz="0" w:space="0" w:color="auto"/>
            <w:left w:val="none" w:sz="0" w:space="0" w:color="auto"/>
            <w:bottom w:val="none" w:sz="0" w:space="0" w:color="auto"/>
            <w:right w:val="none" w:sz="0" w:space="0" w:color="auto"/>
          </w:divBdr>
        </w:div>
      </w:divsChild>
    </w:div>
    <w:div w:id="497306625">
      <w:marLeft w:val="0"/>
      <w:marRight w:val="0"/>
      <w:marTop w:val="0"/>
      <w:marBottom w:val="0"/>
      <w:divBdr>
        <w:top w:val="none" w:sz="0" w:space="0" w:color="auto"/>
        <w:left w:val="none" w:sz="0" w:space="0" w:color="auto"/>
        <w:bottom w:val="none" w:sz="0" w:space="0" w:color="auto"/>
        <w:right w:val="none" w:sz="0" w:space="0" w:color="auto"/>
      </w:divBdr>
      <w:divsChild>
        <w:div w:id="65997228">
          <w:marLeft w:val="0"/>
          <w:marRight w:val="0"/>
          <w:marTop w:val="0"/>
          <w:marBottom w:val="0"/>
          <w:divBdr>
            <w:top w:val="none" w:sz="0" w:space="0" w:color="auto"/>
            <w:left w:val="none" w:sz="0" w:space="0" w:color="auto"/>
            <w:bottom w:val="none" w:sz="0" w:space="0" w:color="auto"/>
            <w:right w:val="none" w:sz="0" w:space="0" w:color="auto"/>
          </w:divBdr>
        </w:div>
      </w:divsChild>
    </w:div>
    <w:div w:id="497500139">
      <w:marLeft w:val="0"/>
      <w:marRight w:val="0"/>
      <w:marTop w:val="100"/>
      <w:marBottom w:val="0"/>
      <w:divBdr>
        <w:top w:val="none" w:sz="0" w:space="0" w:color="auto"/>
        <w:left w:val="none" w:sz="0" w:space="0" w:color="auto"/>
        <w:bottom w:val="none" w:sz="0" w:space="0" w:color="auto"/>
        <w:right w:val="none" w:sz="0" w:space="0" w:color="auto"/>
      </w:divBdr>
    </w:div>
    <w:div w:id="502622540">
      <w:marLeft w:val="0"/>
      <w:marRight w:val="0"/>
      <w:marTop w:val="100"/>
      <w:marBottom w:val="0"/>
      <w:divBdr>
        <w:top w:val="none" w:sz="0" w:space="0" w:color="auto"/>
        <w:left w:val="none" w:sz="0" w:space="0" w:color="auto"/>
        <w:bottom w:val="none" w:sz="0" w:space="0" w:color="auto"/>
        <w:right w:val="none" w:sz="0" w:space="0" w:color="auto"/>
      </w:divBdr>
    </w:div>
    <w:div w:id="508563624">
      <w:marLeft w:val="0"/>
      <w:marRight w:val="0"/>
      <w:marTop w:val="0"/>
      <w:marBottom w:val="200"/>
      <w:divBdr>
        <w:top w:val="none" w:sz="0" w:space="0" w:color="auto"/>
        <w:left w:val="none" w:sz="0" w:space="0" w:color="auto"/>
        <w:bottom w:val="none" w:sz="0" w:space="0" w:color="auto"/>
        <w:right w:val="none" w:sz="0" w:space="0" w:color="auto"/>
      </w:divBdr>
    </w:div>
    <w:div w:id="509369570">
      <w:marLeft w:val="0"/>
      <w:marRight w:val="0"/>
      <w:marTop w:val="0"/>
      <w:marBottom w:val="0"/>
      <w:divBdr>
        <w:top w:val="none" w:sz="0" w:space="0" w:color="auto"/>
        <w:left w:val="none" w:sz="0" w:space="0" w:color="auto"/>
        <w:bottom w:val="none" w:sz="0" w:space="0" w:color="auto"/>
        <w:right w:val="none" w:sz="0" w:space="0" w:color="auto"/>
      </w:divBdr>
    </w:div>
    <w:div w:id="511919064">
      <w:marLeft w:val="0"/>
      <w:marRight w:val="0"/>
      <w:marTop w:val="0"/>
      <w:marBottom w:val="0"/>
      <w:divBdr>
        <w:top w:val="none" w:sz="0" w:space="0" w:color="auto"/>
        <w:left w:val="none" w:sz="0" w:space="0" w:color="auto"/>
        <w:bottom w:val="none" w:sz="0" w:space="0" w:color="auto"/>
        <w:right w:val="none" w:sz="0" w:space="0" w:color="auto"/>
      </w:divBdr>
    </w:div>
    <w:div w:id="512838268">
      <w:marLeft w:val="0"/>
      <w:marRight w:val="0"/>
      <w:marTop w:val="0"/>
      <w:marBottom w:val="0"/>
      <w:divBdr>
        <w:top w:val="none" w:sz="0" w:space="0" w:color="auto"/>
        <w:left w:val="none" w:sz="0" w:space="0" w:color="auto"/>
        <w:bottom w:val="none" w:sz="0" w:space="0" w:color="auto"/>
        <w:right w:val="none" w:sz="0" w:space="0" w:color="auto"/>
      </w:divBdr>
      <w:divsChild>
        <w:div w:id="1926693465">
          <w:marLeft w:val="0"/>
          <w:marRight w:val="0"/>
          <w:marTop w:val="0"/>
          <w:marBottom w:val="0"/>
          <w:divBdr>
            <w:top w:val="none" w:sz="0" w:space="0" w:color="auto"/>
            <w:left w:val="none" w:sz="0" w:space="0" w:color="auto"/>
            <w:bottom w:val="none" w:sz="0" w:space="0" w:color="auto"/>
            <w:right w:val="none" w:sz="0" w:space="0" w:color="auto"/>
          </w:divBdr>
        </w:div>
      </w:divsChild>
    </w:div>
    <w:div w:id="518004995">
      <w:marLeft w:val="0"/>
      <w:marRight w:val="0"/>
      <w:marTop w:val="0"/>
      <w:marBottom w:val="0"/>
      <w:divBdr>
        <w:top w:val="none" w:sz="0" w:space="0" w:color="auto"/>
        <w:left w:val="none" w:sz="0" w:space="0" w:color="auto"/>
        <w:bottom w:val="none" w:sz="0" w:space="0" w:color="auto"/>
        <w:right w:val="none" w:sz="0" w:space="0" w:color="auto"/>
      </w:divBdr>
    </w:div>
    <w:div w:id="524371090">
      <w:marLeft w:val="0"/>
      <w:marRight w:val="0"/>
      <w:marTop w:val="0"/>
      <w:marBottom w:val="0"/>
      <w:divBdr>
        <w:top w:val="none" w:sz="0" w:space="0" w:color="auto"/>
        <w:left w:val="none" w:sz="0" w:space="0" w:color="auto"/>
        <w:bottom w:val="none" w:sz="0" w:space="0" w:color="auto"/>
        <w:right w:val="none" w:sz="0" w:space="0" w:color="auto"/>
      </w:divBdr>
    </w:div>
    <w:div w:id="525484558">
      <w:marLeft w:val="0"/>
      <w:marRight w:val="0"/>
      <w:marTop w:val="0"/>
      <w:marBottom w:val="0"/>
      <w:divBdr>
        <w:top w:val="none" w:sz="0" w:space="0" w:color="auto"/>
        <w:left w:val="none" w:sz="0" w:space="0" w:color="auto"/>
        <w:bottom w:val="none" w:sz="0" w:space="0" w:color="auto"/>
        <w:right w:val="none" w:sz="0" w:space="0" w:color="auto"/>
      </w:divBdr>
      <w:divsChild>
        <w:div w:id="262417849">
          <w:marLeft w:val="0"/>
          <w:marRight w:val="0"/>
          <w:marTop w:val="0"/>
          <w:marBottom w:val="0"/>
          <w:divBdr>
            <w:top w:val="none" w:sz="0" w:space="0" w:color="auto"/>
            <w:left w:val="none" w:sz="0" w:space="0" w:color="auto"/>
            <w:bottom w:val="none" w:sz="0" w:space="0" w:color="auto"/>
            <w:right w:val="none" w:sz="0" w:space="0" w:color="auto"/>
          </w:divBdr>
        </w:div>
      </w:divsChild>
    </w:div>
    <w:div w:id="527111311">
      <w:marLeft w:val="0"/>
      <w:marRight w:val="0"/>
      <w:marTop w:val="0"/>
      <w:marBottom w:val="0"/>
      <w:divBdr>
        <w:top w:val="none" w:sz="0" w:space="0" w:color="auto"/>
        <w:left w:val="none" w:sz="0" w:space="0" w:color="auto"/>
        <w:bottom w:val="none" w:sz="0" w:space="0" w:color="auto"/>
        <w:right w:val="none" w:sz="0" w:space="0" w:color="auto"/>
      </w:divBdr>
    </w:div>
    <w:div w:id="528180677">
      <w:marLeft w:val="0"/>
      <w:marRight w:val="0"/>
      <w:marTop w:val="100"/>
      <w:marBottom w:val="0"/>
      <w:divBdr>
        <w:top w:val="none" w:sz="0" w:space="0" w:color="auto"/>
        <w:left w:val="none" w:sz="0" w:space="0" w:color="auto"/>
        <w:bottom w:val="none" w:sz="0" w:space="0" w:color="auto"/>
        <w:right w:val="none" w:sz="0" w:space="0" w:color="auto"/>
      </w:divBdr>
    </w:div>
    <w:div w:id="533427714">
      <w:marLeft w:val="0"/>
      <w:marRight w:val="0"/>
      <w:marTop w:val="0"/>
      <w:marBottom w:val="0"/>
      <w:divBdr>
        <w:top w:val="none" w:sz="0" w:space="0" w:color="auto"/>
        <w:left w:val="none" w:sz="0" w:space="0" w:color="auto"/>
        <w:bottom w:val="none" w:sz="0" w:space="0" w:color="auto"/>
        <w:right w:val="none" w:sz="0" w:space="0" w:color="auto"/>
      </w:divBdr>
      <w:divsChild>
        <w:div w:id="1798378845">
          <w:marLeft w:val="0"/>
          <w:marRight w:val="0"/>
          <w:marTop w:val="0"/>
          <w:marBottom w:val="0"/>
          <w:divBdr>
            <w:top w:val="none" w:sz="0" w:space="0" w:color="auto"/>
            <w:left w:val="none" w:sz="0" w:space="0" w:color="auto"/>
            <w:bottom w:val="none" w:sz="0" w:space="0" w:color="auto"/>
            <w:right w:val="none" w:sz="0" w:space="0" w:color="auto"/>
          </w:divBdr>
        </w:div>
      </w:divsChild>
    </w:div>
    <w:div w:id="535429937">
      <w:marLeft w:val="0"/>
      <w:marRight w:val="0"/>
      <w:marTop w:val="0"/>
      <w:marBottom w:val="0"/>
      <w:divBdr>
        <w:top w:val="none" w:sz="0" w:space="0" w:color="auto"/>
        <w:left w:val="none" w:sz="0" w:space="0" w:color="auto"/>
        <w:bottom w:val="none" w:sz="0" w:space="0" w:color="auto"/>
        <w:right w:val="none" w:sz="0" w:space="0" w:color="auto"/>
      </w:divBdr>
    </w:div>
    <w:div w:id="538010848">
      <w:marLeft w:val="0"/>
      <w:marRight w:val="0"/>
      <w:marTop w:val="100"/>
      <w:marBottom w:val="0"/>
      <w:divBdr>
        <w:top w:val="none" w:sz="0" w:space="0" w:color="auto"/>
        <w:left w:val="none" w:sz="0" w:space="0" w:color="auto"/>
        <w:bottom w:val="none" w:sz="0" w:space="0" w:color="auto"/>
        <w:right w:val="none" w:sz="0" w:space="0" w:color="auto"/>
      </w:divBdr>
    </w:div>
    <w:div w:id="539587123">
      <w:marLeft w:val="0"/>
      <w:marRight w:val="0"/>
      <w:marTop w:val="0"/>
      <w:marBottom w:val="0"/>
      <w:divBdr>
        <w:top w:val="none" w:sz="0" w:space="0" w:color="auto"/>
        <w:left w:val="none" w:sz="0" w:space="0" w:color="auto"/>
        <w:bottom w:val="none" w:sz="0" w:space="0" w:color="auto"/>
        <w:right w:val="none" w:sz="0" w:space="0" w:color="auto"/>
      </w:divBdr>
      <w:divsChild>
        <w:div w:id="761995324">
          <w:marLeft w:val="0"/>
          <w:marRight w:val="0"/>
          <w:marTop w:val="0"/>
          <w:marBottom w:val="0"/>
          <w:divBdr>
            <w:top w:val="none" w:sz="0" w:space="0" w:color="auto"/>
            <w:left w:val="none" w:sz="0" w:space="0" w:color="auto"/>
            <w:bottom w:val="none" w:sz="0" w:space="0" w:color="auto"/>
            <w:right w:val="none" w:sz="0" w:space="0" w:color="auto"/>
          </w:divBdr>
        </w:div>
      </w:divsChild>
    </w:div>
    <w:div w:id="539780774">
      <w:marLeft w:val="0"/>
      <w:marRight w:val="0"/>
      <w:marTop w:val="0"/>
      <w:marBottom w:val="0"/>
      <w:divBdr>
        <w:top w:val="none" w:sz="0" w:space="0" w:color="auto"/>
        <w:left w:val="none" w:sz="0" w:space="0" w:color="auto"/>
        <w:bottom w:val="none" w:sz="0" w:space="0" w:color="auto"/>
        <w:right w:val="none" w:sz="0" w:space="0" w:color="auto"/>
      </w:divBdr>
      <w:divsChild>
        <w:div w:id="887448173">
          <w:marLeft w:val="0"/>
          <w:marRight w:val="0"/>
          <w:marTop w:val="0"/>
          <w:marBottom w:val="0"/>
          <w:divBdr>
            <w:top w:val="none" w:sz="0" w:space="0" w:color="auto"/>
            <w:left w:val="none" w:sz="0" w:space="0" w:color="auto"/>
            <w:bottom w:val="none" w:sz="0" w:space="0" w:color="auto"/>
            <w:right w:val="none" w:sz="0" w:space="0" w:color="auto"/>
          </w:divBdr>
        </w:div>
      </w:divsChild>
    </w:div>
    <w:div w:id="539784470">
      <w:marLeft w:val="0"/>
      <w:marRight w:val="0"/>
      <w:marTop w:val="180"/>
      <w:marBottom w:val="0"/>
      <w:divBdr>
        <w:top w:val="none" w:sz="0" w:space="0" w:color="auto"/>
        <w:left w:val="none" w:sz="0" w:space="0" w:color="auto"/>
        <w:bottom w:val="none" w:sz="0" w:space="0" w:color="auto"/>
        <w:right w:val="none" w:sz="0" w:space="0" w:color="auto"/>
      </w:divBdr>
    </w:div>
    <w:div w:id="548999353">
      <w:marLeft w:val="0"/>
      <w:marRight w:val="0"/>
      <w:marTop w:val="180"/>
      <w:marBottom w:val="0"/>
      <w:divBdr>
        <w:top w:val="none" w:sz="0" w:space="0" w:color="auto"/>
        <w:left w:val="none" w:sz="0" w:space="0" w:color="auto"/>
        <w:bottom w:val="none" w:sz="0" w:space="0" w:color="auto"/>
        <w:right w:val="none" w:sz="0" w:space="0" w:color="auto"/>
      </w:divBdr>
    </w:div>
    <w:div w:id="549612519">
      <w:marLeft w:val="0"/>
      <w:marRight w:val="0"/>
      <w:marTop w:val="100"/>
      <w:marBottom w:val="0"/>
      <w:divBdr>
        <w:top w:val="none" w:sz="0" w:space="0" w:color="auto"/>
        <w:left w:val="none" w:sz="0" w:space="0" w:color="auto"/>
        <w:bottom w:val="none" w:sz="0" w:space="0" w:color="auto"/>
        <w:right w:val="none" w:sz="0" w:space="0" w:color="auto"/>
      </w:divBdr>
    </w:div>
    <w:div w:id="552232426">
      <w:marLeft w:val="0"/>
      <w:marRight w:val="0"/>
      <w:marTop w:val="0"/>
      <w:marBottom w:val="0"/>
      <w:divBdr>
        <w:top w:val="none" w:sz="0" w:space="0" w:color="auto"/>
        <w:left w:val="none" w:sz="0" w:space="0" w:color="auto"/>
        <w:bottom w:val="none" w:sz="0" w:space="0" w:color="auto"/>
        <w:right w:val="none" w:sz="0" w:space="0" w:color="auto"/>
      </w:divBdr>
    </w:div>
    <w:div w:id="553660501">
      <w:marLeft w:val="0"/>
      <w:marRight w:val="0"/>
      <w:marTop w:val="0"/>
      <w:marBottom w:val="0"/>
      <w:divBdr>
        <w:top w:val="none" w:sz="0" w:space="0" w:color="auto"/>
        <w:left w:val="none" w:sz="0" w:space="0" w:color="auto"/>
        <w:bottom w:val="none" w:sz="0" w:space="0" w:color="auto"/>
        <w:right w:val="none" w:sz="0" w:space="0" w:color="auto"/>
      </w:divBdr>
    </w:div>
    <w:div w:id="555628121">
      <w:marLeft w:val="0"/>
      <w:marRight w:val="0"/>
      <w:marTop w:val="0"/>
      <w:marBottom w:val="0"/>
      <w:divBdr>
        <w:top w:val="none" w:sz="0" w:space="0" w:color="auto"/>
        <w:left w:val="none" w:sz="0" w:space="0" w:color="auto"/>
        <w:bottom w:val="none" w:sz="0" w:space="0" w:color="auto"/>
        <w:right w:val="none" w:sz="0" w:space="0" w:color="auto"/>
      </w:divBdr>
      <w:divsChild>
        <w:div w:id="120730158">
          <w:marLeft w:val="0"/>
          <w:marRight w:val="0"/>
          <w:marTop w:val="0"/>
          <w:marBottom w:val="0"/>
          <w:divBdr>
            <w:top w:val="none" w:sz="0" w:space="0" w:color="auto"/>
            <w:left w:val="none" w:sz="0" w:space="0" w:color="auto"/>
            <w:bottom w:val="none" w:sz="0" w:space="0" w:color="auto"/>
            <w:right w:val="none" w:sz="0" w:space="0" w:color="auto"/>
          </w:divBdr>
        </w:div>
      </w:divsChild>
    </w:div>
    <w:div w:id="555970865">
      <w:marLeft w:val="0"/>
      <w:marRight w:val="0"/>
      <w:marTop w:val="0"/>
      <w:marBottom w:val="0"/>
      <w:divBdr>
        <w:top w:val="none" w:sz="0" w:space="0" w:color="auto"/>
        <w:left w:val="none" w:sz="0" w:space="0" w:color="auto"/>
        <w:bottom w:val="none" w:sz="0" w:space="0" w:color="auto"/>
        <w:right w:val="none" w:sz="0" w:space="0" w:color="auto"/>
      </w:divBdr>
    </w:div>
    <w:div w:id="557399633">
      <w:marLeft w:val="0"/>
      <w:marRight w:val="0"/>
      <w:marTop w:val="0"/>
      <w:marBottom w:val="0"/>
      <w:divBdr>
        <w:top w:val="none" w:sz="0" w:space="0" w:color="auto"/>
        <w:left w:val="none" w:sz="0" w:space="0" w:color="auto"/>
        <w:bottom w:val="none" w:sz="0" w:space="0" w:color="auto"/>
        <w:right w:val="none" w:sz="0" w:space="0" w:color="auto"/>
      </w:divBdr>
    </w:div>
    <w:div w:id="558437605">
      <w:marLeft w:val="0"/>
      <w:marRight w:val="0"/>
      <w:marTop w:val="0"/>
      <w:marBottom w:val="0"/>
      <w:divBdr>
        <w:top w:val="none" w:sz="0" w:space="0" w:color="auto"/>
        <w:left w:val="none" w:sz="0" w:space="0" w:color="auto"/>
        <w:bottom w:val="none" w:sz="0" w:space="0" w:color="auto"/>
        <w:right w:val="none" w:sz="0" w:space="0" w:color="auto"/>
      </w:divBdr>
    </w:div>
    <w:div w:id="559823600">
      <w:marLeft w:val="0"/>
      <w:marRight w:val="0"/>
      <w:marTop w:val="0"/>
      <w:marBottom w:val="0"/>
      <w:divBdr>
        <w:top w:val="none" w:sz="0" w:space="0" w:color="auto"/>
        <w:left w:val="none" w:sz="0" w:space="0" w:color="auto"/>
        <w:bottom w:val="none" w:sz="0" w:space="0" w:color="auto"/>
        <w:right w:val="none" w:sz="0" w:space="0" w:color="auto"/>
      </w:divBdr>
      <w:divsChild>
        <w:div w:id="1699619917">
          <w:marLeft w:val="0"/>
          <w:marRight w:val="0"/>
          <w:marTop w:val="0"/>
          <w:marBottom w:val="0"/>
          <w:divBdr>
            <w:top w:val="none" w:sz="0" w:space="0" w:color="auto"/>
            <w:left w:val="none" w:sz="0" w:space="0" w:color="auto"/>
            <w:bottom w:val="none" w:sz="0" w:space="0" w:color="auto"/>
            <w:right w:val="none" w:sz="0" w:space="0" w:color="auto"/>
          </w:divBdr>
        </w:div>
      </w:divsChild>
    </w:div>
    <w:div w:id="560942496">
      <w:marLeft w:val="0"/>
      <w:marRight w:val="0"/>
      <w:marTop w:val="0"/>
      <w:marBottom w:val="0"/>
      <w:divBdr>
        <w:top w:val="none" w:sz="0" w:space="0" w:color="auto"/>
        <w:left w:val="none" w:sz="0" w:space="0" w:color="auto"/>
        <w:bottom w:val="none" w:sz="0" w:space="0" w:color="auto"/>
        <w:right w:val="none" w:sz="0" w:space="0" w:color="auto"/>
      </w:divBdr>
      <w:divsChild>
        <w:div w:id="675889711">
          <w:marLeft w:val="0"/>
          <w:marRight w:val="0"/>
          <w:marTop w:val="0"/>
          <w:marBottom w:val="0"/>
          <w:divBdr>
            <w:top w:val="none" w:sz="0" w:space="0" w:color="auto"/>
            <w:left w:val="none" w:sz="0" w:space="0" w:color="auto"/>
            <w:bottom w:val="none" w:sz="0" w:space="0" w:color="auto"/>
            <w:right w:val="none" w:sz="0" w:space="0" w:color="auto"/>
          </w:divBdr>
        </w:div>
      </w:divsChild>
    </w:div>
    <w:div w:id="562835958">
      <w:marLeft w:val="0"/>
      <w:marRight w:val="0"/>
      <w:marTop w:val="0"/>
      <w:marBottom w:val="0"/>
      <w:divBdr>
        <w:top w:val="none" w:sz="0" w:space="0" w:color="auto"/>
        <w:left w:val="none" w:sz="0" w:space="0" w:color="auto"/>
        <w:bottom w:val="none" w:sz="0" w:space="0" w:color="auto"/>
        <w:right w:val="none" w:sz="0" w:space="0" w:color="auto"/>
      </w:divBdr>
    </w:div>
    <w:div w:id="565338035">
      <w:marLeft w:val="0"/>
      <w:marRight w:val="0"/>
      <w:marTop w:val="0"/>
      <w:marBottom w:val="0"/>
      <w:divBdr>
        <w:top w:val="none" w:sz="0" w:space="0" w:color="auto"/>
        <w:left w:val="none" w:sz="0" w:space="0" w:color="auto"/>
        <w:bottom w:val="none" w:sz="0" w:space="0" w:color="auto"/>
        <w:right w:val="none" w:sz="0" w:space="0" w:color="auto"/>
      </w:divBdr>
    </w:div>
    <w:div w:id="566843625">
      <w:marLeft w:val="0"/>
      <w:marRight w:val="0"/>
      <w:marTop w:val="0"/>
      <w:marBottom w:val="0"/>
      <w:divBdr>
        <w:top w:val="none" w:sz="0" w:space="0" w:color="auto"/>
        <w:left w:val="none" w:sz="0" w:space="0" w:color="auto"/>
        <w:bottom w:val="none" w:sz="0" w:space="0" w:color="auto"/>
        <w:right w:val="none" w:sz="0" w:space="0" w:color="auto"/>
      </w:divBdr>
      <w:divsChild>
        <w:div w:id="897936829">
          <w:marLeft w:val="0"/>
          <w:marRight w:val="0"/>
          <w:marTop w:val="0"/>
          <w:marBottom w:val="0"/>
          <w:divBdr>
            <w:top w:val="none" w:sz="0" w:space="0" w:color="auto"/>
            <w:left w:val="none" w:sz="0" w:space="0" w:color="auto"/>
            <w:bottom w:val="none" w:sz="0" w:space="0" w:color="auto"/>
            <w:right w:val="none" w:sz="0" w:space="0" w:color="auto"/>
          </w:divBdr>
        </w:div>
      </w:divsChild>
    </w:div>
    <w:div w:id="566844173">
      <w:marLeft w:val="0"/>
      <w:marRight w:val="0"/>
      <w:marTop w:val="0"/>
      <w:marBottom w:val="0"/>
      <w:divBdr>
        <w:top w:val="none" w:sz="0" w:space="0" w:color="auto"/>
        <w:left w:val="none" w:sz="0" w:space="0" w:color="auto"/>
        <w:bottom w:val="none" w:sz="0" w:space="0" w:color="auto"/>
        <w:right w:val="none" w:sz="0" w:space="0" w:color="auto"/>
      </w:divBdr>
      <w:divsChild>
        <w:div w:id="771122964">
          <w:marLeft w:val="0"/>
          <w:marRight w:val="0"/>
          <w:marTop w:val="0"/>
          <w:marBottom w:val="0"/>
          <w:divBdr>
            <w:top w:val="none" w:sz="0" w:space="0" w:color="auto"/>
            <w:left w:val="none" w:sz="0" w:space="0" w:color="auto"/>
            <w:bottom w:val="none" w:sz="0" w:space="0" w:color="auto"/>
            <w:right w:val="none" w:sz="0" w:space="0" w:color="auto"/>
          </w:divBdr>
        </w:div>
      </w:divsChild>
    </w:div>
    <w:div w:id="567884381">
      <w:marLeft w:val="0"/>
      <w:marRight w:val="0"/>
      <w:marTop w:val="0"/>
      <w:marBottom w:val="0"/>
      <w:divBdr>
        <w:top w:val="none" w:sz="0" w:space="0" w:color="auto"/>
        <w:left w:val="none" w:sz="0" w:space="0" w:color="auto"/>
        <w:bottom w:val="none" w:sz="0" w:space="0" w:color="auto"/>
        <w:right w:val="none" w:sz="0" w:space="0" w:color="auto"/>
      </w:divBdr>
      <w:divsChild>
        <w:div w:id="1670136657">
          <w:marLeft w:val="0"/>
          <w:marRight w:val="0"/>
          <w:marTop w:val="0"/>
          <w:marBottom w:val="0"/>
          <w:divBdr>
            <w:top w:val="none" w:sz="0" w:space="0" w:color="auto"/>
            <w:left w:val="none" w:sz="0" w:space="0" w:color="auto"/>
            <w:bottom w:val="none" w:sz="0" w:space="0" w:color="auto"/>
            <w:right w:val="none" w:sz="0" w:space="0" w:color="auto"/>
          </w:divBdr>
        </w:div>
      </w:divsChild>
    </w:div>
    <w:div w:id="582182898">
      <w:marLeft w:val="0"/>
      <w:marRight w:val="0"/>
      <w:marTop w:val="0"/>
      <w:marBottom w:val="160"/>
      <w:divBdr>
        <w:top w:val="none" w:sz="0" w:space="0" w:color="auto"/>
        <w:left w:val="none" w:sz="0" w:space="0" w:color="auto"/>
        <w:bottom w:val="none" w:sz="0" w:space="0" w:color="auto"/>
        <w:right w:val="none" w:sz="0" w:space="0" w:color="auto"/>
      </w:divBdr>
    </w:div>
    <w:div w:id="582643912">
      <w:marLeft w:val="0"/>
      <w:marRight w:val="0"/>
      <w:marTop w:val="0"/>
      <w:marBottom w:val="0"/>
      <w:divBdr>
        <w:top w:val="none" w:sz="0" w:space="0" w:color="auto"/>
        <w:left w:val="none" w:sz="0" w:space="0" w:color="auto"/>
        <w:bottom w:val="none" w:sz="0" w:space="0" w:color="auto"/>
        <w:right w:val="none" w:sz="0" w:space="0" w:color="auto"/>
      </w:divBdr>
      <w:divsChild>
        <w:div w:id="2047564827">
          <w:marLeft w:val="0"/>
          <w:marRight w:val="0"/>
          <w:marTop w:val="0"/>
          <w:marBottom w:val="0"/>
          <w:divBdr>
            <w:top w:val="none" w:sz="0" w:space="0" w:color="auto"/>
            <w:left w:val="none" w:sz="0" w:space="0" w:color="auto"/>
            <w:bottom w:val="none" w:sz="0" w:space="0" w:color="auto"/>
            <w:right w:val="none" w:sz="0" w:space="0" w:color="auto"/>
          </w:divBdr>
        </w:div>
      </w:divsChild>
    </w:div>
    <w:div w:id="584608595">
      <w:marLeft w:val="0"/>
      <w:marRight w:val="0"/>
      <w:marTop w:val="0"/>
      <w:marBottom w:val="0"/>
      <w:divBdr>
        <w:top w:val="none" w:sz="0" w:space="0" w:color="auto"/>
        <w:left w:val="none" w:sz="0" w:space="0" w:color="auto"/>
        <w:bottom w:val="none" w:sz="0" w:space="0" w:color="auto"/>
        <w:right w:val="none" w:sz="0" w:space="0" w:color="auto"/>
      </w:divBdr>
    </w:div>
    <w:div w:id="585311825">
      <w:marLeft w:val="0"/>
      <w:marRight w:val="0"/>
      <w:marTop w:val="0"/>
      <w:marBottom w:val="0"/>
      <w:divBdr>
        <w:top w:val="none" w:sz="0" w:space="0" w:color="auto"/>
        <w:left w:val="none" w:sz="0" w:space="0" w:color="auto"/>
        <w:bottom w:val="none" w:sz="0" w:space="0" w:color="auto"/>
        <w:right w:val="none" w:sz="0" w:space="0" w:color="auto"/>
      </w:divBdr>
    </w:div>
    <w:div w:id="586882837">
      <w:marLeft w:val="0"/>
      <w:marRight w:val="0"/>
      <w:marTop w:val="0"/>
      <w:marBottom w:val="0"/>
      <w:divBdr>
        <w:top w:val="none" w:sz="0" w:space="0" w:color="auto"/>
        <w:left w:val="none" w:sz="0" w:space="0" w:color="auto"/>
        <w:bottom w:val="none" w:sz="0" w:space="0" w:color="auto"/>
        <w:right w:val="none" w:sz="0" w:space="0" w:color="auto"/>
      </w:divBdr>
      <w:divsChild>
        <w:div w:id="115026277">
          <w:marLeft w:val="0"/>
          <w:marRight w:val="0"/>
          <w:marTop w:val="0"/>
          <w:marBottom w:val="0"/>
          <w:divBdr>
            <w:top w:val="none" w:sz="0" w:space="0" w:color="auto"/>
            <w:left w:val="none" w:sz="0" w:space="0" w:color="auto"/>
            <w:bottom w:val="none" w:sz="0" w:space="0" w:color="auto"/>
            <w:right w:val="none" w:sz="0" w:space="0" w:color="auto"/>
          </w:divBdr>
        </w:div>
      </w:divsChild>
    </w:div>
    <w:div w:id="587353449">
      <w:marLeft w:val="0"/>
      <w:marRight w:val="0"/>
      <w:marTop w:val="0"/>
      <w:marBottom w:val="0"/>
      <w:divBdr>
        <w:top w:val="none" w:sz="0" w:space="0" w:color="auto"/>
        <w:left w:val="none" w:sz="0" w:space="0" w:color="auto"/>
        <w:bottom w:val="none" w:sz="0" w:space="0" w:color="auto"/>
        <w:right w:val="none" w:sz="0" w:space="0" w:color="auto"/>
      </w:divBdr>
    </w:div>
    <w:div w:id="588201914">
      <w:marLeft w:val="0"/>
      <w:marRight w:val="0"/>
      <w:marTop w:val="0"/>
      <w:marBottom w:val="0"/>
      <w:divBdr>
        <w:top w:val="none" w:sz="0" w:space="0" w:color="auto"/>
        <w:left w:val="none" w:sz="0" w:space="0" w:color="auto"/>
        <w:bottom w:val="none" w:sz="0" w:space="0" w:color="auto"/>
        <w:right w:val="none" w:sz="0" w:space="0" w:color="auto"/>
      </w:divBdr>
      <w:divsChild>
        <w:div w:id="669529456">
          <w:marLeft w:val="0"/>
          <w:marRight w:val="0"/>
          <w:marTop w:val="0"/>
          <w:marBottom w:val="0"/>
          <w:divBdr>
            <w:top w:val="none" w:sz="0" w:space="0" w:color="auto"/>
            <w:left w:val="none" w:sz="0" w:space="0" w:color="auto"/>
            <w:bottom w:val="none" w:sz="0" w:space="0" w:color="auto"/>
            <w:right w:val="none" w:sz="0" w:space="0" w:color="auto"/>
          </w:divBdr>
        </w:div>
      </w:divsChild>
    </w:div>
    <w:div w:id="590048921">
      <w:marLeft w:val="0"/>
      <w:marRight w:val="0"/>
      <w:marTop w:val="0"/>
      <w:marBottom w:val="0"/>
      <w:divBdr>
        <w:top w:val="none" w:sz="0" w:space="0" w:color="auto"/>
        <w:left w:val="none" w:sz="0" w:space="0" w:color="auto"/>
        <w:bottom w:val="none" w:sz="0" w:space="0" w:color="auto"/>
        <w:right w:val="none" w:sz="0" w:space="0" w:color="auto"/>
      </w:divBdr>
    </w:div>
    <w:div w:id="592859018">
      <w:marLeft w:val="0"/>
      <w:marRight w:val="0"/>
      <w:marTop w:val="0"/>
      <w:marBottom w:val="0"/>
      <w:divBdr>
        <w:top w:val="none" w:sz="0" w:space="0" w:color="auto"/>
        <w:left w:val="none" w:sz="0" w:space="0" w:color="auto"/>
        <w:bottom w:val="none" w:sz="0" w:space="0" w:color="auto"/>
        <w:right w:val="none" w:sz="0" w:space="0" w:color="auto"/>
      </w:divBdr>
    </w:div>
    <w:div w:id="597296012">
      <w:marLeft w:val="0"/>
      <w:marRight w:val="0"/>
      <w:marTop w:val="0"/>
      <w:marBottom w:val="0"/>
      <w:divBdr>
        <w:top w:val="none" w:sz="0" w:space="0" w:color="auto"/>
        <w:left w:val="none" w:sz="0" w:space="0" w:color="auto"/>
        <w:bottom w:val="none" w:sz="0" w:space="0" w:color="auto"/>
        <w:right w:val="none" w:sz="0" w:space="0" w:color="auto"/>
      </w:divBdr>
      <w:divsChild>
        <w:div w:id="1977025273">
          <w:marLeft w:val="0"/>
          <w:marRight w:val="0"/>
          <w:marTop w:val="0"/>
          <w:marBottom w:val="0"/>
          <w:divBdr>
            <w:top w:val="none" w:sz="0" w:space="0" w:color="auto"/>
            <w:left w:val="none" w:sz="0" w:space="0" w:color="auto"/>
            <w:bottom w:val="none" w:sz="0" w:space="0" w:color="auto"/>
            <w:right w:val="none" w:sz="0" w:space="0" w:color="auto"/>
          </w:divBdr>
        </w:div>
      </w:divsChild>
    </w:div>
    <w:div w:id="599992030">
      <w:marLeft w:val="0"/>
      <w:marRight w:val="0"/>
      <w:marTop w:val="0"/>
      <w:marBottom w:val="60"/>
      <w:divBdr>
        <w:top w:val="none" w:sz="0" w:space="0" w:color="auto"/>
        <w:left w:val="none" w:sz="0" w:space="0" w:color="auto"/>
        <w:bottom w:val="none" w:sz="0" w:space="0" w:color="auto"/>
        <w:right w:val="none" w:sz="0" w:space="0" w:color="auto"/>
      </w:divBdr>
    </w:div>
    <w:div w:id="600800520">
      <w:marLeft w:val="0"/>
      <w:marRight w:val="0"/>
      <w:marTop w:val="0"/>
      <w:marBottom w:val="0"/>
      <w:divBdr>
        <w:top w:val="none" w:sz="0" w:space="0" w:color="auto"/>
        <w:left w:val="none" w:sz="0" w:space="0" w:color="auto"/>
        <w:bottom w:val="none" w:sz="0" w:space="0" w:color="auto"/>
        <w:right w:val="none" w:sz="0" w:space="0" w:color="auto"/>
      </w:divBdr>
    </w:div>
    <w:div w:id="602154202">
      <w:marLeft w:val="0"/>
      <w:marRight w:val="0"/>
      <w:marTop w:val="100"/>
      <w:marBottom w:val="0"/>
      <w:divBdr>
        <w:top w:val="none" w:sz="0" w:space="0" w:color="auto"/>
        <w:left w:val="none" w:sz="0" w:space="0" w:color="auto"/>
        <w:bottom w:val="none" w:sz="0" w:space="0" w:color="auto"/>
        <w:right w:val="none" w:sz="0" w:space="0" w:color="auto"/>
      </w:divBdr>
    </w:div>
    <w:div w:id="607347610">
      <w:marLeft w:val="0"/>
      <w:marRight w:val="0"/>
      <w:marTop w:val="0"/>
      <w:marBottom w:val="100"/>
      <w:divBdr>
        <w:top w:val="none" w:sz="0" w:space="0" w:color="auto"/>
        <w:left w:val="none" w:sz="0" w:space="0" w:color="auto"/>
        <w:bottom w:val="none" w:sz="0" w:space="0" w:color="auto"/>
        <w:right w:val="none" w:sz="0" w:space="0" w:color="auto"/>
      </w:divBdr>
    </w:div>
    <w:div w:id="607857379">
      <w:marLeft w:val="0"/>
      <w:marRight w:val="0"/>
      <w:marTop w:val="0"/>
      <w:marBottom w:val="0"/>
      <w:divBdr>
        <w:top w:val="none" w:sz="0" w:space="0" w:color="auto"/>
        <w:left w:val="none" w:sz="0" w:space="0" w:color="auto"/>
        <w:bottom w:val="none" w:sz="0" w:space="0" w:color="auto"/>
        <w:right w:val="none" w:sz="0" w:space="0" w:color="auto"/>
      </w:divBdr>
      <w:divsChild>
        <w:div w:id="672029236">
          <w:marLeft w:val="0"/>
          <w:marRight w:val="0"/>
          <w:marTop w:val="0"/>
          <w:marBottom w:val="0"/>
          <w:divBdr>
            <w:top w:val="none" w:sz="0" w:space="0" w:color="auto"/>
            <w:left w:val="none" w:sz="0" w:space="0" w:color="auto"/>
            <w:bottom w:val="none" w:sz="0" w:space="0" w:color="auto"/>
            <w:right w:val="none" w:sz="0" w:space="0" w:color="auto"/>
          </w:divBdr>
        </w:div>
      </w:divsChild>
    </w:div>
    <w:div w:id="609624199">
      <w:marLeft w:val="0"/>
      <w:marRight w:val="0"/>
      <w:marTop w:val="0"/>
      <w:marBottom w:val="0"/>
      <w:divBdr>
        <w:top w:val="none" w:sz="0" w:space="0" w:color="auto"/>
        <w:left w:val="none" w:sz="0" w:space="0" w:color="auto"/>
        <w:bottom w:val="none" w:sz="0" w:space="0" w:color="auto"/>
        <w:right w:val="none" w:sz="0" w:space="0" w:color="auto"/>
      </w:divBdr>
      <w:divsChild>
        <w:div w:id="769356335">
          <w:marLeft w:val="0"/>
          <w:marRight w:val="0"/>
          <w:marTop w:val="0"/>
          <w:marBottom w:val="0"/>
          <w:divBdr>
            <w:top w:val="none" w:sz="0" w:space="0" w:color="auto"/>
            <w:left w:val="none" w:sz="0" w:space="0" w:color="auto"/>
            <w:bottom w:val="none" w:sz="0" w:space="0" w:color="auto"/>
            <w:right w:val="none" w:sz="0" w:space="0" w:color="auto"/>
          </w:divBdr>
        </w:div>
      </w:divsChild>
    </w:div>
    <w:div w:id="610667296">
      <w:marLeft w:val="0"/>
      <w:marRight w:val="0"/>
      <w:marTop w:val="0"/>
      <w:marBottom w:val="0"/>
      <w:divBdr>
        <w:top w:val="none" w:sz="0" w:space="0" w:color="auto"/>
        <w:left w:val="none" w:sz="0" w:space="0" w:color="auto"/>
        <w:bottom w:val="none" w:sz="0" w:space="0" w:color="auto"/>
        <w:right w:val="none" w:sz="0" w:space="0" w:color="auto"/>
      </w:divBdr>
    </w:div>
    <w:div w:id="617181052">
      <w:marLeft w:val="0"/>
      <w:marRight w:val="0"/>
      <w:marTop w:val="0"/>
      <w:marBottom w:val="60"/>
      <w:divBdr>
        <w:top w:val="none" w:sz="0" w:space="0" w:color="auto"/>
        <w:left w:val="none" w:sz="0" w:space="0" w:color="auto"/>
        <w:bottom w:val="none" w:sz="0" w:space="0" w:color="auto"/>
        <w:right w:val="none" w:sz="0" w:space="0" w:color="auto"/>
      </w:divBdr>
    </w:div>
    <w:div w:id="621115221">
      <w:marLeft w:val="0"/>
      <w:marRight w:val="0"/>
      <w:marTop w:val="0"/>
      <w:marBottom w:val="0"/>
      <w:divBdr>
        <w:top w:val="none" w:sz="0" w:space="0" w:color="auto"/>
        <w:left w:val="none" w:sz="0" w:space="0" w:color="auto"/>
        <w:bottom w:val="none" w:sz="0" w:space="0" w:color="auto"/>
        <w:right w:val="none" w:sz="0" w:space="0" w:color="auto"/>
      </w:divBdr>
      <w:divsChild>
        <w:div w:id="1361272799">
          <w:marLeft w:val="0"/>
          <w:marRight w:val="0"/>
          <w:marTop w:val="0"/>
          <w:marBottom w:val="0"/>
          <w:divBdr>
            <w:top w:val="none" w:sz="0" w:space="0" w:color="auto"/>
            <w:left w:val="none" w:sz="0" w:space="0" w:color="auto"/>
            <w:bottom w:val="none" w:sz="0" w:space="0" w:color="auto"/>
            <w:right w:val="none" w:sz="0" w:space="0" w:color="auto"/>
          </w:divBdr>
        </w:div>
      </w:divsChild>
    </w:div>
    <w:div w:id="626551487">
      <w:marLeft w:val="0"/>
      <w:marRight w:val="0"/>
      <w:marTop w:val="0"/>
      <w:marBottom w:val="0"/>
      <w:divBdr>
        <w:top w:val="none" w:sz="0" w:space="0" w:color="auto"/>
        <w:left w:val="none" w:sz="0" w:space="0" w:color="auto"/>
        <w:bottom w:val="none" w:sz="0" w:space="0" w:color="auto"/>
        <w:right w:val="none" w:sz="0" w:space="0" w:color="auto"/>
      </w:divBdr>
    </w:div>
    <w:div w:id="627512070">
      <w:marLeft w:val="0"/>
      <w:marRight w:val="0"/>
      <w:marTop w:val="0"/>
      <w:marBottom w:val="0"/>
      <w:divBdr>
        <w:top w:val="none" w:sz="0" w:space="0" w:color="auto"/>
        <w:left w:val="none" w:sz="0" w:space="0" w:color="auto"/>
        <w:bottom w:val="none" w:sz="0" w:space="0" w:color="auto"/>
        <w:right w:val="none" w:sz="0" w:space="0" w:color="auto"/>
      </w:divBdr>
    </w:div>
    <w:div w:id="631525566">
      <w:marLeft w:val="0"/>
      <w:marRight w:val="0"/>
      <w:marTop w:val="0"/>
      <w:marBottom w:val="0"/>
      <w:divBdr>
        <w:top w:val="none" w:sz="0" w:space="0" w:color="auto"/>
        <w:left w:val="none" w:sz="0" w:space="0" w:color="auto"/>
        <w:bottom w:val="none" w:sz="0" w:space="0" w:color="auto"/>
        <w:right w:val="none" w:sz="0" w:space="0" w:color="auto"/>
      </w:divBdr>
      <w:divsChild>
        <w:div w:id="1239169733">
          <w:marLeft w:val="0"/>
          <w:marRight w:val="0"/>
          <w:marTop w:val="0"/>
          <w:marBottom w:val="0"/>
          <w:divBdr>
            <w:top w:val="none" w:sz="0" w:space="0" w:color="auto"/>
            <w:left w:val="none" w:sz="0" w:space="0" w:color="auto"/>
            <w:bottom w:val="none" w:sz="0" w:space="0" w:color="auto"/>
            <w:right w:val="none" w:sz="0" w:space="0" w:color="auto"/>
          </w:divBdr>
        </w:div>
      </w:divsChild>
    </w:div>
    <w:div w:id="632490330">
      <w:marLeft w:val="0"/>
      <w:marRight w:val="0"/>
      <w:marTop w:val="0"/>
      <w:marBottom w:val="0"/>
      <w:divBdr>
        <w:top w:val="none" w:sz="0" w:space="0" w:color="auto"/>
        <w:left w:val="none" w:sz="0" w:space="0" w:color="auto"/>
        <w:bottom w:val="none" w:sz="0" w:space="0" w:color="auto"/>
        <w:right w:val="none" w:sz="0" w:space="0" w:color="auto"/>
      </w:divBdr>
      <w:divsChild>
        <w:div w:id="1000232753">
          <w:marLeft w:val="0"/>
          <w:marRight w:val="0"/>
          <w:marTop w:val="0"/>
          <w:marBottom w:val="0"/>
          <w:divBdr>
            <w:top w:val="none" w:sz="0" w:space="0" w:color="auto"/>
            <w:left w:val="none" w:sz="0" w:space="0" w:color="auto"/>
            <w:bottom w:val="none" w:sz="0" w:space="0" w:color="auto"/>
            <w:right w:val="none" w:sz="0" w:space="0" w:color="auto"/>
          </w:divBdr>
        </w:div>
      </w:divsChild>
    </w:div>
    <w:div w:id="633366805">
      <w:marLeft w:val="0"/>
      <w:marRight w:val="0"/>
      <w:marTop w:val="0"/>
      <w:marBottom w:val="0"/>
      <w:divBdr>
        <w:top w:val="none" w:sz="0" w:space="0" w:color="auto"/>
        <w:left w:val="none" w:sz="0" w:space="0" w:color="auto"/>
        <w:bottom w:val="none" w:sz="0" w:space="0" w:color="auto"/>
        <w:right w:val="none" w:sz="0" w:space="0" w:color="auto"/>
      </w:divBdr>
    </w:div>
    <w:div w:id="635259553">
      <w:marLeft w:val="0"/>
      <w:marRight w:val="0"/>
      <w:marTop w:val="0"/>
      <w:marBottom w:val="0"/>
      <w:divBdr>
        <w:top w:val="none" w:sz="0" w:space="0" w:color="auto"/>
        <w:left w:val="none" w:sz="0" w:space="0" w:color="auto"/>
        <w:bottom w:val="none" w:sz="0" w:space="0" w:color="auto"/>
        <w:right w:val="none" w:sz="0" w:space="0" w:color="auto"/>
      </w:divBdr>
      <w:divsChild>
        <w:div w:id="2094426817">
          <w:marLeft w:val="0"/>
          <w:marRight w:val="0"/>
          <w:marTop w:val="0"/>
          <w:marBottom w:val="0"/>
          <w:divBdr>
            <w:top w:val="none" w:sz="0" w:space="0" w:color="auto"/>
            <w:left w:val="none" w:sz="0" w:space="0" w:color="auto"/>
            <w:bottom w:val="none" w:sz="0" w:space="0" w:color="auto"/>
            <w:right w:val="none" w:sz="0" w:space="0" w:color="auto"/>
          </w:divBdr>
        </w:div>
      </w:divsChild>
    </w:div>
    <w:div w:id="636027410">
      <w:marLeft w:val="0"/>
      <w:marRight w:val="0"/>
      <w:marTop w:val="0"/>
      <w:marBottom w:val="0"/>
      <w:divBdr>
        <w:top w:val="none" w:sz="0" w:space="0" w:color="auto"/>
        <w:left w:val="none" w:sz="0" w:space="0" w:color="auto"/>
        <w:bottom w:val="none" w:sz="0" w:space="0" w:color="auto"/>
        <w:right w:val="none" w:sz="0" w:space="0" w:color="auto"/>
      </w:divBdr>
    </w:div>
    <w:div w:id="637492492">
      <w:marLeft w:val="0"/>
      <w:marRight w:val="0"/>
      <w:marTop w:val="0"/>
      <w:marBottom w:val="0"/>
      <w:divBdr>
        <w:top w:val="none" w:sz="0" w:space="0" w:color="auto"/>
        <w:left w:val="none" w:sz="0" w:space="0" w:color="auto"/>
        <w:bottom w:val="none" w:sz="0" w:space="0" w:color="auto"/>
        <w:right w:val="none" w:sz="0" w:space="0" w:color="auto"/>
      </w:divBdr>
    </w:div>
    <w:div w:id="641732042">
      <w:marLeft w:val="0"/>
      <w:marRight w:val="0"/>
      <w:marTop w:val="0"/>
      <w:marBottom w:val="0"/>
      <w:divBdr>
        <w:top w:val="none" w:sz="0" w:space="0" w:color="auto"/>
        <w:left w:val="none" w:sz="0" w:space="0" w:color="auto"/>
        <w:bottom w:val="none" w:sz="0" w:space="0" w:color="auto"/>
        <w:right w:val="none" w:sz="0" w:space="0" w:color="auto"/>
      </w:divBdr>
      <w:divsChild>
        <w:div w:id="220213949">
          <w:marLeft w:val="0"/>
          <w:marRight w:val="0"/>
          <w:marTop w:val="0"/>
          <w:marBottom w:val="0"/>
          <w:divBdr>
            <w:top w:val="none" w:sz="0" w:space="0" w:color="auto"/>
            <w:left w:val="none" w:sz="0" w:space="0" w:color="auto"/>
            <w:bottom w:val="none" w:sz="0" w:space="0" w:color="auto"/>
            <w:right w:val="none" w:sz="0" w:space="0" w:color="auto"/>
          </w:divBdr>
        </w:div>
      </w:divsChild>
    </w:div>
    <w:div w:id="643465008">
      <w:marLeft w:val="0"/>
      <w:marRight w:val="0"/>
      <w:marTop w:val="0"/>
      <w:marBottom w:val="0"/>
      <w:divBdr>
        <w:top w:val="none" w:sz="0" w:space="0" w:color="auto"/>
        <w:left w:val="none" w:sz="0" w:space="0" w:color="auto"/>
        <w:bottom w:val="none" w:sz="0" w:space="0" w:color="auto"/>
        <w:right w:val="none" w:sz="0" w:space="0" w:color="auto"/>
      </w:divBdr>
      <w:divsChild>
        <w:div w:id="677000390">
          <w:marLeft w:val="0"/>
          <w:marRight w:val="0"/>
          <w:marTop w:val="0"/>
          <w:marBottom w:val="0"/>
          <w:divBdr>
            <w:top w:val="none" w:sz="0" w:space="0" w:color="auto"/>
            <w:left w:val="none" w:sz="0" w:space="0" w:color="auto"/>
            <w:bottom w:val="none" w:sz="0" w:space="0" w:color="auto"/>
            <w:right w:val="none" w:sz="0" w:space="0" w:color="auto"/>
          </w:divBdr>
        </w:div>
      </w:divsChild>
    </w:div>
    <w:div w:id="643509400">
      <w:marLeft w:val="0"/>
      <w:marRight w:val="0"/>
      <w:marTop w:val="0"/>
      <w:marBottom w:val="0"/>
      <w:divBdr>
        <w:top w:val="none" w:sz="0" w:space="0" w:color="auto"/>
        <w:left w:val="none" w:sz="0" w:space="0" w:color="auto"/>
        <w:bottom w:val="none" w:sz="0" w:space="0" w:color="auto"/>
        <w:right w:val="none" w:sz="0" w:space="0" w:color="auto"/>
      </w:divBdr>
    </w:div>
    <w:div w:id="643894976">
      <w:marLeft w:val="0"/>
      <w:marRight w:val="0"/>
      <w:marTop w:val="0"/>
      <w:marBottom w:val="0"/>
      <w:divBdr>
        <w:top w:val="none" w:sz="0" w:space="0" w:color="auto"/>
        <w:left w:val="none" w:sz="0" w:space="0" w:color="auto"/>
        <w:bottom w:val="none" w:sz="0" w:space="0" w:color="auto"/>
        <w:right w:val="none" w:sz="0" w:space="0" w:color="auto"/>
      </w:divBdr>
    </w:div>
    <w:div w:id="645083498">
      <w:marLeft w:val="0"/>
      <w:marRight w:val="0"/>
      <w:marTop w:val="0"/>
      <w:marBottom w:val="0"/>
      <w:divBdr>
        <w:top w:val="none" w:sz="0" w:space="0" w:color="auto"/>
        <w:left w:val="none" w:sz="0" w:space="0" w:color="auto"/>
        <w:bottom w:val="none" w:sz="0" w:space="0" w:color="auto"/>
        <w:right w:val="none" w:sz="0" w:space="0" w:color="auto"/>
      </w:divBdr>
    </w:div>
    <w:div w:id="647562829">
      <w:marLeft w:val="0"/>
      <w:marRight w:val="0"/>
      <w:marTop w:val="0"/>
      <w:marBottom w:val="0"/>
      <w:divBdr>
        <w:top w:val="none" w:sz="0" w:space="0" w:color="auto"/>
        <w:left w:val="none" w:sz="0" w:space="0" w:color="auto"/>
        <w:bottom w:val="none" w:sz="0" w:space="0" w:color="auto"/>
        <w:right w:val="none" w:sz="0" w:space="0" w:color="auto"/>
      </w:divBdr>
    </w:div>
    <w:div w:id="648094365">
      <w:marLeft w:val="0"/>
      <w:marRight w:val="0"/>
      <w:marTop w:val="0"/>
      <w:marBottom w:val="0"/>
      <w:divBdr>
        <w:top w:val="none" w:sz="0" w:space="0" w:color="auto"/>
        <w:left w:val="none" w:sz="0" w:space="0" w:color="auto"/>
        <w:bottom w:val="none" w:sz="0" w:space="0" w:color="auto"/>
        <w:right w:val="none" w:sz="0" w:space="0" w:color="auto"/>
      </w:divBdr>
    </w:div>
    <w:div w:id="650987731">
      <w:marLeft w:val="0"/>
      <w:marRight w:val="0"/>
      <w:marTop w:val="0"/>
      <w:marBottom w:val="0"/>
      <w:divBdr>
        <w:top w:val="none" w:sz="0" w:space="0" w:color="auto"/>
        <w:left w:val="none" w:sz="0" w:space="0" w:color="auto"/>
        <w:bottom w:val="none" w:sz="0" w:space="0" w:color="auto"/>
        <w:right w:val="none" w:sz="0" w:space="0" w:color="auto"/>
      </w:divBdr>
    </w:div>
    <w:div w:id="653723301">
      <w:marLeft w:val="0"/>
      <w:marRight w:val="0"/>
      <w:marTop w:val="0"/>
      <w:marBottom w:val="0"/>
      <w:divBdr>
        <w:top w:val="none" w:sz="0" w:space="0" w:color="auto"/>
        <w:left w:val="none" w:sz="0" w:space="0" w:color="auto"/>
        <w:bottom w:val="none" w:sz="0" w:space="0" w:color="auto"/>
        <w:right w:val="none" w:sz="0" w:space="0" w:color="auto"/>
      </w:divBdr>
    </w:div>
    <w:div w:id="655568271">
      <w:marLeft w:val="0"/>
      <w:marRight w:val="0"/>
      <w:marTop w:val="100"/>
      <w:marBottom w:val="0"/>
      <w:divBdr>
        <w:top w:val="none" w:sz="0" w:space="0" w:color="auto"/>
        <w:left w:val="none" w:sz="0" w:space="0" w:color="auto"/>
        <w:bottom w:val="none" w:sz="0" w:space="0" w:color="auto"/>
        <w:right w:val="none" w:sz="0" w:space="0" w:color="auto"/>
      </w:divBdr>
    </w:div>
    <w:div w:id="657148458">
      <w:marLeft w:val="0"/>
      <w:marRight w:val="0"/>
      <w:marTop w:val="0"/>
      <w:marBottom w:val="60"/>
      <w:divBdr>
        <w:top w:val="none" w:sz="0" w:space="0" w:color="auto"/>
        <w:left w:val="none" w:sz="0" w:space="0" w:color="auto"/>
        <w:bottom w:val="none" w:sz="0" w:space="0" w:color="auto"/>
        <w:right w:val="none" w:sz="0" w:space="0" w:color="auto"/>
      </w:divBdr>
    </w:div>
    <w:div w:id="660818878">
      <w:marLeft w:val="0"/>
      <w:marRight w:val="0"/>
      <w:marTop w:val="0"/>
      <w:marBottom w:val="0"/>
      <w:divBdr>
        <w:top w:val="none" w:sz="0" w:space="0" w:color="auto"/>
        <w:left w:val="none" w:sz="0" w:space="0" w:color="auto"/>
        <w:bottom w:val="none" w:sz="0" w:space="0" w:color="auto"/>
        <w:right w:val="none" w:sz="0" w:space="0" w:color="auto"/>
      </w:divBdr>
    </w:div>
    <w:div w:id="663363179">
      <w:marLeft w:val="0"/>
      <w:marRight w:val="0"/>
      <w:marTop w:val="0"/>
      <w:marBottom w:val="0"/>
      <w:divBdr>
        <w:top w:val="none" w:sz="0" w:space="0" w:color="auto"/>
        <w:left w:val="none" w:sz="0" w:space="0" w:color="auto"/>
        <w:bottom w:val="none" w:sz="0" w:space="0" w:color="auto"/>
        <w:right w:val="none" w:sz="0" w:space="0" w:color="auto"/>
      </w:divBdr>
      <w:divsChild>
        <w:div w:id="1266496460">
          <w:marLeft w:val="0"/>
          <w:marRight w:val="0"/>
          <w:marTop w:val="0"/>
          <w:marBottom w:val="0"/>
          <w:divBdr>
            <w:top w:val="none" w:sz="0" w:space="0" w:color="auto"/>
            <w:left w:val="none" w:sz="0" w:space="0" w:color="auto"/>
            <w:bottom w:val="none" w:sz="0" w:space="0" w:color="auto"/>
            <w:right w:val="none" w:sz="0" w:space="0" w:color="auto"/>
          </w:divBdr>
        </w:div>
      </w:divsChild>
    </w:div>
    <w:div w:id="663821170">
      <w:marLeft w:val="0"/>
      <w:marRight w:val="0"/>
      <w:marTop w:val="0"/>
      <w:marBottom w:val="0"/>
      <w:divBdr>
        <w:top w:val="none" w:sz="0" w:space="0" w:color="auto"/>
        <w:left w:val="none" w:sz="0" w:space="0" w:color="auto"/>
        <w:bottom w:val="none" w:sz="0" w:space="0" w:color="auto"/>
        <w:right w:val="none" w:sz="0" w:space="0" w:color="auto"/>
      </w:divBdr>
    </w:div>
    <w:div w:id="666513987">
      <w:marLeft w:val="0"/>
      <w:marRight w:val="0"/>
      <w:marTop w:val="100"/>
      <w:marBottom w:val="0"/>
      <w:divBdr>
        <w:top w:val="none" w:sz="0" w:space="0" w:color="auto"/>
        <w:left w:val="none" w:sz="0" w:space="0" w:color="auto"/>
        <w:bottom w:val="none" w:sz="0" w:space="0" w:color="auto"/>
        <w:right w:val="none" w:sz="0" w:space="0" w:color="auto"/>
      </w:divBdr>
    </w:div>
    <w:div w:id="669872865">
      <w:marLeft w:val="0"/>
      <w:marRight w:val="0"/>
      <w:marTop w:val="0"/>
      <w:marBottom w:val="0"/>
      <w:divBdr>
        <w:top w:val="none" w:sz="0" w:space="0" w:color="auto"/>
        <w:left w:val="none" w:sz="0" w:space="0" w:color="auto"/>
        <w:bottom w:val="none" w:sz="0" w:space="0" w:color="auto"/>
        <w:right w:val="none" w:sz="0" w:space="0" w:color="auto"/>
      </w:divBdr>
    </w:div>
    <w:div w:id="673267591">
      <w:marLeft w:val="0"/>
      <w:marRight w:val="0"/>
      <w:marTop w:val="0"/>
      <w:marBottom w:val="0"/>
      <w:divBdr>
        <w:top w:val="none" w:sz="0" w:space="0" w:color="auto"/>
        <w:left w:val="none" w:sz="0" w:space="0" w:color="auto"/>
        <w:bottom w:val="none" w:sz="0" w:space="0" w:color="auto"/>
        <w:right w:val="none" w:sz="0" w:space="0" w:color="auto"/>
      </w:divBdr>
    </w:div>
    <w:div w:id="674383987">
      <w:marLeft w:val="0"/>
      <w:marRight w:val="0"/>
      <w:marTop w:val="0"/>
      <w:marBottom w:val="0"/>
      <w:divBdr>
        <w:top w:val="none" w:sz="0" w:space="0" w:color="auto"/>
        <w:left w:val="none" w:sz="0" w:space="0" w:color="auto"/>
        <w:bottom w:val="none" w:sz="0" w:space="0" w:color="auto"/>
        <w:right w:val="none" w:sz="0" w:space="0" w:color="auto"/>
      </w:divBdr>
      <w:divsChild>
        <w:div w:id="26105896">
          <w:marLeft w:val="0"/>
          <w:marRight w:val="0"/>
          <w:marTop w:val="0"/>
          <w:marBottom w:val="0"/>
          <w:divBdr>
            <w:top w:val="none" w:sz="0" w:space="0" w:color="auto"/>
            <w:left w:val="none" w:sz="0" w:space="0" w:color="auto"/>
            <w:bottom w:val="none" w:sz="0" w:space="0" w:color="auto"/>
            <w:right w:val="none" w:sz="0" w:space="0" w:color="auto"/>
          </w:divBdr>
        </w:div>
      </w:divsChild>
    </w:div>
    <w:div w:id="682365826">
      <w:marLeft w:val="0"/>
      <w:marRight w:val="0"/>
      <w:marTop w:val="0"/>
      <w:marBottom w:val="0"/>
      <w:divBdr>
        <w:top w:val="none" w:sz="0" w:space="0" w:color="auto"/>
        <w:left w:val="none" w:sz="0" w:space="0" w:color="auto"/>
        <w:bottom w:val="none" w:sz="0" w:space="0" w:color="auto"/>
        <w:right w:val="none" w:sz="0" w:space="0" w:color="auto"/>
      </w:divBdr>
    </w:div>
    <w:div w:id="683095066">
      <w:marLeft w:val="0"/>
      <w:marRight w:val="0"/>
      <w:marTop w:val="180"/>
      <w:marBottom w:val="0"/>
      <w:divBdr>
        <w:top w:val="none" w:sz="0" w:space="0" w:color="auto"/>
        <w:left w:val="none" w:sz="0" w:space="0" w:color="auto"/>
        <w:bottom w:val="none" w:sz="0" w:space="0" w:color="auto"/>
        <w:right w:val="none" w:sz="0" w:space="0" w:color="auto"/>
      </w:divBdr>
    </w:div>
    <w:div w:id="685249849">
      <w:marLeft w:val="0"/>
      <w:marRight w:val="0"/>
      <w:marTop w:val="100"/>
      <w:marBottom w:val="0"/>
      <w:divBdr>
        <w:top w:val="none" w:sz="0" w:space="0" w:color="auto"/>
        <w:left w:val="none" w:sz="0" w:space="0" w:color="auto"/>
        <w:bottom w:val="none" w:sz="0" w:space="0" w:color="auto"/>
        <w:right w:val="none" w:sz="0" w:space="0" w:color="auto"/>
      </w:divBdr>
      <w:divsChild>
        <w:div w:id="154536880">
          <w:marLeft w:val="0"/>
          <w:marRight w:val="0"/>
          <w:marTop w:val="0"/>
          <w:marBottom w:val="0"/>
          <w:divBdr>
            <w:top w:val="none" w:sz="0" w:space="0" w:color="auto"/>
            <w:left w:val="none" w:sz="0" w:space="0" w:color="auto"/>
            <w:bottom w:val="none" w:sz="0" w:space="0" w:color="auto"/>
            <w:right w:val="none" w:sz="0" w:space="0" w:color="auto"/>
          </w:divBdr>
        </w:div>
      </w:divsChild>
    </w:div>
    <w:div w:id="686903938">
      <w:marLeft w:val="0"/>
      <w:marRight w:val="0"/>
      <w:marTop w:val="0"/>
      <w:marBottom w:val="0"/>
      <w:divBdr>
        <w:top w:val="none" w:sz="0" w:space="0" w:color="auto"/>
        <w:left w:val="none" w:sz="0" w:space="0" w:color="auto"/>
        <w:bottom w:val="none" w:sz="0" w:space="0" w:color="auto"/>
        <w:right w:val="none" w:sz="0" w:space="0" w:color="auto"/>
      </w:divBdr>
    </w:div>
    <w:div w:id="686979876">
      <w:marLeft w:val="0"/>
      <w:marRight w:val="0"/>
      <w:marTop w:val="0"/>
      <w:marBottom w:val="0"/>
      <w:divBdr>
        <w:top w:val="none" w:sz="0" w:space="0" w:color="auto"/>
        <w:left w:val="none" w:sz="0" w:space="0" w:color="auto"/>
        <w:bottom w:val="none" w:sz="0" w:space="0" w:color="auto"/>
        <w:right w:val="none" w:sz="0" w:space="0" w:color="auto"/>
      </w:divBdr>
    </w:div>
    <w:div w:id="689180050">
      <w:marLeft w:val="0"/>
      <w:marRight w:val="0"/>
      <w:marTop w:val="0"/>
      <w:marBottom w:val="0"/>
      <w:divBdr>
        <w:top w:val="none" w:sz="0" w:space="0" w:color="auto"/>
        <w:left w:val="none" w:sz="0" w:space="0" w:color="auto"/>
        <w:bottom w:val="none" w:sz="0" w:space="0" w:color="auto"/>
        <w:right w:val="none" w:sz="0" w:space="0" w:color="auto"/>
      </w:divBdr>
    </w:div>
    <w:div w:id="695227944">
      <w:marLeft w:val="0"/>
      <w:marRight w:val="0"/>
      <w:marTop w:val="0"/>
      <w:marBottom w:val="0"/>
      <w:divBdr>
        <w:top w:val="none" w:sz="0" w:space="0" w:color="auto"/>
        <w:left w:val="none" w:sz="0" w:space="0" w:color="auto"/>
        <w:bottom w:val="none" w:sz="0" w:space="0" w:color="auto"/>
        <w:right w:val="none" w:sz="0" w:space="0" w:color="auto"/>
      </w:divBdr>
      <w:divsChild>
        <w:div w:id="1115054788">
          <w:marLeft w:val="0"/>
          <w:marRight w:val="0"/>
          <w:marTop w:val="0"/>
          <w:marBottom w:val="0"/>
          <w:divBdr>
            <w:top w:val="none" w:sz="0" w:space="0" w:color="auto"/>
            <w:left w:val="none" w:sz="0" w:space="0" w:color="auto"/>
            <w:bottom w:val="none" w:sz="0" w:space="0" w:color="auto"/>
            <w:right w:val="none" w:sz="0" w:space="0" w:color="auto"/>
          </w:divBdr>
        </w:div>
      </w:divsChild>
    </w:div>
    <w:div w:id="709113667">
      <w:marLeft w:val="0"/>
      <w:marRight w:val="0"/>
      <w:marTop w:val="0"/>
      <w:marBottom w:val="0"/>
      <w:divBdr>
        <w:top w:val="none" w:sz="0" w:space="0" w:color="auto"/>
        <w:left w:val="none" w:sz="0" w:space="0" w:color="auto"/>
        <w:bottom w:val="none" w:sz="0" w:space="0" w:color="auto"/>
        <w:right w:val="none" w:sz="0" w:space="0" w:color="auto"/>
      </w:divBdr>
      <w:divsChild>
        <w:div w:id="1419791570">
          <w:marLeft w:val="0"/>
          <w:marRight w:val="0"/>
          <w:marTop w:val="0"/>
          <w:marBottom w:val="0"/>
          <w:divBdr>
            <w:top w:val="none" w:sz="0" w:space="0" w:color="auto"/>
            <w:left w:val="none" w:sz="0" w:space="0" w:color="auto"/>
            <w:bottom w:val="none" w:sz="0" w:space="0" w:color="auto"/>
            <w:right w:val="none" w:sz="0" w:space="0" w:color="auto"/>
          </w:divBdr>
        </w:div>
      </w:divsChild>
    </w:div>
    <w:div w:id="711539774">
      <w:marLeft w:val="0"/>
      <w:marRight w:val="0"/>
      <w:marTop w:val="0"/>
      <w:marBottom w:val="0"/>
      <w:divBdr>
        <w:top w:val="none" w:sz="0" w:space="0" w:color="auto"/>
        <w:left w:val="none" w:sz="0" w:space="0" w:color="auto"/>
        <w:bottom w:val="none" w:sz="0" w:space="0" w:color="auto"/>
        <w:right w:val="none" w:sz="0" w:space="0" w:color="auto"/>
      </w:divBdr>
    </w:div>
    <w:div w:id="715659171">
      <w:marLeft w:val="0"/>
      <w:marRight w:val="0"/>
      <w:marTop w:val="0"/>
      <w:marBottom w:val="0"/>
      <w:divBdr>
        <w:top w:val="none" w:sz="0" w:space="0" w:color="auto"/>
        <w:left w:val="none" w:sz="0" w:space="0" w:color="auto"/>
        <w:bottom w:val="none" w:sz="0" w:space="0" w:color="auto"/>
        <w:right w:val="none" w:sz="0" w:space="0" w:color="auto"/>
      </w:divBdr>
      <w:divsChild>
        <w:div w:id="1898322096">
          <w:marLeft w:val="0"/>
          <w:marRight w:val="0"/>
          <w:marTop w:val="0"/>
          <w:marBottom w:val="0"/>
          <w:divBdr>
            <w:top w:val="none" w:sz="0" w:space="0" w:color="auto"/>
            <w:left w:val="none" w:sz="0" w:space="0" w:color="auto"/>
            <w:bottom w:val="none" w:sz="0" w:space="0" w:color="auto"/>
            <w:right w:val="none" w:sz="0" w:space="0" w:color="auto"/>
          </w:divBdr>
        </w:div>
      </w:divsChild>
    </w:div>
    <w:div w:id="715809718">
      <w:marLeft w:val="0"/>
      <w:marRight w:val="0"/>
      <w:marTop w:val="0"/>
      <w:marBottom w:val="0"/>
      <w:divBdr>
        <w:top w:val="none" w:sz="0" w:space="0" w:color="auto"/>
        <w:left w:val="none" w:sz="0" w:space="0" w:color="auto"/>
        <w:bottom w:val="none" w:sz="0" w:space="0" w:color="auto"/>
        <w:right w:val="none" w:sz="0" w:space="0" w:color="auto"/>
      </w:divBdr>
    </w:div>
    <w:div w:id="716465212">
      <w:marLeft w:val="0"/>
      <w:marRight w:val="0"/>
      <w:marTop w:val="0"/>
      <w:marBottom w:val="0"/>
      <w:divBdr>
        <w:top w:val="none" w:sz="0" w:space="0" w:color="auto"/>
        <w:left w:val="none" w:sz="0" w:space="0" w:color="auto"/>
        <w:bottom w:val="none" w:sz="0" w:space="0" w:color="auto"/>
        <w:right w:val="none" w:sz="0" w:space="0" w:color="auto"/>
      </w:divBdr>
      <w:divsChild>
        <w:div w:id="1448498947">
          <w:marLeft w:val="0"/>
          <w:marRight w:val="0"/>
          <w:marTop w:val="0"/>
          <w:marBottom w:val="0"/>
          <w:divBdr>
            <w:top w:val="none" w:sz="0" w:space="0" w:color="auto"/>
            <w:left w:val="none" w:sz="0" w:space="0" w:color="auto"/>
            <w:bottom w:val="none" w:sz="0" w:space="0" w:color="auto"/>
            <w:right w:val="none" w:sz="0" w:space="0" w:color="auto"/>
          </w:divBdr>
        </w:div>
      </w:divsChild>
    </w:div>
    <w:div w:id="718893177">
      <w:marLeft w:val="0"/>
      <w:marRight w:val="0"/>
      <w:marTop w:val="0"/>
      <w:marBottom w:val="0"/>
      <w:divBdr>
        <w:top w:val="none" w:sz="0" w:space="0" w:color="auto"/>
        <w:left w:val="none" w:sz="0" w:space="0" w:color="auto"/>
        <w:bottom w:val="none" w:sz="0" w:space="0" w:color="auto"/>
        <w:right w:val="none" w:sz="0" w:space="0" w:color="auto"/>
      </w:divBdr>
    </w:div>
    <w:div w:id="723912490">
      <w:marLeft w:val="0"/>
      <w:marRight w:val="0"/>
      <w:marTop w:val="0"/>
      <w:marBottom w:val="160"/>
      <w:divBdr>
        <w:top w:val="none" w:sz="0" w:space="0" w:color="auto"/>
        <w:left w:val="none" w:sz="0" w:space="0" w:color="auto"/>
        <w:bottom w:val="none" w:sz="0" w:space="0" w:color="auto"/>
        <w:right w:val="none" w:sz="0" w:space="0" w:color="auto"/>
      </w:divBdr>
    </w:div>
    <w:div w:id="725681965">
      <w:marLeft w:val="0"/>
      <w:marRight w:val="0"/>
      <w:marTop w:val="0"/>
      <w:marBottom w:val="0"/>
      <w:divBdr>
        <w:top w:val="none" w:sz="0" w:space="0" w:color="auto"/>
        <w:left w:val="none" w:sz="0" w:space="0" w:color="auto"/>
        <w:bottom w:val="none" w:sz="0" w:space="0" w:color="auto"/>
        <w:right w:val="none" w:sz="0" w:space="0" w:color="auto"/>
      </w:divBdr>
    </w:div>
    <w:div w:id="725908054">
      <w:marLeft w:val="0"/>
      <w:marRight w:val="0"/>
      <w:marTop w:val="0"/>
      <w:marBottom w:val="0"/>
      <w:divBdr>
        <w:top w:val="none" w:sz="0" w:space="0" w:color="auto"/>
        <w:left w:val="none" w:sz="0" w:space="0" w:color="auto"/>
        <w:bottom w:val="none" w:sz="0" w:space="0" w:color="auto"/>
        <w:right w:val="none" w:sz="0" w:space="0" w:color="auto"/>
      </w:divBdr>
      <w:divsChild>
        <w:div w:id="1868788535">
          <w:marLeft w:val="0"/>
          <w:marRight w:val="0"/>
          <w:marTop w:val="0"/>
          <w:marBottom w:val="0"/>
          <w:divBdr>
            <w:top w:val="none" w:sz="0" w:space="0" w:color="auto"/>
            <w:left w:val="none" w:sz="0" w:space="0" w:color="auto"/>
            <w:bottom w:val="none" w:sz="0" w:space="0" w:color="auto"/>
            <w:right w:val="none" w:sz="0" w:space="0" w:color="auto"/>
          </w:divBdr>
        </w:div>
      </w:divsChild>
    </w:div>
    <w:div w:id="728576996">
      <w:marLeft w:val="0"/>
      <w:marRight w:val="0"/>
      <w:marTop w:val="0"/>
      <w:marBottom w:val="0"/>
      <w:divBdr>
        <w:top w:val="none" w:sz="0" w:space="0" w:color="auto"/>
        <w:left w:val="none" w:sz="0" w:space="0" w:color="auto"/>
        <w:bottom w:val="none" w:sz="0" w:space="0" w:color="auto"/>
        <w:right w:val="none" w:sz="0" w:space="0" w:color="auto"/>
      </w:divBdr>
    </w:div>
    <w:div w:id="731776427">
      <w:marLeft w:val="0"/>
      <w:marRight w:val="0"/>
      <w:marTop w:val="100"/>
      <w:marBottom w:val="0"/>
      <w:divBdr>
        <w:top w:val="none" w:sz="0" w:space="0" w:color="auto"/>
        <w:left w:val="none" w:sz="0" w:space="0" w:color="auto"/>
        <w:bottom w:val="none" w:sz="0" w:space="0" w:color="auto"/>
        <w:right w:val="none" w:sz="0" w:space="0" w:color="auto"/>
      </w:divBdr>
    </w:div>
    <w:div w:id="734819831">
      <w:marLeft w:val="0"/>
      <w:marRight w:val="0"/>
      <w:marTop w:val="0"/>
      <w:marBottom w:val="0"/>
      <w:divBdr>
        <w:top w:val="none" w:sz="0" w:space="0" w:color="auto"/>
        <w:left w:val="none" w:sz="0" w:space="0" w:color="auto"/>
        <w:bottom w:val="none" w:sz="0" w:space="0" w:color="auto"/>
        <w:right w:val="none" w:sz="0" w:space="0" w:color="auto"/>
      </w:divBdr>
      <w:divsChild>
        <w:div w:id="1498113149">
          <w:marLeft w:val="0"/>
          <w:marRight w:val="0"/>
          <w:marTop w:val="0"/>
          <w:marBottom w:val="0"/>
          <w:divBdr>
            <w:top w:val="none" w:sz="0" w:space="0" w:color="auto"/>
            <w:left w:val="none" w:sz="0" w:space="0" w:color="auto"/>
            <w:bottom w:val="none" w:sz="0" w:space="0" w:color="auto"/>
            <w:right w:val="none" w:sz="0" w:space="0" w:color="auto"/>
          </w:divBdr>
        </w:div>
      </w:divsChild>
    </w:div>
    <w:div w:id="736170016">
      <w:marLeft w:val="0"/>
      <w:marRight w:val="0"/>
      <w:marTop w:val="0"/>
      <w:marBottom w:val="0"/>
      <w:divBdr>
        <w:top w:val="none" w:sz="0" w:space="0" w:color="auto"/>
        <w:left w:val="none" w:sz="0" w:space="0" w:color="auto"/>
        <w:bottom w:val="none" w:sz="0" w:space="0" w:color="auto"/>
        <w:right w:val="none" w:sz="0" w:space="0" w:color="auto"/>
      </w:divBdr>
    </w:div>
    <w:div w:id="738017057">
      <w:marLeft w:val="0"/>
      <w:marRight w:val="0"/>
      <w:marTop w:val="0"/>
      <w:marBottom w:val="0"/>
      <w:divBdr>
        <w:top w:val="none" w:sz="0" w:space="0" w:color="auto"/>
        <w:left w:val="none" w:sz="0" w:space="0" w:color="auto"/>
        <w:bottom w:val="none" w:sz="0" w:space="0" w:color="auto"/>
        <w:right w:val="none" w:sz="0" w:space="0" w:color="auto"/>
      </w:divBdr>
    </w:div>
    <w:div w:id="738525374">
      <w:marLeft w:val="0"/>
      <w:marRight w:val="0"/>
      <w:marTop w:val="0"/>
      <w:marBottom w:val="0"/>
      <w:divBdr>
        <w:top w:val="none" w:sz="0" w:space="0" w:color="auto"/>
        <w:left w:val="none" w:sz="0" w:space="0" w:color="auto"/>
        <w:bottom w:val="none" w:sz="0" w:space="0" w:color="auto"/>
        <w:right w:val="none" w:sz="0" w:space="0" w:color="auto"/>
      </w:divBdr>
    </w:div>
    <w:div w:id="738595999">
      <w:marLeft w:val="0"/>
      <w:marRight w:val="0"/>
      <w:marTop w:val="0"/>
      <w:marBottom w:val="60"/>
      <w:divBdr>
        <w:top w:val="none" w:sz="0" w:space="0" w:color="auto"/>
        <w:left w:val="none" w:sz="0" w:space="0" w:color="auto"/>
        <w:bottom w:val="none" w:sz="0" w:space="0" w:color="auto"/>
        <w:right w:val="none" w:sz="0" w:space="0" w:color="auto"/>
      </w:divBdr>
    </w:div>
    <w:div w:id="741416717">
      <w:marLeft w:val="0"/>
      <w:marRight w:val="0"/>
      <w:marTop w:val="100"/>
      <w:marBottom w:val="0"/>
      <w:divBdr>
        <w:top w:val="none" w:sz="0" w:space="0" w:color="auto"/>
        <w:left w:val="none" w:sz="0" w:space="0" w:color="auto"/>
        <w:bottom w:val="none" w:sz="0" w:space="0" w:color="auto"/>
        <w:right w:val="none" w:sz="0" w:space="0" w:color="auto"/>
      </w:divBdr>
    </w:div>
    <w:div w:id="743528617">
      <w:marLeft w:val="0"/>
      <w:marRight w:val="0"/>
      <w:marTop w:val="0"/>
      <w:marBottom w:val="0"/>
      <w:divBdr>
        <w:top w:val="none" w:sz="0" w:space="0" w:color="auto"/>
        <w:left w:val="none" w:sz="0" w:space="0" w:color="auto"/>
        <w:bottom w:val="none" w:sz="0" w:space="0" w:color="auto"/>
        <w:right w:val="none" w:sz="0" w:space="0" w:color="auto"/>
      </w:divBdr>
      <w:divsChild>
        <w:div w:id="1507279774">
          <w:marLeft w:val="0"/>
          <w:marRight w:val="0"/>
          <w:marTop w:val="0"/>
          <w:marBottom w:val="0"/>
          <w:divBdr>
            <w:top w:val="none" w:sz="0" w:space="0" w:color="auto"/>
            <w:left w:val="none" w:sz="0" w:space="0" w:color="auto"/>
            <w:bottom w:val="none" w:sz="0" w:space="0" w:color="auto"/>
            <w:right w:val="none" w:sz="0" w:space="0" w:color="auto"/>
          </w:divBdr>
        </w:div>
      </w:divsChild>
    </w:div>
    <w:div w:id="744954604">
      <w:marLeft w:val="0"/>
      <w:marRight w:val="0"/>
      <w:marTop w:val="0"/>
      <w:marBottom w:val="0"/>
      <w:divBdr>
        <w:top w:val="none" w:sz="0" w:space="0" w:color="auto"/>
        <w:left w:val="none" w:sz="0" w:space="0" w:color="auto"/>
        <w:bottom w:val="none" w:sz="0" w:space="0" w:color="auto"/>
        <w:right w:val="none" w:sz="0" w:space="0" w:color="auto"/>
      </w:divBdr>
    </w:div>
    <w:div w:id="750930084">
      <w:marLeft w:val="0"/>
      <w:marRight w:val="0"/>
      <w:marTop w:val="0"/>
      <w:marBottom w:val="0"/>
      <w:divBdr>
        <w:top w:val="none" w:sz="0" w:space="0" w:color="auto"/>
        <w:left w:val="none" w:sz="0" w:space="0" w:color="auto"/>
        <w:bottom w:val="none" w:sz="0" w:space="0" w:color="auto"/>
        <w:right w:val="none" w:sz="0" w:space="0" w:color="auto"/>
      </w:divBdr>
      <w:divsChild>
        <w:div w:id="1843007423">
          <w:marLeft w:val="0"/>
          <w:marRight w:val="0"/>
          <w:marTop w:val="0"/>
          <w:marBottom w:val="0"/>
          <w:divBdr>
            <w:top w:val="none" w:sz="0" w:space="0" w:color="auto"/>
            <w:left w:val="none" w:sz="0" w:space="0" w:color="auto"/>
            <w:bottom w:val="none" w:sz="0" w:space="0" w:color="auto"/>
            <w:right w:val="none" w:sz="0" w:space="0" w:color="auto"/>
          </w:divBdr>
        </w:div>
      </w:divsChild>
    </w:div>
    <w:div w:id="762266104">
      <w:marLeft w:val="0"/>
      <w:marRight w:val="0"/>
      <w:marTop w:val="0"/>
      <w:marBottom w:val="0"/>
      <w:divBdr>
        <w:top w:val="none" w:sz="0" w:space="0" w:color="auto"/>
        <w:left w:val="none" w:sz="0" w:space="0" w:color="auto"/>
        <w:bottom w:val="none" w:sz="0" w:space="0" w:color="auto"/>
        <w:right w:val="none" w:sz="0" w:space="0" w:color="auto"/>
      </w:divBdr>
    </w:div>
    <w:div w:id="765034245">
      <w:marLeft w:val="0"/>
      <w:marRight w:val="0"/>
      <w:marTop w:val="0"/>
      <w:marBottom w:val="0"/>
      <w:divBdr>
        <w:top w:val="none" w:sz="0" w:space="0" w:color="auto"/>
        <w:left w:val="none" w:sz="0" w:space="0" w:color="auto"/>
        <w:bottom w:val="none" w:sz="0" w:space="0" w:color="auto"/>
        <w:right w:val="none" w:sz="0" w:space="0" w:color="auto"/>
      </w:divBdr>
    </w:div>
    <w:div w:id="765466348">
      <w:marLeft w:val="0"/>
      <w:marRight w:val="0"/>
      <w:marTop w:val="0"/>
      <w:marBottom w:val="0"/>
      <w:divBdr>
        <w:top w:val="none" w:sz="0" w:space="0" w:color="auto"/>
        <w:left w:val="none" w:sz="0" w:space="0" w:color="auto"/>
        <w:bottom w:val="none" w:sz="0" w:space="0" w:color="auto"/>
        <w:right w:val="none" w:sz="0" w:space="0" w:color="auto"/>
      </w:divBdr>
    </w:div>
    <w:div w:id="766076661">
      <w:marLeft w:val="0"/>
      <w:marRight w:val="0"/>
      <w:marTop w:val="0"/>
      <w:marBottom w:val="0"/>
      <w:divBdr>
        <w:top w:val="none" w:sz="0" w:space="0" w:color="auto"/>
        <w:left w:val="none" w:sz="0" w:space="0" w:color="auto"/>
        <w:bottom w:val="none" w:sz="0" w:space="0" w:color="auto"/>
        <w:right w:val="none" w:sz="0" w:space="0" w:color="auto"/>
      </w:divBdr>
    </w:div>
    <w:div w:id="766734064">
      <w:marLeft w:val="0"/>
      <w:marRight w:val="0"/>
      <w:marTop w:val="0"/>
      <w:marBottom w:val="0"/>
      <w:divBdr>
        <w:top w:val="none" w:sz="0" w:space="0" w:color="auto"/>
        <w:left w:val="none" w:sz="0" w:space="0" w:color="auto"/>
        <w:bottom w:val="none" w:sz="0" w:space="0" w:color="auto"/>
        <w:right w:val="none" w:sz="0" w:space="0" w:color="auto"/>
      </w:divBdr>
    </w:div>
    <w:div w:id="776026879">
      <w:marLeft w:val="0"/>
      <w:marRight w:val="0"/>
      <w:marTop w:val="100"/>
      <w:marBottom w:val="0"/>
      <w:divBdr>
        <w:top w:val="none" w:sz="0" w:space="0" w:color="auto"/>
        <w:left w:val="none" w:sz="0" w:space="0" w:color="auto"/>
        <w:bottom w:val="none" w:sz="0" w:space="0" w:color="auto"/>
        <w:right w:val="none" w:sz="0" w:space="0" w:color="auto"/>
      </w:divBdr>
    </w:div>
    <w:div w:id="776407676">
      <w:marLeft w:val="0"/>
      <w:marRight w:val="0"/>
      <w:marTop w:val="0"/>
      <w:marBottom w:val="0"/>
      <w:divBdr>
        <w:top w:val="none" w:sz="0" w:space="0" w:color="auto"/>
        <w:left w:val="none" w:sz="0" w:space="0" w:color="auto"/>
        <w:bottom w:val="none" w:sz="0" w:space="0" w:color="auto"/>
        <w:right w:val="none" w:sz="0" w:space="0" w:color="auto"/>
      </w:divBdr>
    </w:div>
    <w:div w:id="779180505">
      <w:marLeft w:val="0"/>
      <w:marRight w:val="0"/>
      <w:marTop w:val="0"/>
      <w:marBottom w:val="0"/>
      <w:divBdr>
        <w:top w:val="none" w:sz="0" w:space="0" w:color="auto"/>
        <w:left w:val="none" w:sz="0" w:space="0" w:color="auto"/>
        <w:bottom w:val="none" w:sz="0" w:space="0" w:color="auto"/>
        <w:right w:val="none" w:sz="0" w:space="0" w:color="auto"/>
      </w:divBdr>
    </w:div>
    <w:div w:id="779491722">
      <w:marLeft w:val="0"/>
      <w:marRight w:val="0"/>
      <w:marTop w:val="0"/>
      <w:marBottom w:val="0"/>
      <w:divBdr>
        <w:top w:val="none" w:sz="0" w:space="0" w:color="auto"/>
        <w:left w:val="none" w:sz="0" w:space="0" w:color="auto"/>
        <w:bottom w:val="none" w:sz="0" w:space="0" w:color="auto"/>
        <w:right w:val="none" w:sz="0" w:space="0" w:color="auto"/>
      </w:divBdr>
      <w:divsChild>
        <w:div w:id="1226917641">
          <w:marLeft w:val="0"/>
          <w:marRight w:val="0"/>
          <w:marTop w:val="0"/>
          <w:marBottom w:val="0"/>
          <w:divBdr>
            <w:top w:val="none" w:sz="0" w:space="0" w:color="auto"/>
            <w:left w:val="none" w:sz="0" w:space="0" w:color="auto"/>
            <w:bottom w:val="none" w:sz="0" w:space="0" w:color="auto"/>
            <w:right w:val="none" w:sz="0" w:space="0" w:color="auto"/>
          </w:divBdr>
        </w:div>
      </w:divsChild>
    </w:div>
    <w:div w:id="780536221">
      <w:marLeft w:val="0"/>
      <w:marRight w:val="0"/>
      <w:marTop w:val="0"/>
      <w:marBottom w:val="0"/>
      <w:divBdr>
        <w:top w:val="none" w:sz="0" w:space="0" w:color="auto"/>
        <w:left w:val="none" w:sz="0" w:space="0" w:color="auto"/>
        <w:bottom w:val="none" w:sz="0" w:space="0" w:color="auto"/>
        <w:right w:val="none" w:sz="0" w:space="0" w:color="auto"/>
      </w:divBdr>
    </w:div>
    <w:div w:id="780994105">
      <w:marLeft w:val="0"/>
      <w:marRight w:val="0"/>
      <w:marTop w:val="0"/>
      <w:marBottom w:val="0"/>
      <w:divBdr>
        <w:top w:val="none" w:sz="0" w:space="0" w:color="auto"/>
        <w:left w:val="none" w:sz="0" w:space="0" w:color="auto"/>
        <w:bottom w:val="none" w:sz="0" w:space="0" w:color="auto"/>
        <w:right w:val="none" w:sz="0" w:space="0" w:color="auto"/>
      </w:divBdr>
      <w:divsChild>
        <w:div w:id="558856905">
          <w:marLeft w:val="0"/>
          <w:marRight w:val="0"/>
          <w:marTop w:val="0"/>
          <w:marBottom w:val="0"/>
          <w:divBdr>
            <w:top w:val="none" w:sz="0" w:space="0" w:color="auto"/>
            <w:left w:val="none" w:sz="0" w:space="0" w:color="auto"/>
            <w:bottom w:val="none" w:sz="0" w:space="0" w:color="auto"/>
            <w:right w:val="none" w:sz="0" w:space="0" w:color="auto"/>
          </w:divBdr>
        </w:div>
      </w:divsChild>
    </w:div>
    <w:div w:id="782384790">
      <w:marLeft w:val="0"/>
      <w:marRight w:val="0"/>
      <w:marTop w:val="0"/>
      <w:marBottom w:val="0"/>
      <w:divBdr>
        <w:top w:val="none" w:sz="0" w:space="0" w:color="auto"/>
        <w:left w:val="none" w:sz="0" w:space="0" w:color="auto"/>
        <w:bottom w:val="none" w:sz="0" w:space="0" w:color="auto"/>
        <w:right w:val="none" w:sz="0" w:space="0" w:color="auto"/>
      </w:divBdr>
    </w:div>
    <w:div w:id="783503444">
      <w:marLeft w:val="0"/>
      <w:marRight w:val="0"/>
      <w:marTop w:val="0"/>
      <w:marBottom w:val="0"/>
      <w:divBdr>
        <w:top w:val="none" w:sz="0" w:space="0" w:color="auto"/>
        <w:left w:val="none" w:sz="0" w:space="0" w:color="auto"/>
        <w:bottom w:val="none" w:sz="0" w:space="0" w:color="auto"/>
        <w:right w:val="none" w:sz="0" w:space="0" w:color="auto"/>
      </w:divBdr>
      <w:divsChild>
        <w:div w:id="2038264714">
          <w:marLeft w:val="0"/>
          <w:marRight w:val="0"/>
          <w:marTop w:val="0"/>
          <w:marBottom w:val="0"/>
          <w:divBdr>
            <w:top w:val="none" w:sz="0" w:space="0" w:color="auto"/>
            <w:left w:val="none" w:sz="0" w:space="0" w:color="auto"/>
            <w:bottom w:val="none" w:sz="0" w:space="0" w:color="auto"/>
            <w:right w:val="none" w:sz="0" w:space="0" w:color="auto"/>
          </w:divBdr>
        </w:div>
      </w:divsChild>
    </w:div>
    <w:div w:id="787235612">
      <w:marLeft w:val="0"/>
      <w:marRight w:val="0"/>
      <w:marTop w:val="0"/>
      <w:marBottom w:val="0"/>
      <w:divBdr>
        <w:top w:val="none" w:sz="0" w:space="0" w:color="auto"/>
        <w:left w:val="none" w:sz="0" w:space="0" w:color="auto"/>
        <w:bottom w:val="none" w:sz="0" w:space="0" w:color="auto"/>
        <w:right w:val="none" w:sz="0" w:space="0" w:color="auto"/>
      </w:divBdr>
    </w:div>
    <w:div w:id="788283550">
      <w:marLeft w:val="0"/>
      <w:marRight w:val="0"/>
      <w:marTop w:val="0"/>
      <w:marBottom w:val="0"/>
      <w:divBdr>
        <w:top w:val="none" w:sz="0" w:space="0" w:color="auto"/>
        <w:left w:val="none" w:sz="0" w:space="0" w:color="auto"/>
        <w:bottom w:val="none" w:sz="0" w:space="0" w:color="auto"/>
        <w:right w:val="none" w:sz="0" w:space="0" w:color="auto"/>
      </w:divBdr>
    </w:div>
    <w:div w:id="788478708">
      <w:marLeft w:val="0"/>
      <w:marRight w:val="0"/>
      <w:marTop w:val="0"/>
      <w:marBottom w:val="0"/>
      <w:divBdr>
        <w:top w:val="none" w:sz="0" w:space="0" w:color="auto"/>
        <w:left w:val="none" w:sz="0" w:space="0" w:color="auto"/>
        <w:bottom w:val="none" w:sz="0" w:space="0" w:color="auto"/>
        <w:right w:val="none" w:sz="0" w:space="0" w:color="auto"/>
      </w:divBdr>
    </w:div>
    <w:div w:id="789326865">
      <w:marLeft w:val="0"/>
      <w:marRight w:val="0"/>
      <w:marTop w:val="0"/>
      <w:marBottom w:val="0"/>
      <w:divBdr>
        <w:top w:val="none" w:sz="0" w:space="0" w:color="auto"/>
        <w:left w:val="none" w:sz="0" w:space="0" w:color="auto"/>
        <w:bottom w:val="none" w:sz="0" w:space="0" w:color="auto"/>
        <w:right w:val="none" w:sz="0" w:space="0" w:color="auto"/>
      </w:divBdr>
      <w:divsChild>
        <w:div w:id="830411795">
          <w:marLeft w:val="0"/>
          <w:marRight w:val="0"/>
          <w:marTop w:val="0"/>
          <w:marBottom w:val="0"/>
          <w:divBdr>
            <w:top w:val="none" w:sz="0" w:space="0" w:color="auto"/>
            <w:left w:val="none" w:sz="0" w:space="0" w:color="auto"/>
            <w:bottom w:val="none" w:sz="0" w:space="0" w:color="auto"/>
            <w:right w:val="none" w:sz="0" w:space="0" w:color="auto"/>
          </w:divBdr>
        </w:div>
      </w:divsChild>
    </w:div>
    <w:div w:id="789401957">
      <w:marLeft w:val="0"/>
      <w:marRight w:val="0"/>
      <w:marTop w:val="0"/>
      <w:marBottom w:val="0"/>
      <w:divBdr>
        <w:top w:val="none" w:sz="0" w:space="0" w:color="auto"/>
        <w:left w:val="none" w:sz="0" w:space="0" w:color="auto"/>
        <w:bottom w:val="none" w:sz="0" w:space="0" w:color="auto"/>
        <w:right w:val="none" w:sz="0" w:space="0" w:color="auto"/>
      </w:divBdr>
    </w:div>
    <w:div w:id="794249428">
      <w:marLeft w:val="0"/>
      <w:marRight w:val="0"/>
      <w:marTop w:val="0"/>
      <w:marBottom w:val="0"/>
      <w:divBdr>
        <w:top w:val="none" w:sz="0" w:space="0" w:color="auto"/>
        <w:left w:val="none" w:sz="0" w:space="0" w:color="auto"/>
        <w:bottom w:val="none" w:sz="0" w:space="0" w:color="auto"/>
        <w:right w:val="none" w:sz="0" w:space="0" w:color="auto"/>
      </w:divBdr>
    </w:div>
    <w:div w:id="795295615">
      <w:marLeft w:val="0"/>
      <w:marRight w:val="0"/>
      <w:marTop w:val="0"/>
      <w:marBottom w:val="0"/>
      <w:divBdr>
        <w:top w:val="none" w:sz="0" w:space="0" w:color="auto"/>
        <w:left w:val="none" w:sz="0" w:space="0" w:color="auto"/>
        <w:bottom w:val="none" w:sz="0" w:space="0" w:color="auto"/>
        <w:right w:val="none" w:sz="0" w:space="0" w:color="auto"/>
      </w:divBdr>
    </w:div>
    <w:div w:id="796341282">
      <w:marLeft w:val="0"/>
      <w:marRight w:val="0"/>
      <w:marTop w:val="100"/>
      <w:marBottom w:val="0"/>
      <w:divBdr>
        <w:top w:val="none" w:sz="0" w:space="0" w:color="auto"/>
        <w:left w:val="none" w:sz="0" w:space="0" w:color="auto"/>
        <w:bottom w:val="none" w:sz="0" w:space="0" w:color="auto"/>
        <w:right w:val="none" w:sz="0" w:space="0" w:color="auto"/>
      </w:divBdr>
    </w:div>
    <w:div w:id="799372872">
      <w:marLeft w:val="0"/>
      <w:marRight w:val="0"/>
      <w:marTop w:val="0"/>
      <w:marBottom w:val="0"/>
      <w:divBdr>
        <w:top w:val="none" w:sz="0" w:space="0" w:color="auto"/>
        <w:left w:val="none" w:sz="0" w:space="0" w:color="auto"/>
        <w:bottom w:val="none" w:sz="0" w:space="0" w:color="auto"/>
        <w:right w:val="none" w:sz="0" w:space="0" w:color="auto"/>
      </w:divBdr>
    </w:div>
    <w:div w:id="801003765">
      <w:marLeft w:val="0"/>
      <w:marRight w:val="0"/>
      <w:marTop w:val="0"/>
      <w:marBottom w:val="120"/>
      <w:divBdr>
        <w:top w:val="none" w:sz="0" w:space="0" w:color="auto"/>
        <w:left w:val="none" w:sz="0" w:space="0" w:color="auto"/>
        <w:bottom w:val="none" w:sz="0" w:space="0" w:color="auto"/>
        <w:right w:val="none" w:sz="0" w:space="0" w:color="auto"/>
      </w:divBdr>
    </w:div>
    <w:div w:id="801728218">
      <w:marLeft w:val="0"/>
      <w:marRight w:val="0"/>
      <w:marTop w:val="0"/>
      <w:marBottom w:val="0"/>
      <w:divBdr>
        <w:top w:val="none" w:sz="0" w:space="0" w:color="auto"/>
        <w:left w:val="none" w:sz="0" w:space="0" w:color="auto"/>
        <w:bottom w:val="none" w:sz="0" w:space="0" w:color="auto"/>
        <w:right w:val="none" w:sz="0" w:space="0" w:color="auto"/>
      </w:divBdr>
    </w:div>
    <w:div w:id="802043743">
      <w:marLeft w:val="0"/>
      <w:marRight w:val="0"/>
      <w:marTop w:val="0"/>
      <w:marBottom w:val="0"/>
      <w:divBdr>
        <w:top w:val="none" w:sz="0" w:space="0" w:color="auto"/>
        <w:left w:val="none" w:sz="0" w:space="0" w:color="auto"/>
        <w:bottom w:val="none" w:sz="0" w:space="0" w:color="auto"/>
        <w:right w:val="none" w:sz="0" w:space="0" w:color="auto"/>
      </w:divBdr>
      <w:divsChild>
        <w:div w:id="442189657">
          <w:marLeft w:val="0"/>
          <w:marRight w:val="0"/>
          <w:marTop w:val="0"/>
          <w:marBottom w:val="0"/>
          <w:divBdr>
            <w:top w:val="none" w:sz="0" w:space="0" w:color="auto"/>
            <w:left w:val="none" w:sz="0" w:space="0" w:color="auto"/>
            <w:bottom w:val="none" w:sz="0" w:space="0" w:color="auto"/>
            <w:right w:val="none" w:sz="0" w:space="0" w:color="auto"/>
          </w:divBdr>
        </w:div>
      </w:divsChild>
    </w:div>
    <w:div w:id="804931990">
      <w:marLeft w:val="0"/>
      <w:marRight w:val="0"/>
      <w:marTop w:val="0"/>
      <w:marBottom w:val="0"/>
      <w:divBdr>
        <w:top w:val="none" w:sz="0" w:space="0" w:color="auto"/>
        <w:left w:val="none" w:sz="0" w:space="0" w:color="auto"/>
        <w:bottom w:val="none" w:sz="0" w:space="0" w:color="auto"/>
        <w:right w:val="none" w:sz="0" w:space="0" w:color="auto"/>
      </w:divBdr>
      <w:divsChild>
        <w:div w:id="1571041435">
          <w:marLeft w:val="0"/>
          <w:marRight w:val="0"/>
          <w:marTop w:val="0"/>
          <w:marBottom w:val="0"/>
          <w:divBdr>
            <w:top w:val="none" w:sz="0" w:space="0" w:color="auto"/>
            <w:left w:val="none" w:sz="0" w:space="0" w:color="auto"/>
            <w:bottom w:val="none" w:sz="0" w:space="0" w:color="auto"/>
            <w:right w:val="none" w:sz="0" w:space="0" w:color="auto"/>
          </w:divBdr>
        </w:div>
      </w:divsChild>
    </w:div>
    <w:div w:id="807168228">
      <w:marLeft w:val="0"/>
      <w:marRight w:val="0"/>
      <w:marTop w:val="100"/>
      <w:marBottom w:val="0"/>
      <w:divBdr>
        <w:top w:val="none" w:sz="0" w:space="0" w:color="auto"/>
        <w:left w:val="none" w:sz="0" w:space="0" w:color="auto"/>
        <w:bottom w:val="none" w:sz="0" w:space="0" w:color="auto"/>
        <w:right w:val="none" w:sz="0" w:space="0" w:color="auto"/>
      </w:divBdr>
    </w:div>
    <w:div w:id="810439461">
      <w:marLeft w:val="0"/>
      <w:marRight w:val="0"/>
      <w:marTop w:val="0"/>
      <w:marBottom w:val="0"/>
      <w:divBdr>
        <w:top w:val="none" w:sz="0" w:space="0" w:color="auto"/>
        <w:left w:val="none" w:sz="0" w:space="0" w:color="auto"/>
        <w:bottom w:val="none" w:sz="0" w:space="0" w:color="auto"/>
        <w:right w:val="none" w:sz="0" w:space="0" w:color="auto"/>
      </w:divBdr>
    </w:div>
    <w:div w:id="810559097">
      <w:marLeft w:val="0"/>
      <w:marRight w:val="0"/>
      <w:marTop w:val="0"/>
      <w:marBottom w:val="0"/>
      <w:divBdr>
        <w:top w:val="none" w:sz="0" w:space="0" w:color="auto"/>
        <w:left w:val="none" w:sz="0" w:space="0" w:color="auto"/>
        <w:bottom w:val="none" w:sz="0" w:space="0" w:color="auto"/>
        <w:right w:val="none" w:sz="0" w:space="0" w:color="auto"/>
      </w:divBdr>
    </w:div>
    <w:div w:id="812403719">
      <w:marLeft w:val="0"/>
      <w:marRight w:val="0"/>
      <w:marTop w:val="100"/>
      <w:marBottom w:val="0"/>
      <w:divBdr>
        <w:top w:val="none" w:sz="0" w:space="0" w:color="auto"/>
        <w:left w:val="none" w:sz="0" w:space="0" w:color="auto"/>
        <w:bottom w:val="none" w:sz="0" w:space="0" w:color="auto"/>
        <w:right w:val="none" w:sz="0" w:space="0" w:color="auto"/>
      </w:divBdr>
      <w:divsChild>
        <w:div w:id="1986739831">
          <w:marLeft w:val="0"/>
          <w:marRight w:val="0"/>
          <w:marTop w:val="0"/>
          <w:marBottom w:val="0"/>
          <w:divBdr>
            <w:top w:val="none" w:sz="0" w:space="0" w:color="auto"/>
            <w:left w:val="none" w:sz="0" w:space="0" w:color="auto"/>
            <w:bottom w:val="none" w:sz="0" w:space="0" w:color="auto"/>
            <w:right w:val="none" w:sz="0" w:space="0" w:color="auto"/>
          </w:divBdr>
        </w:div>
      </w:divsChild>
    </w:div>
    <w:div w:id="813445300">
      <w:marLeft w:val="0"/>
      <w:marRight w:val="0"/>
      <w:marTop w:val="0"/>
      <w:marBottom w:val="0"/>
      <w:divBdr>
        <w:top w:val="none" w:sz="0" w:space="0" w:color="auto"/>
        <w:left w:val="none" w:sz="0" w:space="0" w:color="auto"/>
        <w:bottom w:val="none" w:sz="0" w:space="0" w:color="auto"/>
        <w:right w:val="none" w:sz="0" w:space="0" w:color="auto"/>
      </w:divBdr>
    </w:div>
    <w:div w:id="815759139">
      <w:marLeft w:val="0"/>
      <w:marRight w:val="0"/>
      <w:marTop w:val="0"/>
      <w:marBottom w:val="0"/>
      <w:divBdr>
        <w:top w:val="none" w:sz="0" w:space="0" w:color="auto"/>
        <w:left w:val="none" w:sz="0" w:space="0" w:color="auto"/>
        <w:bottom w:val="none" w:sz="0" w:space="0" w:color="auto"/>
        <w:right w:val="none" w:sz="0" w:space="0" w:color="auto"/>
      </w:divBdr>
      <w:divsChild>
        <w:div w:id="1144155899">
          <w:marLeft w:val="0"/>
          <w:marRight w:val="0"/>
          <w:marTop w:val="0"/>
          <w:marBottom w:val="0"/>
          <w:divBdr>
            <w:top w:val="none" w:sz="0" w:space="0" w:color="auto"/>
            <w:left w:val="none" w:sz="0" w:space="0" w:color="auto"/>
            <w:bottom w:val="none" w:sz="0" w:space="0" w:color="auto"/>
            <w:right w:val="none" w:sz="0" w:space="0" w:color="auto"/>
          </w:divBdr>
        </w:div>
      </w:divsChild>
    </w:div>
    <w:div w:id="816267300">
      <w:marLeft w:val="0"/>
      <w:marRight w:val="0"/>
      <w:marTop w:val="0"/>
      <w:marBottom w:val="0"/>
      <w:divBdr>
        <w:top w:val="none" w:sz="0" w:space="0" w:color="auto"/>
        <w:left w:val="none" w:sz="0" w:space="0" w:color="auto"/>
        <w:bottom w:val="none" w:sz="0" w:space="0" w:color="auto"/>
        <w:right w:val="none" w:sz="0" w:space="0" w:color="auto"/>
      </w:divBdr>
    </w:div>
    <w:div w:id="817383605">
      <w:marLeft w:val="0"/>
      <w:marRight w:val="0"/>
      <w:marTop w:val="0"/>
      <w:marBottom w:val="0"/>
      <w:divBdr>
        <w:top w:val="none" w:sz="0" w:space="0" w:color="auto"/>
        <w:left w:val="none" w:sz="0" w:space="0" w:color="auto"/>
        <w:bottom w:val="none" w:sz="0" w:space="0" w:color="auto"/>
        <w:right w:val="none" w:sz="0" w:space="0" w:color="auto"/>
      </w:divBdr>
      <w:divsChild>
        <w:div w:id="2035227878">
          <w:marLeft w:val="0"/>
          <w:marRight w:val="0"/>
          <w:marTop w:val="0"/>
          <w:marBottom w:val="0"/>
          <w:divBdr>
            <w:top w:val="none" w:sz="0" w:space="0" w:color="auto"/>
            <w:left w:val="none" w:sz="0" w:space="0" w:color="auto"/>
            <w:bottom w:val="none" w:sz="0" w:space="0" w:color="auto"/>
            <w:right w:val="none" w:sz="0" w:space="0" w:color="auto"/>
          </w:divBdr>
        </w:div>
      </w:divsChild>
    </w:div>
    <w:div w:id="820460047">
      <w:marLeft w:val="0"/>
      <w:marRight w:val="0"/>
      <w:marTop w:val="0"/>
      <w:marBottom w:val="160"/>
      <w:divBdr>
        <w:top w:val="none" w:sz="0" w:space="0" w:color="auto"/>
        <w:left w:val="none" w:sz="0" w:space="0" w:color="auto"/>
        <w:bottom w:val="none" w:sz="0" w:space="0" w:color="auto"/>
        <w:right w:val="none" w:sz="0" w:space="0" w:color="auto"/>
      </w:divBdr>
    </w:div>
    <w:div w:id="824319789">
      <w:marLeft w:val="0"/>
      <w:marRight w:val="0"/>
      <w:marTop w:val="0"/>
      <w:marBottom w:val="0"/>
      <w:divBdr>
        <w:top w:val="none" w:sz="0" w:space="0" w:color="auto"/>
        <w:left w:val="none" w:sz="0" w:space="0" w:color="auto"/>
        <w:bottom w:val="none" w:sz="0" w:space="0" w:color="auto"/>
        <w:right w:val="none" w:sz="0" w:space="0" w:color="auto"/>
      </w:divBdr>
    </w:div>
    <w:div w:id="824399504">
      <w:marLeft w:val="0"/>
      <w:marRight w:val="0"/>
      <w:marTop w:val="0"/>
      <w:marBottom w:val="0"/>
      <w:divBdr>
        <w:top w:val="none" w:sz="0" w:space="0" w:color="auto"/>
        <w:left w:val="none" w:sz="0" w:space="0" w:color="auto"/>
        <w:bottom w:val="none" w:sz="0" w:space="0" w:color="auto"/>
        <w:right w:val="none" w:sz="0" w:space="0" w:color="auto"/>
      </w:divBdr>
    </w:div>
    <w:div w:id="831068348">
      <w:marLeft w:val="0"/>
      <w:marRight w:val="0"/>
      <w:marTop w:val="100"/>
      <w:marBottom w:val="0"/>
      <w:divBdr>
        <w:top w:val="none" w:sz="0" w:space="0" w:color="auto"/>
        <w:left w:val="none" w:sz="0" w:space="0" w:color="auto"/>
        <w:bottom w:val="none" w:sz="0" w:space="0" w:color="auto"/>
        <w:right w:val="none" w:sz="0" w:space="0" w:color="auto"/>
      </w:divBdr>
    </w:div>
    <w:div w:id="832375906">
      <w:marLeft w:val="0"/>
      <w:marRight w:val="0"/>
      <w:marTop w:val="0"/>
      <w:marBottom w:val="0"/>
      <w:divBdr>
        <w:top w:val="none" w:sz="0" w:space="0" w:color="auto"/>
        <w:left w:val="none" w:sz="0" w:space="0" w:color="auto"/>
        <w:bottom w:val="none" w:sz="0" w:space="0" w:color="auto"/>
        <w:right w:val="none" w:sz="0" w:space="0" w:color="auto"/>
      </w:divBdr>
      <w:divsChild>
        <w:div w:id="1765951891">
          <w:marLeft w:val="0"/>
          <w:marRight w:val="0"/>
          <w:marTop w:val="0"/>
          <w:marBottom w:val="0"/>
          <w:divBdr>
            <w:top w:val="none" w:sz="0" w:space="0" w:color="auto"/>
            <w:left w:val="none" w:sz="0" w:space="0" w:color="auto"/>
            <w:bottom w:val="none" w:sz="0" w:space="0" w:color="auto"/>
            <w:right w:val="none" w:sz="0" w:space="0" w:color="auto"/>
          </w:divBdr>
        </w:div>
      </w:divsChild>
    </w:div>
    <w:div w:id="833836224">
      <w:marLeft w:val="0"/>
      <w:marRight w:val="0"/>
      <w:marTop w:val="0"/>
      <w:marBottom w:val="0"/>
      <w:divBdr>
        <w:top w:val="none" w:sz="0" w:space="0" w:color="auto"/>
        <w:left w:val="none" w:sz="0" w:space="0" w:color="auto"/>
        <w:bottom w:val="none" w:sz="0" w:space="0" w:color="auto"/>
        <w:right w:val="none" w:sz="0" w:space="0" w:color="auto"/>
      </w:divBdr>
      <w:divsChild>
        <w:div w:id="1045761136">
          <w:marLeft w:val="0"/>
          <w:marRight w:val="0"/>
          <w:marTop w:val="0"/>
          <w:marBottom w:val="0"/>
          <w:divBdr>
            <w:top w:val="none" w:sz="0" w:space="0" w:color="auto"/>
            <w:left w:val="none" w:sz="0" w:space="0" w:color="auto"/>
            <w:bottom w:val="none" w:sz="0" w:space="0" w:color="auto"/>
            <w:right w:val="none" w:sz="0" w:space="0" w:color="auto"/>
          </w:divBdr>
        </w:div>
      </w:divsChild>
    </w:div>
    <w:div w:id="837578226">
      <w:marLeft w:val="0"/>
      <w:marRight w:val="0"/>
      <w:marTop w:val="0"/>
      <w:marBottom w:val="0"/>
      <w:divBdr>
        <w:top w:val="none" w:sz="0" w:space="0" w:color="auto"/>
        <w:left w:val="none" w:sz="0" w:space="0" w:color="auto"/>
        <w:bottom w:val="none" w:sz="0" w:space="0" w:color="auto"/>
        <w:right w:val="none" w:sz="0" w:space="0" w:color="auto"/>
      </w:divBdr>
      <w:divsChild>
        <w:div w:id="936211959">
          <w:marLeft w:val="0"/>
          <w:marRight w:val="0"/>
          <w:marTop w:val="0"/>
          <w:marBottom w:val="0"/>
          <w:divBdr>
            <w:top w:val="none" w:sz="0" w:space="0" w:color="auto"/>
            <w:left w:val="none" w:sz="0" w:space="0" w:color="auto"/>
            <w:bottom w:val="none" w:sz="0" w:space="0" w:color="auto"/>
            <w:right w:val="none" w:sz="0" w:space="0" w:color="auto"/>
          </w:divBdr>
        </w:div>
      </w:divsChild>
    </w:div>
    <w:div w:id="841314451">
      <w:marLeft w:val="0"/>
      <w:marRight w:val="0"/>
      <w:marTop w:val="0"/>
      <w:marBottom w:val="0"/>
      <w:divBdr>
        <w:top w:val="none" w:sz="0" w:space="0" w:color="auto"/>
        <w:left w:val="none" w:sz="0" w:space="0" w:color="auto"/>
        <w:bottom w:val="none" w:sz="0" w:space="0" w:color="auto"/>
        <w:right w:val="none" w:sz="0" w:space="0" w:color="auto"/>
      </w:divBdr>
    </w:div>
    <w:div w:id="843202716">
      <w:marLeft w:val="0"/>
      <w:marRight w:val="0"/>
      <w:marTop w:val="100"/>
      <w:marBottom w:val="0"/>
      <w:divBdr>
        <w:top w:val="none" w:sz="0" w:space="0" w:color="auto"/>
        <w:left w:val="none" w:sz="0" w:space="0" w:color="auto"/>
        <w:bottom w:val="none" w:sz="0" w:space="0" w:color="auto"/>
        <w:right w:val="none" w:sz="0" w:space="0" w:color="auto"/>
      </w:divBdr>
    </w:div>
    <w:div w:id="846135898">
      <w:marLeft w:val="0"/>
      <w:marRight w:val="0"/>
      <w:marTop w:val="80"/>
      <w:marBottom w:val="0"/>
      <w:divBdr>
        <w:top w:val="none" w:sz="0" w:space="0" w:color="auto"/>
        <w:left w:val="none" w:sz="0" w:space="0" w:color="auto"/>
        <w:bottom w:val="none" w:sz="0" w:space="0" w:color="auto"/>
        <w:right w:val="none" w:sz="0" w:space="0" w:color="auto"/>
      </w:divBdr>
    </w:div>
    <w:div w:id="846675407">
      <w:marLeft w:val="0"/>
      <w:marRight w:val="0"/>
      <w:marTop w:val="0"/>
      <w:marBottom w:val="0"/>
      <w:divBdr>
        <w:top w:val="none" w:sz="0" w:space="0" w:color="auto"/>
        <w:left w:val="none" w:sz="0" w:space="0" w:color="auto"/>
        <w:bottom w:val="none" w:sz="0" w:space="0" w:color="auto"/>
        <w:right w:val="none" w:sz="0" w:space="0" w:color="auto"/>
      </w:divBdr>
      <w:divsChild>
        <w:div w:id="839539744">
          <w:marLeft w:val="0"/>
          <w:marRight w:val="0"/>
          <w:marTop w:val="0"/>
          <w:marBottom w:val="0"/>
          <w:divBdr>
            <w:top w:val="none" w:sz="0" w:space="0" w:color="auto"/>
            <w:left w:val="none" w:sz="0" w:space="0" w:color="auto"/>
            <w:bottom w:val="none" w:sz="0" w:space="0" w:color="auto"/>
            <w:right w:val="none" w:sz="0" w:space="0" w:color="auto"/>
          </w:divBdr>
        </w:div>
        <w:div w:id="1778478643">
          <w:marLeft w:val="0"/>
          <w:marRight w:val="0"/>
          <w:marTop w:val="0"/>
          <w:marBottom w:val="0"/>
          <w:divBdr>
            <w:top w:val="none" w:sz="0" w:space="0" w:color="auto"/>
            <w:left w:val="none" w:sz="0" w:space="0" w:color="auto"/>
            <w:bottom w:val="none" w:sz="0" w:space="0" w:color="auto"/>
            <w:right w:val="none" w:sz="0" w:space="0" w:color="auto"/>
          </w:divBdr>
        </w:div>
      </w:divsChild>
    </w:div>
    <w:div w:id="848058671">
      <w:marLeft w:val="0"/>
      <w:marRight w:val="0"/>
      <w:marTop w:val="0"/>
      <w:marBottom w:val="0"/>
      <w:divBdr>
        <w:top w:val="none" w:sz="0" w:space="0" w:color="auto"/>
        <w:left w:val="none" w:sz="0" w:space="0" w:color="auto"/>
        <w:bottom w:val="none" w:sz="0" w:space="0" w:color="auto"/>
        <w:right w:val="none" w:sz="0" w:space="0" w:color="auto"/>
      </w:divBdr>
      <w:divsChild>
        <w:div w:id="1424647730">
          <w:marLeft w:val="0"/>
          <w:marRight w:val="0"/>
          <w:marTop w:val="0"/>
          <w:marBottom w:val="0"/>
          <w:divBdr>
            <w:top w:val="none" w:sz="0" w:space="0" w:color="auto"/>
            <w:left w:val="none" w:sz="0" w:space="0" w:color="auto"/>
            <w:bottom w:val="none" w:sz="0" w:space="0" w:color="auto"/>
            <w:right w:val="none" w:sz="0" w:space="0" w:color="auto"/>
          </w:divBdr>
        </w:div>
      </w:divsChild>
    </w:div>
    <w:div w:id="849878549">
      <w:marLeft w:val="0"/>
      <w:marRight w:val="0"/>
      <w:marTop w:val="20"/>
      <w:marBottom w:val="0"/>
      <w:divBdr>
        <w:top w:val="none" w:sz="0" w:space="0" w:color="auto"/>
        <w:left w:val="none" w:sz="0" w:space="0" w:color="auto"/>
        <w:bottom w:val="none" w:sz="0" w:space="0" w:color="auto"/>
        <w:right w:val="none" w:sz="0" w:space="0" w:color="auto"/>
      </w:divBdr>
    </w:div>
    <w:div w:id="870190633">
      <w:marLeft w:val="0"/>
      <w:marRight w:val="0"/>
      <w:marTop w:val="100"/>
      <w:marBottom w:val="0"/>
      <w:divBdr>
        <w:top w:val="none" w:sz="0" w:space="0" w:color="auto"/>
        <w:left w:val="none" w:sz="0" w:space="0" w:color="auto"/>
        <w:bottom w:val="none" w:sz="0" w:space="0" w:color="auto"/>
        <w:right w:val="none" w:sz="0" w:space="0" w:color="auto"/>
      </w:divBdr>
    </w:div>
    <w:div w:id="870533220">
      <w:marLeft w:val="0"/>
      <w:marRight w:val="0"/>
      <w:marTop w:val="0"/>
      <w:marBottom w:val="0"/>
      <w:divBdr>
        <w:top w:val="none" w:sz="0" w:space="0" w:color="auto"/>
        <w:left w:val="none" w:sz="0" w:space="0" w:color="auto"/>
        <w:bottom w:val="none" w:sz="0" w:space="0" w:color="auto"/>
        <w:right w:val="none" w:sz="0" w:space="0" w:color="auto"/>
      </w:divBdr>
      <w:divsChild>
        <w:div w:id="1168524391">
          <w:marLeft w:val="0"/>
          <w:marRight w:val="0"/>
          <w:marTop w:val="0"/>
          <w:marBottom w:val="0"/>
          <w:divBdr>
            <w:top w:val="none" w:sz="0" w:space="0" w:color="auto"/>
            <w:left w:val="none" w:sz="0" w:space="0" w:color="auto"/>
            <w:bottom w:val="none" w:sz="0" w:space="0" w:color="auto"/>
            <w:right w:val="none" w:sz="0" w:space="0" w:color="auto"/>
          </w:divBdr>
        </w:div>
      </w:divsChild>
    </w:div>
    <w:div w:id="871650627">
      <w:marLeft w:val="0"/>
      <w:marRight w:val="0"/>
      <w:marTop w:val="0"/>
      <w:marBottom w:val="0"/>
      <w:divBdr>
        <w:top w:val="none" w:sz="0" w:space="0" w:color="auto"/>
        <w:left w:val="none" w:sz="0" w:space="0" w:color="auto"/>
        <w:bottom w:val="none" w:sz="0" w:space="0" w:color="auto"/>
        <w:right w:val="none" w:sz="0" w:space="0" w:color="auto"/>
      </w:divBdr>
    </w:div>
    <w:div w:id="871960456">
      <w:marLeft w:val="0"/>
      <w:marRight w:val="0"/>
      <w:marTop w:val="0"/>
      <w:marBottom w:val="0"/>
      <w:divBdr>
        <w:top w:val="none" w:sz="0" w:space="0" w:color="auto"/>
        <w:left w:val="none" w:sz="0" w:space="0" w:color="auto"/>
        <w:bottom w:val="none" w:sz="0" w:space="0" w:color="auto"/>
        <w:right w:val="none" w:sz="0" w:space="0" w:color="auto"/>
      </w:divBdr>
    </w:div>
    <w:div w:id="883719077">
      <w:marLeft w:val="0"/>
      <w:marRight w:val="0"/>
      <w:marTop w:val="0"/>
      <w:marBottom w:val="0"/>
      <w:divBdr>
        <w:top w:val="none" w:sz="0" w:space="0" w:color="auto"/>
        <w:left w:val="none" w:sz="0" w:space="0" w:color="auto"/>
        <w:bottom w:val="none" w:sz="0" w:space="0" w:color="auto"/>
        <w:right w:val="none" w:sz="0" w:space="0" w:color="auto"/>
      </w:divBdr>
    </w:div>
    <w:div w:id="886184502">
      <w:marLeft w:val="0"/>
      <w:marRight w:val="0"/>
      <w:marTop w:val="0"/>
      <w:marBottom w:val="0"/>
      <w:divBdr>
        <w:top w:val="none" w:sz="0" w:space="0" w:color="auto"/>
        <w:left w:val="none" w:sz="0" w:space="0" w:color="auto"/>
        <w:bottom w:val="none" w:sz="0" w:space="0" w:color="auto"/>
        <w:right w:val="none" w:sz="0" w:space="0" w:color="auto"/>
      </w:divBdr>
      <w:divsChild>
        <w:div w:id="1447040843">
          <w:marLeft w:val="0"/>
          <w:marRight w:val="0"/>
          <w:marTop w:val="0"/>
          <w:marBottom w:val="0"/>
          <w:divBdr>
            <w:top w:val="none" w:sz="0" w:space="0" w:color="auto"/>
            <w:left w:val="none" w:sz="0" w:space="0" w:color="auto"/>
            <w:bottom w:val="none" w:sz="0" w:space="0" w:color="auto"/>
            <w:right w:val="none" w:sz="0" w:space="0" w:color="auto"/>
          </w:divBdr>
        </w:div>
      </w:divsChild>
    </w:div>
    <w:div w:id="889538492">
      <w:marLeft w:val="0"/>
      <w:marRight w:val="0"/>
      <w:marTop w:val="0"/>
      <w:marBottom w:val="0"/>
      <w:divBdr>
        <w:top w:val="none" w:sz="0" w:space="0" w:color="auto"/>
        <w:left w:val="none" w:sz="0" w:space="0" w:color="auto"/>
        <w:bottom w:val="none" w:sz="0" w:space="0" w:color="auto"/>
        <w:right w:val="none" w:sz="0" w:space="0" w:color="auto"/>
      </w:divBdr>
    </w:div>
    <w:div w:id="892278816">
      <w:marLeft w:val="0"/>
      <w:marRight w:val="0"/>
      <w:marTop w:val="0"/>
      <w:marBottom w:val="0"/>
      <w:divBdr>
        <w:top w:val="none" w:sz="0" w:space="0" w:color="auto"/>
        <w:left w:val="none" w:sz="0" w:space="0" w:color="auto"/>
        <w:bottom w:val="none" w:sz="0" w:space="0" w:color="auto"/>
        <w:right w:val="none" w:sz="0" w:space="0" w:color="auto"/>
      </w:divBdr>
    </w:div>
    <w:div w:id="894773573">
      <w:marLeft w:val="0"/>
      <w:marRight w:val="0"/>
      <w:marTop w:val="100"/>
      <w:marBottom w:val="0"/>
      <w:divBdr>
        <w:top w:val="none" w:sz="0" w:space="0" w:color="auto"/>
        <w:left w:val="none" w:sz="0" w:space="0" w:color="auto"/>
        <w:bottom w:val="none" w:sz="0" w:space="0" w:color="auto"/>
        <w:right w:val="none" w:sz="0" w:space="0" w:color="auto"/>
      </w:divBdr>
    </w:div>
    <w:div w:id="896670438">
      <w:marLeft w:val="0"/>
      <w:marRight w:val="0"/>
      <w:marTop w:val="0"/>
      <w:marBottom w:val="0"/>
      <w:divBdr>
        <w:top w:val="none" w:sz="0" w:space="0" w:color="auto"/>
        <w:left w:val="none" w:sz="0" w:space="0" w:color="auto"/>
        <w:bottom w:val="none" w:sz="0" w:space="0" w:color="auto"/>
        <w:right w:val="none" w:sz="0" w:space="0" w:color="auto"/>
      </w:divBdr>
      <w:divsChild>
        <w:div w:id="1937667739">
          <w:marLeft w:val="0"/>
          <w:marRight w:val="0"/>
          <w:marTop w:val="0"/>
          <w:marBottom w:val="0"/>
          <w:divBdr>
            <w:top w:val="none" w:sz="0" w:space="0" w:color="auto"/>
            <w:left w:val="none" w:sz="0" w:space="0" w:color="auto"/>
            <w:bottom w:val="none" w:sz="0" w:space="0" w:color="auto"/>
            <w:right w:val="none" w:sz="0" w:space="0" w:color="auto"/>
          </w:divBdr>
        </w:div>
      </w:divsChild>
    </w:div>
    <w:div w:id="897125942">
      <w:marLeft w:val="0"/>
      <w:marRight w:val="0"/>
      <w:marTop w:val="0"/>
      <w:marBottom w:val="0"/>
      <w:divBdr>
        <w:top w:val="none" w:sz="0" w:space="0" w:color="auto"/>
        <w:left w:val="none" w:sz="0" w:space="0" w:color="auto"/>
        <w:bottom w:val="none" w:sz="0" w:space="0" w:color="auto"/>
        <w:right w:val="none" w:sz="0" w:space="0" w:color="auto"/>
      </w:divBdr>
      <w:divsChild>
        <w:div w:id="781342430">
          <w:marLeft w:val="0"/>
          <w:marRight w:val="0"/>
          <w:marTop w:val="0"/>
          <w:marBottom w:val="0"/>
          <w:divBdr>
            <w:top w:val="none" w:sz="0" w:space="0" w:color="auto"/>
            <w:left w:val="none" w:sz="0" w:space="0" w:color="auto"/>
            <w:bottom w:val="none" w:sz="0" w:space="0" w:color="auto"/>
            <w:right w:val="none" w:sz="0" w:space="0" w:color="auto"/>
          </w:divBdr>
        </w:div>
      </w:divsChild>
    </w:div>
    <w:div w:id="901215982">
      <w:marLeft w:val="0"/>
      <w:marRight w:val="0"/>
      <w:marTop w:val="0"/>
      <w:marBottom w:val="0"/>
      <w:divBdr>
        <w:top w:val="none" w:sz="0" w:space="0" w:color="auto"/>
        <w:left w:val="none" w:sz="0" w:space="0" w:color="auto"/>
        <w:bottom w:val="none" w:sz="0" w:space="0" w:color="auto"/>
        <w:right w:val="none" w:sz="0" w:space="0" w:color="auto"/>
      </w:divBdr>
    </w:div>
    <w:div w:id="905919161">
      <w:marLeft w:val="0"/>
      <w:marRight w:val="0"/>
      <w:marTop w:val="0"/>
      <w:marBottom w:val="0"/>
      <w:divBdr>
        <w:top w:val="none" w:sz="0" w:space="0" w:color="auto"/>
        <w:left w:val="none" w:sz="0" w:space="0" w:color="auto"/>
        <w:bottom w:val="none" w:sz="0" w:space="0" w:color="auto"/>
        <w:right w:val="none" w:sz="0" w:space="0" w:color="auto"/>
      </w:divBdr>
      <w:divsChild>
        <w:div w:id="473566077">
          <w:marLeft w:val="0"/>
          <w:marRight w:val="0"/>
          <w:marTop w:val="0"/>
          <w:marBottom w:val="0"/>
          <w:divBdr>
            <w:top w:val="none" w:sz="0" w:space="0" w:color="auto"/>
            <w:left w:val="none" w:sz="0" w:space="0" w:color="auto"/>
            <w:bottom w:val="none" w:sz="0" w:space="0" w:color="auto"/>
            <w:right w:val="none" w:sz="0" w:space="0" w:color="auto"/>
          </w:divBdr>
        </w:div>
      </w:divsChild>
    </w:div>
    <w:div w:id="909466513">
      <w:marLeft w:val="0"/>
      <w:marRight w:val="0"/>
      <w:marTop w:val="0"/>
      <w:marBottom w:val="0"/>
      <w:divBdr>
        <w:top w:val="none" w:sz="0" w:space="0" w:color="auto"/>
        <w:left w:val="none" w:sz="0" w:space="0" w:color="auto"/>
        <w:bottom w:val="none" w:sz="0" w:space="0" w:color="auto"/>
        <w:right w:val="none" w:sz="0" w:space="0" w:color="auto"/>
      </w:divBdr>
    </w:div>
    <w:div w:id="909580079">
      <w:marLeft w:val="0"/>
      <w:marRight w:val="0"/>
      <w:marTop w:val="0"/>
      <w:marBottom w:val="0"/>
      <w:divBdr>
        <w:top w:val="none" w:sz="0" w:space="0" w:color="auto"/>
        <w:left w:val="none" w:sz="0" w:space="0" w:color="auto"/>
        <w:bottom w:val="none" w:sz="0" w:space="0" w:color="auto"/>
        <w:right w:val="none" w:sz="0" w:space="0" w:color="auto"/>
      </w:divBdr>
    </w:div>
    <w:div w:id="913319708">
      <w:marLeft w:val="0"/>
      <w:marRight w:val="0"/>
      <w:marTop w:val="0"/>
      <w:marBottom w:val="0"/>
      <w:divBdr>
        <w:top w:val="none" w:sz="0" w:space="0" w:color="auto"/>
        <w:left w:val="none" w:sz="0" w:space="0" w:color="auto"/>
        <w:bottom w:val="none" w:sz="0" w:space="0" w:color="auto"/>
        <w:right w:val="none" w:sz="0" w:space="0" w:color="auto"/>
      </w:divBdr>
      <w:divsChild>
        <w:div w:id="891497146">
          <w:marLeft w:val="0"/>
          <w:marRight w:val="0"/>
          <w:marTop w:val="0"/>
          <w:marBottom w:val="0"/>
          <w:divBdr>
            <w:top w:val="none" w:sz="0" w:space="0" w:color="auto"/>
            <w:left w:val="none" w:sz="0" w:space="0" w:color="auto"/>
            <w:bottom w:val="none" w:sz="0" w:space="0" w:color="auto"/>
            <w:right w:val="none" w:sz="0" w:space="0" w:color="auto"/>
          </w:divBdr>
        </w:div>
      </w:divsChild>
    </w:div>
    <w:div w:id="914586623">
      <w:marLeft w:val="0"/>
      <w:marRight w:val="0"/>
      <w:marTop w:val="0"/>
      <w:marBottom w:val="0"/>
      <w:divBdr>
        <w:top w:val="none" w:sz="0" w:space="0" w:color="auto"/>
        <w:left w:val="none" w:sz="0" w:space="0" w:color="auto"/>
        <w:bottom w:val="none" w:sz="0" w:space="0" w:color="auto"/>
        <w:right w:val="none" w:sz="0" w:space="0" w:color="auto"/>
      </w:divBdr>
    </w:div>
    <w:div w:id="927495728">
      <w:marLeft w:val="0"/>
      <w:marRight w:val="0"/>
      <w:marTop w:val="180"/>
      <w:marBottom w:val="0"/>
      <w:divBdr>
        <w:top w:val="none" w:sz="0" w:space="0" w:color="auto"/>
        <w:left w:val="none" w:sz="0" w:space="0" w:color="auto"/>
        <w:bottom w:val="none" w:sz="0" w:space="0" w:color="auto"/>
        <w:right w:val="none" w:sz="0" w:space="0" w:color="auto"/>
      </w:divBdr>
    </w:div>
    <w:div w:id="930164112">
      <w:marLeft w:val="0"/>
      <w:marRight w:val="0"/>
      <w:marTop w:val="0"/>
      <w:marBottom w:val="0"/>
      <w:divBdr>
        <w:top w:val="none" w:sz="0" w:space="0" w:color="auto"/>
        <w:left w:val="none" w:sz="0" w:space="0" w:color="auto"/>
        <w:bottom w:val="none" w:sz="0" w:space="0" w:color="auto"/>
        <w:right w:val="none" w:sz="0" w:space="0" w:color="auto"/>
      </w:divBdr>
    </w:div>
    <w:div w:id="930358493">
      <w:marLeft w:val="0"/>
      <w:marRight w:val="0"/>
      <w:marTop w:val="80"/>
      <w:marBottom w:val="0"/>
      <w:divBdr>
        <w:top w:val="none" w:sz="0" w:space="0" w:color="auto"/>
        <w:left w:val="none" w:sz="0" w:space="0" w:color="auto"/>
        <w:bottom w:val="none" w:sz="0" w:space="0" w:color="auto"/>
        <w:right w:val="none" w:sz="0" w:space="0" w:color="auto"/>
      </w:divBdr>
    </w:div>
    <w:div w:id="933707740">
      <w:marLeft w:val="0"/>
      <w:marRight w:val="0"/>
      <w:marTop w:val="0"/>
      <w:marBottom w:val="0"/>
      <w:divBdr>
        <w:top w:val="none" w:sz="0" w:space="0" w:color="auto"/>
        <w:left w:val="none" w:sz="0" w:space="0" w:color="auto"/>
        <w:bottom w:val="none" w:sz="0" w:space="0" w:color="auto"/>
        <w:right w:val="none" w:sz="0" w:space="0" w:color="auto"/>
      </w:divBdr>
      <w:divsChild>
        <w:div w:id="2099204473">
          <w:marLeft w:val="0"/>
          <w:marRight w:val="0"/>
          <w:marTop w:val="0"/>
          <w:marBottom w:val="0"/>
          <w:divBdr>
            <w:top w:val="none" w:sz="0" w:space="0" w:color="auto"/>
            <w:left w:val="none" w:sz="0" w:space="0" w:color="auto"/>
            <w:bottom w:val="none" w:sz="0" w:space="0" w:color="auto"/>
            <w:right w:val="none" w:sz="0" w:space="0" w:color="auto"/>
          </w:divBdr>
        </w:div>
      </w:divsChild>
    </w:div>
    <w:div w:id="935744492">
      <w:marLeft w:val="0"/>
      <w:marRight w:val="0"/>
      <w:marTop w:val="120"/>
      <w:marBottom w:val="120"/>
      <w:divBdr>
        <w:top w:val="none" w:sz="0" w:space="0" w:color="auto"/>
        <w:left w:val="none" w:sz="0" w:space="0" w:color="auto"/>
        <w:bottom w:val="none" w:sz="0" w:space="0" w:color="auto"/>
        <w:right w:val="none" w:sz="0" w:space="0" w:color="auto"/>
      </w:divBdr>
    </w:div>
    <w:div w:id="938292503">
      <w:marLeft w:val="0"/>
      <w:marRight w:val="0"/>
      <w:marTop w:val="0"/>
      <w:marBottom w:val="0"/>
      <w:divBdr>
        <w:top w:val="none" w:sz="0" w:space="0" w:color="auto"/>
        <w:left w:val="none" w:sz="0" w:space="0" w:color="auto"/>
        <w:bottom w:val="none" w:sz="0" w:space="0" w:color="auto"/>
        <w:right w:val="none" w:sz="0" w:space="0" w:color="auto"/>
      </w:divBdr>
      <w:divsChild>
        <w:div w:id="738097342">
          <w:marLeft w:val="0"/>
          <w:marRight w:val="0"/>
          <w:marTop w:val="0"/>
          <w:marBottom w:val="0"/>
          <w:divBdr>
            <w:top w:val="none" w:sz="0" w:space="0" w:color="auto"/>
            <w:left w:val="none" w:sz="0" w:space="0" w:color="auto"/>
            <w:bottom w:val="none" w:sz="0" w:space="0" w:color="auto"/>
            <w:right w:val="none" w:sz="0" w:space="0" w:color="auto"/>
          </w:divBdr>
        </w:div>
      </w:divsChild>
    </w:div>
    <w:div w:id="940920082">
      <w:marLeft w:val="0"/>
      <w:marRight w:val="0"/>
      <w:marTop w:val="0"/>
      <w:marBottom w:val="60"/>
      <w:divBdr>
        <w:top w:val="none" w:sz="0" w:space="0" w:color="auto"/>
        <w:left w:val="none" w:sz="0" w:space="0" w:color="auto"/>
        <w:bottom w:val="none" w:sz="0" w:space="0" w:color="auto"/>
        <w:right w:val="none" w:sz="0" w:space="0" w:color="auto"/>
      </w:divBdr>
    </w:div>
    <w:div w:id="941646415">
      <w:marLeft w:val="0"/>
      <w:marRight w:val="0"/>
      <w:marTop w:val="0"/>
      <w:marBottom w:val="0"/>
      <w:divBdr>
        <w:top w:val="none" w:sz="0" w:space="0" w:color="auto"/>
        <w:left w:val="none" w:sz="0" w:space="0" w:color="auto"/>
        <w:bottom w:val="none" w:sz="0" w:space="0" w:color="auto"/>
        <w:right w:val="none" w:sz="0" w:space="0" w:color="auto"/>
      </w:divBdr>
    </w:div>
    <w:div w:id="944994748">
      <w:marLeft w:val="0"/>
      <w:marRight w:val="0"/>
      <w:marTop w:val="0"/>
      <w:marBottom w:val="0"/>
      <w:divBdr>
        <w:top w:val="none" w:sz="0" w:space="0" w:color="auto"/>
        <w:left w:val="none" w:sz="0" w:space="0" w:color="auto"/>
        <w:bottom w:val="none" w:sz="0" w:space="0" w:color="auto"/>
        <w:right w:val="none" w:sz="0" w:space="0" w:color="auto"/>
      </w:divBdr>
      <w:divsChild>
        <w:div w:id="469396969">
          <w:marLeft w:val="0"/>
          <w:marRight w:val="0"/>
          <w:marTop w:val="0"/>
          <w:marBottom w:val="0"/>
          <w:divBdr>
            <w:top w:val="none" w:sz="0" w:space="0" w:color="auto"/>
            <w:left w:val="none" w:sz="0" w:space="0" w:color="auto"/>
            <w:bottom w:val="none" w:sz="0" w:space="0" w:color="auto"/>
            <w:right w:val="none" w:sz="0" w:space="0" w:color="auto"/>
          </w:divBdr>
        </w:div>
      </w:divsChild>
    </w:div>
    <w:div w:id="947086335">
      <w:marLeft w:val="0"/>
      <w:marRight w:val="0"/>
      <w:marTop w:val="0"/>
      <w:marBottom w:val="0"/>
      <w:divBdr>
        <w:top w:val="none" w:sz="0" w:space="0" w:color="auto"/>
        <w:left w:val="none" w:sz="0" w:space="0" w:color="auto"/>
        <w:bottom w:val="none" w:sz="0" w:space="0" w:color="auto"/>
        <w:right w:val="none" w:sz="0" w:space="0" w:color="auto"/>
      </w:divBdr>
    </w:div>
    <w:div w:id="948780023">
      <w:marLeft w:val="0"/>
      <w:marRight w:val="0"/>
      <w:marTop w:val="100"/>
      <w:marBottom w:val="0"/>
      <w:divBdr>
        <w:top w:val="none" w:sz="0" w:space="0" w:color="auto"/>
        <w:left w:val="none" w:sz="0" w:space="0" w:color="auto"/>
        <w:bottom w:val="none" w:sz="0" w:space="0" w:color="auto"/>
        <w:right w:val="none" w:sz="0" w:space="0" w:color="auto"/>
      </w:divBdr>
    </w:div>
    <w:div w:id="948780245">
      <w:marLeft w:val="0"/>
      <w:marRight w:val="0"/>
      <w:marTop w:val="0"/>
      <w:marBottom w:val="0"/>
      <w:divBdr>
        <w:top w:val="none" w:sz="0" w:space="0" w:color="auto"/>
        <w:left w:val="none" w:sz="0" w:space="0" w:color="auto"/>
        <w:bottom w:val="none" w:sz="0" w:space="0" w:color="auto"/>
        <w:right w:val="none" w:sz="0" w:space="0" w:color="auto"/>
      </w:divBdr>
      <w:divsChild>
        <w:div w:id="1128430826">
          <w:marLeft w:val="0"/>
          <w:marRight w:val="0"/>
          <w:marTop w:val="0"/>
          <w:marBottom w:val="0"/>
          <w:divBdr>
            <w:top w:val="none" w:sz="0" w:space="0" w:color="auto"/>
            <w:left w:val="none" w:sz="0" w:space="0" w:color="auto"/>
            <w:bottom w:val="none" w:sz="0" w:space="0" w:color="auto"/>
            <w:right w:val="none" w:sz="0" w:space="0" w:color="auto"/>
          </w:divBdr>
        </w:div>
      </w:divsChild>
    </w:div>
    <w:div w:id="950014261">
      <w:marLeft w:val="0"/>
      <w:marRight w:val="0"/>
      <w:marTop w:val="0"/>
      <w:marBottom w:val="0"/>
      <w:divBdr>
        <w:top w:val="none" w:sz="0" w:space="0" w:color="auto"/>
        <w:left w:val="none" w:sz="0" w:space="0" w:color="auto"/>
        <w:bottom w:val="none" w:sz="0" w:space="0" w:color="auto"/>
        <w:right w:val="none" w:sz="0" w:space="0" w:color="auto"/>
      </w:divBdr>
    </w:div>
    <w:div w:id="954825026">
      <w:marLeft w:val="0"/>
      <w:marRight w:val="0"/>
      <w:marTop w:val="0"/>
      <w:marBottom w:val="0"/>
      <w:divBdr>
        <w:top w:val="none" w:sz="0" w:space="0" w:color="auto"/>
        <w:left w:val="none" w:sz="0" w:space="0" w:color="auto"/>
        <w:bottom w:val="none" w:sz="0" w:space="0" w:color="auto"/>
        <w:right w:val="none" w:sz="0" w:space="0" w:color="auto"/>
      </w:divBdr>
      <w:divsChild>
        <w:div w:id="1582905536">
          <w:marLeft w:val="0"/>
          <w:marRight w:val="0"/>
          <w:marTop w:val="0"/>
          <w:marBottom w:val="0"/>
          <w:divBdr>
            <w:top w:val="none" w:sz="0" w:space="0" w:color="auto"/>
            <w:left w:val="none" w:sz="0" w:space="0" w:color="auto"/>
            <w:bottom w:val="none" w:sz="0" w:space="0" w:color="auto"/>
            <w:right w:val="none" w:sz="0" w:space="0" w:color="auto"/>
          </w:divBdr>
        </w:div>
      </w:divsChild>
    </w:div>
    <w:div w:id="955409177">
      <w:marLeft w:val="0"/>
      <w:marRight w:val="0"/>
      <w:marTop w:val="0"/>
      <w:marBottom w:val="0"/>
      <w:divBdr>
        <w:top w:val="none" w:sz="0" w:space="0" w:color="auto"/>
        <w:left w:val="none" w:sz="0" w:space="0" w:color="auto"/>
        <w:bottom w:val="none" w:sz="0" w:space="0" w:color="auto"/>
        <w:right w:val="none" w:sz="0" w:space="0" w:color="auto"/>
      </w:divBdr>
      <w:divsChild>
        <w:div w:id="178350686">
          <w:marLeft w:val="0"/>
          <w:marRight w:val="0"/>
          <w:marTop w:val="0"/>
          <w:marBottom w:val="0"/>
          <w:divBdr>
            <w:top w:val="none" w:sz="0" w:space="0" w:color="auto"/>
            <w:left w:val="none" w:sz="0" w:space="0" w:color="auto"/>
            <w:bottom w:val="none" w:sz="0" w:space="0" w:color="auto"/>
            <w:right w:val="none" w:sz="0" w:space="0" w:color="auto"/>
          </w:divBdr>
        </w:div>
      </w:divsChild>
    </w:div>
    <w:div w:id="958685697">
      <w:marLeft w:val="0"/>
      <w:marRight w:val="0"/>
      <w:marTop w:val="0"/>
      <w:marBottom w:val="0"/>
      <w:divBdr>
        <w:top w:val="none" w:sz="0" w:space="0" w:color="auto"/>
        <w:left w:val="none" w:sz="0" w:space="0" w:color="auto"/>
        <w:bottom w:val="none" w:sz="0" w:space="0" w:color="auto"/>
        <w:right w:val="none" w:sz="0" w:space="0" w:color="auto"/>
      </w:divBdr>
    </w:div>
    <w:div w:id="962078982">
      <w:marLeft w:val="0"/>
      <w:marRight w:val="0"/>
      <w:marTop w:val="0"/>
      <w:marBottom w:val="0"/>
      <w:divBdr>
        <w:top w:val="none" w:sz="0" w:space="0" w:color="auto"/>
        <w:left w:val="none" w:sz="0" w:space="0" w:color="auto"/>
        <w:bottom w:val="none" w:sz="0" w:space="0" w:color="auto"/>
        <w:right w:val="none" w:sz="0" w:space="0" w:color="auto"/>
      </w:divBdr>
    </w:div>
    <w:div w:id="962350679">
      <w:marLeft w:val="0"/>
      <w:marRight w:val="0"/>
      <w:marTop w:val="100"/>
      <w:marBottom w:val="0"/>
      <w:divBdr>
        <w:top w:val="none" w:sz="0" w:space="0" w:color="auto"/>
        <w:left w:val="none" w:sz="0" w:space="0" w:color="auto"/>
        <w:bottom w:val="none" w:sz="0" w:space="0" w:color="auto"/>
        <w:right w:val="none" w:sz="0" w:space="0" w:color="auto"/>
      </w:divBdr>
    </w:div>
    <w:div w:id="963123747">
      <w:marLeft w:val="0"/>
      <w:marRight w:val="0"/>
      <w:marTop w:val="0"/>
      <w:marBottom w:val="0"/>
      <w:divBdr>
        <w:top w:val="none" w:sz="0" w:space="0" w:color="auto"/>
        <w:left w:val="none" w:sz="0" w:space="0" w:color="auto"/>
        <w:bottom w:val="none" w:sz="0" w:space="0" w:color="auto"/>
        <w:right w:val="none" w:sz="0" w:space="0" w:color="auto"/>
      </w:divBdr>
      <w:divsChild>
        <w:div w:id="637805615">
          <w:marLeft w:val="0"/>
          <w:marRight w:val="0"/>
          <w:marTop w:val="0"/>
          <w:marBottom w:val="0"/>
          <w:divBdr>
            <w:top w:val="none" w:sz="0" w:space="0" w:color="auto"/>
            <w:left w:val="none" w:sz="0" w:space="0" w:color="auto"/>
            <w:bottom w:val="none" w:sz="0" w:space="0" w:color="auto"/>
            <w:right w:val="none" w:sz="0" w:space="0" w:color="auto"/>
          </w:divBdr>
        </w:div>
      </w:divsChild>
    </w:div>
    <w:div w:id="966473195">
      <w:marLeft w:val="0"/>
      <w:marRight w:val="0"/>
      <w:marTop w:val="0"/>
      <w:marBottom w:val="0"/>
      <w:divBdr>
        <w:top w:val="none" w:sz="0" w:space="0" w:color="auto"/>
        <w:left w:val="none" w:sz="0" w:space="0" w:color="auto"/>
        <w:bottom w:val="none" w:sz="0" w:space="0" w:color="auto"/>
        <w:right w:val="none" w:sz="0" w:space="0" w:color="auto"/>
      </w:divBdr>
      <w:divsChild>
        <w:div w:id="1160921978">
          <w:marLeft w:val="0"/>
          <w:marRight w:val="0"/>
          <w:marTop w:val="0"/>
          <w:marBottom w:val="0"/>
          <w:divBdr>
            <w:top w:val="none" w:sz="0" w:space="0" w:color="auto"/>
            <w:left w:val="none" w:sz="0" w:space="0" w:color="auto"/>
            <w:bottom w:val="none" w:sz="0" w:space="0" w:color="auto"/>
            <w:right w:val="none" w:sz="0" w:space="0" w:color="auto"/>
          </w:divBdr>
        </w:div>
      </w:divsChild>
    </w:div>
    <w:div w:id="975373699">
      <w:marLeft w:val="0"/>
      <w:marRight w:val="0"/>
      <w:marTop w:val="0"/>
      <w:marBottom w:val="0"/>
      <w:divBdr>
        <w:top w:val="none" w:sz="0" w:space="0" w:color="auto"/>
        <w:left w:val="none" w:sz="0" w:space="0" w:color="auto"/>
        <w:bottom w:val="none" w:sz="0" w:space="0" w:color="auto"/>
        <w:right w:val="none" w:sz="0" w:space="0" w:color="auto"/>
      </w:divBdr>
    </w:div>
    <w:div w:id="976490954">
      <w:marLeft w:val="0"/>
      <w:marRight w:val="0"/>
      <w:marTop w:val="0"/>
      <w:marBottom w:val="0"/>
      <w:divBdr>
        <w:top w:val="none" w:sz="0" w:space="0" w:color="auto"/>
        <w:left w:val="none" w:sz="0" w:space="0" w:color="auto"/>
        <w:bottom w:val="none" w:sz="0" w:space="0" w:color="auto"/>
        <w:right w:val="none" w:sz="0" w:space="0" w:color="auto"/>
      </w:divBdr>
      <w:divsChild>
        <w:div w:id="1949391947">
          <w:marLeft w:val="0"/>
          <w:marRight w:val="0"/>
          <w:marTop w:val="0"/>
          <w:marBottom w:val="0"/>
          <w:divBdr>
            <w:top w:val="none" w:sz="0" w:space="0" w:color="auto"/>
            <w:left w:val="none" w:sz="0" w:space="0" w:color="auto"/>
            <w:bottom w:val="none" w:sz="0" w:space="0" w:color="auto"/>
            <w:right w:val="none" w:sz="0" w:space="0" w:color="auto"/>
          </w:divBdr>
        </w:div>
      </w:divsChild>
    </w:div>
    <w:div w:id="978263632">
      <w:marLeft w:val="0"/>
      <w:marRight w:val="0"/>
      <w:marTop w:val="0"/>
      <w:marBottom w:val="60"/>
      <w:divBdr>
        <w:top w:val="none" w:sz="0" w:space="0" w:color="auto"/>
        <w:left w:val="none" w:sz="0" w:space="0" w:color="auto"/>
        <w:bottom w:val="none" w:sz="0" w:space="0" w:color="auto"/>
        <w:right w:val="none" w:sz="0" w:space="0" w:color="auto"/>
      </w:divBdr>
    </w:div>
    <w:div w:id="980159778">
      <w:marLeft w:val="0"/>
      <w:marRight w:val="0"/>
      <w:marTop w:val="0"/>
      <w:marBottom w:val="0"/>
      <w:divBdr>
        <w:top w:val="none" w:sz="0" w:space="0" w:color="auto"/>
        <w:left w:val="none" w:sz="0" w:space="0" w:color="auto"/>
        <w:bottom w:val="none" w:sz="0" w:space="0" w:color="auto"/>
        <w:right w:val="none" w:sz="0" w:space="0" w:color="auto"/>
      </w:divBdr>
    </w:div>
    <w:div w:id="984548391">
      <w:marLeft w:val="0"/>
      <w:marRight w:val="0"/>
      <w:marTop w:val="100"/>
      <w:marBottom w:val="0"/>
      <w:divBdr>
        <w:top w:val="none" w:sz="0" w:space="0" w:color="auto"/>
        <w:left w:val="none" w:sz="0" w:space="0" w:color="auto"/>
        <w:bottom w:val="none" w:sz="0" w:space="0" w:color="auto"/>
        <w:right w:val="none" w:sz="0" w:space="0" w:color="auto"/>
      </w:divBdr>
    </w:div>
    <w:div w:id="987515324">
      <w:marLeft w:val="0"/>
      <w:marRight w:val="0"/>
      <w:marTop w:val="100"/>
      <w:marBottom w:val="0"/>
      <w:divBdr>
        <w:top w:val="none" w:sz="0" w:space="0" w:color="auto"/>
        <w:left w:val="none" w:sz="0" w:space="0" w:color="auto"/>
        <w:bottom w:val="none" w:sz="0" w:space="0" w:color="auto"/>
        <w:right w:val="none" w:sz="0" w:space="0" w:color="auto"/>
      </w:divBdr>
    </w:div>
    <w:div w:id="988904944">
      <w:marLeft w:val="0"/>
      <w:marRight w:val="0"/>
      <w:marTop w:val="0"/>
      <w:marBottom w:val="0"/>
      <w:divBdr>
        <w:top w:val="none" w:sz="0" w:space="0" w:color="auto"/>
        <w:left w:val="none" w:sz="0" w:space="0" w:color="auto"/>
        <w:bottom w:val="none" w:sz="0" w:space="0" w:color="auto"/>
        <w:right w:val="none" w:sz="0" w:space="0" w:color="auto"/>
      </w:divBdr>
      <w:divsChild>
        <w:div w:id="1945334737">
          <w:marLeft w:val="0"/>
          <w:marRight w:val="0"/>
          <w:marTop w:val="0"/>
          <w:marBottom w:val="0"/>
          <w:divBdr>
            <w:top w:val="none" w:sz="0" w:space="0" w:color="auto"/>
            <w:left w:val="none" w:sz="0" w:space="0" w:color="auto"/>
            <w:bottom w:val="none" w:sz="0" w:space="0" w:color="auto"/>
            <w:right w:val="none" w:sz="0" w:space="0" w:color="auto"/>
          </w:divBdr>
        </w:div>
      </w:divsChild>
    </w:div>
    <w:div w:id="991568317">
      <w:marLeft w:val="0"/>
      <w:marRight w:val="0"/>
      <w:marTop w:val="0"/>
      <w:marBottom w:val="0"/>
      <w:divBdr>
        <w:top w:val="none" w:sz="0" w:space="0" w:color="auto"/>
        <w:left w:val="none" w:sz="0" w:space="0" w:color="auto"/>
        <w:bottom w:val="none" w:sz="0" w:space="0" w:color="auto"/>
        <w:right w:val="none" w:sz="0" w:space="0" w:color="auto"/>
      </w:divBdr>
    </w:div>
    <w:div w:id="991638159">
      <w:marLeft w:val="0"/>
      <w:marRight w:val="0"/>
      <w:marTop w:val="0"/>
      <w:marBottom w:val="0"/>
      <w:divBdr>
        <w:top w:val="none" w:sz="0" w:space="0" w:color="auto"/>
        <w:left w:val="none" w:sz="0" w:space="0" w:color="auto"/>
        <w:bottom w:val="none" w:sz="0" w:space="0" w:color="auto"/>
        <w:right w:val="none" w:sz="0" w:space="0" w:color="auto"/>
      </w:divBdr>
    </w:div>
    <w:div w:id="999040128">
      <w:marLeft w:val="0"/>
      <w:marRight w:val="0"/>
      <w:marTop w:val="0"/>
      <w:marBottom w:val="0"/>
      <w:divBdr>
        <w:top w:val="none" w:sz="0" w:space="0" w:color="auto"/>
        <w:left w:val="none" w:sz="0" w:space="0" w:color="auto"/>
        <w:bottom w:val="none" w:sz="0" w:space="0" w:color="auto"/>
        <w:right w:val="none" w:sz="0" w:space="0" w:color="auto"/>
      </w:divBdr>
    </w:div>
    <w:div w:id="1000238498">
      <w:marLeft w:val="0"/>
      <w:marRight w:val="0"/>
      <w:marTop w:val="0"/>
      <w:marBottom w:val="0"/>
      <w:divBdr>
        <w:top w:val="none" w:sz="0" w:space="0" w:color="auto"/>
        <w:left w:val="none" w:sz="0" w:space="0" w:color="auto"/>
        <w:bottom w:val="none" w:sz="0" w:space="0" w:color="auto"/>
        <w:right w:val="none" w:sz="0" w:space="0" w:color="auto"/>
      </w:divBdr>
      <w:divsChild>
        <w:div w:id="1576471861">
          <w:marLeft w:val="0"/>
          <w:marRight w:val="0"/>
          <w:marTop w:val="0"/>
          <w:marBottom w:val="0"/>
          <w:divBdr>
            <w:top w:val="none" w:sz="0" w:space="0" w:color="auto"/>
            <w:left w:val="none" w:sz="0" w:space="0" w:color="auto"/>
            <w:bottom w:val="none" w:sz="0" w:space="0" w:color="auto"/>
            <w:right w:val="none" w:sz="0" w:space="0" w:color="auto"/>
          </w:divBdr>
        </w:div>
      </w:divsChild>
    </w:div>
    <w:div w:id="1003095242">
      <w:marLeft w:val="0"/>
      <w:marRight w:val="0"/>
      <w:marTop w:val="0"/>
      <w:marBottom w:val="0"/>
      <w:divBdr>
        <w:top w:val="none" w:sz="0" w:space="0" w:color="auto"/>
        <w:left w:val="none" w:sz="0" w:space="0" w:color="auto"/>
        <w:bottom w:val="none" w:sz="0" w:space="0" w:color="auto"/>
        <w:right w:val="none" w:sz="0" w:space="0" w:color="auto"/>
      </w:divBdr>
      <w:divsChild>
        <w:div w:id="1812863112">
          <w:marLeft w:val="0"/>
          <w:marRight w:val="0"/>
          <w:marTop w:val="0"/>
          <w:marBottom w:val="0"/>
          <w:divBdr>
            <w:top w:val="none" w:sz="0" w:space="0" w:color="auto"/>
            <w:left w:val="none" w:sz="0" w:space="0" w:color="auto"/>
            <w:bottom w:val="none" w:sz="0" w:space="0" w:color="auto"/>
            <w:right w:val="none" w:sz="0" w:space="0" w:color="auto"/>
          </w:divBdr>
        </w:div>
      </w:divsChild>
    </w:div>
    <w:div w:id="1003776009">
      <w:marLeft w:val="0"/>
      <w:marRight w:val="0"/>
      <w:marTop w:val="0"/>
      <w:marBottom w:val="0"/>
      <w:divBdr>
        <w:top w:val="none" w:sz="0" w:space="0" w:color="auto"/>
        <w:left w:val="none" w:sz="0" w:space="0" w:color="auto"/>
        <w:bottom w:val="none" w:sz="0" w:space="0" w:color="auto"/>
        <w:right w:val="none" w:sz="0" w:space="0" w:color="auto"/>
      </w:divBdr>
    </w:div>
    <w:div w:id="1007052787">
      <w:marLeft w:val="0"/>
      <w:marRight w:val="0"/>
      <w:marTop w:val="0"/>
      <w:marBottom w:val="0"/>
      <w:divBdr>
        <w:top w:val="none" w:sz="0" w:space="0" w:color="auto"/>
        <w:left w:val="none" w:sz="0" w:space="0" w:color="auto"/>
        <w:bottom w:val="none" w:sz="0" w:space="0" w:color="auto"/>
        <w:right w:val="none" w:sz="0" w:space="0" w:color="auto"/>
      </w:divBdr>
    </w:div>
    <w:div w:id="1010134651">
      <w:marLeft w:val="0"/>
      <w:marRight w:val="0"/>
      <w:marTop w:val="0"/>
      <w:marBottom w:val="0"/>
      <w:divBdr>
        <w:top w:val="none" w:sz="0" w:space="0" w:color="auto"/>
        <w:left w:val="none" w:sz="0" w:space="0" w:color="auto"/>
        <w:bottom w:val="none" w:sz="0" w:space="0" w:color="auto"/>
        <w:right w:val="none" w:sz="0" w:space="0" w:color="auto"/>
      </w:divBdr>
      <w:divsChild>
        <w:div w:id="981614101">
          <w:marLeft w:val="0"/>
          <w:marRight w:val="0"/>
          <w:marTop w:val="0"/>
          <w:marBottom w:val="0"/>
          <w:divBdr>
            <w:top w:val="none" w:sz="0" w:space="0" w:color="auto"/>
            <w:left w:val="none" w:sz="0" w:space="0" w:color="auto"/>
            <w:bottom w:val="none" w:sz="0" w:space="0" w:color="auto"/>
            <w:right w:val="none" w:sz="0" w:space="0" w:color="auto"/>
          </w:divBdr>
        </w:div>
      </w:divsChild>
    </w:div>
    <w:div w:id="1011569231">
      <w:marLeft w:val="0"/>
      <w:marRight w:val="0"/>
      <w:marTop w:val="100"/>
      <w:marBottom w:val="0"/>
      <w:divBdr>
        <w:top w:val="none" w:sz="0" w:space="0" w:color="auto"/>
        <w:left w:val="none" w:sz="0" w:space="0" w:color="auto"/>
        <w:bottom w:val="none" w:sz="0" w:space="0" w:color="auto"/>
        <w:right w:val="none" w:sz="0" w:space="0" w:color="auto"/>
      </w:divBdr>
      <w:divsChild>
        <w:div w:id="1590191815">
          <w:marLeft w:val="0"/>
          <w:marRight w:val="0"/>
          <w:marTop w:val="0"/>
          <w:marBottom w:val="0"/>
          <w:divBdr>
            <w:top w:val="none" w:sz="0" w:space="0" w:color="auto"/>
            <w:left w:val="none" w:sz="0" w:space="0" w:color="auto"/>
            <w:bottom w:val="none" w:sz="0" w:space="0" w:color="auto"/>
            <w:right w:val="none" w:sz="0" w:space="0" w:color="auto"/>
          </w:divBdr>
        </w:div>
      </w:divsChild>
    </w:div>
    <w:div w:id="1013187076">
      <w:marLeft w:val="0"/>
      <w:marRight w:val="0"/>
      <w:marTop w:val="0"/>
      <w:marBottom w:val="0"/>
      <w:divBdr>
        <w:top w:val="none" w:sz="0" w:space="0" w:color="auto"/>
        <w:left w:val="none" w:sz="0" w:space="0" w:color="auto"/>
        <w:bottom w:val="none" w:sz="0" w:space="0" w:color="auto"/>
        <w:right w:val="none" w:sz="0" w:space="0" w:color="auto"/>
      </w:divBdr>
    </w:div>
    <w:div w:id="1016004644">
      <w:marLeft w:val="0"/>
      <w:marRight w:val="0"/>
      <w:marTop w:val="0"/>
      <w:marBottom w:val="0"/>
      <w:divBdr>
        <w:top w:val="none" w:sz="0" w:space="0" w:color="auto"/>
        <w:left w:val="none" w:sz="0" w:space="0" w:color="auto"/>
        <w:bottom w:val="none" w:sz="0" w:space="0" w:color="auto"/>
        <w:right w:val="none" w:sz="0" w:space="0" w:color="auto"/>
      </w:divBdr>
    </w:div>
    <w:div w:id="1016728950">
      <w:marLeft w:val="0"/>
      <w:marRight w:val="0"/>
      <w:marTop w:val="0"/>
      <w:marBottom w:val="0"/>
      <w:divBdr>
        <w:top w:val="none" w:sz="0" w:space="0" w:color="auto"/>
        <w:left w:val="none" w:sz="0" w:space="0" w:color="auto"/>
        <w:bottom w:val="none" w:sz="0" w:space="0" w:color="auto"/>
        <w:right w:val="none" w:sz="0" w:space="0" w:color="auto"/>
      </w:divBdr>
    </w:div>
    <w:div w:id="1017076446">
      <w:marLeft w:val="0"/>
      <w:marRight w:val="0"/>
      <w:marTop w:val="0"/>
      <w:marBottom w:val="0"/>
      <w:divBdr>
        <w:top w:val="none" w:sz="0" w:space="0" w:color="auto"/>
        <w:left w:val="none" w:sz="0" w:space="0" w:color="auto"/>
        <w:bottom w:val="none" w:sz="0" w:space="0" w:color="auto"/>
        <w:right w:val="none" w:sz="0" w:space="0" w:color="auto"/>
      </w:divBdr>
      <w:divsChild>
        <w:div w:id="503790444">
          <w:marLeft w:val="0"/>
          <w:marRight w:val="0"/>
          <w:marTop w:val="0"/>
          <w:marBottom w:val="0"/>
          <w:divBdr>
            <w:top w:val="none" w:sz="0" w:space="0" w:color="auto"/>
            <w:left w:val="none" w:sz="0" w:space="0" w:color="auto"/>
            <w:bottom w:val="none" w:sz="0" w:space="0" w:color="auto"/>
            <w:right w:val="none" w:sz="0" w:space="0" w:color="auto"/>
          </w:divBdr>
        </w:div>
      </w:divsChild>
    </w:div>
    <w:div w:id="1019816045">
      <w:marLeft w:val="0"/>
      <w:marRight w:val="0"/>
      <w:marTop w:val="0"/>
      <w:marBottom w:val="0"/>
      <w:divBdr>
        <w:top w:val="none" w:sz="0" w:space="0" w:color="auto"/>
        <w:left w:val="none" w:sz="0" w:space="0" w:color="auto"/>
        <w:bottom w:val="none" w:sz="0" w:space="0" w:color="auto"/>
        <w:right w:val="none" w:sz="0" w:space="0" w:color="auto"/>
      </w:divBdr>
      <w:divsChild>
        <w:div w:id="835457594">
          <w:marLeft w:val="0"/>
          <w:marRight w:val="0"/>
          <w:marTop w:val="0"/>
          <w:marBottom w:val="0"/>
          <w:divBdr>
            <w:top w:val="none" w:sz="0" w:space="0" w:color="auto"/>
            <w:left w:val="none" w:sz="0" w:space="0" w:color="auto"/>
            <w:bottom w:val="none" w:sz="0" w:space="0" w:color="auto"/>
            <w:right w:val="none" w:sz="0" w:space="0" w:color="auto"/>
          </w:divBdr>
        </w:div>
      </w:divsChild>
    </w:div>
    <w:div w:id="1020738357">
      <w:marLeft w:val="0"/>
      <w:marRight w:val="0"/>
      <w:marTop w:val="100"/>
      <w:marBottom w:val="0"/>
      <w:divBdr>
        <w:top w:val="none" w:sz="0" w:space="0" w:color="auto"/>
        <w:left w:val="none" w:sz="0" w:space="0" w:color="auto"/>
        <w:bottom w:val="none" w:sz="0" w:space="0" w:color="auto"/>
        <w:right w:val="none" w:sz="0" w:space="0" w:color="auto"/>
      </w:divBdr>
    </w:div>
    <w:div w:id="1026294989">
      <w:marLeft w:val="0"/>
      <w:marRight w:val="0"/>
      <w:marTop w:val="0"/>
      <w:marBottom w:val="0"/>
      <w:divBdr>
        <w:top w:val="none" w:sz="0" w:space="0" w:color="auto"/>
        <w:left w:val="none" w:sz="0" w:space="0" w:color="auto"/>
        <w:bottom w:val="none" w:sz="0" w:space="0" w:color="auto"/>
        <w:right w:val="none" w:sz="0" w:space="0" w:color="auto"/>
      </w:divBdr>
    </w:div>
    <w:div w:id="1028408497">
      <w:marLeft w:val="0"/>
      <w:marRight w:val="0"/>
      <w:marTop w:val="0"/>
      <w:marBottom w:val="0"/>
      <w:divBdr>
        <w:top w:val="none" w:sz="0" w:space="0" w:color="auto"/>
        <w:left w:val="none" w:sz="0" w:space="0" w:color="auto"/>
        <w:bottom w:val="none" w:sz="0" w:space="0" w:color="auto"/>
        <w:right w:val="none" w:sz="0" w:space="0" w:color="auto"/>
      </w:divBdr>
    </w:div>
    <w:div w:id="1029571203">
      <w:marLeft w:val="0"/>
      <w:marRight w:val="0"/>
      <w:marTop w:val="0"/>
      <w:marBottom w:val="0"/>
      <w:divBdr>
        <w:top w:val="none" w:sz="0" w:space="0" w:color="auto"/>
        <w:left w:val="none" w:sz="0" w:space="0" w:color="auto"/>
        <w:bottom w:val="none" w:sz="0" w:space="0" w:color="auto"/>
        <w:right w:val="none" w:sz="0" w:space="0" w:color="auto"/>
      </w:divBdr>
      <w:divsChild>
        <w:div w:id="1984503455">
          <w:marLeft w:val="0"/>
          <w:marRight w:val="0"/>
          <w:marTop w:val="0"/>
          <w:marBottom w:val="0"/>
          <w:divBdr>
            <w:top w:val="none" w:sz="0" w:space="0" w:color="auto"/>
            <w:left w:val="none" w:sz="0" w:space="0" w:color="auto"/>
            <w:bottom w:val="none" w:sz="0" w:space="0" w:color="auto"/>
            <w:right w:val="none" w:sz="0" w:space="0" w:color="auto"/>
          </w:divBdr>
        </w:div>
      </w:divsChild>
    </w:div>
    <w:div w:id="1031804892">
      <w:marLeft w:val="0"/>
      <w:marRight w:val="0"/>
      <w:marTop w:val="0"/>
      <w:marBottom w:val="60"/>
      <w:divBdr>
        <w:top w:val="none" w:sz="0" w:space="0" w:color="auto"/>
        <w:left w:val="none" w:sz="0" w:space="0" w:color="auto"/>
        <w:bottom w:val="none" w:sz="0" w:space="0" w:color="auto"/>
        <w:right w:val="none" w:sz="0" w:space="0" w:color="auto"/>
      </w:divBdr>
    </w:div>
    <w:div w:id="1032536282">
      <w:marLeft w:val="0"/>
      <w:marRight w:val="0"/>
      <w:marTop w:val="0"/>
      <w:marBottom w:val="0"/>
      <w:divBdr>
        <w:top w:val="none" w:sz="0" w:space="0" w:color="auto"/>
        <w:left w:val="none" w:sz="0" w:space="0" w:color="auto"/>
        <w:bottom w:val="none" w:sz="0" w:space="0" w:color="auto"/>
        <w:right w:val="none" w:sz="0" w:space="0" w:color="auto"/>
      </w:divBdr>
      <w:divsChild>
        <w:div w:id="2007171257">
          <w:marLeft w:val="0"/>
          <w:marRight w:val="0"/>
          <w:marTop w:val="0"/>
          <w:marBottom w:val="0"/>
          <w:divBdr>
            <w:top w:val="none" w:sz="0" w:space="0" w:color="auto"/>
            <w:left w:val="none" w:sz="0" w:space="0" w:color="auto"/>
            <w:bottom w:val="none" w:sz="0" w:space="0" w:color="auto"/>
            <w:right w:val="none" w:sz="0" w:space="0" w:color="auto"/>
          </w:divBdr>
        </w:div>
      </w:divsChild>
    </w:div>
    <w:div w:id="1033306894">
      <w:marLeft w:val="0"/>
      <w:marRight w:val="0"/>
      <w:marTop w:val="0"/>
      <w:marBottom w:val="0"/>
      <w:divBdr>
        <w:top w:val="none" w:sz="0" w:space="0" w:color="auto"/>
        <w:left w:val="none" w:sz="0" w:space="0" w:color="auto"/>
        <w:bottom w:val="none" w:sz="0" w:space="0" w:color="auto"/>
        <w:right w:val="none" w:sz="0" w:space="0" w:color="auto"/>
      </w:divBdr>
      <w:divsChild>
        <w:div w:id="402261604">
          <w:marLeft w:val="0"/>
          <w:marRight w:val="0"/>
          <w:marTop w:val="0"/>
          <w:marBottom w:val="0"/>
          <w:divBdr>
            <w:top w:val="none" w:sz="0" w:space="0" w:color="auto"/>
            <w:left w:val="none" w:sz="0" w:space="0" w:color="auto"/>
            <w:bottom w:val="none" w:sz="0" w:space="0" w:color="auto"/>
            <w:right w:val="none" w:sz="0" w:space="0" w:color="auto"/>
          </w:divBdr>
        </w:div>
      </w:divsChild>
    </w:div>
    <w:div w:id="1037894788">
      <w:marLeft w:val="0"/>
      <w:marRight w:val="0"/>
      <w:marTop w:val="0"/>
      <w:marBottom w:val="0"/>
      <w:divBdr>
        <w:top w:val="none" w:sz="0" w:space="0" w:color="auto"/>
        <w:left w:val="none" w:sz="0" w:space="0" w:color="auto"/>
        <w:bottom w:val="none" w:sz="0" w:space="0" w:color="auto"/>
        <w:right w:val="none" w:sz="0" w:space="0" w:color="auto"/>
      </w:divBdr>
    </w:div>
    <w:div w:id="1039278011">
      <w:marLeft w:val="0"/>
      <w:marRight w:val="0"/>
      <w:marTop w:val="0"/>
      <w:marBottom w:val="0"/>
      <w:divBdr>
        <w:top w:val="none" w:sz="0" w:space="0" w:color="auto"/>
        <w:left w:val="none" w:sz="0" w:space="0" w:color="auto"/>
        <w:bottom w:val="none" w:sz="0" w:space="0" w:color="auto"/>
        <w:right w:val="none" w:sz="0" w:space="0" w:color="auto"/>
      </w:divBdr>
    </w:div>
    <w:div w:id="1040478427">
      <w:marLeft w:val="0"/>
      <w:marRight w:val="0"/>
      <w:marTop w:val="0"/>
      <w:marBottom w:val="60"/>
      <w:divBdr>
        <w:top w:val="none" w:sz="0" w:space="0" w:color="auto"/>
        <w:left w:val="none" w:sz="0" w:space="0" w:color="auto"/>
        <w:bottom w:val="none" w:sz="0" w:space="0" w:color="auto"/>
        <w:right w:val="none" w:sz="0" w:space="0" w:color="auto"/>
      </w:divBdr>
    </w:div>
    <w:div w:id="1040667230">
      <w:marLeft w:val="0"/>
      <w:marRight w:val="0"/>
      <w:marTop w:val="0"/>
      <w:marBottom w:val="0"/>
      <w:divBdr>
        <w:top w:val="none" w:sz="0" w:space="0" w:color="auto"/>
        <w:left w:val="none" w:sz="0" w:space="0" w:color="auto"/>
        <w:bottom w:val="none" w:sz="0" w:space="0" w:color="auto"/>
        <w:right w:val="none" w:sz="0" w:space="0" w:color="auto"/>
      </w:divBdr>
      <w:divsChild>
        <w:div w:id="1878926150">
          <w:marLeft w:val="0"/>
          <w:marRight w:val="0"/>
          <w:marTop w:val="0"/>
          <w:marBottom w:val="0"/>
          <w:divBdr>
            <w:top w:val="none" w:sz="0" w:space="0" w:color="auto"/>
            <w:left w:val="none" w:sz="0" w:space="0" w:color="auto"/>
            <w:bottom w:val="none" w:sz="0" w:space="0" w:color="auto"/>
            <w:right w:val="none" w:sz="0" w:space="0" w:color="auto"/>
          </w:divBdr>
        </w:div>
      </w:divsChild>
    </w:div>
    <w:div w:id="1042942010">
      <w:marLeft w:val="0"/>
      <w:marRight w:val="0"/>
      <w:marTop w:val="0"/>
      <w:marBottom w:val="0"/>
      <w:divBdr>
        <w:top w:val="none" w:sz="0" w:space="0" w:color="auto"/>
        <w:left w:val="none" w:sz="0" w:space="0" w:color="auto"/>
        <w:bottom w:val="none" w:sz="0" w:space="0" w:color="auto"/>
        <w:right w:val="none" w:sz="0" w:space="0" w:color="auto"/>
      </w:divBdr>
      <w:divsChild>
        <w:div w:id="336999743">
          <w:marLeft w:val="0"/>
          <w:marRight w:val="0"/>
          <w:marTop w:val="0"/>
          <w:marBottom w:val="0"/>
          <w:divBdr>
            <w:top w:val="none" w:sz="0" w:space="0" w:color="auto"/>
            <w:left w:val="none" w:sz="0" w:space="0" w:color="auto"/>
            <w:bottom w:val="none" w:sz="0" w:space="0" w:color="auto"/>
            <w:right w:val="none" w:sz="0" w:space="0" w:color="auto"/>
          </w:divBdr>
        </w:div>
      </w:divsChild>
    </w:div>
    <w:div w:id="1043090796">
      <w:marLeft w:val="0"/>
      <w:marRight w:val="0"/>
      <w:marTop w:val="100"/>
      <w:marBottom w:val="0"/>
      <w:divBdr>
        <w:top w:val="none" w:sz="0" w:space="0" w:color="auto"/>
        <w:left w:val="none" w:sz="0" w:space="0" w:color="auto"/>
        <w:bottom w:val="none" w:sz="0" w:space="0" w:color="auto"/>
        <w:right w:val="none" w:sz="0" w:space="0" w:color="auto"/>
      </w:divBdr>
    </w:div>
    <w:div w:id="1044016647">
      <w:marLeft w:val="0"/>
      <w:marRight w:val="0"/>
      <w:marTop w:val="0"/>
      <w:marBottom w:val="0"/>
      <w:divBdr>
        <w:top w:val="none" w:sz="0" w:space="0" w:color="auto"/>
        <w:left w:val="none" w:sz="0" w:space="0" w:color="auto"/>
        <w:bottom w:val="none" w:sz="0" w:space="0" w:color="auto"/>
        <w:right w:val="none" w:sz="0" w:space="0" w:color="auto"/>
      </w:divBdr>
    </w:div>
    <w:div w:id="1045062876">
      <w:marLeft w:val="0"/>
      <w:marRight w:val="0"/>
      <w:marTop w:val="0"/>
      <w:marBottom w:val="0"/>
      <w:divBdr>
        <w:top w:val="none" w:sz="0" w:space="0" w:color="auto"/>
        <w:left w:val="none" w:sz="0" w:space="0" w:color="auto"/>
        <w:bottom w:val="none" w:sz="0" w:space="0" w:color="auto"/>
        <w:right w:val="none" w:sz="0" w:space="0" w:color="auto"/>
      </w:divBdr>
      <w:divsChild>
        <w:div w:id="1678968260">
          <w:marLeft w:val="0"/>
          <w:marRight w:val="0"/>
          <w:marTop w:val="0"/>
          <w:marBottom w:val="0"/>
          <w:divBdr>
            <w:top w:val="none" w:sz="0" w:space="0" w:color="auto"/>
            <w:left w:val="none" w:sz="0" w:space="0" w:color="auto"/>
            <w:bottom w:val="none" w:sz="0" w:space="0" w:color="auto"/>
            <w:right w:val="none" w:sz="0" w:space="0" w:color="auto"/>
          </w:divBdr>
        </w:div>
      </w:divsChild>
    </w:div>
    <w:div w:id="1050762554">
      <w:marLeft w:val="0"/>
      <w:marRight w:val="0"/>
      <w:marTop w:val="0"/>
      <w:marBottom w:val="100"/>
      <w:divBdr>
        <w:top w:val="none" w:sz="0" w:space="0" w:color="auto"/>
        <w:left w:val="none" w:sz="0" w:space="0" w:color="auto"/>
        <w:bottom w:val="none" w:sz="0" w:space="0" w:color="auto"/>
        <w:right w:val="none" w:sz="0" w:space="0" w:color="auto"/>
      </w:divBdr>
    </w:div>
    <w:div w:id="1054619912">
      <w:marLeft w:val="0"/>
      <w:marRight w:val="0"/>
      <w:marTop w:val="0"/>
      <w:marBottom w:val="0"/>
      <w:divBdr>
        <w:top w:val="none" w:sz="0" w:space="0" w:color="auto"/>
        <w:left w:val="none" w:sz="0" w:space="0" w:color="auto"/>
        <w:bottom w:val="none" w:sz="0" w:space="0" w:color="auto"/>
        <w:right w:val="none" w:sz="0" w:space="0" w:color="auto"/>
      </w:divBdr>
      <w:divsChild>
        <w:div w:id="243300065">
          <w:marLeft w:val="0"/>
          <w:marRight w:val="0"/>
          <w:marTop w:val="0"/>
          <w:marBottom w:val="0"/>
          <w:divBdr>
            <w:top w:val="none" w:sz="0" w:space="0" w:color="auto"/>
            <w:left w:val="none" w:sz="0" w:space="0" w:color="auto"/>
            <w:bottom w:val="none" w:sz="0" w:space="0" w:color="auto"/>
            <w:right w:val="none" w:sz="0" w:space="0" w:color="auto"/>
          </w:divBdr>
        </w:div>
      </w:divsChild>
    </w:div>
    <w:div w:id="1056011173">
      <w:marLeft w:val="0"/>
      <w:marRight w:val="0"/>
      <w:marTop w:val="0"/>
      <w:marBottom w:val="0"/>
      <w:divBdr>
        <w:top w:val="none" w:sz="0" w:space="0" w:color="auto"/>
        <w:left w:val="none" w:sz="0" w:space="0" w:color="auto"/>
        <w:bottom w:val="none" w:sz="0" w:space="0" w:color="auto"/>
        <w:right w:val="none" w:sz="0" w:space="0" w:color="auto"/>
      </w:divBdr>
      <w:divsChild>
        <w:div w:id="1384718079">
          <w:marLeft w:val="0"/>
          <w:marRight w:val="0"/>
          <w:marTop w:val="0"/>
          <w:marBottom w:val="0"/>
          <w:divBdr>
            <w:top w:val="none" w:sz="0" w:space="0" w:color="auto"/>
            <w:left w:val="none" w:sz="0" w:space="0" w:color="auto"/>
            <w:bottom w:val="none" w:sz="0" w:space="0" w:color="auto"/>
            <w:right w:val="none" w:sz="0" w:space="0" w:color="auto"/>
          </w:divBdr>
        </w:div>
        <w:div w:id="599720875">
          <w:marLeft w:val="0"/>
          <w:marRight w:val="0"/>
          <w:marTop w:val="0"/>
          <w:marBottom w:val="0"/>
          <w:divBdr>
            <w:top w:val="none" w:sz="0" w:space="0" w:color="auto"/>
            <w:left w:val="none" w:sz="0" w:space="0" w:color="auto"/>
            <w:bottom w:val="none" w:sz="0" w:space="0" w:color="auto"/>
            <w:right w:val="none" w:sz="0" w:space="0" w:color="auto"/>
          </w:divBdr>
        </w:div>
      </w:divsChild>
    </w:div>
    <w:div w:id="1056509760">
      <w:marLeft w:val="0"/>
      <w:marRight w:val="0"/>
      <w:marTop w:val="0"/>
      <w:marBottom w:val="0"/>
      <w:divBdr>
        <w:top w:val="none" w:sz="0" w:space="0" w:color="auto"/>
        <w:left w:val="none" w:sz="0" w:space="0" w:color="auto"/>
        <w:bottom w:val="none" w:sz="0" w:space="0" w:color="auto"/>
        <w:right w:val="none" w:sz="0" w:space="0" w:color="auto"/>
      </w:divBdr>
      <w:divsChild>
        <w:div w:id="1671787500">
          <w:marLeft w:val="0"/>
          <w:marRight w:val="0"/>
          <w:marTop w:val="0"/>
          <w:marBottom w:val="0"/>
          <w:divBdr>
            <w:top w:val="none" w:sz="0" w:space="0" w:color="auto"/>
            <w:left w:val="none" w:sz="0" w:space="0" w:color="auto"/>
            <w:bottom w:val="none" w:sz="0" w:space="0" w:color="auto"/>
            <w:right w:val="none" w:sz="0" w:space="0" w:color="auto"/>
          </w:divBdr>
        </w:div>
      </w:divsChild>
    </w:div>
    <w:div w:id="1058669758">
      <w:marLeft w:val="0"/>
      <w:marRight w:val="0"/>
      <w:marTop w:val="120"/>
      <w:marBottom w:val="120"/>
      <w:divBdr>
        <w:top w:val="none" w:sz="0" w:space="0" w:color="auto"/>
        <w:left w:val="none" w:sz="0" w:space="0" w:color="auto"/>
        <w:bottom w:val="none" w:sz="0" w:space="0" w:color="auto"/>
        <w:right w:val="none" w:sz="0" w:space="0" w:color="auto"/>
      </w:divBdr>
    </w:div>
    <w:div w:id="1061946284">
      <w:marLeft w:val="0"/>
      <w:marRight w:val="0"/>
      <w:marTop w:val="0"/>
      <w:marBottom w:val="120"/>
      <w:divBdr>
        <w:top w:val="none" w:sz="0" w:space="0" w:color="auto"/>
        <w:left w:val="none" w:sz="0" w:space="0" w:color="auto"/>
        <w:bottom w:val="none" w:sz="0" w:space="0" w:color="auto"/>
        <w:right w:val="none" w:sz="0" w:space="0" w:color="auto"/>
      </w:divBdr>
    </w:div>
    <w:div w:id="1065569139">
      <w:marLeft w:val="0"/>
      <w:marRight w:val="0"/>
      <w:marTop w:val="100"/>
      <w:marBottom w:val="0"/>
      <w:divBdr>
        <w:top w:val="none" w:sz="0" w:space="0" w:color="auto"/>
        <w:left w:val="none" w:sz="0" w:space="0" w:color="auto"/>
        <w:bottom w:val="none" w:sz="0" w:space="0" w:color="auto"/>
        <w:right w:val="none" w:sz="0" w:space="0" w:color="auto"/>
      </w:divBdr>
    </w:div>
    <w:div w:id="1069380827">
      <w:marLeft w:val="0"/>
      <w:marRight w:val="0"/>
      <w:marTop w:val="0"/>
      <w:marBottom w:val="0"/>
      <w:divBdr>
        <w:top w:val="none" w:sz="0" w:space="0" w:color="auto"/>
        <w:left w:val="none" w:sz="0" w:space="0" w:color="auto"/>
        <w:bottom w:val="none" w:sz="0" w:space="0" w:color="auto"/>
        <w:right w:val="none" w:sz="0" w:space="0" w:color="auto"/>
      </w:divBdr>
      <w:divsChild>
        <w:div w:id="1417288294">
          <w:marLeft w:val="0"/>
          <w:marRight w:val="0"/>
          <w:marTop w:val="0"/>
          <w:marBottom w:val="0"/>
          <w:divBdr>
            <w:top w:val="none" w:sz="0" w:space="0" w:color="auto"/>
            <w:left w:val="none" w:sz="0" w:space="0" w:color="auto"/>
            <w:bottom w:val="none" w:sz="0" w:space="0" w:color="auto"/>
            <w:right w:val="none" w:sz="0" w:space="0" w:color="auto"/>
          </w:divBdr>
        </w:div>
      </w:divsChild>
    </w:div>
    <w:div w:id="1069421210">
      <w:marLeft w:val="0"/>
      <w:marRight w:val="0"/>
      <w:marTop w:val="100"/>
      <w:marBottom w:val="0"/>
      <w:divBdr>
        <w:top w:val="none" w:sz="0" w:space="0" w:color="auto"/>
        <w:left w:val="none" w:sz="0" w:space="0" w:color="auto"/>
        <w:bottom w:val="none" w:sz="0" w:space="0" w:color="auto"/>
        <w:right w:val="none" w:sz="0" w:space="0" w:color="auto"/>
      </w:divBdr>
    </w:div>
    <w:div w:id="1069883909">
      <w:marLeft w:val="0"/>
      <w:marRight w:val="0"/>
      <w:marTop w:val="0"/>
      <w:marBottom w:val="100"/>
      <w:divBdr>
        <w:top w:val="none" w:sz="0" w:space="0" w:color="auto"/>
        <w:left w:val="none" w:sz="0" w:space="0" w:color="auto"/>
        <w:bottom w:val="none" w:sz="0" w:space="0" w:color="auto"/>
        <w:right w:val="none" w:sz="0" w:space="0" w:color="auto"/>
      </w:divBdr>
    </w:div>
    <w:div w:id="1072198713">
      <w:marLeft w:val="0"/>
      <w:marRight w:val="0"/>
      <w:marTop w:val="0"/>
      <w:marBottom w:val="0"/>
      <w:divBdr>
        <w:top w:val="none" w:sz="0" w:space="0" w:color="auto"/>
        <w:left w:val="none" w:sz="0" w:space="0" w:color="auto"/>
        <w:bottom w:val="none" w:sz="0" w:space="0" w:color="auto"/>
        <w:right w:val="none" w:sz="0" w:space="0" w:color="auto"/>
      </w:divBdr>
    </w:div>
    <w:div w:id="1072703360">
      <w:marLeft w:val="0"/>
      <w:marRight w:val="0"/>
      <w:marTop w:val="0"/>
      <w:marBottom w:val="0"/>
      <w:divBdr>
        <w:top w:val="none" w:sz="0" w:space="0" w:color="auto"/>
        <w:left w:val="none" w:sz="0" w:space="0" w:color="auto"/>
        <w:bottom w:val="none" w:sz="0" w:space="0" w:color="auto"/>
        <w:right w:val="none" w:sz="0" w:space="0" w:color="auto"/>
      </w:divBdr>
      <w:divsChild>
        <w:div w:id="567807035">
          <w:marLeft w:val="0"/>
          <w:marRight w:val="0"/>
          <w:marTop w:val="0"/>
          <w:marBottom w:val="0"/>
          <w:divBdr>
            <w:top w:val="none" w:sz="0" w:space="0" w:color="auto"/>
            <w:left w:val="none" w:sz="0" w:space="0" w:color="auto"/>
            <w:bottom w:val="none" w:sz="0" w:space="0" w:color="auto"/>
            <w:right w:val="none" w:sz="0" w:space="0" w:color="auto"/>
          </w:divBdr>
        </w:div>
      </w:divsChild>
    </w:div>
    <w:div w:id="1073963985">
      <w:marLeft w:val="0"/>
      <w:marRight w:val="0"/>
      <w:marTop w:val="0"/>
      <w:marBottom w:val="0"/>
      <w:divBdr>
        <w:top w:val="none" w:sz="0" w:space="0" w:color="auto"/>
        <w:left w:val="none" w:sz="0" w:space="0" w:color="auto"/>
        <w:bottom w:val="none" w:sz="0" w:space="0" w:color="auto"/>
        <w:right w:val="none" w:sz="0" w:space="0" w:color="auto"/>
      </w:divBdr>
      <w:divsChild>
        <w:div w:id="70278259">
          <w:marLeft w:val="0"/>
          <w:marRight w:val="0"/>
          <w:marTop w:val="0"/>
          <w:marBottom w:val="0"/>
          <w:divBdr>
            <w:top w:val="none" w:sz="0" w:space="0" w:color="auto"/>
            <w:left w:val="none" w:sz="0" w:space="0" w:color="auto"/>
            <w:bottom w:val="none" w:sz="0" w:space="0" w:color="auto"/>
            <w:right w:val="none" w:sz="0" w:space="0" w:color="auto"/>
          </w:divBdr>
        </w:div>
      </w:divsChild>
    </w:div>
    <w:div w:id="1074549033">
      <w:marLeft w:val="0"/>
      <w:marRight w:val="0"/>
      <w:marTop w:val="0"/>
      <w:marBottom w:val="0"/>
      <w:divBdr>
        <w:top w:val="none" w:sz="0" w:space="0" w:color="auto"/>
        <w:left w:val="none" w:sz="0" w:space="0" w:color="auto"/>
        <w:bottom w:val="none" w:sz="0" w:space="0" w:color="auto"/>
        <w:right w:val="none" w:sz="0" w:space="0" w:color="auto"/>
      </w:divBdr>
    </w:div>
    <w:div w:id="1074863964">
      <w:marLeft w:val="0"/>
      <w:marRight w:val="0"/>
      <w:marTop w:val="0"/>
      <w:marBottom w:val="0"/>
      <w:divBdr>
        <w:top w:val="none" w:sz="0" w:space="0" w:color="auto"/>
        <w:left w:val="none" w:sz="0" w:space="0" w:color="auto"/>
        <w:bottom w:val="none" w:sz="0" w:space="0" w:color="auto"/>
        <w:right w:val="none" w:sz="0" w:space="0" w:color="auto"/>
      </w:divBdr>
      <w:divsChild>
        <w:div w:id="2109425998">
          <w:marLeft w:val="0"/>
          <w:marRight w:val="0"/>
          <w:marTop w:val="0"/>
          <w:marBottom w:val="0"/>
          <w:divBdr>
            <w:top w:val="none" w:sz="0" w:space="0" w:color="auto"/>
            <w:left w:val="none" w:sz="0" w:space="0" w:color="auto"/>
            <w:bottom w:val="none" w:sz="0" w:space="0" w:color="auto"/>
            <w:right w:val="none" w:sz="0" w:space="0" w:color="auto"/>
          </w:divBdr>
        </w:div>
      </w:divsChild>
    </w:div>
    <w:div w:id="1081369093">
      <w:marLeft w:val="0"/>
      <w:marRight w:val="0"/>
      <w:marTop w:val="0"/>
      <w:marBottom w:val="0"/>
      <w:divBdr>
        <w:top w:val="none" w:sz="0" w:space="0" w:color="auto"/>
        <w:left w:val="none" w:sz="0" w:space="0" w:color="auto"/>
        <w:bottom w:val="none" w:sz="0" w:space="0" w:color="auto"/>
        <w:right w:val="none" w:sz="0" w:space="0" w:color="auto"/>
      </w:divBdr>
    </w:div>
    <w:div w:id="1092630268">
      <w:marLeft w:val="0"/>
      <w:marRight w:val="0"/>
      <w:marTop w:val="0"/>
      <w:marBottom w:val="0"/>
      <w:divBdr>
        <w:top w:val="none" w:sz="0" w:space="0" w:color="auto"/>
        <w:left w:val="none" w:sz="0" w:space="0" w:color="auto"/>
        <w:bottom w:val="none" w:sz="0" w:space="0" w:color="auto"/>
        <w:right w:val="none" w:sz="0" w:space="0" w:color="auto"/>
      </w:divBdr>
    </w:div>
    <w:div w:id="1093010420">
      <w:marLeft w:val="0"/>
      <w:marRight w:val="0"/>
      <w:marTop w:val="0"/>
      <w:marBottom w:val="0"/>
      <w:divBdr>
        <w:top w:val="none" w:sz="0" w:space="0" w:color="auto"/>
        <w:left w:val="none" w:sz="0" w:space="0" w:color="auto"/>
        <w:bottom w:val="none" w:sz="0" w:space="0" w:color="auto"/>
        <w:right w:val="none" w:sz="0" w:space="0" w:color="auto"/>
      </w:divBdr>
    </w:div>
    <w:div w:id="1093090800">
      <w:marLeft w:val="0"/>
      <w:marRight w:val="0"/>
      <w:marTop w:val="0"/>
      <w:marBottom w:val="0"/>
      <w:divBdr>
        <w:top w:val="none" w:sz="0" w:space="0" w:color="auto"/>
        <w:left w:val="none" w:sz="0" w:space="0" w:color="auto"/>
        <w:bottom w:val="none" w:sz="0" w:space="0" w:color="auto"/>
        <w:right w:val="none" w:sz="0" w:space="0" w:color="auto"/>
      </w:divBdr>
      <w:divsChild>
        <w:div w:id="1813133307">
          <w:marLeft w:val="0"/>
          <w:marRight w:val="0"/>
          <w:marTop w:val="0"/>
          <w:marBottom w:val="0"/>
          <w:divBdr>
            <w:top w:val="none" w:sz="0" w:space="0" w:color="auto"/>
            <w:left w:val="none" w:sz="0" w:space="0" w:color="auto"/>
            <w:bottom w:val="none" w:sz="0" w:space="0" w:color="auto"/>
            <w:right w:val="none" w:sz="0" w:space="0" w:color="auto"/>
          </w:divBdr>
        </w:div>
      </w:divsChild>
    </w:div>
    <w:div w:id="1094477033">
      <w:marLeft w:val="0"/>
      <w:marRight w:val="0"/>
      <w:marTop w:val="0"/>
      <w:marBottom w:val="0"/>
      <w:divBdr>
        <w:top w:val="none" w:sz="0" w:space="0" w:color="auto"/>
        <w:left w:val="none" w:sz="0" w:space="0" w:color="auto"/>
        <w:bottom w:val="none" w:sz="0" w:space="0" w:color="auto"/>
        <w:right w:val="none" w:sz="0" w:space="0" w:color="auto"/>
      </w:divBdr>
      <w:divsChild>
        <w:div w:id="438451229">
          <w:marLeft w:val="0"/>
          <w:marRight w:val="0"/>
          <w:marTop w:val="0"/>
          <w:marBottom w:val="0"/>
          <w:divBdr>
            <w:top w:val="none" w:sz="0" w:space="0" w:color="auto"/>
            <w:left w:val="none" w:sz="0" w:space="0" w:color="auto"/>
            <w:bottom w:val="none" w:sz="0" w:space="0" w:color="auto"/>
            <w:right w:val="none" w:sz="0" w:space="0" w:color="auto"/>
          </w:divBdr>
        </w:div>
      </w:divsChild>
    </w:div>
    <w:div w:id="1097016642">
      <w:marLeft w:val="0"/>
      <w:marRight w:val="0"/>
      <w:marTop w:val="0"/>
      <w:marBottom w:val="0"/>
      <w:divBdr>
        <w:top w:val="none" w:sz="0" w:space="0" w:color="auto"/>
        <w:left w:val="none" w:sz="0" w:space="0" w:color="auto"/>
        <w:bottom w:val="none" w:sz="0" w:space="0" w:color="auto"/>
        <w:right w:val="none" w:sz="0" w:space="0" w:color="auto"/>
      </w:divBdr>
    </w:div>
    <w:div w:id="1097214630">
      <w:marLeft w:val="0"/>
      <w:marRight w:val="0"/>
      <w:marTop w:val="0"/>
      <w:marBottom w:val="0"/>
      <w:divBdr>
        <w:top w:val="none" w:sz="0" w:space="0" w:color="auto"/>
        <w:left w:val="none" w:sz="0" w:space="0" w:color="auto"/>
        <w:bottom w:val="none" w:sz="0" w:space="0" w:color="auto"/>
        <w:right w:val="none" w:sz="0" w:space="0" w:color="auto"/>
      </w:divBdr>
    </w:div>
    <w:div w:id="1100490835">
      <w:marLeft w:val="0"/>
      <w:marRight w:val="0"/>
      <w:marTop w:val="100"/>
      <w:marBottom w:val="0"/>
      <w:divBdr>
        <w:top w:val="none" w:sz="0" w:space="0" w:color="auto"/>
        <w:left w:val="none" w:sz="0" w:space="0" w:color="auto"/>
        <w:bottom w:val="none" w:sz="0" w:space="0" w:color="auto"/>
        <w:right w:val="none" w:sz="0" w:space="0" w:color="auto"/>
      </w:divBdr>
    </w:div>
    <w:div w:id="1101141020">
      <w:marLeft w:val="0"/>
      <w:marRight w:val="0"/>
      <w:marTop w:val="100"/>
      <w:marBottom w:val="0"/>
      <w:divBdr>
        <w:top w:val="none" w:sz="0" w:space="0" w:color="auto"/>
        <w:left w:val="none" w:sz="0" w:space="0" w:color="auto"/>
        <w:bottom w:val="none" w:sz="0" w:space="0" w:color="auto"/>
        <w:right w:val="none" w:sz="0" w:space="0" w:color="auto"/>
      </w:divBdr>
    </w:div>
    <w:div w:id="1101298675">
      <w:marLeft w:val="0"/>
      <w:marRight w:val="0"/>
      <w:marTop w:val="0"/>
      <w:marBottom w:val="0"/>
      <w:divBdr>
        <w:top w:val="none" w:sz="0" w:space="0" w:color="auto"/>
        <w:left w:val="none" w:sz="0" w:space="0" w:color="auto"/>
        <w:bottom w:val="none" w:sz="0" w:space="0" w:color="auto"/>
        <w:right w:val="none" w:sz="0" w:space="0" w:color="auto"/>
      </w:divBdr>
      <w:divsChild>
        <w:div w:id="469592914">
          <w:marLeft w:val="0"/>
          <w:marRight w:val="0"/>
          <w:marTop w:val="0"/>
          <w:marBottom w:val="0"/>
          <w:divBdr>
            <w:top w:val="none" w:sz="0" w:space="0" w:color="auto"/>
            <w:left w:val="none" w:sz="0" w:space="0" w:color="auto"/>
            <w:bottom w:val="none" w:sz="0" w:space="0" w:color="auto"/>
            <w:right w:val="none" w:sz="0" w:space="0" w:color="auto"/>
          </w:divBdr>
        </w:div>
      </w:divsChild>
    </w:div>
    <w:div w:id="1101681492">
      <w:marLeft w:val="0"/>
      <w:marRight w:val="0"/>
      <w:marTop w:val="0"/>
      <w:marBottom w:val="0"/>
      <w:divBdr>
        <w:top w:val="none" w:sz="0" w:space="0" w:color="auto"/>
        <w:left w:val="none" w:sz="0" w:space="0" w:color="auto"/>
        <w:bottom w:val="none" w:sz="0" w:space="0" w:color="auto"/>
        <w:right w:val="none" w:sz="0" w:space="0" w:color="auto"/>
      </w:divBdr>
      <w:divsChild>
        <w:div w:id="1207525534">
          <w:marLeft w:val="0"/>
          <w:marRight w:val="0"/>
          <w:marTop w:val="0"/>
          <w:marBottom w:val="0"/>
          <w:divBdr>
            <w:top w:val="none" w:sz="0" w:space="0" w:color="auto"/>
            <w:left w:val="none" w:sz="0" w:space="0" w:color="auto"/>
            <w:bottom w:val="none" w:sz="0" w:space="0" w:color="auto"/>
            <w:right w:val="none" w:sz="0" w:space="0" w:color="auto"/>
          </w:divBdr>
        </w:div>
      </w:divsChild>
    </w:div>
    <w:div w:id="1103259171">
      <w:marLeft w:val="0"/>
      <w:marRight w:val="0"/>
      <w:marTop w:val="0"/>
      <w:marBottom w:val="0"/>
      <w:divBdr>
        <w:top w:val="none" w:sz="0" w:space="0" w:color="auto"/>
        <w:left w:val="none" w:sz="0" w:space="0" w:color="auto"/>
        <w:bottom w:val="none" w:sz="0" w:space="0" w:color="auto"/>
        <w:right w:val="none" w:sz="0" w:space="0" w:color="auto"/>
      </w:divBdr>
    </w:div>
    <w:div w:id="1104887632">
      <w:marLeft w:val="0"/>
      <w:marRight w:val="0"/>
      <w:marTop w:val="0"/>
      <w:marBottom w:val="0"/>
      <w:divBdr>
        <w:top w:val="none" w:sz="0" w:space="0" w:color="auto"/>
        <w:left w:val="none" w:sz="0" w:space="0" w:color="auto"/>
        <w:bottom w:val="none" w:sz="0" w:space="0" w:color="auto"/>
        <w:right w:val="none" w:sz="0" w:space="0" w:color="auto"/>
      </w:divBdr>
    </w:div>
    <w:div w:id="1106147127">
      <w:marLeft w:val="0"/>
      <w:marRight w:val="0"/>
      <w:marTop w:val="0"/>
      <w:marBottom w:val="0"/>
      <w:divBdr>
        <w:top w:val="none" w:sz="0" w:space="0" w:color="auto"/>
        <w:left w:val="none" w:sz="0" w:space="0" w:color="auto"/>
        <w:bottom w:val="none" w:sz="0" w:space="0" w:color="auto"/>
        <w:right w:val="none" w:sz="0" w:space="0" w:color="auto"/>
      </w:divBdr>
    </w:div>
    <w:div w:id="1107429984">
      <w:marLeft w:val="0"/>
      <w:marRight w:val="0"/>
      <w:marTop w:val="0"/>
      <w:marBottom w:val="0"/>
      <w:divBdr>
        <w:top w:val="none" w:sz="0" w:space="0" w:color="auto"/>
        <w:left w:val="none" w:sz="0" w:space="0" w:color="auto"/>
        <w:bottom w:val="none" w:sz="0" w:space="0" w:color="auto"/>
        <w:right w:val="none" w:sz="0" w:space="0" w:color="auto"/>
      </w:divBdr>
    </w:div>
    <w:div w:id="1108045429">
      <w:marLeft w:val="0"/>
      <w:marRight w:val="0"/>
      <w:marTop w:val="0"/>
      <w:marBottom w:val="0"/>
      <w:divBdr>
        <w:top w:val="none" w:sz="0" w:space="0" w:color="auto"/>
        <w:left w:val="none" w:sz="0" w:space="0" w:color="auto"/>
        <w:bottom w:val="none" w:sz="0" w:space="0" w:color="auto"/>
        <w:right w:val="none" w:sz="0" w:space="0" w:color="auto"/>
      </w:divBdr>
    </w:div>
    <w:div w:id="1113941406">
      <w:marLeft w:val="0"/>
      <w:marRight w:val="0"/>
      <w:marTop w:val="0"/>
      <w:marBottom w:val="0"/>
      <w:divBdr>
        <w:top w:val="none" w:sz="0" w:space="0" w:color="auto"/>
        <w:left w:val="none" w:sz="0" w:space="0" w:color="auto"/>
        <w:bottom w:val="none" w:sz="0" w:space="0" w:color="auto"/>
        <w:right w:val="none" w:sz="0" w:space="0" w:color="auto"/>
      </w:divBdr>
      <w:divsChild>
        <w:div w:id="747531487">
          <w:marLeft w:val="0"/>
          <w:marRight w:val="0"/>
          <w:marTop w:val="0"/>
          <w:marBottom w:val="0"/>
          <w:divBdr>
            <w:top w:val="none" w:sz="0" w:space="0" w:color="auto"/>
            <w:left w:val="none" w:sz="0" w:space="0" w:color="auto"/>
            <w:bottom w:val="none" w:sz="0" w:space="0" w:color="auto"/>
            <w:right w:val="none" w:sz="0" w:space="0" w:color="auto"/>
          </w:divBdr>
        </w:div>
      </w:divsChild>
    </w:div>
    <w:div w:id="1114448149">
      <w:marLeft w:val="0"/>
      <w:marRight w:val="0"/>
      <w:marTop w:val="0"/>
      <w:marBottom w:val="0"/>
      <w:divBdr>
        <w:top w:val="none" w:sz="0" w:space="0" w:color="auto"/>
        <w:left w:val="none" w:sz="0" w:space="0" w:color="auto"/>
        <w:bottom w:val="none" w:sz="0" w:space="0" w:color="auto"/>
        <w:right w:val="none" w:sz="0" w:space="0" w:color="auto"/>
      </w:divBdr>
    </w:div>
    <w:div w:id="1115322152">
      <w:marLeft w:val="0"/>
      <w:marRight w:val="0"/>
      <w:marTop w:val="100"/>
      <w:marBottom w:val="0"/>
      <w:divBdr>
        <w:top w:val="none" w:sz="0" w:space="0" w:color="auto"/>
        <w:left w:val="none" w:sz="0" w:space="0" w:color="auto"/>
        <w:bottom w:val="none" w:sz="0" w:space="0" w:color="auto"/>
        <w:right w:val="none" w:sz="0" w:space="0" w:color="auto"/>
      </w:divBdr>
    </w:div>
    <w:div w:id="1115514576">
      <w:marLeft w:val="0"/>
      <w:marRight w:val="0"/>
      <w:marTop w:val="0"/>
      <w:marBottom w:val="0"/>
      <w:divBdr>
        <w:top w:val="none" w:sz="0" w:space="0" w:color="auto"/>
        <w:left w:val="none" w:sz="0" w:space="0" w:color="auto"/>
        <w:bottom w:val="none" w:sz="0" w:space="0" w:color="auto"/>
        <w:right w:val="none" w:sz="0" w:space="0" w:color="auto"/>
      </w:divBdr>
    </w:div>
    <w:div w:id="1115634288">
      <w:marLeft w:val="0"/>
      <w:marRight w:val="0"/>
      <w:marTop w:val="0"/>
      <w:marBottom w:val="60"/>
      <w:divBdr>
        <w:top w:val="none" w:sz="0" w:space="0" w:color="auto"/>
        <w:left w:val="none" w:sz="0" w:space="0" w:color="auto"/>
        <w:bottom w:val="none" w:sz="0" w:space="0" w:color="auto"/>
        <w:right w:val="none" w:sz="0" w:space="0" w:color="auto"/>
      </w:divBdr>
    </w:div>
    <w:div w:id="1118187414">
      <w:marLeft w:val="0"/>
      <w:marRight w:val="0"/>
      <w:marTop w:val="0"/>
      <w:marBottom w:val="0"/>
      <w:divBdr>
        <w:top w:val="none" w:sz="0" w:space="0" w:color="auto"/>
        <w:left w:val="none" w:sz="0" w:space="0" w:color="auto"/>
        <w:bottom w:val="none" w:sz="0" w:space="0" w:color="auto"/>
        <w:right w:val="none" w:sz="0" w:space="0" w:color="auto"/>
      </w:divBdr>
      <w:divsChild>
        <w:div w:id="1626810452">
          <w:marLeft w:val="0"/>
          <w:marRight w:val="0"/>
          <w:marTop w:val="0"/>
          <w:marBottom w:val="0"/>
          <w:divBdr>
            <w:top w:val="none" w:sz="0" w:space="0" w:color="auto"/>
            <w:left w:val="none" w:sz="0" w:space="0" w:color="auto"/>
            <w:bottom w:val="none" w:sz="0" w:space="0" w:color="auto"/>
            <w:right w:val="none" w:sz="0" w:space="0" w:color="auto"/>
          </w:divBdr>
        </w:div>
      </w:divsChild>
    </w:div>
    <w:div w:id="1118914412">
      <w:marLeft w:val="0"/>
      <w:marRight w:val="0"/>
      <w:marTop w:val="0"/>
      <w:marBottom w:val="0"/>
      <w:divBdr>
        <w:top w:val="none" w:sz="0" w:space="0" w:color="auto"/>
        <w:left w:val="none" w:sz="0" w:space="0" w:color="auto"/>
        <w:bottom w:val="none" w:sz="0" w:space="0" w:color="auto"/>
        <w:right w:val="none" w:sz="0" w:space="0" w:color="auto"/>
      </w:divBdr>
    </w:div>
    <w:div w:id="1121070751">
      <w:marLeft w:val="0"/>
      <w:marRight w:val="0"/>
      <w:marTop w:val="0"/>
      <w:marBottom w:val="0"/>
      <w:divBdr>
        <w:top w:val="none" w:sz="0" w:space="0" w:color="auto"/>
        <w:left w:val="none" w:sz="0" w:space="0" w:color="auto"/>
        <w:bottom w:val="none" w:sz="0" w:space="0" w:color="auto"/>
        <w:right w:val="none" w:sz="0" w:space="0" w:color="auto"/>
      </w:divBdr>
    </w:div>
    <w:div w:id="1126386105">
      <w:marLeft w:val="0"/>
      <w:marRight w:val="0"/>
      <w:marTop w:val="100"/>
      <w:marBottom w:val="0"/>
      <w:divBdr>
        <w:top w:val="none" w:sz="0" w:space="0" w:color="auto"/>
        <w:left w:val="none" w:sz="0" w:space="0" w:color="auto"/>
        <w:bottom w:val="none" w:sz="0" w:space="0" w:color="auto"/>
        <w:right w:val="none" w:sz="0" w:space="0" w:color="auto"/>
      </w:divBdr>
      <w:divsChild>
        <w:div w:id="1795631784">
          <w:marLeft w:val="0"/>
          <w:marRight w:val="0"/>
          <w:marTop w:val="0"/>
          <w:marBottom w:val="0"/>
          <w:divBdr>
            <w:top w:val="none" w:sz="0" w:space="0" w:color="auto"/>
            <w:left w:val="none" w:sz="0" w:space="0" w:color="auto"/>
            <w:bottom w:val="none" w:sz="0" w:space="0" w:color="auto"/>
            <w:right w:val="none" w:sz="0" w:space="0" w:color="auto"/>
          </w:divBdr>
        </w:div>
        <w:div w:id="315695221">
          <w:marLeft w:val="0"/>
          <w:marRight w:val="0"/>
          <w:marTop w:val="0"/>
          <w:marBottom w:val="0"/>
          <w:divBdr>
            <w:top w:val="none" w:sz="0" w:space="0" w:color="auto"/>
            <w:left w:val="none" w:sz="0" w:space="0" w:color="auto"/>
            <w:bottom w:val="none" w:sz="0" w:space="0" w:color="auto"/>
            <w:right w:val="none" w:sz="0" w:space="0" w:color="auto"/>
          </w:divBdr>
        </w:div>
        <w:div w:id="1243416912">
          <w:marLeft w:val="0"/>
          <w:marRight w:val="0"/>
          <w:marTop w:val="0"/>
          <w:marBottom w:val="0"/>
          <w:divBdr>
            <w:top w:val="none" w:sz="0" w:space="0" w:color="auto"/>
            <w:left w:val="none" w:sz="0" w:space="0" w:color="auto"/>
            <w:bottom w:val="none" w:sz="0" w:space="0" w:color="auto"/>
            <w:right w:val="none" w:sz="0" w:space="0" w:color="auto"/>
          </w:divBdr>
        </w:div>
        <w:div w:id="1458839250">
          <w:marLeft w:val="0"/>
          <w:marRight w:val="0"/>
          <w:marTop w:val="0"/>
          <w:marBottom w:val="0"/>
          <w:divBdr>
            <w:top w:val="none" w:sz="0" w:space="0" w:color="auto"/>
            <w:left w:val="none" w:sz="0" w:space="0" w:color="auto"/>
            <w:bottom w:val="none" w:sz="0" w:space="0" w:color="auto"/>
            <w:right w:val="none" w:sz="0" w:space="0" w:color="auto"/>
          </w:divBdr>
        </w:div>
        <w:div w:id="1628467305">
          <w:marLeft w:val="0"/>
          <w:marRight w:val="0"/>
          <w:marTop w:val="0"/>
          <w:marBottom w:val="0"/>
          <w:divBdr>
            <w:top w:val="none" w:sz="0" w:space="0" w:color="auto"/>
            <w:left w:val="none" w:sz="0" w:space="0" w:color="auto"/>
            <w:bottom w:val="none" w:sz="0" w:space="0" w:color="auto"/>
            <w:right w:val="none" w:sz="0" w:space="0" w:color="auto"/>
          </w:divBdr>
        </w:div>
        <w:div w:id="377828405">
          <w:marLeft w:val="0"/>
          <w:marRight w:val="0"/>
          <w:marTop w:val="0"/>
          <w:marBottom w:val="0"/>
          <w:divBdr>
            <w:top w:val="none" w:sz="0" w:space="0" w:color="auto"/>
            <w:left w:val="none" w:sz="0" w:space="0" w:color="auto"/>
            <w:bottom w:val="none" w:sz="0" w:space="0" w:color="auto"/>
            <w:right w:val="none" w:sz="0" w:space="0" w:color="auto"/>
          </w:divBdr>
        </w:div>
        <w:div w:id="2055350687">
          <w:marLeft w:val="0"/>
          <w:marRight w:val="0"/>
          <w:marTop w:val="0"/>
          <w:marBottom w:val="0"/>
          <w:divBdr>
            <w:top w:val="none" w:sz="0" w:space="0" w:color="auto"/>
            <w:left w:val="none" w:sz="0" w:space="0" w:color="auto"/>
            <w:bottom w:val="none" w:sz="0" w:space="0" w:color="auto"/>
            <w:right w:val="none" w:sz="0" w:space="0" w:color="auto"/>
          </w:divBdr>
        </w:div>
        <w:div w:id="1565867298">
          <w:marLeft w:val="0"/>
          <w:marRight w:val="0"/>
          <w:marTop w:val="0"/>
          <w:marBottom w:val="0"/>
          <w:divBdr>
            <w:top w:val="none" w:sz="0" w:space="0" w:color="auto"/>
            <w:left w:val="none" w:sz="0" w:space="0" w:color="auto"/>
            <w:bottom w:val="none" w:sz="0" w:space="0" w:color="auto"/>
            <w:right w:val="none" w:sz="0" w:space="0" w:color="auto"/>
          </w:divBdr>
        </w:div>
        <w:div w:id="1288581834">
          <w:marLeft w:val="0"/>
          <w:marRight w:val="0"/>
          <w:marTop w:val="0"/>
          <w:marBottom w:val="0"/>
          <w:divBdr>
            <w:top w:val="none" w:sz="0" w:space="0" w:color="auto"/>
            <w:left w:val="none" w:sz="0" w:space="0" w:color="auto"/>
            <w:bottom w:val="none" w:sz="0" w:space="0" w:color="auto"/>
            <w:right w:val="none" w:sz="0" w:space="0" w:color="auto"/>
          </w:divBdr>
        </w:div>
        <w:div w:id="1976139584">
          <w:marLeft w:val="0"/>
          <w:marRight w:val="0"/>
          <w:marTop w:val="0"/>
          <w:marBottom w:val="0"/>
          <w:divBdr>
            <w:top w:val="none" w:sz="0" w:space="0" w:color="auto"/>
            <w:left w:val="none" w:sz="0" w:space="0" w:color="auto"/>
            <w:bottom w:val="none" w:sz="0" w:space="0" w:color="auto"/>
            <w:right w:val="none" w:sz="0" w:space="0" w:color="auto"/>
          </w:divBdr>
        </w:div>
      </w:divsChild>
    </w:div>
    <w:div w:id="1129976878">
      <w:marLeft w:val="0"/>
      <w:marRight w:val="0"/>
      <w:marTop w:val="0"/>
      <w:marBottom w:val="120"/>
      <w:divBdr>
        <w:top w:val="none" w:sz="0" w:space="0" w:color="auto"/>
        <w:left w:val="none" w:sz="0" w:space="0" w:color="auto"/>
        <w:bottom w:val="none" w:sz="0" w:space="0" w:color="auto"/>
        <w:right w:val="none" w:sz="0" w:space="0" w:color="auto"/>
      </w:divBdr>
    </w:div>
    <w:div w:id="1130827487">
      <w:marLeft w:val="0"/>
      <w:marRight w:val="0"/>
      <w:marTop w:val="0"/>
      <w:marBottom w:val="0"/>
      <w:divBdr>
        <w:top w:val="none" w:sz="0" w:space="0" w:color="auto"/>
        <w:left w:val="none" w:sz="0" w:space="0" w:color="auto"/>
        <w:bottom w:val="none" w:sz="0" w:space="0" w:color="auto"/>
        <w:right w:val="none" w:sz="0" w:space="0" w:color="auto"/>
      </w:divBdr>
    </w:div>
    <w:div w:id="1133327056">
      <w:marLeft w:val="0"/>
      <w:marRight w:val="0"/>
      <w:marTop w:val="0"/>
      <w:marBottom w:val="0"/>
      <w:divBdr>
        <w:top w:val="none" w:sz="0" w:space="0" w:color="auto"/>
        <w:left w:val="none" w:sz="0" w:space="0" w:color="auto"/>
        <w:bottom w:val="none" w:sz="0" w:space="0" w:color="auto"/>
        <w:right w:val="none" w:sz="0" w:space="0" w:color="auto"/>
      </w:divBdr>
      <w:divsChild>
        <w:div w:id="1885867861">
          <w:marLeft w:val="0"/>
          <w:marRight w:val="0"/>
          <w:marTop w:val="0"/>
          <w:marBottom w:val="0"/>
          <w:divBdr>
            <w:top w:val="none" w:sz="0" w:space="0" w:color="auto"/>
            <w:left w:val="none" w:sz="0" w:space="0" w:color="auto"/>
            <w:bottom w:val="none" w:sz="0" w:space="0" w:color="auto"/>
            <w:right w:val="none" w:sz="0" w:space="0" w:color="auto"/>
          </w:divBdr>
        </w:div>
      </w:divsChild>
    </w:div>
    <w:div w:id="1135217220">
      <w:marLeft w:val="0"/>
      <w:marRight w:val="0"/>
      <w:marTop w:val="0"/>
      <w:marBottom w:val="0"/>
      <w:divBdr>
        <w:top w:val="none" w:sz="0" w:space="0" w:color="auto"/>
        <w:left w:val="none" w:sz="0" w:space="0" w:color="auto"/>
        <w:bottom w:val="none" w:sz="0" w:space="0" w:color="auto"/>
        <w:right w:val="none" w:sz="0" w:space="0" w:color="auto"/>
      </w:divBdr>
    </w:div>
    <w:div w:id="1138571320">
      <w:marLeft w:val="0"/>
      <w:marRight w:val="0"/>
      <w:marTop w:val="0"/>
      <w:marBottom w:val="0"/>
      <w:divBdr>
        <w:top w:val="none" w:sz="0" w:space="0" w:color="auto"/>
        <w:left w:val="none" w:sz="0" w:space="0" w:color="auto"/>
        <w:bottom w:val="none" w:sz="0" w:space="0" w:color="auto"/>
        <w:right w:val="none" w:sz="0" w:space="0" w:color="auto"/>
      </w:divBdr>
    </w:div>
    <w:div w:id="1138958762">
      <w:marLeft w:val="0"/>
      <w:marRight w:val="0"/>
      <w:marTop w:val="100"/>
      <w:marBottom w:val="0"/>
      <w:divBdr>
        <w:top w:val="none" w:sz="0" w:space="0" w:color="auto"/>
        <w:left w:val="none" w:sz="0" w:space="0" w:color="auto"/>
        <w:bottom w:val="none" w:sz="0" w:space="0" w:color="auto"/>
        <w:right w:val="none" w:sz="0" w:space="0" w:color="auto"/>
      </w:divBdr>
    </w:div>
    <w:div w:id="1139147191">
      <w:marLeft w:val="0"/>
      <w:marRight w:val="0"/>
      <w:marTop w:val="180"/>
      <w:marBottom w:val="0"/>
      <w:divBdr>
        <w:top w:val="none" w:sz="0" w:space="0" w:color="auto"/>
        <w:left w:val="none" w:sz="0" w:space="0" w:color="auto"/>
        <w:bottom w:val="none" w:sz="0" w:space="0" w:color="auto"/>
        <w:right w:val="none" w:sz="0" w:space="0" w:color="auto"/>
      </w:divBdr>
    </w:div>
    <w:div w:id="1142230696">
      <w:marLeft w:val="0"/>
      <w:marRight w:val="0"/>
      <w:marTop w:val="0"/>
      <w:marBottom w:val="0"/>
      <w:divBdr>
        <w:top w:val="none" w:sz="0" w:space="0" w:color="auto"/>
        <w:left w:val="none" w:sz="0" w:space="0" w:color="auto"/>
        <w:bottom w:val="none" w:sz="0" w:space="0" w:color="auto"/>
        <w:right w:val="none" w:sz="0" w:space="0" w:color="auto"/>
      </w:divBdr>
      <w:divsChild>
        <w:div w:id="530918255">
          <w:marLeft w:val="0"/>
          <w:marRight w:val="0"/>
          <w:marTop w:val="0"/>
          <w:marBottom w:val="0"/>
          <w:divBdr>
            <w:top w:val="none" w:sz="0" w:space="0" w:color="auto"/>
            <w:left w:val="none" w:sz="0" w:space="0" w:color="auto"/>
            <w:bottom w:val="none" w:sz="0" w:space="0" w:color="auto"/>
            <w:right w:val="none" w:sz="0" w:space="0" w:color="auto"/>
          </w:divBdr>
        </w:div>
      </w:divsChild>
    </w:div>
    <w:div w:id="1143542310">
      <w:marLeft w:val="0"/>
      <w:marRight w:val="0"/>
      <w:marTop w:val="0"/>
      <w:marBottom w:val="0"/>
      <w:divBdr>
        <w:top w:val="none" w:sz="0" w:space="0" w:color="auto"/>
        <w:left w:val="none" w:sz="0" w:space="0" w:color="auto"/>
        <w:bottom w:val="none" w:sz="0" w:space="0" w:color="auto"/>
        <w:right w:val="none" w:sz="0" w:space="0" w:color="auto"/>
      </w:divBdr>
    </w:div>
    <w:div w:id="1146320397">
      <w:marLeft w:val="0"/>
      <w:marRight w:val="0"/>
      <w:marTop w:val="100"/>
      <w:marBottom w:val="0"/>
      <w:divBdr>
        <w:top w:val="none" w:sz="0" w:space="0" w:color="auto"/>
        <w:left w:val="none" w:sz="0" w:space="0" w:color="auto"/>
        <w:bottom w:val="none" w:sz="0" w:space="0" w:color="auto"/>
        <w:right w:val="none" w:sz="0" w:space="0" w:color="auto"/>
      </w:divBdr>
    </w:div>
    <w:div w:id="1146363516">
      <w:marLeft w:val="0"/>
      <w:marRight w:val="0"/>
      <w:marTop w:val="0"/>
      <w:marBottom w:val="0"/>
      <w:divBdr>
        <w:top w:val="none" w:sz="0" w:space="0" w:color="auto"/>
        <w:left w:val="none" w:sz="0" w:space="0" w:color="auto"/>
        <w:bottom w:val="none" w:sz="0" w:space="0" w:color="auto"/>
        <w:right w:val="none" w:sz="0" w:space="0" w:color="auto"/>
      </w:divBdr>
    </w:div>
    <w:div w:id="1146892561">
      <w:marLeft w:val="0"/>
      <w:marRight w:val="0"/>
      <w:marTop w:val="0"/>
      <w:marBottom w:val="0"/>
      <w:divBdr>
        <w:top w:val="none" w:sz="0" w:space="0" w:color="auto"/>
        <w:left w:val="none" w:sz="0" w:space="0" w:color="auto"/>
        <w:bottom w:val="none" w:sz="0" w:space="0" w:color="auto"/>
        <w:right w:val="none" w:sz="0" w:space="0" w:color="auto"/>
      </w:divBdr>
      <w:divsChild>
        <w:div w:id="1413894071">
          <w:marLeft w:val="0"/>
          <w:marRight w:val="0"/>
          <w:marTop w:val="0"/>
          <w:marBottom w:val="0"/>
          <w:divBdr>
            <w:top w:val="none" w:sz="0" w:space="0" w:color="auto"/>
            <w:left w:val="none" w:sz="0" w:space="0" w:color="auto"/>
            <w:bottom w:val="none" w:sz="0" w:space="0" w:color="auto"/>
            <w:right w:val="none" w:sz="0" w:space="0" w:color="auto"/>
          </w:divBdr>
        </w:div>
      </w:divsChild>
    </w:div>
    <w:div w:id="1147043660">
      <w:marLeft w:val="0"/>
      <w:marRight w:val="0"/>
      <w:marTop w:val="0"/>
      <w:marBottom w:val="0"/>
      <w:divBdr>
        <w:top w:val="none" w:sz="0" w:space="0" w:color="auto"/>
        <w:left w:val="none" w:sz="0" w:space="0" w:color="auto"/>
        <w:bottom w:val="none" w:sz="0" w:space="0" w:color="auto"/>
        <w:right w:val="none" w:sz="0" w:space="0" w:color="auto"/>
      </w:divBdr>
    </w:div>
    <w:div w:id="1147166238">
      <w:marLeft w:val="0"/>
      <w:marRight w:val="0"/>
      <w:marTop w:val="0"/>
      <w:marBottom w:val="0"/>
      <w:divBdr>
        <w:top w:val="none" w:sz="0" w:space="0" w:color="auto"/>
        <w:left w:val="none" w:sz="0" w:space="0" w:color="auto"/>
        <w:bottom w:val="none" w:sz="0" w:space="0" w:color="auto"/>
        <w:right w:val="none" w:sz="0" w:space="0" w:color="auto"/>
      </w:divBdr>
    </w:div>
    <w:div w:id="1147405533">
      <w:marLeft w:val="0"/>
      <w:marRight w:val="0"/>
      <w:marTop w:val="0"/>
      <w:marBottom w:val="0"/>
      <w:divBdr>
        <w:top w:val="none" w:sz="0" w:space="0" w:color="auto"/>
        <w:left w:val="none" w:sz="0" w:space="0" w:color="auto"/>
        <w:bottom w:val="none" w:sz="0" w:space="0" w:color="auto"/>
        <w:right w:val="none" w:sz="0" w:space="0" w:color="auto"/>
      </w:divBdr>
    </w:div>
    <w:div w:id="1147817845">
      <w:marLeft w:val="0"/>
      <w:marRight w:val="0"/>
      <w:marTop w:val="0"/>
      <w:marBottom w:val="0"/>
      <w:divBdr>
        <w:top w:val="none" w:sz="0" w:space="0" w:color="auto"/>
        <w:left w:val="none" w:sz="0" w:space="0" w:color="auto"/>
        <w:bottom w:val="none" w:sz="0" w:space="0" w:color="auto"/>
        <w:right w:val="none" w:sz="0" w:space="0" w:color="auto"/>
      </w:divBdr>
      <w:divsChild>
        <w:div w:id="673534039">
          <w:marLeft w:val="0"/>
          <w:marRight w:val="0"/>
          <w:marTop w:val="0"/>
          <w:marBottom w:val="0"/>
          <w:divBdr>
            <w:top w:val="none" w:sz="0" w:space="0" w:color="auto"/>
            <w:left w:val="none" w:sz="0" w:space="0" w:color="auto"/>
            <w:bottom w:val="none" w:sz="0" w:space="0" w:color="auto"/>
            <w:right w:val="none" w:sz="0" w:space="0" w:color="auto"/>
          </w:divBdr>
        </w:div>
      </w:divsChild>
    </w:div>
    <w:div w:id="1160341063">
      <w:marLeft w:val="0"/>
      <w:marRight w:val="0"/>
      <w:marTop w:val="180"/>
      <w:marBottom w:val="0"/>
      <w:divBdr>
        <w:top w:val="none" w:sz="0" w:space="0" w:color="auto"/>
        <w:left w:val="none" w:sz="0" w:space="0" w:color="auto"/>
        <w:bottom w:val="none" w:sz="0" w:space="0" w:color="auto"/>
        <w:right w:val="none" w:sz="0" w:space="0" w:color="auto"/>
      </w:divBdr>
    </w:div>
    <w:div w:id="1160922128">
      <w:marLeft w:val="0"/>
      <w:marRight w:val="0"/>
      <w:marTop w:val="0"/>
      <w:marBottom w:val="0"/>
      <w:divBdr>
        <w:top w:val="none" w:sz="0" w:space="0" w:color="auto"/>
        <w:left w:val="none" w:sz="0" w:space="0" w:color="auto"/>
        <w:bottom w:val="none" w:sz="0" w:space="0" w:color="auto"/>
        <w:right w:val="none" w:sz="0" w:space="0" w:color="auto"/>
      </w:divBdr>
    </w:div>
    <w:div w:id="1161233320">
      <w:marLeft w:val="0"/>
      <w:marRight w:val="0"/>
      <w:marTop w:val="0"/>
      <w:marBottom w:val="0"/>
      <w:divBdr>
        <w:top w:val="none" w:sz="0" w:space="0" w:color="auto"/>
        <w:left w:val="none" w:sz="0" w:space="0" w:color="auto"/>
        <w:bottom w:val="none" w:sz="0" w:space="0" w:color="auto"/>
        <w:right w:val="none" w:sz="0" w:space="0" w:color="auto"/>
      </w:divBdr>
      <w:divsChild>
        <w:div w:id="1639606114">
          <w:marLeft w:val="0"/>
          <w:marRight w:val="0"/>
          <w:marTop w:val="0"/>
          <w:marBottom w:val="0"/>
          <w:divBdr>
            <w:top w:val="none" w:sz="0" w:space="0" w:color="auto"/>
            <w:left w:val="none" w:sz="0" w:space="0" w:color="auto"/>
            <w:bottom w:val="none" w:sz="0" w:space="0" w:color="auto"/>
            <w:right w:val="none" w:sz="0" w:space="0" w:color="auto"/>
          </w:divBdr>
        </w:div>
      </w:divsChild>
    </w:div>
    <w:div w:id="1161316334">
      <w:marLeft w:val="0"/>
      <w:marRight w:val="0"/>
      <w:marTop w:val="0"/>
      <w:marBottom w:val="0"/>
      <w:divBdr>
        <w:top w:val="none" w:sz="0" w:space="0" w:color="auto"/>
        <w:left w:val="none" w:sz="0" w:space="0" w:color="auto"/>
        <w:bottom w:val="none" w:sz="0" w:space="0" w:color="auto"/>
        <w:right w:val="none" w:sz="0" w:space="0" w:color="auto"/>
      </w:divBdr>
    </w:div>
    <w:div w:id="1162311077">
      <w:marLeft w:val="0"/>
      <w:marRight w:val="0"/>
      <w:marTop w:val="0"/>
      <w:marBottom w:val="0"/>
      <w:divBdr>
        <w:top w:val="none" w:sz="0" w:space="0" w:color="auto"/>
        <w:left w:val="none" w:sz="0" w:space="0" w:color="auto"/>
        <w:bottom w:val="none" w:sz="0" w:space="0" w:color="auto"/>
        <w:right w:val="none" w:sz="0" w:space="0" w:color="auto"/>
      </w:divBdr>
    </w:div>
    <w:div w:id="1163009813">
      <w:marLeft w:val="0"/>
      <w:marRight w:val="0"/>
      <w:marTop w:val="0"/>
      <w:marBottom w:val="0"/>
      <w:divBdr>
        <w:top w:val="none" w:sz="0" w:space="0" w:color="auto"/>
        <w:left w:val="none" w:sz="0" w:space="0" w:color="auto"/>
        <w:bottom w:val="none" w:sz="0" w:space="0" w:color="auto"/>
        <w:right w:val="none" w:sz="0" w:space="0" w:color="auto"/>
      </w:divBdr>
    </w:div>
    <w:div w:id="1164052657">
      <w:marLeft w:val="0"/>
      <w:marRight w:val="0"/>
      <w:marTop w:val="180"/>
      <w:marBottom w:val="0"/>
      <w:divBdr>
        <w:top w:val="none" w:sz="0" w:space="0" w:color="auto"/>
        <w:left w:val="none" w:sz="0" w:space="0" w:color="auto"/>
        <w:bottom w:val="none" w:sz="0" w:space="0" w:color="auto"/>
        <w:right w:val="none" w:sz="0" w:space="0" w:color="auto"/>
      </w:divBdr>
    </w:div>
    <w:div w:id="1164854561">
      <w:marLeft w:val="0"/>
      <w:marRight w:val="0"/>
      <w:marTop w:val="0"/>
      <w:marBottom w:val="0"/>
      <w:divBdr>
        <w:top w:val="none" w:sz="0" w:space="0" w:color="auto"/>
        <w:left w:val="none" w:sz="0" w:space="0" w:color="auto"/>
        <w:bottom w:val="none" w:sz="0" w:space="0" w:color="auto"/>
        <w:right w:val="none" w:sz="0" w:space="0" w:color="auto"/>
      </w:divBdr>
    </w:div>
    <w:div w:id="1165508200">
      <w:marLeft w:val="0"/>
      <w:marRight w:val="0"/>
      <w:marTop w:val="120"/>
      <w:marBottom w:val="0"/>
      <w:divBdr>
        <w:top w:val="none" w:sz="0" w:space="0" w:color="auto"/>
        <w:left w:val="none" w:sz="0" w:space="0" w:color="auto"/>
        <w:bottom w:val="none" w:sz="0" w:space="0" w:color="auto"/>
        <w:right w:val="none" w:sz="0" w:space="0" w:color="auto"/>
      </w:divBdr>
    </w:div>
    <w:div w:id="1165510767">
      <w:marLeft w:val="0"/>
      <w:marRight w:val="0"/>
      <w:marTop w:val="0"/>
      <w:marBottom w:val="0"/>
      <w:divBdr>
        <w:top w:val="none" w:sz="0" w:space="0" w:color="auto"/>
        <w:left w:val="none" w:sz="0" w:space="0" w:color="auto"/>
        <w:bottom w:val="none" w:sz="0" w:space="0" w:color="auto"/>
        <w:right w:val="none" w:sz="0" w:space="0" w:color="auto"/>
      </w:divBdr>
    </w:div>
    <w:div w:id="1167406668">
      <w:marLeft w:val="0"/>
      <w:marRight w:val="0"/>
      <w:marTop w:val="100"/>
      <w:marBottom w:val="0"/>
      <w:divBdr>
        <w:top w:val="none" w:sz="0" w:space="0" w:color="auto"/>
        <w:left w:val="none" w:sz="0" w:space="0" w:color="auto"/>
        <w:bottom w:val="none" w:sz="0" w:space="0" w:color="auto"/>
        <w:right w:val="none" w:sz="0" w:space="0" w:color="auto"/>
      </w:divBdr>
    </w:div>
    <w:div w:id="1168442316">
      <w:marLeft w:val="0"/>
      <w:marRight w:val="0"/>
      <w:marTop w:val="0"/>
      <w:marBottom w:val="0"/>
      <w:divBdr>
        <w:top w:val="none" w:sz="0" w:space="0" w:color="auto"/>
        <w:left w:val="none" w:sz="0" w:space="0" w:color="auto"/>
        <w:bottom w:val="none" w:sz="0" w:space="0" w:color="auto"/>
        <w:right w:val="none" w:sz="0" w:space="0" w:color="auto"/>
      </w:divBdr>
    </w:div>
    <w:div w:id="1169834538">
      <w:marLeft w:val="0"/>
      <w:marRight w:val="0"/>
      <w:marTop w:val="100"/>
      <w:marBottom w:val="0"/>
      <w:divBdr>
        <w:top w:val="none" w:sz="0" w:space="0" w:color="auto"/>
        <w:left w:val="none" w:sz="0" w:space="0" w:color="auto"/>
        <w:bottom w:val="none" w:sz="0" w:space="0" w:color="auto"/>
        <w:right w:val="none" w:sz="0" w:space="0" w:color="auto"/>
      </w:divBdr>
    </w:div>
    <w:div w:id="1177188697">
      <w:marLeft w:val="0"/>
      <w:marRight w:val="0"/>
      <w:marTop w:val="0"/>
      <w:marBottom w:val="0"/>
      <w:divBdr>
        <w:top w:val="none" w:sz="0" w:space="0" w:color="auto"/>
        <w:left w:val="none" w:sz="0" w:space="0" w:color="auto"/>
        <w:bottom w:val="none" w:sz="0" w:space="0" w:color="auto"/>
        <w:right w:val="none" w:sz="0" w:space="0" w:color="auto"/>
      </w:divBdr>
    </w:div>
    <w:div w:id="1178544302">
      <w:marLeft w:val="0"/>
      <w:marRight w:val="0"/>
      <w:marTop w:val="0"/>
      <w:marBottom w:val="0"/>
      <w:divBdr>
        <w:top w:val="none" w:sz="0" w:space="0" w:color="auto"/>
        <w:left w:val="none" w:sz="0" w:space="0" w:color="auto"/>
        <w:bottom w:val="none" w:sz="0" w:space="0" w:color="auto"/>
        <w:right w:val="none" w:sz="0" w:space="0" w:color="auto"/>
      </w:divBdr>
    </w:div>
    <w:div w:id="1179739837">
      <w:marLeft w:val="0"/>
      <w:marRight w:val="0"/>
      <w:marTop w:val="0"/>
      <w:marBottom w:val="0"/>
      <w:divBdr>
        <w:top w:val="none" w:sz="0" w:space="0" w:color="auto"/>
        <w:left w:val="none" w:sz="0" w:space="0" w:color="auto"/>
        <w:bottom w:val="none" w:sz="0" w:space="0" w:color="auto"/>
        <w:right w:val="none" w:sz="0" w:space="0" w:color="auto"/>
      </w:divBdr>
      <w:divsChild>
        <w:div w:id="1366373518">
          <w:marLeft w:val="0"/>
          <w:marRight w:val="0"/>
          <w:marTop w:val="0"/>
          <w:marBottom w:val="0"/>
          <w:divBdr>
            <w:top w:val="none" w:sz="0" w:space="0" w:color="auto"/>
            <w:left w:val="none" w:sz="0" w:space="0" w:color="auto"/>
            <w:bottom w:val="none" w:sz="0" w:space="0" w:color="auto"/>
            <w:right w:val="none" w:sz="0" w:space="0" w:color="auto"/>
          </w:divBdr>
        </w:div>
      </w:divsChild>
    </w:div>
    <w:div w:id="1179855273">
      <w:marLeft w:val="0"/>
      <w:marRight w:val="0"/>
      <w:marTop w:val="0"/>
      <w:marBottom w:val="0"/>
      <w:divBdr>
        <w:top w:val="none" w:sz="0" w:space="0" w:color="auto"/>
        <w:left w:val="none" w:sz="0" w:space="0" w:color="auto"/>
        <w:bottom w:val="none" w:sz="0" w:space="0" w:color="auto"/>
        <w:right w:val="none" w:sz="0" w:space="0" w:color="auto"/>
      </w:divBdr>
    </w:div>
    <w:div w:id="1180583623">
      <w:marLeft w:val="0"/>
      <w:marRight w:val="0"/>
      <w:marTop w:val="0"/>
      <w:marBottom w:val="0"/>
      <w:divBdr>
        <w:top w:val="none" w:sz="0" w:space="0" w:color="auto"/>
        <w:left w:val="none" w:sz="0" w:space="0" w:color="auto"/>
        <w:bottom w:val="none" w:sz="0" w:space="0" w:color="auto"/>
        <w:right w:val="none" w:sz="0" w:space="0" w:color="auto"/>
      </w:divBdr>
    </w:div>
    <w:div w:id="1180966101">
      <w:marLeft w:val="0"/>
      <w:marRight w:val="0"/>
      <w:marTop w:val="0"/>
      <w:marBottom w:val="0"/>
      <w:divBdr>
        <w:top w:val="none" w:sz="0" w:space="0" w:color="auto"/>
        <w:left w:val="none" w:sz="0" w:space="0" w:color="auto"/>
        <w:bottom w:val="none" w:sz="0" w:space="0" w:color="auto"/>
        <w:right w:val="none" w:sz="0" w:space="0" w:color="auto"/>
      </w:divBdr>
      <w:divsChild>
        <w:div w:id="1721980369">
          <w:marLeft w:val="0"/>
          <w:marRight w:val="0"/>
          <w:marTop w:val="0"/>
          <w:marBottom w:val="0"/>
          <w:divBdr>
            <w:top w:val="none" w:sz="0" w:space="0" w:color="auto"/>
            <w:left w:val="none" w:sz="0" w:space="0" w:color="auto"/>
            <w:bottom w:val="none" w:sz="0" w:space="0" w:color="auto"/>
            <w:right w:val="none" w:sz="0" w:space="0" w:color="auto"/>
          </w:divBdr>
        </w:div>
      </w:divsChild>
    </w:div>
    <w:div w:id="1182938496">
      <w:marLeft w:val="0"/>
      <w:marRight w:val="0"/>
      <w:marTop w:val="0"/>
      <w:marBottom w:val="0"/>
      <w:divBdr>
        <w:top w:val="none" w:sz="0" w:space="0" w:color="auto"/>
        <w:left w:val="none" w:sz="0" w:space="0" w:color="auto"/>
        <w:bottom w:val="none" w:sz="0" w:space="0" w:color="auto"/>
        <w:right w:val="none" w:sz="0" w:space="0" w:color="auto"/>
      </w:divBdr>
      <w:divsChild>
        <w:div w:id="1859732570">
          <w:marLeft w:val="0"/>
          <w:marRight w:val="0"/>
          <w:marTop w:val="0"/>
          <w:marBottom w:val="0"/>
          <w:divBdr>
            <w:top w:val="none" w:sz="0" w:space="0" w:color="auto"/>
            <w:left w:val="none" w:sz="0" w:space="0" w:color="auto"/>
            <w:bottom w:val="none" w:sz="0" w:space="0" w:color="auto"/>
            <w:right w:val="none" w:sz="0" w:space="0" w:color="auto"/>
          </w:divBdr>
        </w:div>
      </w:divsChild>
    </w:div>
    <w:div w:id="1188179273">
      <w:marLeft w:val="0"/>
      <w:marRight w:val="0"/>
      <w:marTop w:val="0"/>
      <w:marBottom w:val="0"/>
      <w:divBdr>
        <w:top w:val="none" w:sz="0" w:space="0" w:color="auto"/>
        <w:left w:val="none" w:sz="0" w:space="0" w:color="auto"/>
        <w:bottom w:val="none" w:sz="0" w:space="0" w:color="auto"/>
        <w:right w:val="none" w:sz="0" w:space="0" w:color="auto"/>
      </w:divBdr>
    </w:div>
    <w:div w:id="1188569739">
      <w:marLeft w:val="0"/>
      <w:marRight w:val="0"/>
      <w:marTop w:val="0"/>
      <w:marBottom w:val="0"/>
      <w:divBdr>
        <w:top w:val="none" w:sz="0" w:space="0" w:color="auto"/>
        <w:left w:val="none" w:sz="0" w:space="0" w:color="auto"/>
        <w:bottom w:val="none" w:sz="0" w:space="0" w:color="auto"/>
        <w:right w:val="none" w:sz="0" w:space="0" w:color="auto"/>
      </w:divBdr>
    </w:div>
    <w:div w:id="1188711983">
      <w:marLeft w:val="0"/>
      <w:marRight w:val="0"/>
      <w:marTop w:val="0"/>
      <w:marBottom w:val="0"/>
      <w:divBdr>
        <w:top w:val="none" w:sz="0" w:space="0" w:color="auto"/>
        <w:left w:val="none" w:sz="0" w:space="0" w:color="auto"/>
        <w:bottom w:val="none" w:sz="0" w:space="0" w:color="auto"/>
        <w:right w:val="none" w:sz="0" w:space="0" w:color="auto"/>
      </w:divBdr>
      <w:divsChild>
        <w:div w:id="693655286">
          <w:marLeft w:val="0"/>
          <w:marRight w:val="0"/>
          <w:marTop w:val="0"/>
          <w:marBottom w:val="0"/>
          <w:divBdr>
            <w:top w:val="none" w:sz="0" w:space="0" w:color="auto"/>
            <w:left w:val="none" w:sz="0" w:space="0" w:color="auto"/>
            <w:bottom w:val="none" w:sz="0" w:space="0" w:color="auto"/>
            <w:right w:val="none" w:sz="0" w:space="0" w:color="auto"/>
          </w:divBdr>
        </w:div>
      </w:divsChild>
    </w:div>
    <w:div w:id="1190682108">
      <w:marLeft w:val="0"/>
      <w:marRight w:val="0"/>
      <w:marTop w:val="100"/>
      <w:marBottom w:val="0"/>
      <w:divBdr>
        <w:top w:val="none" w:sz="0" w:space="0" w:color="auto"/>
        <w:left w:val="none" w:sz="0" w:space="0" w:color="auto"/>
        <w:bottom w:val="none" w:sz="0" w:space="0" w:color="auto"/>
        <w:right w:val="none" w:sz="0" w:space="0" w:color="auto"/>
      </w:divBdr>
    </w:div>
    <w:div w:id="1197278276">
      <w:marLeft w:val="0"/>
      <w:marRight w:val="0"/>
      <w:marTop w:val="0"/>
      <w:marBottom w:val="0"/>
      <w:divBdr>
        <w:top w:val="none" w:sz="0" w:space="0" w:color="auto"/>
        <w:left w:val="none" w:sz="0" w:space="0" w:color="auto"/>
        <w:bottom w:val="none" w:sz="0" w:space="0" w:color="auto"/>
        <w:right w:val="none" w:sz="0" w:space="0" w:color="auto"/>
      </w:divBdr>
    </w:div>
    <w:div w:id="1205486577">
      <w:marLeft w:val="0"/>
      <w:marRight w:val="0"/>
      <w:marTop w:val="0"/>
      <w:marBottom w:val="0"/>
      <w:divBdr>
        <w:top w:val="none" w:sz="0" w:space="0" w:color="auto"/>
        <w:left w:val="none" w:sz="0" w:space="0" w:color="auto"/>
        <w:bottom w:val="none" w:sz="0" w:space="0" w:color="auto"/>
        <w:right w:val="none" w:sz="0" w:space="0" w:color="auto"/>
      </w:divBdr>
    </w:div>
    <w:div w:id="1208567665">
      <w:marLeft w:val="0"/>
      <w:marRight w:val="0"/>
      <w:marTop w:val="0"/>
      <w:marBottom w:val="0"/>
      <w:divBdr>
        <w:top w:val="none" w:sz="0" w:space="0" w:color="auto"/>
        <w:left w:val="none" w:sz="0" w:space="0" w:color="auto"/>
        <w:bottom w:val="none" w:sz="0" w:space="0" w:color="auto"/>
        <w:right w:val="none" w:sz="0" w:space="0" w:color="auto"/>
      </w:divBdr>
      <w:divsChild>
        <w:div w:id="867372915">
          <w:marLeft w:val="0"/>
          <w:marRight w:val="0"/>
          <w:marTop w:val="0"/>
          <w:marBottom w:val="0"/>
          <w:divBdr>
            <w:top w:val="none" w:sz="0" w:space="0" w:color="auto"/>
            <w:left w:val="none" w:sz="0" w:space="0" w:color="auto"/>
            <w:bottom w:val="none" w:sz="0" w:space="0" w:color="auto"/>
            <w:right w:val="none" w:sz="0" w:space="0" w:color="auto"/>
          </w:divBdr>
        </w:div>
      </w:divsChild>
    </w:div>
    <w:div w:id="1215045890">
      <w:marLeft w:val="0"/>
      <w:marRight w:val="0"/>
      <w:marTop w:val="0"/>
      <w:marBottom w:val="132"/>
      <w:divBdr>
        <w:top w:val="none" w:sz="0" w:space="0" w:color="auto"/>
        <w:left w:val="none" w:sz="0" w:space="0" w:color="auto"/>
        <w:bottom w:val="none" w:sz="0" w:space="0" w:color="auto"/>
        <w:right w:val="none" w:sz="0" w:space="0" w:color="auto"/>
      </w:divBdr>
    </w:div>
    <w:div w:id="1216359439">
      <w:marLeft w:val="0"/>
      <w:marRight w:val="0"/>
      <w:marTop w:val="0"/>
      <w:marBottom w:val="0"/>
      <w:divBdr>
        <w:top w:val="none" w:sz="0" w:space="0" w:color="auto"/>
        <w:left w:val="none" w:sz="0" w:space="0" w:color="auto"/>
        <w:bottom w:val="none" w:sz="0" w:space="0" w:color="auto"/>
        <w:right w:val="none" w:sz="0" w:space="0" w:color="auto"/>
      </w:divBdr>
      <w:divsChild>
        <w:div w:id="1844011497">
          <w:marLeft w:val="0"/>
          <w:marRight w:val="0"/>
          <w:marTop w:val="0"/>
          <w:marBottom w:val="0"/>
          <w:divBdr>
            <w:top w:val="none" w:sz="0" w:space="0" w:color="auto"/>
            <w:left w:val="none" w:sz="0" w:space="0" w:color="auto"/>
            <w:bottom w:val="none" w:sz="0" w:space="0" w:color="auto"/>
            <w:right w:val="none" w:sz="0" w:space="0" w:color="auto"/>
          </w:divBdr>
        </w:div>
      </w:divsChild>
    </w:div>
    <w:div w:id="1218785104">
      <w:marLeft w:val="0"/>
      <w:marRight w:val="0"/>
      <w:marTop w:val="0"/>
      <w:marBottom w:val="0"/>
      <w:divBdr>
        <w:top w:val="none" w:sz="0" w:space="0" w:color="auto"/>
        <w:left w:val="none" w:sz="0" w:space="0" w:color="auto"/>
        <w:bottom w:val="none" w:sz="0" w:space="0" w:color="auto"/>
        <w:right w:val="none" w:sz="0" w:space="0" w:color="auto"/>
      </w:divBdr>
    </w:div>
    <w:div w:id="1219509727">
      <w:marLeft w:val="0"/>
      <w:marRight w:val="0"/>
      <w:marTop w:val="0"/>
      <w:marBottom w:val="0"/>
      <w:divBdr>
        <w:top w:val="none" w:sz="0" w:space="0" w:color="auto"/>
        <w:left w:val="none" w:sz="0" w:space="0" w:color="auto"/>
        <w:bottom w:val="none" w:sz="0" w:space="0" w:color="auto"/>
        <w:right w:val="none" w:sz="0" w:space="0" w:color="auto"/>
      </w:divBdr>
      <w:divsChild>
        <w:div w:id="103042212">
          <w:marLeft w:val="0"/>
          <w:marRight w:val="0"/>
          <w:marTop w:val="0"/>
          <w:marBottom w:val="0"/>
          <w:divBdr>
            <w:top w:val="none" w:sz="0" w:space="0" w:color="auto"/>
            <w:left w:val="none" w:sz="0" w:space="0" w:color="auto"/>
            <w:bottom w:val="none" w:sz="0" w:space="0" w:color="auto"/>
            <w:right w:val="none" w:sz="0" w:space="0" w:color="auto"/>
          </w:divBdr>
        </w:div>
      </w:divsChild>
    </w:div>
    <w:div w:id="1224679397">
      <w:marLeft w:val="0"/>
      <w:marRight w:val="0"/>
      <w:marTop w:val="0"/>
      <w:marBottom w:val="0"/>
      <w:divBdr>
        <w:top w:val="none" w:sz="0" w:space="0" w:color="auto"/>
        <w:left w:val="none" w:sz="0" w:space="0" w:color="auto"/>
        <w:bottom w:val="none" w:sz="0" w:space="0" w:color="auto"/>
        <w:right w:val="none" w:sz="0" w:space="0" w:color="auto"/>
      </w:divBdr>
      <w:divsChild>
        <w:div w:id="1242373190">
          <w:marLeft w:val="0"/>
          <w:marRight w:val="0"/>
          <w:marTop w:val="0"/>
          <w:marBottom w:val="0"/>
          <w:divBdr>
            <w:top w:val="none" w:sz="0" w:space="0" w:color="auto"/>
            <w:left w:val="none" w:sz="0" w:space="0" w:color="auto"/>
            <w:bottom w:val="none" w:sz="0" w:space="0" w:color="auto"/>
            <w:right w:val="none" w:sz="0" w:space="0" w:color="auto"/>
          </w:divBdr>
        </w:div>
      </w:divsChild>
    </w:div>
    <w:div w:id="1225876339">
      <w:marLeft w:val="0"/>
      <w:marRight w:val="0"/>
      <w:marTop w:val="0"/>
      <w:marBottom w:val="0"/>
      <w:divBdr>
        <w:top w:val="none" w:sz="0" w:space="0" w:color="auto"/>
        <w:left w:val="none" w:sz="0" w:space="0" w:color="auto"/>
        <w:bottom w:val="none" w:sz="0" w:space="0" w:color="auto"/>
        <w:right w:val="none" w:sz="0" w:space="0" w:color="auto"/>
      </w:divBdr>
    </w:div>
    <w:div w:id="1228343714">
      <w:marLeft w:val="0"/>
      <w:marRight w:val="0"/>
      <w:marTop w:val="0"/>
      <w:marBottom w:val="0"/>
      <w:divBdr>
        <w:top w:val="none" w:sz="0" w:space="0" w:color="auto"/>
        <w:left w:val="none" w:sz="0" w:space="0" w:color="auto"/>
        <w:bottom w:val="none" w:sz="0" w:space="0" w:color="auto"/>
        <w:right w:val="none" w:sz="0" w:space="0" w:color="auto"/>
      </w:divBdr>
      <w:divsChild>
        <w:div w:id="1353872748">
          <w:marLeft w:val="0"/>
          <w:marRight w:val="0"/>
          <w:marTop w:val="0"/>
          <w:marBottom w:val="0"/>
          <w:divBdr>
            <w:top w:val="none" w:sz="0" w:space="0" w:color="auto"/>
            <w:left w:val="none" w:sz="0" w:space="0" w:color="auto"/>
            <w:bottom w:val="none" w:sz="0" w:space="0" w:color="auto"/>
            <w:right w:val="none" w:sz="0" w:space="0" w:color="auto"/>
          </w:divBdr>
        </w:div>
      </w:divsChild>
    </w:div>
    <w:div w:id="1236623018">
      <w:marLeft w:val="0"/>
      <w:marRight w:val="0"/>
      <w:marTop w:val="0"/>
      <w:marBottom w:val="0"/>
      <w:divBdr>
        <w:top w:val="none" w:sz="0" w:space="0" w:color="auto"/>
        <w:left w:val="none" w:sz="0" w:space="0" w:color="auto"/>
        <w:bottom w:val="none" w:sz="0" w:space="0" w:color="auto"/>
        <w:right w:val="none" w:sz="0" w:space="0" w:color="auto"/>
      </w:divBdr>
      <w:divsChild>
        <w:div w:id="371540962">
          <w:marLeft w:val="0"/>
          <w:marRight w:val="0"/>
          <w:marTop w:val="0"/>
          <w:marBottom w:val="0"/>
          <w:divBdr>
            <w:top w:val="none" w:sz="0" w:space="0" w:color="auto"/>
            <w:left w:val="none" w:sz="0" w:space="0" w:color="auto"/>
            <w:bottom w:val="none" w:sz="0" w:space="0" w:color="auto"/>
            <w:right w:val="none" w:sz="0" w:space="0" w:color="auto"/>
          </w:divBdr>
        </w:div>
      </w:divsChild>
    </w:div>
    <w:div w:id="1238174935">
      <w:marLeft w:val="0"/>
      <w:marRight w:val="0"/>
      <w:marTop w:val="0"/>
      <w:marBottom w:val="0"/>
      <w:divBdr>
        <w:top w:val="none" w:sz="0" w:space="0" w:color="auto"/>
        <w:left w:val="none" w:sz="0" w:space="0" w:color="auto"/>
        <w:bottom w:val="none" w:sz="0" w:space="0" w:color="auto"/>
        <w:right w:val="none" w:sz="0" w:space="0" w:color="auto"/>
      </w:divBdr>
      <w:divsChild>
        <w:div w:id="1571041201">
          <w:marLeft w:val="0"/>
          <w:marRight w:val="0"/>
          <w:marTop w:val="0"/>
          <w:marBottom w:val="0"/>
          <w:divBdr>
            <w:top w:val="none" w:sz="0" w:space="0" w:color="auto"/>
            <w:left w:val="none" w:sz="0" w:space="0" w:color="auto"/>
            <w:bottom w:val="none" w:sz="0" w:space="0" w:color="auto"/>
            <w:right w:val="none" w:sz="0" w:space="0" w:color="auto"/>
          </w:divBdr>
        </w:div>
        <w:div w:id="1112289849">
          <w:marLeft w:val="0"/>
          <w:marRight w:val="0"/>
          <w:marTop w:val="0"/>
          <w:marBottom w:val="0"/>
          <w:divBdr>
            <w:top w:val="none" w:sz="0" w:space="0" w:color="auto"/>
            <w:left w:val="none" w:sz="0" w:space="0" w:color="auto"/>
            <w:bottom w:val="none" w:sz="0" w:space="0" w:color="auto"/>
            <w:right w:val="none" w:sz="0" w:space="0" w:color="auto"/>
          </w:divBdr>
        </w:div>
      </w:divsChild>
    </w:div>
    <w:div w:id="1239050467">
      <w:marLeft w:val="0"/>
      <w:marRight w:val="0"/>
      <w:marTop w:val="0"/>
      <w:marBottom w:val="0"/>
      <w:divBdr>
        <w:top w:val="none" w:sz="0" w:space="0" w:color="auto"/>
        <w:left w:val="none" w:sz="0" w:space="0" w:color="auto"/>
        <w:bottom w:val="none" w:sz="0" w:space="0" w:color="auto"/>
        <w:right w:val="none" w:sz="0" w:space="0" w:color="auto"/>
      </w:divBdr>
      <w:divsChild>
        <w:div w:id="1540584655">
          <w:marLeft w:val="0"/>
          <w:marRight w:val="0"/>
          <w:marTop w:val="0"/>
          <w:marBottom w:val="0"/>
          <w:divBdr>
            <w:top w:val="none" w:sz="0" w:space="0" w:color="auto"/>
            <w:left w:val="none" w:sz="0" w:space="0" w:color="auto"/>
            <w:bottom w:val="none" w:sz="0" w:space="0" w:color="auto"/>
            <w:right w:val="none" w:sz="0" w:space="0" w:color="auto"/>
          </w:divBdr>
        </w:div>
      </w:divsChild>
    </w:div>
    <w:div w:id="1245577822">
      <w:marLeft w:val="0"/>
      <w:marRight w:val="0"/>
      <w:marTop w:val="0"/>
      <w:marBottom w:val="0"/>
      <w:divBdr>
        <w:top w:val="none" w:sz="0" w:space="0" w:color="auto"/>
        <w:left w:val="none" w:sz="0" w:space="0" w:color="auto"/>
        <w:bottom w:val="none" w:sz="0" w:space="0" w:color="auto"/>
        <w:right w:val="none" w:sz="0" w:space="0" w:color="auto"/>
      </w:divBdr>
      <w:divsChild>
        <w:div w:id="1964191355">
          <w:marLeft w:val="0"/>
          <w:marRight w:val="0"/>
          <w:marTop w:val="0"/>
          <w:marBottom w:val="0"/>
          <w:divBdr>
            <w:top w:val="none" w:sz="0" w:space="0" w:color="auto"/>
            <w:left w:val="none" w:sz="0" w:space="0" w:color="auto"/>
            <w:bottom w:val="none" w:sz="0" w:space="0" w:color="auto"/>
            <w:right w:val="none" w:sz="0" w:space="0" w:color="auto"/>
          </w:divBdr>
        </w:div>
      </w:divsChild>
    </w:div>
    <w:div w:id="1247350347">
      <w:marLeft w:val="0"/>
      <w:marRight w:val="0"/>
      <w:marTop w:val="0"/>
      <w:marBottom w:val="0"/>
      <w:divBdr>
        <w:top w:val="none" w:sz="0" w:space="0" w:color="auto"/>
        <w:left w:val="none" w:sz="0" w:space="0" w:color="auto"/>
        <w:bottom w:val="none" w:sz="0" w:space="0" w:color="auto"/>
        <w:right w:val="none" w:sz="0" w:space="0" w:color="auto"/>
      </w:divBdr>
    </w:div>
    <w:div w:id="1248032958">
      <w:marLeft w:val="0"/>
      <w:marRight w:val="0"/>
      <w:marTop w:val="0"/>
      <w:marBottom w:val="0"/>
      <w:divBdr>
        <w:top w:val="none" w:sz="0" w:space="0" w:color="auto"/>
        <w:left w:val="none" w:sz="0" w:space="0" w:color="auto"/>
        <w:bottom w:val="none" w:sz="0" w:space="0" w:color="auto"/>
        <w:right w:val="none" w:sz="0" w:space="0" w:color="auto"/>
      </w:divBdr>
      <w:divsChild>
        <w:div w:id="449279470">
          <w:marLeft w:val="0"/>
          <w:marRight w:val="0"/>
          <w:marTop w:val="0"/>
          <w:marBottom w:val="0"/>
          <w:divBdr>
            <w:top w:val="none" w:sz="0" w:space="0" w:color="auto"/>
            <w:left w:val="none" w:sz="0" w:space="0" w:color="auto"/>
            <w:bottom w:val="none" w:sz="0" w:space="0" w:color="auto"/>
            <w:right w:val="none" w:sz="0" w:space="0" w:color="auto"/>
          </w:divBdr>
        </w:div>
      </w:divsChild>
    </w:div>
    <w:div w:id="1253591993">
      <w:marLeft w:val="0"/>
      <w:marRight w:val="0"/>
      <w:marTop w:val="0"/>
      <w:marBottom w:val="0"/>
      <w:divBdr>
        <w:top w:val="none" w:sz="0" w:space="0" w:color="auto"/>
        <w:left w:val="none" w:sz="0" w:space="0" w:color="auto"/>
        <w:bottom w:val="none" w:sz="0" w:space="0" w:color="auto"/>
        <w:right w:val="none" w:sz="0" w:space="0" w:color="auto"/>
      </w:divBdr>
      <w:divsChild>
        <w:div w:id="1585719154">
          <w:marLeft w:val="0"/>
          <w:marRight w:val="0"/>
          <w:marTop w:val="0"/>
          <w:marBottom w:val="0"/>
          <w:divBdr>
            <w:top w:val="none" w:sz="0" w:space="0" w:color="auto"/>
            <w:left w:val="none" w:sz="0" w:space="0" w:color="auto"/>
            <w:bottom w:val="none" w:sz="0" w:space="0" w:color="auto"/>
            <w:right w:val="none" w:sz="0" w:space="0" w:color="auto"/>
          </w:divBdr>
          <w:divsChild>
            <w:div w:id="6536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1987">
      <w:marLeft w:val="0"/>
      <w:marRight w:val="0"/>
      <w:marTop w:val="0"/>
      <w:marBottom w:val="0"/>
      <w:divBdr>
        <w:top w:val="none" w:sz="0" w:space="0" w:color="auto"/>
        <w:left w:val="none" w:sz="0" w:space="0" w:color="auto"/>
        <w:bottom w:val="none" w:sz="0" w:space="0" w:color="auto"/>
        <w:right w:val="none" w:sz="0" w:space="0" w:color="auto"/>
      </w:divBdr>
    </w:div>
    <w:div w:id="1259634076">
      <w:marLeft w:val="0"/>
      <w:marRight w:val="0"/>
      <w:marTop w:val="0"/>
      <w:marBottom w:val="0"/>
      <w:divBdr>
        <w:top w:val="none" w:sz="0" w:space="0" w:color="auto"/>
        <w:left w:val="none" w:sz="0" w:space="0" w:color="auto"/>
        <w:bottom w:val="none" w:sz="0" w:space="0" w:color="auto"/>
        <w:right w:val="none" w:sz="0" w:space="0" w:color="auto"/>
      </w:divBdr>
    </w:div>
    <w:div w:id="1262839225">
      <w:marLeft w:val="0"/>
      <w:marRight w:val="0"/>
      <w:marTop w:val="0"/>
      <w:marBottom w:val="0"/>
      <w:divBdr>
        <w:top w:val="none" w:sz="0" w:space="0" w:color="auto"/>
        <w:left w:val="none" w:sz="0" w:space="0" w:color="auto"/>
        <w:bottom w:val="none" w:sz="0" w:space="0" w:color="auto"/>
        <w:right w:val="none" w:sz="0" w:space="0" w:color="auto"/>
      </w:divBdr>
    </w:div>
    <w:div w:id="1265579677">
      <w:marLeft w:val="0"/>
      <w:marRight w:val="0"/>
      <w:marTop w:val="0"/>
      <w:marBottom w:val="0"/>
      <w:divBdr>
        <w:top w:val="none" w:sz="0" w:space="0" w:color="auto"/>
        <w:left w:val="none" w:sz="0" w:space="0" w:color="auto"/>
        <w:bottom w:val="none" w:sz="0" w:space="0" w:color="auto"/>
        <w:right w:val="none" w:sz="0" w:space="0" w:color="auto"/>
      </w:divBdr>
      <w:divsChild>
        <w:div w:id="1971938717">
          <w:marLeft w:val="0"/>
          <w:marRight w:val="0"/>
          <w:marTop w:val="0"/>
          <w:marBottom w:val="0"/>
          <w:divBdr>
            <w:top w:val="none" w:sz="0" w:space="0" w:color="auto"/>
            <w:left w:val="none" w:sz="0" w:space="0" w:color="auto"/>
            <w:bottom w:val="none" w:sz="0" w:space="0" w:color="auto"/>
            <w:right w:val="none" w:sz="0" w:space="0" w:color="auto"/>
          </w:divBdr>
        </w:div>
      </w:divsChild>
    </w:div>
    <w:div w:id="1266309833">
      <w:marLeft w:val="0"/>
      <w:marRight w:val="0"/>
      <w:marTop w:val="0"/>
      <w:marBottom w:val="60"/>
      <w:divBdr>
        <w:top w:val="none" w:sz="0" w:space="0" w:color="auto"/>
        <w:left w:val="none" w:sz="0" w:space="0" w:color="auto"/>
        <w:bottom w:val="none" w:sz="0" w:space="0" w:color="auto"/>
        <w:right w:val="none" w:sz="0" w:space="0" w:color="auto"/>
      </w:divBdr>
    </w:div>
    <w:div w:id="1269001159">
      <w:marLeft w:val="0"/>
      <w:marRight w:val="0"/>
      <w:marTop w:val="0"/>
      <w:marBottom w:val="0"/>
      <w:divBdr>
        <w:top w:val="none" w:sz="0" w:space="0" w:color="auto"/>
        <w:left w:val="none" w:sz="0" w:space="0" w:color="auto"/>
        <w:bottom w:val="none" w:sz="0" w:space="0" w:color="auto"/>
        <w:right w:val="none" w:sz="0" w:space="0" w:color="auto"/>
      </w:divBdr>
      <w:divsChild>
        <w:div w:id="18972362">
          <w:marLeft w:val="0"/>
          <w:marRight w:val="0"/>
          <w:marTop w:val="0"/>
          <w:marBottom w:val="0"/>
          <w:divBdr>
            <w:top w:val="none" w:sz="0" w:space="0" w:color="auto"/>
            <w:left w:val="none" w:sz="0" w:space="0" w:color="auto"/>
            <w:bottom w:val="none" w:sz="0" w:space="0" w:color="auto"/>
            <w:right w:val="none" w:sz="0" w:space="0" w:color="auto"/>
          </w:divBdr>
        </w:div>
      </w:divsChild>
    </w:div>
    <w:div w:id="1269629446">
      <w:marLeft w:val="0"/>
      <w:marRight w:val="0"/>
      <w:marTop w:val="0"/>
      <w:marBottom w:val="0"/>
      <w:divBdr>
        <w:top w:val="none" w:sz="0" w:space="0" w:color="auto"/>
        <w:left w:val="none" w:sz="0" w:space="0" w:color="auto"/>
        <w:bottom w:val="none" w:sz="0" w:space="0" w:color="auto"/>
        <w:right w:val="none" w:sz="0" w:space="0" w:color="auto"/>
      </w:divBdr>
    </w:div>
    <w:div w:id="1269772636">
      <w:marLeft w:val="0"/>
      <w:marRight w:val="0"/>
      <w:marTop w:val="0"/>
      <w:marBottom w:val="0"/>
      <w:divBdr>
        <w:top w:val="none" w:sz="0" w:space="0" w:color="auto"/>
        <w:left w:val="none" w:sz="0" w:space="0" w:color="auto"/>
        <w:bottom w:val="none" w:sz="0" w:space="0" w:color="auto"/>
        <w:right w:val="none" w:sz="0" w:space="0" w:color="auto"/>
      </w:divBdr>
    </w:div>
    <w:div w:id="1275600364">
      <w:marLeft w:val="0"/>
      <w:marRight w:val="0"/>
      <w:marTop w:val="100"/>
      <w:marBottom w:val="0"/>
      <w:divBdr>
        <w:top w:val="none" w:sz="0" w:space="0" w:color="auto"/>
        <w:left w:val="none" w:sz="0" w:space="0" w:color="auto"/>
        <w:bottom w:val="none" w:sz="0" w:space="0" w:color="auto"/>
        <w:right w:val="none" w:sz="0" w:space="0" w:color="auto"/>
      </w:divBdr>
    </w:div>
    <w:div w:id="1277443756">
      <w:marLeft w:val="0"/>
      <w:marRight w:val="0"/>
      <w:marTop w:val="0"/>
      <w:marBottom w:val="0"/>
      <w:divBdr>
        <w:top w:val="none" w:sz="0" w:space="0" w:color="auto"/>
        <w:left w:val="none" w:sz="0" w:space="0" w:color="auto"/>
        <w:bottom w:val="none" w:sz="0" w:space="0" w:color="auto"/>
        <w:right w:val="none" w:sz="0" w:space="0" w:color="auto"/>
      </w:divBdr>
    </w:div>
    <w:div w:id="1280264895">
      <w:marLeft w:val="0"/>
      <w:marRight w:val="0"/>
      <w:marTop w:val="0"/>
      <w:marBottom w:val="0"/>
      <w:divBdr>
        <w:top w:val="none" w:sz="0" w:space="0" w:color="auto"/>
        <w:left w:val="none" w:sz="0" w:space="0" w:color="auto"/>
        <w:bottom w:val="none" w:sz="0" w:space="0" w:color="auto"/>
        <w:right w:val="none" w:sz="0" w:space="0" w:color="auto"/>
      </w:divBdr>
      <w:divsChild>
        <w:div w:id="349139151">
          <w:marLeft w:val="0"/>
          <w:marRight w:val="0"/>
          <w:marTop w:val="0"/>
          <w:marBottom w:val="0"/>
          <w:divBdr>
            <w:top w:val="none" w:sz="0" w:space="0" w:color="auto"/>
            <w:left w:val="none" w:sz="0" w:space="0" w:color="auto"/>
            <w:bottom w:val="none" w:sz="0" w:space="0" w:color="auto"/>
            <w:right w:val="none" w:sz="0" w:space="0" w:color="auto"/>
          </w:divBdr>
        </w:div>
      </w:divsChild>
    </w:div>
    <w:div w:id="1281450812">
      <w:marLeft w:val="0"/>
      <w:marRight w:val="0"/>
      <w:marTop w:val="0"/>
      <w:marBottom w:val="0"/>
      <w:divBdr>
        <w:top w:val="none" w:sz="0" w:space="0" w:color="auto"/>
        <w:left w:val="none" w:sz="0" w:space="0" w:color="auto"/>
        <w:bottom w:val="none" w:sz="0" w:space="0" w:color="auto"/>
        <w:right w:val="none" w:sz="0" w:space="0" w:color="auto"/>
      </w:divBdr>
    </w:div>
    <w:div w:id="1282420855">
      <w:marLeft w:val="0"/>
      <w:marRight w:val="0"/>
      <w:marTop w:val="0"/>
      <w:marBottom w:val="0"/>
      <w:divBdr>
        <w:top w:val="none" w:sz="0" w:space="0" w:color="auto"/>
        <w:left w:val="none" w:sz="0" w:space="0" w:color="auto"/>
        <w:bottom w:val="none" w:sz="0" w:space="0" w:color="auto"/>
        <w:right w:val="none" w:sz="0" w:space="0" w:color="auto"/>
      </w:divBdr>
    </w:div>
    <w:div w:id="1283225179">
      <w:marLeft w:val="0"/>
      <w:marRight w:val="0"/>
      <w:marTop w:val="180"/>
      <w:marBottom w:val="0"/>
      <w:divBdr>
        <w:top w:val="none" w:sz="0" w:space="0" w:color="auto"/>
        <w:left w:val="none" w:sz="0" w:space="0" w:color="auto"/>
        <w:bottom w:val="none" w:sz="0" w:space="0" w:color="auto"/>
        <w:right w:val="none" w:sz="0" w:space="0" w:color="auto"/>
      </w:divBdr>
    </w:div>
    <w:div w:id="1284924858">
      <w:marLeft w:val="0"/>
      <w:marRight w:val="0"/>
      <w:marTop w:val="0"/>
      <w:marBottom w:val="0"/>
      <w:divBdr>
        <w:top w:val="none" w:sz="0" w:space="0" w:color="auto"/>
        <w:left w:val="none" w:sz="0" w:space="0" w:color="auto"/>
        <w:bottom w:val="none" w:sz="0" w:space="0" w:color="auto"/>
        <w:right w:val="none" w:sz="0" w:space="0" w:color="auto"/>
      </w:divBdr>
    </w:div>
    <w:div w:id="1285388522">
      <w:marLeft w:val="0"/>
      <w:marRight w:val="0"/>
      <w:marTop w:val="100"/>
      <w:marBottom w:val="0"/>
      <w:divBdr>
        <w:top w:val="none" w:sz="0" w:space="0" w:color="auto"/>
        <w:left w:val="none" w:sz="0" w:space="0" w:color="auto"/>
        <w:bottom w:val="none" w:sz="0" w:space="0" w:color="auto"/>
        <w:right w:val="none" w:sz="0" w:space="0" w:color="auto"/>
      </w:divBdr>
    </w:div>
    <w:div w:id="1288781299">
      <w:marLeft w:val="0"/>
      <w:marRight w:val="0"/>
      <w:marTop w:val="0"/>
      <w:marBottom w:val="0"/>
      <w:divBdr>
        <w:top w:val="none" w:sz="0" w:space="0" w:color="auto"/>
        <w:left w:val="none" w:sz="0" w:space="0" w:color="auto"/>
        <w:bottom w:val="none" w:sz="0" w:space="0" w:color="auto"/>
        <w:right w:val="none" w:sz="0" w:space="0" w:color="auto"/>
      </w:divBdr>
    </w:div>
    <w:div w:id="1292591095">
      <w:marLeft w:val="0"/>
      <w:marRight w:val="0"/>
      <w:marTop w:val="0"/>
      <w:marBottom w:val="0"/>
      <w:divBdr>
        <w:top w:val="none" w:sz="0" w:space="0" w:color="auto"/>
        <w:left w:val="none" w:sz="0" w:space="0" w:color="auto"/>
        <w:bottom w:val="none" w:sz="0" w:space="0" w:color="auto"/>
        <w:right w:val="none" w:sz="0" w:space="0" w:color="auto"/>
      </w:divBdr>
      <w:divsChild>
        <w:div w:id="1428505366">
          <w:marLeft w:val="0"/>
          <w:marRight w:val="0"/>
          <w:marTop w:val="0"/>
          <w:marBottom w:val="0"/>
          <w:divBdr>
            <w:top w:val="none" w:sz="0" w:space="0" w:color="auto"/>
            <w:left w:val="none" w:sz="0" w:space="0" w:color="auto"/>
            <w:bottom w:val="none" w:sz="0" w:space="0" w:color="auto"/>
            <w:right w:val="none" w:sz="0" w:space="0" w:color="auto"/>
          </w:divBdr>
        </w:div>
        <w:div w:id="849638427">
          <w:marLeft w:val="0"/>
          <w:marRight w:val="0"/>
          <w:marTop w:val="0"/>
          <w:marBottom w:val="0"/>
          <w:divBdr>
            <w:top w:val="none" w:sz="0" w:space="0" w:color="auto"/>
            <w:left w:val="none" w:sz="0" w:space="0" w:color="auto"/>
            <w:bottom w:val="none" w:sz="0" w:space="0" w:color="auto"/>
            <w:right w:val="none" w:sz="0" w:space="0" w:color="auto"/>
          </w:divBdr>
        </w:div>
      </w:divsChild>
    </w:div>
    <w:div w:id="1302156206">
      <w:marLeft w:val="0"/>
      <w:marRight w:val="0"/>
      <w:marTop w:val="0"/>
      <w:marBottom w:val="0"/>
      <w:divBdr>
        <w:top w:val="none" w:sz="0" w:space="0" w:color="auto"/>
        <w:left w:val="none" w:sz="0" w:space="0" w:color="auto"/>
        <w:bottom w:val="none" w:sz="0" w:space="0" w:color="auto"/>
        <w:right w:val="none" w:sz="0" w:space="0" w:color="auto"/>
      </w:divBdr>
    </w:div>
    <w:div w:id="1306858870">
      <w:marLeft w:val="0"/>
      <w:marRight w:val="0"/>
      <w:marTop w:val="100"/>
      <w:marBottom w:val="0"/>
      <w:divBdr>
        <w:top w:val="none" w:sz="0" w:space="0" w:color="auto"/>
        <w:left w:val="none" w:sz="0" w:space="0" w:color="auto"/>
        <w:bottom w:val="none" w:sz="0" w:space="0" w:color="auto"/>
        <w:right w:val="none" w:sz="0" w:space="0" w:color="auto"/>
      </w:divBdr>
    </w:div>
    <w:div w:id="1310397629">
      <w:marLeft w:val="0"/>
      <w:marRight w:val="0"/>
      <w:marTop w:val="0"/>
      <w:marBottom w:val="0"/>
      <w:divBdr>
        <w:top w:val="none" w:sz="0" w:space="0" w:color="auto"/>
        <w:left w:val="none" w:sz="0" w:space="0" w:color="auto"/>
        <w:bottom w:val="none" w:sz="0" w:space="0" w:color="auto"/>
        <w:right w:val="none" w:sz="0" w:space="0" w:color="auto"/>
      </w:divBdr>
      <w:divsChild>
        <w:div w:id="209078389">
          <w:marLeft w:val="0"/>
          <w:marRight w:val="0"/>
          <w:marTop w:val="0"/>
          <w:marBottom w:val="0"/>
          <w:divBdr>
            <w:top w:val="none" w:sz="0" w:space="0" w:color="auto"/>
            <w:left w:val="none" w:sz="0" w:space="0" w:color="auto"/>
            <w:bottom w:val="none" w:sz="0" w:space="0" w:color="auto"/>
            <w:right w:val="none" w:sz="0" w:space="0" w:color="auto"/>
          </w:divBdr>
        </w:div>
      </w:divsChild>
    </w:div>
    <w:div w:id="1314528806">
      <w:marLeft w:val="0"/>
      <w:marRight w:val="0"/>
      <w:marTop w:val="0"/>
      <w:marBottom w:val="0"/>
      <w:divBdr>
        <w:top w:val="none" w:sz="0" w:space="0" w:color="auto"/>
        <w:left w:val="none" w:sz="0" w:space="0" w:color="auto"/>
        <w:bottom w:val="none" w:sz="0" w:space="0" w:color="auto"/>
        <w:right w:val="none" w:sz="0" w:space="0" w:color="auto"/>
      </w:divBdr>
    </w:div>
    <w:div w:id="1317220634">
      <w:marLeft w:val="0"/>
      <w:marRight w:val="0"/>
      <w:marTop w:val="0"/>
      <w:marBottom w:val="0"/>
      <w:divBdr>
        <w:top w:val="none" w:sz="0" w:space="0" w:color="auto"/>
        <w:left w:val="none" w:sz="0" w:space="0" w:color="auto"/>
        <w:bottom w:val="none" w:sz="0" w:space="0" w:color="auto"/>
        <w:right w:val="none" w:sz="0" w:space="0" w:color="auto"/>
      </w:divBdr>
      <w:divsChild>
        <w:div w:id="724836626">
          <w:marLeft w:val="0"/>
          <w:marRight w:val="0"/>
          <w:marTop w:val="0"/>
          <w:marBottom w:val="0"/>
          <w:divBdr>
            <w:top w:val="none" w:sz="0" w:space="0" w:color="auto"/>
            <w:left w:val="none" w:sz="0" w:space="0" w:color="auto"/>
            <w:bottom w:val="none" w:sz="0" w:space="0" w:color="auto"/>
            <w:right w:val="none" w:sz="0" w:space="0" w:color="auto"/>
          </w:divBdr>
        </w:div>
      </w:divsChild>
    </w:div>
    <w:div w:id="1317345082">
      <w:marLeft w:val="0"/>
      <w:marRight w:val="0"/>
      <w:marTop w:val="100"/>
      <w:marBottom w:val="0"/>
      <w:divBdr>
        <w:top w:val="none" w:sz="0" w:space="0" w:color="auto"/>
        <w:left w:val="none" w:sz="0" w:space="0" w:color="auto"/>
        <w:bottom w:val="none" w:sz="0" w:space="0" w:color="auto"/>
        <w:right w:val="none" w:sz="0" w:space="0" w:color="auto"/>
      </w:divBdr>
    </w:div>
    <w:div w:id="1317801992">
      <w:marLeft w:val="0"/>
      <w:marRight w:val="0"/>
      <w:marTop w:val="100"/>
      <w:marBottom w:val="0"/>
      <w:divBdr>
        <w:top w:val="none" w:sz="0" w:space="0" w:color="auto"/>
        <w:left w:val="none" w:sz="0" w:space="0" w:color="auto"/>
        <w:bottom w:val="none" w:sz="0" w:space="0" w:color="auto"/>
        <w:right w:val="none" w:sz="0" w:space="0" w:color="auto"/>
      </w:divBdr>
    </w:div>
    <w:div w:id="1323772867">
      <w:marLeft w:val="0"/>
      <w:marRight w:val="0"/>
      <w:marTop w:val="0"/>
      <w:marBottom w:val="0"/>
      <w:divBdr>
        <w:top w:val="none" w:sz="0" w:space="0" w:color="auto"/>
        <w:left w:val="none" w:sz="0" w:space="0" w:color="auto"/>
        <w:bottom w:val="none" w:sz="0" w:space="0" w:color="auto"/>
        <w:right w:val="none" w:sz="0" w:space="0" w:color="auto"/>
      </w:divBdr>
    </w:div>
    <w:div w:id="1324426986">
      <w:marLeft w:val="0"/>
      <w:marRight w:val="0"/>
      <w:marTop w:val="0"/>
      <w:marBottom w:val="0"/>
      <w:divBdr>
        <w:top w:val="none" w:sz="0" w:space="0" w:color="auto"/>
        <w:left w:val="none" w:sz="0" w:space="0" w:color="auto"/>
        <w:bottom w:val="none" w:sz="0" w:space="0" w:color="auto"/>
        <w:right w:val="none" w:sz="0" w:space="0" w:color="auto"/>
      </w:divBdr>
    </w:div>
    <w:div w:id="1326975374">
      <w:marLeft w:val="0"/>
      <w:marRight w:val="0"/>
      <w:marTop w:val="0"/>
      <w:marBottom w:val="0"/>
      <w:divBdr>
        <w:top w:val="none" w:sz="0" w:space="0" w:color="auto"/>
        <w:left w:val="none" w:sz="0" w:space="0" w:color="auto"/>
        <w:bottom w:val="none" w:sz="0" w:space="0" w:color="auto"/>
        <w:right w:val="none" w:sz="0" w:space="0" w:color="auto"/>
      </w:divBdr>
    </w:div>
    <w:div w:id="1327631258">
      <w:marLeft w:val="0"/>
      <w:marRight w:val="0"/>
      <w:marTop w:val="0"/>
      <w:marBottom w:val="0"/>
      <w:divBdr>
        <w:top w:val="none" w:sz="0" w:space="0" w:color="auto"/>
        <w:left w:val="none" w:sz="0" w:space="0" w:color="auto"/>
        <w:bottom w:val="none" w:sz="0" w:space="0" w:color="auto"/>
        <w:right w:val="none" w:sz="0" w:space="0" w:color="auto"/>
      </w:divBdr>
      <w:divsChild>
        <w:div w:id="1759979338">
          <w:marLeft w:val="0"/>
          <w:marRight w:val="0"/>
          <w:marTop w:val="0"/>
          <w:marBottom w:val="0"/>
          <w:divBdr>
            <w:top w:val="none" w:sz="0" w:space="0" w:color="auto"/>
            <w:left w:val="none" w:sz="0" w:space="0" w:color="auto"/>
            <w:bottom w:val="none" w:sz="0" w:space="0" w:color="auto"/>
            <w:right w:val="none" w:sz="0" w:space="0" w:color="auto"/>
          </w:divBdr>
        </w:div>
      </w:divsChild>
    </w:div>
    <w:div w:id="1329596683">
      <w:marLeft w:val="0"/>
      <w:marRight w:val="0"/>
      <w:marTop w:val="100"/>
      <w:marBottom w:val="0"/>
      <w:divBdr>
        <w:top w:val="none" w:sz="0" w:space="0" w:color="auto"/>
        <w:left w:val="none" w:sz="0" w:space="0" w:color="auto"/>
        <w:bottom w:val="none" w:sz="0" w:space="0" w:color="auto"/>
        <w:right w:val="none" w:sz="0" w:space="0" w:color="auto"/>
      </w:divBdr>
    </w:div>
    <w:div w:id="1329600586">
      <w:marLeft w:val="0"/>
      <w:marRight w:val="0"/>
      <w:marTop w:val="0"/>
      <w:marBottom w:val="0"/>
      <w:divBdr>
        <w:top w:val="none" w:sz="0" w:space="0" w:color="auto"/>
        <w:left w:val="none" w:sz="0" w:space="0" w:color="auto"/>
        <w:bottom w:val="none" w:sz="0" w:space="0" w:color="auto"/>
        <w:right w:val="none" w:sz="0" w:space="0" w:color="auto"/>
      </w:divBdr>
    </w:div>
    <w:div w:id="1331366389">
      <w:marLeft w:val="0"/>
      <w:marRight w:val="0"/>
      <w:marTop w:val="0"/>
      <w:marBottom w:val="0"/>
      <w:divBdr>
        <w:top w:val="none" w:sz="0" w:space="0" w:color="auto"/>
        <w:left w:val="none" w:sz="0" w:space="0" w:color="auto"/>
        <w:bottom w:val="none" w:sz="0" w:space="0" w:color="auto"/>
        <w:right w:val="none" w:sz="0" w:space="0" w:color="auto"/>
      </w:divBdr>
    </w:div>
    <w:div w:id="1331907105">
      <w:marLeft w:val="0"/>
      <w:marRight w:val="0"/>
      <w:marTop w:val="0"/>
      <w:marBottom w:val="0"/>
      <w:divBdr>
        <w:top w:val="none" w:sz="0" w:space="0" w:color="auto"/>
        <w:left w:val="none" w:sz="0" w:space="0" w:color="auto"/>
        <w:bottom w:val="none" w:sz="0" w:space="0" w:color="auto"/>
        <w:right w:val="none" w:sz="0" w:space="0" w:color="auto"/>
      </w:divBdr>
    </w:div>
    <w:div w:id="1333142386">
      <w:marLeft w:val="0"/>
      <w:marRight w:val="0"/>
      <w:marTop w:val="0"/>
      <w:marBottom w:val="200"/>
      <w:divBdr>
        <w:top w:val="none" w:sz="0" w:space="0" w:color="auto"/>
        <w:left w:val="none" w:sz="0" w:space="0" w:color="auto"/>
        <w:bottom w:val="none" w:sz="0" w:space="0" w:color="auto"/>
        <w:right w:val="none" w:sz="0" w:space="0" w:color="auto"/>
      </w:divBdr>
    </w:div>
    <w:div w:id="1333921588">
      <w:marLeft w:val="0"/>
      <w:marRight w:val="0"/>
      <w:marTop w:val="0"/>
      <w:marBottom w:val="0"/>
      <w:divBdr>
        <w:top w:val="none" w:sz="0" w:space="0" w:color="auto"/>
        <w:left w:val="none" w:sz="0" w:space="0" w:color="auto"/>
        <w:bottom w:val="none" w:sz="0" w:space="0" w:color="auto"/>
        <w:right w:val="none" w:sz="0" w:space="0" w:color="auto"/>
      </w:divBdr>
      <w:divsChild>
        <w:div w:id="2143694076">
          <w:marLeft w:val="0"/>
          <w:marRight w:val="0"/>
          <w:marTop w:val="0"/>
          <w:marBottom w:val="0"/>
          <w:divBdr>
            <w:top w:val="none" w:sz="0" w:space="0" w:color="auto"/>
            <w:left w:val="none" w:sz="0" w:space="0" w:color="auto"/>
            <w:bottom w:val="none" w:sz="0" w:space="0" w:color="auto"/>
            <w:right w:val="none" w:sz="0" w:space="0" w:color="auto"/>
          </w:divBdr>
        </w:div>
      </w:divsChild>
    </w:div>
    <w:div w:id="1339236189">
      <w:marLeft w:val="0"/>
      <w:marRight w:val="0"/>
      <w:marTop w:val="0"/>
      <w:marBottom w:val="0"/>
      <w:divBdr>
        <w:top w:val="none" w:sz="0" w:space="0" w:color="auto"/>
        <w:left w:val="none" w:sz="0" w:space="0" w:color="auto"/>
        <w:bottom w:val="none" w:sz="0" w:space="0" w:color="auto"/>
        <w:right w:val="none" w:sz="0" w:space="0" w:color="auto"/>
      </w:divBdr>
      <w:divsChild>
        <w:div w:id="1309745927">
          <w:marLeft w:val="0"/>
          <w:marRight w:val="0"/>
          <w:marTop w:val="0"/>
          <w:marBottom w:val="0"/>
          <w:divBdr>
            <w:top w:val="none" w:sz="0" w:space="0" w:color="auto"/>
            <w:left w:val="none" w:sz="0" w:space="0" w:color="auto"/>
            <w:bottom w:val="none" w:sz="0" w:space="0" w:color="auto"/>
            <w:right w:val="none" w:sz="0" w:space="0" w:color="auto"/>
          </w:divBdr>
        </w:div>
      </w:divsChild>
    </w:div>
    <w:div w:id="1342586983">
      <w:marLeft w:val="0"/>
      <w:marRight w:val="0"/>
      <w:marTop w:val="100"/>
      <w:marBottom w:val="0"/>
      <w:divBdr>
        <w:top w:val="none" w:sz="0" w:space="0" w:color="auto"/>
        <w:left w:val="none" w:sz="0" w:space="0" w:color="auto"/>
        <w:bottom w:val="none" w:sz="0" w:space="0" w:color="auto"/>
        <w:right w:val="none" w:sz="0" w:space="0" w:color="auto"/>
      </w:divBdr>
    </w:div>
    <w:div w:id="1344240900">
      <w:marLeft w:val="0"/>
      <w:marRight w:val="0"/>
      <w:marTop w:val="0"/>
      <w:marBottom w:val="0"/>
      <w:divBdr>
        <w:top w:val="none" w:sz="0" w:space="0" w:color="auto"/>
        <w:left w:val="none" w:sz="0" w:space="0" w:color="auto"/>
        <w:bottom w:val="none" w:sz="0" w:space="0" w:color="auto"/>
        <w:right w:val="none" w:sz="0" w:space="0" w:color="auto"/>
      </w:divBdr>
    </w:div>
    <w:div w:id="1351687782">
      <w:marLeft w:val="0"/>
      <w:marRight w:val="0"/>
      <w:marTop w:val="0"/>
      <w:marBottom w:val="0"/>
      <w:divBdr>
        <w:top w:val="none" w:sz="0" w:space="0" w:color="auto"/>
        <w:left w:val="none" w:sz="0" w:space="0" w:color="auto"/>
        <w:bottom w:val="none" w:sz="0" w:space="0" w:color="auto"/>
        <w:right w:val="none" w:sz="0" w:space="0" w:color="auto"/>
      </w:divBdr>
    </w:div>
    <w:div w:id="1352025612">
      <w:marLeft w:val="0"/>
      <w:marRight w:val="0"/>
      <w:marTop w:val="0"/>
      <w:marBottom w:val="0"/>
      <w:divBdr>
        <w:top w:val="none" w:sz="0" w:space="0" w:color="auto"/>
        <w:left w:val="none" w:sz="0" w:space="0" w:color="auto"/>
        <w:bottom w:val="none" w:sz="0" w:space="0" w:color="auto"/>
        <w:right w:val="none" w:sz="0" w:space="0" w:color="auto"/>
      </w:divBdr>
    </w:div>
    <w:div w:id="1352367942">
      <w:marLeft w:val="0"/>
      <w:marRight w:val="0"/>
      <w:marTop w:val="0"/>
      <w:marBottom w:val="0"/>
      <w:divBdr>
        <w:top w:val="none" w:sz="0" w:space="0" w:color="auto"/>
        <w:left w:val="none" w:sz="0" w:space="0" w:color="auto"/>
        <w:bottom w:val="none" w:sz="0" w:space="0" w:color="auto"/>
        <w:right w:val="none" w:sz="0" w:space="0" w:color="auto"/>
      </w:divBdr>
    </w:div>
    <w:div w:id="1355616865">
      <w:marLeft w:val="0"/>
      <w:marRight w:val="0"/>
      <w:marTop w:val="0"/>
      <w:marBottom w:val="0"/>
      <w:divBdr>
        <w:top w:val="none" w:sz="0" w:space="0" w:color="auto"/>
        <w:left w:val="none" w:sz="0" w:space="0" w:color="auto"/>
        <w:bottom w:val="none" w:sz="0" w:space="0" w:color="auto"/>
        <w:right w:val="none" w:sz="0" w:space="0" w:color="auto"/>
      </w:divBdr>
      <w:divsChild>
        <w:div w:id="1441998055">
          <w:marLeft w:val="0"/>
          <w:marRight w:val="0"/>
          <w:marTop w:val="0"/>
          <w:marBottom w:val="0"/>
          <w:divBdr>
            <w:top w:val="none" w:sz="0" w:space="0" w:color="auto"/>
            <w:left w:val="none" w:sz="0" w:space="0" w:color="auto"/>
            <w:bottom w:val="none" w:sz="0" w:space="0" w:color="auto"/>
            <w:right w:val="none" w:sz="0" w:space="0" w:color="auto"/>
          </w:divBdr>
        </w:div>
      </w:divsChild>
    </w:div>
    <w:div w:id="1356350177">
      <w:marLeft w:val="0"/>
      <w:marRight w:val="0"/>
      <w:marTop w:val="0"/>
      <w:marBottom w:val="0"/>
      <w:divBdr>
        <w:top w:val="none" w:sz="0" w:space="0" w:color="auto"/>
        <w:left w:val="none" w:sz="0" w:space="0" w:color="auto"/>
        <w:bottom w:val="none" w:sz="0" w:space="0" w:color="auto"/>
        <w:right w:val="none" w:sz="0" w:space="0" w:color="auto"/>
      </w:divBdr>
    </w:div>
    <w:div w:id="1363047986">
      <w:marLeft w:val="0"/>
      <w:marRight w:val="0"/>
      <w:marTop w:val="0"/>
      <w:marBottom w:val="0"/>
      <w:divBdr>
        <w:top w:val="none" w:sz="0" w:space="0" w:color="auto"/>
        <w:left w:val="none" w:sz="0" w:space="0" w:color="auto"/>
        <w:bottom w:val="none" w:sz="0" w:space="0" w:color="auto"/>
        <w:right w:val="none" w:sz="0" w:space="0" w:color="auto"/>
      </w:divBdr>
    </w:div>
    <w:div w:id="1363633066">
      <w:marLeft w:val="0"/>
      <w:marRight w:val="0"/>
      <w:marTop w:val="100"/>
      <w:marBottom w:val="0"/>
      <w:divBdr>
        <w:top w:val="none" w:sz="0" w:space="0" w:color="auto"/>
        <w:left w:val="none" w:sz="0" w:space="0" w:color="auto"/>
        <w:bottom w:val="none" w:sz="0" w:space="0" w:color="auto"/>
        <w:right w:val="none" w:sz="0" w:space="0" w:color="auto"/>
      </w:divBdr>
    </w:div>
    <w:div w:id="1364751011">
      <w:marLeft w:val="0"/>
      <w:marRight w:val="0"/>
      <w:marTop w:val="0"/>
      <w:marBottom w:val="0"/>
      <w:divBdr>
        <w:top w:val="none" w:sz="0" w:space="0" w:color="auto"/>
        <w:left w:val="none" w:sz="0" w:space="0" w:color="auto"/>
        <w:bottom w:val="none" w:sz="0" w:space="0" w:color="auto"/>
        <w:right w:val="none" w:sz="0" w:space="0" w:color="auto"/>
      </w:divBdr>
    </w:div>
    <w:div w:id="1365643156">
      <w:marLeft w:val="0"/>
      <w:marRight w:val="0"/>
      <w:marTop w:val="0"/>
      <w:marBottom w:val="0"/>
      <w:divBdr>
        <w:top w:val="none" w:sz="0" w:space="0" w:color="auto"/>
        <w:left w:val="none" w:sz="0" w:space="0" w:color="auto"/>
        <w:bottom w:val="none" w:sz="0" w:space="0" w:color="auto"/>
        <w:right w:val="none" w:sz="0" w:space="0" w:color="auto"/>
      </w:divBdr>
      <w:divsChild>
        <w:div w:id="621812106">
          <w:marLeft w:val="0"/>
          <w:marRight w:val="0"/>
          <w:marTop w:val="0"/>
          <w:marBottom w:val="0"/>
          <w:divBdr>
            <w:top w:val="none" w:sz="0" w:space="0" w:color="auto"/>
            <w:left w:val="none" w:sz="0" w:space="0" w:color="auto"/>
            <w:bottom w:val="none" w:sz="0" w:space="0" w:color="auto"/>
            <w:right w:val="none" w:sz="0" w:space="0" w:color="auto"/>
          </w:divBdr>
        </w:div>
      </w:divsChild>
    </w:div>
    <w:div w:id="1366639599">
      <w:marLeft w:val="0"/>
      <w:marRight w:val="0"/>
      <w:marTop w:val="0"/>
      <w:marBottom w:val="0"/>
      <w:divBdr>
        <w:top w:val="none" w:sz="0" w:space="0" w:color="auto"/>
        <w:left w:val="none" w:sz="0" w:space="0" w:color="auto"/>
        <w:bottom w:val="none" w:sz="0" w:space="0" w:color="auto"/>
        <w:right w:val="none" w:sz="0" w:space="0" w:color="auto"/>
      </w:divBdr>
    </w:div>
    <w:div w:id="1371805634">
      <w:marLeft w:val="0"/>
      <w:marRight w:val="0"/>
      <w:marTop w:val="0"/>
      <w:marBottom w:val="0"/>
      <w:divBdr>
        <w:top w:val="none" w:sz="0" w:space="0" w:color="auto"/>
        <w:left w:val="none" w:sz="0" w:space="0" w:color="auto"/>
        <w:bottom w:val="none" w:sz="0" w:space="0" w:color="auto"/>
        <w:right w:val="none" w:sz="0" w:space="0" w:color="auto"/>
      </w:divBdr>
      <w:divsChild>
        <w:div w:id="1291785787">
          <w:marLeft w:val="0"/>
          <w:marRight w:val="0"/>
          <w:marTop w:val="0"/>
          <w:marBottom w:val="0"/>
          <w:divBdr>
            <w:top w:val="none" w:sz="0" w:space="0" w:color="auto"/>
            <w:left w:val="none" w:sz="0" w:space="0" w:color="auto"/>
            <w:bottom w:val="none" w:sz="0" w:space="0" w:color="auto"/>
            <w:right w:val="none" w:sz="0" w:space="0" w:color="auto"/>
          </w:divBdr>
        </w:div>
      </w:divsChild>
    </w:div>
    <w:div w:id="1378236460">
      <w:marLeft w:val="0"/>
      <w:marRight w:val="0"/>
      <w:marTop w:val="0"/>
      <w:marBottom w:val="0"/>
      <w:divBdr>
        <w:top w:val="none" w:sz="0" w:space="0" w:color="auto"/>
        <w:left w:val="none" w:sz="0" w:space="0" w:color="auto"/>
        <w:bottom w:val="none" w:sz="0" w:space="0" w:color="auto"/>
        <w:right w:val="none" w:sz="0" w:space="0" w:color="auto"/>
      </w:divBdr>
    </w:div>
    <w:div w:id="1378243726">
      <w:marLeft w:val="0"/>
      <w:marRight w:val="0"/>
      <w:marTop w:val="0"/>
      <w:marBottom w:val="0"/>
      <w:divBdr>
        <w:top w:val="none" w:sz="0" w:space="0" w:color="auto"/>
        <w:left w:val="none" w:sz="0" w:space="0" w:color="auto"/>
        <w:bottom w:val="none" w:sz="0" w:space="0" w:color="auto"/>
        <w:right w:val="none" w:sz="0" w:space="0" w:color="auto"/>
      </w:divBdr>
    </w:div>
    <w:div w:id="1382679966">
      <w:marLeft w:val="0"/>
      <w:marRight w:val="0"/>
      <w:marTop w:val="100"/>
      <w:marBottom w:val="0"/>
      <w:divBdr>
        <w:top w:val="none" w:sz="0" w:space="0" w:color="auto"/>
        <w:left w:val="none" w:sz="0" w:space="0" w:color="auto"/>
        <w:bottom w:val="none" w:sz="0" w:space="0" w:color="auto"/>
        <w:right w:val="none" w:sz="0" w:space="0" w:color="auto"/>
      </w:divBdr>
    </w:div>
    <w:div w:id="1384140766">
      <w:marLeft w:val="0"/>
      <w:marRight w:val="0"/>
      <w:marTop w:val="0"/>
      <w:marBottom w:val="0"/>
      <w:divBdr>
        <w:top w:val="none" w:sz="0" w:space="0" w:color="auto"/>
        <w:left w:val="none" w:sz="0" w:space="0" w:color="auto"/>
        <w:bottom w:val="none" w:sz="0" w:space="0" w:color="auto"/>
        <w:right w:val="none" w:sz="0" w:space="0" w:color="auto"/>
      </w:divBdr>
    </w:div>
    <w:div w:id="1385177281">
      <w:marLeft w:val="0"/>
      <w:marRight w:val="0"/>
      <w:marTop w:val="0"/>
      <w:marBottom w:val="0"/>
      <w:divBdr>
        <w:top w:val="none" w:sz="0" w:space="0" w:color="auto"/>
        <w:left w:val="none" w:sz="0" w:space="0" w:color="auto"/>
        <w:bottom w:val="none" w:sz="0" w:space="0" w:color="auto"/>
        <w:right w:val="none" w:sz="0" w:space="0" w:color="auto"/>
      </w:divBdr>
    </w:div>
    <w:div w:id="1385563289">
      <w:marLeft w:val="0"/>
      <w:marRight w:val="0"/>
      <w:marTop w:val="0"/>
      <w:marBottom w:val="132"/>
      <w:divBdr>
        <w:top w:val="none" w:sz="0" w:space="0" w:color="auto"/>
        <w:left w:val="none" w:sz="0" w:space="0" w:color="auto"/>
        <w:bottom w:val="none" w:sz="0" w:space="0" w:color="auto"/>
        <w:right w:val="none" w:sz="0" w:space="0" w:color="auto"/>
      </w:divBdr>
    </w:div>
    <w:div w:id="1385644740">
      <w:marLeft w:val="0"/>
      <w:marRight w:val="0"/>
      <w:marTop w:val="0"/>
      <w:marBottom w:val="0"/>
      <w:divBdr>
        <w:top w:val="none" w:sz="0" w:space="0" w:color="auto"/>
        <w:left w:val="none" w:sz="0" w:space="0" w:color="auto"/>
        <w:bottom w:val="none" w:sz="0" w:space="0" w:color="auto"/>
        <w:right w:val="none" w:sz="0" w:space="0" w:color="auto"/>
      </w:divBdr>
    </w:div>
    <w:div w:id="1385712442">
      <w:marLeft w:val="0"/>
      <w:marRight w:val="0"/>
      <w:marTop w:val="0"/>
      <w:marBottom w:val="0"/>
      <w:divBdr>
        <w:top w:val="none" w:sz="0" w:space="0" w:color="auto"/>
        <w:left w:val="none" w:sz="0" w:space="0" w:color="auto"/>
        <w:bottom w:val="none" w:sz="0" w:space="0" w:color="auto"/>
        <w:right w:val="none" w:sz="0" w:space="0" w:color="auto"/>
      </w:divBdr>
    </w:div>
    <w:div w:id="1390154994">
      <w:marLeft w:val="0"/>
      <w:marRight w:val="0"/>
      <w:marTop w:val="0"/>
      <w:marBottom w:val="0"/>
      <w:divBdr>
        <w:top w:val="none" w:sz="0" w:space="0" w:color="auto"/>
        <w:left w:val="none" w:sz="0" w:space="0" w:color="auto"/>
        <w:bottom w:val="none" w:sz="0" w:space="0" w:color="auto"/>
        <w:right w:val="none" w:sz="0" w:space="0" w:color="auto"/>
      </w:divBdr>
    </w:div>
    <w:div w:id="1391347957">
      <w:marLeft w:val="0"/>
      <w:marRight w:val="0"/>
      <w:marTop w:val="0"/>
      <w:marBottom w:val="0"/>
      <w:divBdr>
        <w:top w:val="none" w:sz="0" w:space="0" w:color="auto"/>
        <w:left w:val="none" w:sz="0" w:space="0" w:color="auto"/>
        <w:bottom w:val="none" w:sz="0" w:space="0" w:color="auto"/>
        <w:right w:val="none" w:sz="0" w:space="0" w:color="auto"/>
      </w:divBdr>
    </w:div>
    <w:div w:id="1393121660">
      <w:marLeft w:val="0"/>
      <w:marRight w:val="0"/>
      <w:marTop w:val="0"/>
      <w:marBottom w:val="0"/>
      <w:divBdr>
        <w:top w:val="none" w:sz="0" w:space="0" w:color="auto"/>
        <w:left w:val="none" w:sz="0" w:space="0" w:color="auto"/>
        <w:bottom w:val="none" w:sz="0" w:space="0" w:color="auto"/>
        <w:right w:val="none" w:sz="0" w:space="0" w:color="auto"/>
      </w:divBdr>
    </w:div>
    <w:div w:id="1395154165">
      <w:marLeft w:val="0"/>
      <w:marRight w:val="0"/>
      <w:marTop w:val="180"/>
      <w:marBottom w:val="0"/>
      <w:divBdr>
        <w:top w:val="none" w:sz="0" w:space="0" w:color="auto"/>
        <w:left w:val="none" w:sz="0" w:space="0" w:color="auto"/>
        <w:bottom w:val="none" w:sz="0" w:space="0" w:color="auto"/>
        <w:right w:val="none" w:sz="0" w:space="0" w:color="auto"/>
      </w:divBdr>
    </w:div>
    <w:div w:id="1395465812">
      <w:marLeft w:val="0"/>
      <w:marRight w:val="0"/>
      <w:marTop w:val="0"/>
      <w:marBottom w:val="0"/>
      <w:divBdr>
        <w:top w:val="none" w:sz="0" w:space="0" w:color="auto"/>
        <w:left w:val="none" w:sz="0" w:space="0" w:color="auto"/>
        <w:bottom w:val="none" w:sz="0" w:space="0" w:color="auto"/>
        <w:right w:val="none" w:sz="0" w:space="0" w:color="auto"/>
      </w:divBdr>
      <w:divsChild>
        <w:div w:id="1253858089">
          <w:marLeft w:val="0"/>
          <w:marRight w:val="0"/>
          <w:marTop w:val="0"/>
          <w:marBottom w:val="0"/>
          <w:divBdr>
            <w:top w:val="none" w:sz="0" w:space="0" w:color="auto"/>
            <w:left w:val="none" w:sz="0" w:space="0" w:color="auto"/>
            <w:bottom w:val="none" w:sz="0" w:space="0" w:color="auto"/>
            <w:right w:val="none" w:sz="0" w:space="0" w:color="auto"/>
          </w:divBdr>
        </w:div>
      </w:divsChild>
    </w:div>
    <w:div w:id="1401250241">
      <w:marLeft w:val="0"/>
      <w:marRight w:val="0"/>
      <w:marTop w:val="0"/>
      <w:marBottom w:val="0"/>
      <w:divBdr>
        <w:top w:val="none" w:sz="0" w:space="0" w:color="auto"/>
        <w:left w:val="none" w:sz="0" w:space="0" w:color="auto"/>
        <w:bottom w:val="none" w:sz="0" w:space="0" w:color="auto"/>
        <w:right w:val="none" w:sz="0" w:space="0" w:color="auto"/>
      </w:divBdr>
      <w:divsChild>
        <w:div w:id="1471094264">
          <w:marLeft w:val="0"/>
          <w:marRight w:val="0"/>
          <w:marTop w:val="0"/>
          <w:marBottom w:val="0"/>
          <w:divBdr>
            <w:top w:val="none" w:sz="0" w:space="0" w:color="auto"/>
            <w:left w:val="none" w:sz="0" w:space="0" w:color="auto"/>
            <w:bottom w:val="none" w:sz="0" w:space="0" w:color="auto"/>
            <w:right w:val="none" w:sz="0" w:space="0" w:color="auto"/>
          </w:divBdr>
        </w:div>
      </w:divsChild>
    </w:div>
    <w:div w:id="1403719125">
      <w:marLeft w:val="0"/>
      <w:marRight w:val="0"/>
      <w:marTop w:val="0"/>
      <w:marBottom w:val="160"/>
      <w:divBdr>
        <w:top w:val="none" w:sz="0" w:space="0" w:color="auto"/>
        <w:left w:val="none" w:sz="0" w:space="0" w:color="auto"/>
        <w:bottom w:val="none" w:sz="0" w:space="0" w:color="auto"/>
        <w:right w:val="none" w:sz="0" w:space="0" w:color="auto"/>
      </w:divBdr>
    </w:div>
    <w:div w:id="1405956358">
      <w:marLeft w:val="0"/>
      <w:marRight w:val="0"/>
      <w:marTop w:val="0"/>
      <w:marBottom w:val="0"/>
      <w:divBdr>
        <w:top w:val="none" w:sz="0" w:space="0" w:color="auto"/>
        <w:left w:val="none" w:sz="0" w:space="0" w:color="auto"/>
        <w:bottom w:val="none" w:sz="0" w:space="0" w:color="auto"/>
        <w:right w:val="none" w:sz="0" w:space="0" w:color="auto"/>
      </w:divBdr>
    </w:div>
    <w:div w:id="1413619572">
      <w:marLeft w:val="0"/>
      <w:marRight w:val="0"/>
      <w:marTop w:val="0"/>
      <w:marBottom w:val="0"/>
      <w:divBdr>
        <w:top w:val="none" w:sz="0" w:space="0" w:color="auto"/>
        <w:left w:val="none" w:sz="0" w:space="0" w:color="auto"/>
        <w:bottom w:val="none" w:sz="0" w:space="0" w:color="auto"/>
        <w:right w:val="none" w:sz="0" w:space="0" w:color="auto"/>
      </w:divBdr>
    </w:div>
    <w:div w:id="1415206221">
      <w:marLeft w:val="0"/>
      <w:marRight w:val="0"/>
      <w:marTop w:val="0"/>
      <w:marBottom w:val="0"/>
      <w:divBdr>
        <w:top w:val="none" w:sz="0" w:space="0" w:color="auto"/>
        <w:left w:val="none" w:sz="0" w:space="0" w:color="auto"/>
        <w:bottom w:val="none" w:sz="0" w:space="0" w:color="auto"/>
        <w:right w:val="none" w:sz="0" w:space="0" w:color="auto"/>
      </w:divBdr>
    </w:div>
    <w:div w:id="1419518932">
      <w:marLeft w:val="0"/>
      <w:marRight w:val="0"/>
      <w:marTop w:val="0"/>
      <w:marBottom w:val="0"/>
      <w:divBdr>
        <w:top w:val="none" w:sz="0" w:space="0" w:color="auto"/>
        <w:left w:val="none" w:sz="0" w:space="0" w:color="auto"/>
        <w:bottom w:val="none" w:sz="0" w:space="0" w:color="auto"/>
        <w:right w:val="none" w:sz="0" w:space="0" w:color="auto"/>
      </w:divBdr>
    </w:div>
    <w:div w:id="1424957088">
      <w:marLeft w:val="0"/>
      <w:marRight w:val="0"/>
      <w:marTop w:val="0"/>
      <w:marBottom w:val="0"/>
      <w:divBdr>
        <w:top w:val="none" w:sz="0" w:space="0" w:color="auto"/>
        <w:left w:val="none" w:sz="0" w:space="0" w:color="auto"/>
        <w:bottom w:val="none" w:sz="0" w:space="0" w:color="auto"/>
        <w:right w:val="none" w:sz="0" w:space="0" w:color="auto"/>
      </w:divBdr>
      <w:divsChild>
        <w:div w:id="89132812">
          <w:marLeft w:val="0"/>
          <w:marRight w:val="0"/>
          <w:marTop w:val="0"/>
          <w:marBottom w:val="0"/>
          <w:divBdr>
            <w:top w:val="none" w:sz="0" w:space="0" w:color="auto"/>
            <w:left w:val="none" w:sz="0" w:space="0" w:color="auto"/>
            <w:bottom w:val="none" w:sz="0" w:space="0" w:color="auto"/>
            <w:right w:val="none" w:sz="0" w:space="0" w:color="auto"/>
          </w:divBdr>
        </w:div>
      </w:divsChild>
    </w:div>
    <w:div w:id="1425885357">
      <w:marLeft w:val="0"/>
      <w:marRight w:val="0"/>
      <w:marTop w:val="180"/>
      <w:marBottom w:val="0"/>
      <w:divBdr>
        <w:top w:val="none" w:sz="0" w:space="0" w:color="auto"/>
        <w:left w:val="none" w:sz="0" w:space="0" w:color="auto"/>
        <w:bottom w:val="none" w:sz="0" w:space="0" w:color="auto"/>
        <w:right w:val="none" w:sz="0" w:space="0" w:color="auto"/>
      </w:divBdr>
    </w:div>
    <w:div w:id="1425999195">
      <w:marLeft w:val="0"/>
      <w:marRight w:val="0"/>
      <w:marTop w:val="0"/>
      <w:marBottom w:val="60"/>
      <w:divBdr>
        <w:top w:val="none" w:sz="0" w:space="0" w:color="auto"/>
        <w:left w:val="none" w:sz="0" w:space="0" w:color="auto"/>
        <w:bottom w:val="none" w:sz="0" w:space="0" w:color="auto"/>
        <w:right w:val="none" w:sz="0" w:space="0" w:color="auto"/>
      </w:divBdr>
    </w:div>
    <w:div w:id="1428386537">
      <w:marLeft w:val="0"/>
      <w:marRight w:val="0"/>
      <w:marTop w:val="0"/>
      <w:marBottom w:val="100"/>
      <w:divBdr>
        <w:top w:val="none" w:sz="0" w:space="0" w:color="auto"/>
        <w:left w:val="none" w:sz="0" w:space="0" w:color="auto"/>
        <w:bottom w:val="none" w:sz="0" w:space="0" w:color="auto"/>
        <w:right w:val="none" w:sz="0" w:space="0" w:color="auto"/>
      </w:divBdr>
    </w:div>
    <w:div w:id="1428580760">
      <w:marLeft w:val="0"/>
      <w:marRight w:val="0"/>
      <w:marTop w:val="0"/>
      <w:marBottom w:val="0"/>
      <w:divBdr>
        <w:top w:val="none" w:sz="0" w:space="0" w:color="auto"/>
        <w:left w:val="none" w:sz="0" w:space="0" w:color="auto"/>
        <w:bottom w:val="none" w:sz="0" w:space="0" w:color="auto"/>
        <w:right w:val="none" w:sz="0" w:space="0" w:color="auto"/>
      </w:divBdr>
      <w:divsChild>
        <w:div w:id="872770273">
          <w:marLeft w:val="0"/>
          <w:marRight w:val="0"/>
          <w:marTop w:val="0"/>
          <w:marBottom w:val="0"/>
          <w:divBdr>
            <w:top w:val="none" w:sz="0" w:space="0" w:color="auto"/>
            <w:left w:val="none" w:sz="0" w:space="0" w:color="auto"/>
            <w:bottom w:val="none" w:sz="0" w:space="0" w:color="auto"/>
            <w:right w:val="none" w:sz="0" w:space="0" w:color="auto"/>
          </w:divBdr>
        </w:div>
      </w:divsChild>
    </w:div>
    <w:div w:id="1430006127">
      <w:marLeft w:val="0"/>
      <w:marRight w:val="0"/>
      <w:marTop w:val="0"/>
      <w:marBottom w:val="0"/>
      <w:divBdr>
        <w:top w:val="none" w:sz="0" w:space="0" w:color="auto"/>
        <w:left w:val="none" w:sz="0" w:space="0" w:color="auto"/>
        <w:bottom w:val="none" w:sz="0" w:space="0" w:color="auto"/>
        <w:right w:val="none" w:sz="0" w:space="0" w:color="auto"/>
      </w:divBdr>
      <w:divsChild>
        <w:div w:id="2006661380">
          <w:marLeft w:val="0"/>
          <w:marRight w:val="0"/>
          <w:marTop w:val="0"/>
          <w:marBottom w:val="0"/>
          <w:divBdr>
            <w:top w:val="none" w:sz="0" w:space="0" w:color="auto"/>
            <w:left w:val="none" w:sz="0" w:space="0" w:color="auto"/>
            <w:bottom w:val="none" w:sz="0" w:space="0" w:color="auto"/>
            <w:right w:val="none" w:sz="0" w:space="0" w:color="auto"/>
          </w:divBdr>
        </w:div>
      </w:divsChild>
    </w:div>
    <w:div w:id="1431775469">
      <w:marLeft w:val="0"/>
      <w:marRight w:val="0"/>
      <w:marTop w:val="0"/>
      <w:marBottom w:val="0"/>
      <w:divBdr>
        <w:top w:val="none" w:sz="0" w:space="0" w:color="auto"/>
        <w:left w:val="none" w:sz="0" w:space="0" w:color="auto"/>
        <w:bottom w:val="none" w:sz="0" w:space="0" w:color="auto"/>
        <w:right w:val="none" w:sz="0" w:space="0" w:color="auto"/>
      </w:divBdr>
      <w:divsChild>
        <w:div w:id="1384672613">
          <w:marLeft w:val="0"/>
          <w:marRight w:val="0"/>
          <w:marTop w:val="0"/>
          <w:marBottom w:val="0"/>
          <w:divBdr>
            <w:top w:val="none" w:sz="0" w:space="0" w:color="auto"/>
            <w:left w:val="none" w:sz="0" w:space="0" w:color="auto"/>
            <w:bottom w:val="none" w:sz="0" w:space="0" w:color="auto"/>
            <w:right w:val="none" w:sz="0" w:space="0" w:color="auto"/>
          </w:divBdr>
        </w:div>
      </w:divsChild>
    </w:div>
    <w:div w:id="1431899888">
      <w:marLeft w:val="0"/>
      <w:marRight w:val="0"/>
      <w:marTop w:val="0"/>
      <w:marBottom w:val="0"/>
      <w:divBdr>
        <w:top w:val="none" w:sz="0" w:space="0" w:color="auto"/>
        <w:left w:val="none" w:sz="0" w:space="0" w:color="auto"/>
        <w:bottom w:val="none" w:sz="0" w:space="0" w:color="auto"/>
        <w:right w:val="none" w:sz="0" w:space="0" w:color="auto"/>
      </w:divBdr>
    </w:div>
    <w:div w:id="1431900469">
      <w:marLeft w:val="0"/>
      <w:marRight w:val="0"/>
      <w:marTop w:val="0"/>
      <w:marBottom w:val="0"/>
      <w:divBdr>
        <w:top w:val="none" w:sz="0" w:space="0" w:color="auto"/>
        <w:left w:val="none" w:sz="0" w:space="0" w:color="auto"/>
        <w:bottom w:val="none" w:sz="0" w:space="0" w:color="auto"/>
        <w:right w:val="none" w:sz="0" w:space="0" w:color="auto"/>
      </w:divBdr>
    </w:div>
    <w:div w:id="1432898062">
      <w:marLeft w:val="0"/>
      <w:marRight w:val="0"/>
      <w:marTop w:val="0"/>
      <w:marBottom w:val="0"/>
      <w:divBdr>
        <w:top w:val="none" w:sz="0" w:space="0" w:color="auto"/>
        <w:left w:val="none" w:sz="0" w:space="0" w:color="auto"/>
        <w:bottom w:val="none" w:sz="0" w:space="0" w:color="auto"/>
        <w:right w:val="none" w:sz="0" w:space="0" w:color="auto"/>
      </w:divBdr>
    </w:div>
    <w:div w:id="1433625674">
      <w:marLeft w:val="0"/>
      <w:marRight w:val="0"/>
      <w:marTop w:val="0"/>
      <w:marBottom w:val="0"/>
      <w:divBdr>
        <w:top w:val="none" w:sz="0" w:space="0" w:color="auto"/>
        <w:left w:val="none" w:sz="0" w:space="0" w:color="auto"/>
        <w:bottom w:val="none" w:sz="0" w:space="0" w:color="auto"/>
        <w:right w:val="none" w:sz="0" w:space="0" w:color="auto"/>
      </w:divBdr>
    </w:div>
    <w:div w:id="1433742895">
      <w:marLeft w:val="0"/>
      <w:marRight w:val="0"/>
      <w:marTop w:val="0"/>
      <w:marBottom w:val="0"/>
      <w:divBdr>
        <w:top w:val="none" w:sz="0" w:space="0" w:color="auto"/>
        <w:left w:val="none" w:sz="0" w:space="0" w:color="auto"/>
        <w:bottom w:val="none" w:sz="0" w:space="0" w:color="auto"/>
        <w:right w:val="none" w:sz="0" w:space="0" w:color="auto"/>
      </w:divBdr>
    </w:div>
    <w:div w:id="1435173237">
      <w:marLeft w:val="0"/>
      <w:marRight w:val="0"/>
      <w:marTop w:val="100"/>
      <w:marBottom w:val="0"/>
      <w:divBdr>
        <w:top w:val="none" w:sz="0" w:space="0" w:color="auto"/>
        <w:left w:val="none" w:sz="0" w:space="0" w:color="auto"/>
        <w:bottom w:val="none" w:sz="0" w:space="0" w:color="auto"/>
        <w:right w:val="none" w:sz="0" w:space="0" w:color="auto"/>
      </w:divBdr>
    </w:div>
    <w:div w:id="1438404605">
      <w:marLeft w:val="0"/>
      <w:marRight w:val="0"/>
      <w:marTop w:val="0"/>
      <w:marBottom w:val="0"/>
      <w:divBdr>
        <w:top w:val="none" w:sz="0" w:space="0" w:color="auto"/>
        <w:left w:val="none" w:sz="0" w:space="0" w:color="auto"/>
        <w:bottom w:val="none" w:sz="0" w:space="0" w:color="auto"/>
        <w:right w:val="none" w:sz="0" w:space="0" w:color="auto"/>
      </w:divBdr>
      <w:divsChild>
        <w:div w:id="1196428414">
          <w:marLeft w:val="0"/>
          <w:marRight w:val="0"/>
          <w:marTop w:val="0"/>
          <w:marBottom w:val="0"/>
          <w:divBdr>
            <w:top w:val="none" w:sz="0" w:space="0" w:color="auto"/>
            <w:left w:val="none" w:sz="0" w:space="0" w:color="auto"/>
            <w:bottom w:val="none" w:sz="0" w:space="0" w:color="auto"/>
            <w:right w:val="none" w:sz="0" w:space="0" w:color="auto"/>
          </w:divBdr>
        </w:div>
      </w:divsChild>
    </w:div>
    <w:div w:id="1438939548">
      <w:marLeft w:val="0"/>
      <w:marRight w:val="0"/>
      <w:marTop w:val="0"/>
      <w:marBottom w:val="0"/>
      <w:divBdr>
        <w:top w:val="none" w:sz="0" w:space="0" w:color="auto"/>
        <w:left w:val="none" w:sz="0" w:space="0" w:color="auto"/>
        <w:bottom w:val="none" w:sz="0" w:space="0" w:color="auto"/>
        <w:right w:val="none" w:sz="0" w:space="0" w:color="auto"/>
      </w:divBdr>
    </w:div>
    <w:div w:id="1443261636">
      <w:marLeft w:val="0"/>
      <w:marRight w:val="0"/>
      <w:marTop w:val="0"/>
      <w:marBottom w:val="0"/>
      <w:divBdr>
        <w:top w:val="none" w:sz="0" w:space="0" w:color="auto"/>
        <w:left w:val="none" w:sz="0" w:space="0" w:color="auto"/>
        <w:bottom w:val="none" w:sz="0" w:space="0" w:color="auto"/>
        <w:right w:val="none" w:sz="0" w:space="0" w:color="auto"/>
      </w:divBdr>
    </w:div>
    <w:div w:id="1445341725">
      <w:marLeft w:val="0"/>
      <w:marRight w:val="0"/>
      <w:marTop w:val="0"/>
      <w:marBottom w:val="0"/>
      <w:divBdr>
        <w:top w:val="none" w:sz="0" w:space="0" w:color="auto"/>
        <w:left w:val="none" w:sz="0" w:space="0" w:color="auto"/>
        <w:bottom w:val="none" w:sz="0" w:space="0" w:color="auto"/>
        <w:right w:val="none" w:sz="0" w:space="0" w:color="auto"/>
      </w:divBdr>
    </w:div>
    <w:div w:id="1446148745">
      <w:marLeft w:val="0"/>
      <w:marRight w:val="0"/>
      <w:marTop w:val="0"/>
      <w:marBottom w:val="0"/>
      <w:divBdr>
        <w:top w:val="none" w:sz="0" w:space="0" w:color="auto"/>
        <w:left w:val="none" w:sz="0" w:space="0" w:color="auto"/>
        <w:bottom w:val="none" w:sz="0" w:space="0" w:color="auto"/>
        <w:right w:val="none" w:sz="0" w:space="0" w:color="auto"/>
      </w:divBdr>
      <w:divsChild>
        <w:div w:id="250697513">
          <w:marLeft w:val="0"/>
          <w:marRight w:val="0"/>
          <w:marTop w:val="0"/>
          <w:marBottom w:val="0"/>
          <w:divBdr>
            <w:top w:val="none" w:sz="0" w:space="0" w:color="auto"/>
            <w:left w:val="none" w:sz="0" w:space="0" w:color="auto"/>
            <w:bottom w:val="none" w:sz="0" w:space="0" w:color="auto"/>
            <w:right w:val="none" w:sz="0" w:space="0" w:color="auto"/>
          </w:divBdr>
        </w:div>
      </w:divsChild>
    </w:div>
    <w:div w:id="1449620639">
      <w:marLeft w:val="0"/>
      <w:marRight w:val="0"/>
      <w:marTop w:val="0"/>
      <w:marBottom w:val="0"/>
      <w:divBdr>
        <w:top w:val="none" w:sz="0" w:space="0" w:color="auto"/>
        <w:left w:val="none" w:sz="0" w:space="0" w:color="auto"/>
        <w:bottom w:val="none" w:sz="0" w:space="0" w:color="auto"/>
        <w:right w:val="none" w:sz="0" w:space="0" w:color="auto"/>
      </w:divBdr>
      <w:divsChild>
        <w:div w:id="1676376765">
          <w:marLeft w:val="0"/>
          <w:marRight w:val="0"/>
          <w:marTop w:val="0"/>
          <w:marBottom w:val="0"/>
          <w:divBdr>
            <w:top w:val="none" w:sz="0" w:space="0" w:color="auto"/>
            <w:left w:val="none" w:sz="0" w:space="0" w:color="auto"/>
            <w:bottom w:val="none" w:sz="0" w:space="0" w:color="auto"/>
            <w:right w:val="none" w:sz="0" w:space="0" w:color="auto"/>
          </w:divBdr>
        </w:div>
      </w:divsChild>
    </w:div>
    <w:div w:id="1452632128">
      <w:marLeft w:val="0"/>
      <w:marRight w:val="0"/>
      <w:marTop w:val="0"/>
      <w:marBottom w:val="0"/>
      <w:divBdr>
        <w:top w:val="none" w:sz="0" w:space="0" w:color="auto"/>
        <w:left w:val="none" w:sz="0" w:space="0" w:color="auto"/>
        <w:bottom w:val="none" w:sz="0" w:space="0" w:color="auto"/>
        <w:right w:val="none" w:sz="0" w:space="0" w:color="auto"/>
      </w:divBdr>
    </w:div>
    <w:div w:id="1453472890">
      <w:marLeft w:val="0"/>
      <w:marRight w:val="0"/>
      <w:marTop w:val="0"/>
      <w:marBottom w:val="0"/>
      <w:divBdr>
        <w:top w:val="none" w:sz="0" w:space="0" w:color="auto"/>
        <w:left w:val="none" w:sz="0" w:space="0" w:color="auto"/>
        <w:bottom w:val="none" w:sz="0" w:space="0" w:color="auto"/>
        <w:right w:val="none" w:sz="0" w:space="0" w:color="auto"/>
      </w:divBdr>
      <w:divsChild>
        <w:div w:id="199824307">
          <w:marLeft w:val="0"/>
          <w:marRight w:val="0"/>
          <w:marTop w:val="0"/>
          <w:marBottom w:val="0"/>
          <w:divBdr>
            <w:top w:val="none" w:sz="0" w:space="0" w:color="auto"/>
            <w:left w:val="none" w:sz="0" w:space="0" w:color="auto"/>
            <w:bottom w:val="none" w:sz="0" w:space="0" w:color="auto"/>
            <w:right w:val="none" w:sz="0" w:space="0" w:color="auto"/>
          </w:divBdr>
        </w:div>
      </w:divsChild>
    </w:div>
    <w:div w:id="1460150799">
      <w:marLeft w:val="0"/>
      <w:marRight w:val="0"/>
      <w:marTop w:val="0"/>
      <w:marBottom w:val="0"/>
      <w:divBdr>
        <w:top w:val="none" w:sz="0" w:space="0" w:color="auto"/>
        <w:left w:val="none" w:sz="0" w:space="0" w:color="auto"/>
        <w:bottom w:val="none" w:sz="0" w:space="0" w:color="auto"/>
        <w:right w:val="none" w:sz="0" w:space="0" w:color="auto"/>
      </w:divBdr>
      <w:divsChild>
        <w:div w:id="1259557676">
          <w:marLeft w:val="0"/>
          <w:marRight w:val="0"/>
          <w:marTop w:val="0"/>
          <w:marBottom w:val="0"/>
          <w:divBdr>
            <w:top w:val="none" w:sz="0" w:space="0" w:color="auto"/>
            <w:left w:val="none" w:sz="0" w:space="0" w:color="auto"/>
            <w:bottom w:val="none" w:sz="0" w:space="0" w:color="auto"/>
            <w:right w:val="none" w:sz="0" w:space="0" w:color="auto"/>
          </w:divBdr>
        </w:div>
      </w:divsChild>
    </w:div>
    <w:div w:id="1460687615">
      <w:marLeft w:val="0"/>
      <w:marRight w:val="0"/>
      <w:marTop w:val="0"/>
      <w:marBottom w:val="0"/>
      <w:divBdr>
        <w:top w:val="none" w:sz="0" w:space="0" w:color="auto"/>
        <w:left w:val="none" w:sz="0" w:space="0" w:color="auto"/>
        <w:bottom w:val="none" w:sz="0" w:space="0" w:color="auto"/>
        <w:right w:val="none" w:sz="0" w:space="0" w:color="auto"/>
      </w:divBdr>
      <w:divsChild>
        <w:div w:id="630521865">
          <w:marLeft w:val="0"/>
          <w:marRight w:val="0"/>
          <w:marTop w:val="0"/>
          <w:marBottom w:val="0"/>
          <w:divBdr>
            <w:top w:val="none" w:sz="0" w:space="0" w:color="auto"/>
            <w:left w:val="none" w:sz="0" w:space="0" w:color="auto"/>
            <w:bottom w:val="none" w:sz="0" w:space="0" w:color="auto"/>
            <w:right w:val="none" w:sz="0" w:space="0" w:color="auto"/>
          </w:divBdr>
        </w:div>
      </w:divsChild>
    </w:div>
    <w:div w:id="1468668280">
      <w:marLeft w:val="0"/>
      <w:marRight w:val="0"/>
      <w:marTop w:val="100"/>
      <w:marBottom w:val="0"/>
      <w:divBdr>
        <w:top w:val="none" w:sz="0" w:space="0" w:color="auto"/>
        <w:left w:val="none" w:sz="0" w:space="0" w:color="auto"/>
        <w:bottom w:val="none" w:sz="0" w:space="0" w:color="auto"/>
        <w:right w:val="none" w:sz="0" w:space="0" w:color="auto"/>
      </w:divBdr>
    </w:div>
    <w:div w:id="1470973071">
      <w:marLeft w:val="0"/>
      <w:marRight w:val="0"/>
      <w:marTop w:val="120"/>
      <w:marBottom w:val="120"/>
      <w:divBdr>
        <w:top w:val="none" w:sz="0" w:space="0" w:color="auto"/>
        <w:left w:val="none" w:sz="0" w:space="0" w:color="auto"/>
        <w:bottom w:val="none" w:sz="0" w:space="0" w:color="auto"/>
        <w:right w:val="none" w:sz="0" w:space="0" w:color="auto"/>
      </w:divBdr>
    </w:div>
    <w:div w:id="1476684649">
      <w:marLeft w:val="0"/>
      <w:marRight w:val="0"/>
      <w:marTop w:val="0"/>
      <w:marBottom w:val="0"/>
      <w:divBdr>
        <w:top w:val="none" w:sz="0" w:space="0" w:color="auto"/>
        <w:left w:val="none" w:sz="0" w:space="0" w:color="auto"/>
        <w:bottom w:val="none" w:sz="0" w:space="0" w:color="auto"/>
        <w:right w:val="none" w:sz="0" w:space="0" w:color="auto"/>
      </w:divBdr>
    </w:div>
    <w:div w:id="1480808281">
      <w:marLeft w:val="0"/>
      <w:marRight w:val="0"/>
      <w:marTop w:val="0"/>
      <w:marBottom w:val="0"/>
      <w:divBdr>
        <w:top w:val="none" w:sz="0" w:space="0" w:color="auto"/>
        <w:left w:val="none" w:sz="0" w:space="0" w:color="auto"/>
        <w:bottom w:val="none" w:sz="0" w:space="0" w:color="auto"/>
        <w:right w:val="none" w:sz="0" w:space="0" w:color="auto"/>
      </w:divBdr>
    </w:div>
    <w:div w:id="1485706363">
      <w:marLeft w:val="0"/>
      <w:marRight w:val="0"/>
      <w:marTop w:val="0"/>
      <w:marBottom w:val="0"/>
      <w:divBdr>
        <w:top w:val="none" w:sz="0" w:space="0" w:color="auto"/>
        <w:left w:val="none" w:sz="0" w:space="0" w:color="auto"/>
        <w:bottom w:val="none" w:sz="0" w:space="0" w:color="auto"/>
        <w:right w:val="none" w:sz="0" w:space="0" w:color="auto"/>
      </w:divBdr>
      <w:divsChild>
        <w:div w:id="397024307">
          <w:marLeft w:val="0"/>
          <w:marRight w:val="0"/>
          <w:marTop w:val="0"/>
          <w:marBottom w:val="0"/>
          <w:divBdr>
            <w:top w:val="none" w:sz="0" w:space="0" w:color="auto"/>
            <w:left w:val="none" w:sz="0" w:space="0" w:color="auto"/>
            <w:bottom w:val="none" w:sz="0" w:space="0" w:color="auto"/>
            <w:right w:val="none" w:sz="0" w:space="0" w:color="auto"/>
          </w:divBdr>
        </w:div>
      </w:divsChild>
    </w:div>
    <w:div w:id="1487362634">
      <w:marLeft w:val="0"/>
      <w:marRight w:val="0"/>
      <w:marTop w:val="0"/>
      <w:marBottom w:val="0"/>
      <w:divBdr>
        <w:top w:val="none" w:sz="0" w:space="0" w:color="auto"/>
        <w:left w:val="none" w:sz="0" w:space="0" w:color="auto"/>
        <w:bottom w:val="none" w:sz="0" w:space="0" w:color="auto"/>
        <w:right w:val="none" w:sz="0" w:space="0" w:color="auto"/>
      </w:divBdr>
    </w:div>
    <w:div w:id="1490976181">
      <w:marLeft w:val="0"/>
      <w:marRight w:val="0"/>
      <w:marTop w:val="0"/>
      <w:marBottom w:val="0"/>
      <w:divBdr>
        <w:top w:val="none" w:sz="0" w:space="0" w:color="auto"/>
        <w:left w:val="none" w:sz="0" w:space="0" w:color="auto"/>
        <w:bottom w:val="none" w:sz="0" w:space="0" w:color="auto"/>
        <w:right w:val="none" w:sz="0" w:space="0" w:color="auto"/>
      </w:divBdr>
      <w:divsChild>
        <w:div w:id="1698195422">
          <w:marLeft w:val="0"/>
          <w:marRight w:val="0"/>
          <w:marTop w:val="0"/>
          <w:marBottom w:val="0"/>
          <w:divBdr>
            <w:top w:val="none" w:sz="0" w:space="0" w:color="auto"/>
            <w:left w:val="none" w:sz="0" w:space="0" w:color="auto"/>
            <w:bottom w:val="none" w:sz="0" w:space="0" w:color="auto"/>
            <w:right w:val="none" w:sz="0" w:space="0" w:color="auto"/>
          </w:divBdr>
        </w:div>
      </w:divsChild>
    </w:div>
    <w:div w:id="1492018270">
      <w:marLeft w:val="0"/>
      <w:marRight w:val="0"/>
      <w:marTop w:val="0"/>
      <w:marBottom w:val="0"/>
      <w:divBdr>
        <w:top w:val="none" w:sz="0" w:space="0" w:color="auto"/>
        <w:left w:val="none" w:sz="0" w:space="0" w:color="auto"/>
        <w:bottom w:val="none" w:sz="0" w:space="0" w:color="auto"/>
        <w:right w:val="none" w:sz="0" w:space="0" w:color="auto"/>
      </w:divBdr>
    </w:div>
    <w:div w:id="1492136025">
      <w:marLeft w:val="0"/>
      <w:marRight w:val="0"/>
      <w:marTop w:val="0"/>
      <w:marBottom w:val="0"/>
      <w:divBdr>
        <w:top w:val="none" w:sz="0" w:space="0" w:color="auto"/>
        <w:left w:val="none" w:sz="0" w:space="0" w:color="auto"/>
        <w:bottom w:val="none" w:sz="0" w:space="0" w:color="auto"/>
        <w:right w:val="none" w:sz="0" w:space="0" w:color="auto"/>
      </w:divBdr>
    </w:div>
    <w:div w:id="1495949214">
      <w:marLeft w:val="0"/>
      <w:marRight w:val="0"/>
      <w:marTop w:val="0"/>
      <w:marBottom w:val="0"/>
      <w:divBdr>
        <w:top w:val="none" w:sz="0" w:space="0" w:color="auto"/>
        <w:left w:val="none" w:sz="0" w:space="0" w:color="auto"/>
        <w:bottom w:val="none" w:sz="0" w:space="0" w:color="auto"/>
        <w:right w:val="none" w:sz="0" w:space="0" w:color="auto"/>
      </w:divBdr>
    </w:div>
    <w:div w:id="1497526709">
      <w:marLeft w:val="0"/>
      <w:marRight w:val="0"/>
      <w:marTop w:val="0"/>
      <w:marBottom w:val="0"/>
      <w:divBdr>
        <w:top w:val="none" w:sz="0" w:space="0" w:color="auto"/>
        <w:left w:val="none" w:sz="0" w:space="0" w:color="auto"/>
        <w:bottom w:val="none" w:sz="0" w:space="0" w:color="auto"/>
        <w:right w:val="none" w:sz="0" w:space="0" w:color="auto"/>
      </w:divBdr>
    </w:div>
    <w:div w:id="1502425484">
      <w:marLeft w:val="0"/>
      <w:marRight w:val="0"/>
      <w:marTop w:val="0"/>
      <w:marBottom w:val="0"/>
      <w:divBdr>
        <w:top w:val="none" w:sz="0" w:space="0" w:color="auto"/>
        <w:left w:val="none" w:sz="0" w:space="0" w:color="auto"/>
        <w:bottom w:val="none" w:sz="0" w:space="0" w:color="auto"/>
        <w:right w:val="none" w:sz="0" w:space="0" w:color="auto"/>
      </w:divBdr>
    </w:div>
    <w:div w:id="1503199926">
      <w:marLeft w:val="0"/>
      <w:marRight w:val="0"/>
      <w:marTop w:val="0"/>
      <w:marBottom w:val="0"/>
      <w:divBdr>
        <w:top w:val="none" w:sz="0" w:space="0" w:color="auto"/>
        <w:left w:val="none" w:sz="0" w:space="0" w:color="auto"/>
        <w:bottom w:val="none" w:sz="0" w:space="0" w:color="auto"/>
        <w:right w:val="none" w:sz="0" w:space="0" w:color="auto"/>
      </w:divBdr>
      <w:divsChild>
        <w:div w:id="324011558">
          <w:marLeft w:val="0"/>
          <w:marRight w:val="0"/>
          <w:marTop w:val="0"/>
          <w:marBottom w:val="0"/>
          <w:divBdr>
            <w:top w:val="none" w:sz="0" w:space="0" w:color="auto"/>
            <w:left w:val="none" w:sz="0" w:space="0" w:color="auto"/>
            <w:bottom w:val="none" w:sz="0" w:space="0" w:color="auto"/>
            <w:right w:val="none" w:sz="0" w:space="0" w:color="auto"/>
          </w:divBdr>
        </w:div>
      </w:divsChild>
    </w:div>
    <w:div w:id="1507407385">
      <w:marLeft w:val="0"/>
      <w:marRight w:val="0"/>
      <w:marTop w:val="100"/>
      <w:marBottom w:val="100"/>
      <w:divBdr>
        <w:top w:val="none" w:sz="0" w:space="0" w:color="auto"/>
        <w:left w:val="none" w:sz="0" w:space="0" w:color="auto"/>
        <w:bottom w:val="none" w:sz="0" w:space="0" w:color="auto"/>
        <w:right w:val="none" w:sz="0" w:space="0" w:color="auto"/>
      </w:divBdr>
    </w:div>
    <w:div w:id="1508449019">
      <w:marLeft w:val="0"/>
      <w:marRight w:val="0"/>
      <w:marTop w:val="0"/>
      <w:marBottom w:val="0"/>
      <w:divBdr>
        <w:top w:val="none" w:sz="0" w:space="0" w:color="auto"/>
        <w:left w:val="none" w:sz="0" w:space="0" w:color="auto"/>
        <w:bottom w:val="none" w:sz="0" w:space="0" w:color="auto"/>
        <w:right w:val="none" w:sz="0" w:space="0" w:color="auto"/>
      </w:divBdr>
    </w:div>
    <w:div w:id="1511220303">
      <w:marLeft w:val="0"/>
      <w:marRight w:val="0"/>
      <w:marTop w:val="0"/>
      <w:marBottom w:val="0"/>
      <w:divBdr>
        <w:top w:val="none" w:sz="0" w:space="0" w:color="auto"/>
        <w:left w:val="none" w:sz="0" w:space="0" w:color="auto"/>
        <w:bottom w:val="none" w:sz="0" w:space="0" w:color="auto"/>
        <w:right w:val="none" w:sz="0" w:space="0" w:color="auto"/>
      </w:divBdr>
    </w:div>
    <w:div w:id="1511794702">
      <w:marLeft w:val="0"/>
      <w:marRight w:val="0"/>
      <w:marTop w:val="0"/>
      <w:marBottom w:val="0"/>
      <w:divBdr>
        <w:top w:val="none" w:sz="0" w:space="0" w:color="auto"/>
        <w:left w:val="none" w:sz="0" w:space="0" w:color="auto"/>
        <w:bottom w:val="none" w:sz="0" w:space="0" w:color="auto"/>
        <w:right w:val="none" w:sz="0" w:space="0" w:color="auto"/>
      </w:divBdr>
      <w:divsChild>
        <w:div w:id="872619406">
          <w:marLeft w:val="0"/>
          <w:marRight w:val="0"/>
          <w:marTop w:val="0"/>
          <w:marBottom w:val="0"/>
          <w:divBdr>
            <w:top w:val="none" w:sz="0" w:space="0" w:color="auto"/>
            <w:left w:val="none" w:sz="0" w:space="0" w:color="auto"/>
            <w:bottom w:val="none" w:sz="0" w:space="0" w:color="auto"/>
            <w:right w:val="none" w:sz="0" w:space="0" w:color="auto"/>
          </w:divBdr>
        </w:div>
      </w:divsChild>
    </w:div>
    <w:div w:id="1513910613">
      <w:marLeft w:val="0"/>
      <w:marRight w:val="0"/>
      <w:marTop w:val="0"/>
      <w:marBottom w:val="0"/>
      <w:divBdr>
        <w:top w:val="none" w:sz="0" w:space="0" w:color="auto"/>
        <w:left w:val="none" w:sz="0" w:space="0" w:color="auto"/>
        <w:bottom w:val="none" w:sz="0" w:space="0" w:color="auto"/>
        <w:right w:val="none" w:sz="0" w:space="0" w:color="auto"/>
      </w:divBdr>
    </w:div>
    <w:div w:id="1515420376">
      <w:marLeft w:val="0"/>
      <w:marRight w:val="0"/>
      <w:marTop w:val="0"/>
      <w:marBottom w:val="0"/>
      <w:divBdr>
        <w:top w:val="none" w:sz="0" w:space="0" w:color="auto"/>
        <w:left w:val="none" w:sz="0" w:space="0" w:color="auto"/>
        <w:bottom w:val="none" w:sz="0" w:space="0" w:color="auto"/>
        <w:right w:val="none" w:sz="0" w:space="0" w:color="auto"/>
      </w:divBdr>
    </w:div>
    <w:div w:id="1518616946">
      <w:marLeft w:val="0"/>
      <w:marRight w:val="0"/>
      <w:marTop w:val="0"/>
      <w:marBottom w:val="0"/>
      <w:divBdr>
        <w:top w:val="none" w:sz="0" w:space="0" w:color="auto"/>
        <w:left w:val="none" w:sz="0" w:space="0" w:color="auto"/>
        <w:bottom w:val="none" w:sz="0" w:space="0" w:color="auto"/>
        <w:right w:val="none" w:sz="0" w:space="0" w:color="auto"/>
      </w:divBdr>
    </w:div>
    <w:div w:id="1524392639">
      <w:marLeft w:val="0"/>
      <w:marRight w:val="0"/>
      <w:marTop w:val="180"/>
      <w:marBottom w:val="0"/>
      <w:divBdr>
        <w:top w:val="none" w:sz="0" w:space="0" w:color="auto"/>
        <w:left w:val="none" w:sz="0" w:space="0" w:color="auto"/>
        <w:bottom w:val="none" w:sz="0" w:space="0" w:color="auto"/>
        <w:right w:val="none" w:sz="0" w:space="0" w:color="auto"/>
      </w:divBdr>
    </w:div>
    <w:div w:id="1524396230">
      <w:marLeft w:val="0"/>
      <w:marRight w:val="0"/>
      <w:marTop w:val="0"/>
      <w:marBottom w:val="0"/>
      <w:divBdr>
        <w:top w:val="none" w:sz="0" w:space="0" w:color="auto"/>
        <w:left w:val="none" w:sz="0" w:space="0" w:color="auto"/>
        <w:bottom w:val="none" w:sz="0" w:space="0" w:color="auto"/>
        <w:right w:val="none" w:sz="0" w:space="0" w:color="auto"/>
      </w:divBdr>
    </w:div>
    <w:div w:id="1524830444">
      <w:marLeft w:val="0"/>
      <w:marRight w:val="0"/>
      <w:marTop w:val="0"/>
      <w:marBottom w:val="0"/>
      <w:divBdr>
        <w:top w:val="none" w:sz="0" w:space="0" w:color="auto"/>
        <w:left w:val="none" w:sz="0" w:space="0" w:color="auto"/>
        <w:bottom w:val="none" w:sz="0" w:space="0" w:color="auto"/>
        <w:right w:val="none" w:sz="0" w:space="0" w:color="auto"/>
      </w:divBdr>
    </w:div>
    <w:div w:id="1524897157">
      <w:marLeft w:val="0"/>
      <w:marRight w:val="0"/>
      <w:marTop w:val="0"/>
      <w:marBottom w:val="0"/>
      <w:divBdr>
        <w:top w:val="none" w:sz="0" w:space="0" w:color="auto"/>
        <w:left w:val="none" w:sz="0" w:space="0" w:color="auto"/>
        <w:bottom w:val="none" w:sz="0" w:space="0" w:color="auto"/>
        <w:right w:val="none" w:sz="0" w:space="0" w:color="auto"/>
      </w:divBdr>
      <w:divsChild>
        <w:div w:id="1724452000">
          <w:marLeft w:val="0"/>
          <w:marRight w:val="0"/>
          <w:marTop w:val="0"/>
          <w:marBottom w:val="0"/>
          <w:divBdr>
            <w:top w:val="none" w:sz="0" w:space="0" w:color="auto"/>
            <w:left w:val="none" w:sz="0" w:space="0" w:color="auto"/>
            <w:bottom w:val="none" w:sz="0" w:space="0" w:color="auto"/>
            <w:right w:val="none" w:sz="0" w:space="0" w:color="auto"/>
          </w:divBdr>
        </w:div>
      </w:divsChild>
    </w:div>
    <w:div w:id="1531528739">
      <w:marLeft w:val="0"/>
      <w:marRight w:val="0"/>
      <w:marTop w:val="0"/>
      <w:marBottom w:val="0"/>
      <w:divBdr>
        <w:top w:val="none" w:sz="0" w:space="0" w:color="auto"/>
        <w:left w:val="none" w:sz="0" w:space="0" w:color="auto"/>
        <w:bottom w:val="none" w:sz="0" w:space="0" w:color="auto"/>
        <w:right w:val="none" w:sz="0" w:space="0" w:color="auto"/>
      </w:divBdr>
    </w:div>
    <w:div w:id="1533880038">
      <w:marLeft w:val="0"/>
      <w:marRight w:val="0"/>
      <w:marTop w:val="0"/>
      <w:marBottom w:val="0"/>
      <w:divBdr>
        <w:top w:val="none" w:sz="0" w:space="0" w:color="auto"/>
        <w:left w:val="none" w:sz="0" w:space="0" w:color="auto"/>
        <w:bottom w:val="none" w:sz="0" w:space="0" w:color="auto"/>
        <w:right w:val="none" w:sz="0" w:space="0" w:color="auto"/>
      </w:divBdr>
      <w:divsChild>
        <w:div w:id="1470896172">
          <w:marLeft w:val="0"/>
          <w:marRight w:val="0"/>
          <w:marTop w:val="0"/>
          <w:marBottom w:val="0"/>
          <w:divBdr>
            <w:top w:val="none" w:sz="0" w:space="0" w:color="auto"/>
            <w:left w:val="none" w:sz="0" w:space="0" w:color="auto"/>
            <w:bottom w:val="none" w:sz="0" w:space="0" w:color="auto"/>
            <w:right w:val="none" w:sz="0" w:space="0" w:color="auto"/>
          </w:divBdr>
        </w:div>
      </w:divsChild>
    </w:div>
    <w:div w:id="1535657286">
      <w:marLeft w:val="0"/>
      <w:marRight w:val="0"/>
      <w:marTop w:val="0"/>
      <w:marBottom w:val="0"/>
      <w:divBdr>
        <w:top w:val="none" w:sz="0" w:space="0" w:color="auto"/>
        <w:left w:val="none" w:sz="0" w:space="0" w:color="auto"/>
        <w:bottom w:val="none" w:sz="0" w:space="0" w:color="auto"/>
        <w:right w:val="none" w:sz="0" w:space="0" w:color="auto"/>
      </w:divBdr>
      <w:divsChild>
        <w:div w:id="1406996937">
          <w:marLeft w:val="0"/>
          <w:marRight w:val="0"/>
          <w:marTop w:val="0"/>
          <w:marBottom w:val="0"/>
          <w:divBdr>
            <w:top w:val="none" w:sz="0" w:space="0" w:color="auto"/>
            <w:left w:val="none" w:sz="0" w:space="0" w:color="auto"/>
            <w:bottom w:val="none" w:sz="0" w:space="0" w:color="auto"/>
            <w:right w:val="none" w:sz="0" w:space="0" w:color="auto"/>
          </w:divBdr>
        </w:div>
      </w:divsChild>
    </w:div>
    <w:div w:id="1538153098">
      <w:marLeft w:val="0"/>
      <w:marRight w:val="0"/>
      <w:marTop w:val="0"/>
      <w:marBottom w:val="120"/>
      <w:divBdr>
        <w:top w:val="none" w:sz="0" w:space="0" w:color="auto"/>
        <w:left w:val="none" w:sz="0" w:space="0" w:color="auto"/>
        <w:bottom w:val="none" w:sz="0" w:space="0" w:color="auto"/>
        <w:right w:val="none" w:sz="0" w:space="0" w:color="auto"/>
      </w:divBdr>
    </w:div>
    <w:div w:id="1538852684">
      <w:marLeft w:val="0"/>
      <w:marRight w:val="0"/>
      <w:marTop w:val="0"/>
      <w:marBottom w:val="0"/>
      <w:divBdr>
        <w:top w:val="none" w:sz="0" w:space="0" w:color="auto"/>
        <w:left w:val="none" w:sz="0" w:space="0" w:color="auto"/>
        <w:bottom w:val="none" w:sz="0" w:space="0" w:color="auto"/>
        <w:right w:val="none" w:sz="0" w:space="0" w:color="auto"/>
      </w:divBdr>
    </w:div>
    <w:div w:id="1539733124">
      <w:marLeft w:val="0"/>
      <w:marRight w:val="0"/>
      <w:marTop w:val="0"/>
      <w:marBottom w:val="0"/>
      <w:divBdr>
        <w:top w:val="none" w:sz="0" w:space="0" w:color="auto"/>
        <w:left w:val="none" w:sz="0" w:space="0" w:color="auto"/>
        <w:bottom w:val="none" w:sz="0" w:space="0" w:color="auto"/>
        <w:right w:val="none" w:sz="0" w:space="0" w:color="auto"/>
      </w:divBdr>
      <w:divsChild>
        <w:div w:id="1192769963">
          <w:marLeft w:val="0"/>
          <w:marRight w:val="0"/>
          <w:marTop w:val="0"/>
          <w:marBottom w:val="0"/>
          <w:divBdr>
            <w:top w:val="none" w:sz="0" w:space="0" w:color="auto"/>
            <w:left w:val="none" w:sz="0" w:space="0" w:color="auto"/>
            <w:bottom w:val="none" w:sz="0" w:space="0" w:color="auto"/>
            <w:right w:val="none" w:sz="0" w:space="0" w:color="auto"/>
          </w:divBdr>
        </w:div>
      </w:divsChild>
    </w:div>
    <w:div w:id="1540512334">
      <w:marLeft w:val="0"/>
      <w:marRight w:val="0"/>
      <w:marTop w:val="0"/>
      <w:marBottom w:val="200"/>
      <w:divBdr>
        <w:top w:val="none" w:sz="0" w:space="0" w:color="auto"/>
        <w:left w:val="none" w:sz="0" w:space="0" w:color="auto"/>
        <w:bottom w:val="none" w:sz="0" w:space="0" w:color="auto"/>
        <w:right w:val="none" w:sz="0" w:space="0" w:color="auto"/>
      </w:divBdr>
    </w:div>
    <w:div w:id="1545096352">
      <w:marLeft w:val="0"/>
      <w:marRight w:val="0"/>
      <w:marTop w:val="0"/>
      <w:marBottom w:val="0"/>
      <w:divBdr>
        <w:top w:val="none" w:sz="0" w:space="0" w:color="auto"/>
        <w:left w:val="none" w:sz="0" w:space="0" w:color="auto"/>
        <w:bottom w:val="none" w:sz="0" w:space="0" w:color="auto"/>
        <w:right w:val="none" w:sz="0" w:space="0" w:color="auto"/>
      </w:divBdr>
    </w:div>
    <w:div w:id="1545410656">
      <w:marLeft w:val="0"/>
      <w:marRight w:val="0"/>
      <w:marTop w:val="0"/>
      <w:marBottom w:val="0"/>
      <w:divBdr>
        <w:top w:val="none" w:sz="0" w:space="0" w:color="auto"/>
        <w:left w:val="none" w:sz="0" w:space="0" w:color="auto"/>
        <w:bottom w:val="none" w:sz="0" w:space="0" w:color="auto"/>
        <w:right w:val="none" w:sz="0" w:space="0" w:color="auto"/>
      </w:divBdr>
    </w:div>
    <w:div w:id="1545873188">
      <w:marLeft w:val="0"/>
      <w:marRight w:val="0"/>
      <w:marTop w:val="0"/>
      <w:marBottom w:val="0"/>
      <w:divBdr>
        <w:top w:val="none" w:sz="0" w:space="0" w:color="auto"/>
        <w:left w:val="none" w:sz="0" w:space="0" w:color="auto"/>
        <w:bottom w:val="none" w:sz="0" w:space="0" w:color="auto"/>
        <w:right w:val="none" w:sz="0" w:space="0" w:color="auto"/>
      </w:divBdr>
    </w:div>
    <w:div w:id="1545940686">
      <w:marLeft w:val="0"/>
      <w:marRight w:val="0"/>
      <w:marTop w:val="0"/>
      <w:marBottom w:val="0"/>
      <w:divBdr>
        <w:top w:val="none" w:sz="0" w:space="0" w:color="auto"/>
        <w:left w:val="none" w:sz="0" w:space="0" w:color="auto"/>
        <w:bottom w:val="none" w:sz="0" w:space="0" w:color="auto"/>
        <w:right w:val="none" w:sz="0" w:space="0" w:color="auto"/>
      </w:divBdr>
      <w:divsChild>
        <w:div w:id="648245295">
          <w:marLeft w:val="0"/>
          <w:marRight w:val="0"/>
          <w:marTop w:val="0"/>
          <w:marBottom w:val="0"/>
          <w:divBdr>
            <w:top w:val="none" w:sz="0" w:space="0" w:color="auto"/>
            <w:left w:val="none" w:sz="0" w:space="0" w:color="auto"/>
            <w:bottom w:val="none" w:sz="0" w:space="0" w:color="auto"/>
            <w:right w:val="none" w:sz="0" w:space="0" w:color="auto"/>
          </w:divBdr>
        </w:div>
      </w:divsChild>
    </w:div>
    <w:div w:id="1546528185">
      <w:marLeft w:val="0"/>
      <w:marRight w:val="0"/>
      <w:marTop w:val="100"/>
      <w:marBottom w:val="0"/>
      <w:divBdr>
        <w:top w:val="none" w:sz="0" w:space="0" w:color="auto"/>
        <w:left w:val="none" w:sz="0" w:space="0" w:color="auto"/>
        <w:bottom w:val="none" w:sz="0" w:space="0" w:color="auto"/>
        <w:right w:val="none" w:sz="0" w:space="0" w:color="auto"/>
      </w:divBdr>
    </w:div>
    <w:div w:id="1549608160">
      <w:marLeft w:val="0"/>
      <w:marRight w:val="0"/>
      <w:marTop w:val="0"/>
      <w:marBottom w:val="0"/>
      <w:divBdr>
        <w:top w:val="none" w:sz="0" w:space="0" w:color="auto"/>
        <w:left w:val="none" w:sz="0" w:space="0" w:color="auto"/>
        <w:bottom w:val="none" w:sz="0" w:space="0" w:color="auto"/>
        <w:right w:val="none" w:sz="0" w:space="0" w:color="auto"/>
      </w:divBdr>
    </w:div>
    <w:div w:id="1554582797">
      <w:marLeft w:val="0"/>
      <w:marRight w:val="0"/>
      <w:marTop w:val="0"/>
      <w:marBottom w:val="0"/>
      <w:divBdr>
        <w:top w:val="none" w:sz="0" w:space="0" w:color="auto"/>
        <w:left w:val="none" w:sz="0" w:space="0" w:color="auto"/>
        <w:bottom w:val="none" w:sz="0" w:space="0" w:color="auto"/>
        <w:right w:val="none" w:sz="0" w:space="0" w:color="auto"/>
      </w:divBdr>
    </w:div>
    <w:div w:id="1559974018">
      <w:marLeft w:val="0"/>
      <w:marRight w:val="0"/>
      <w:marTop w:val="0"/>
      <w:marBottom w:val="0"/>
      <w:divBdr>
        <w:top w:val="none" w:sz="0" w:space="0" w:color="auto"/>
        <w:left w:val="none" w:sz="0" w:space="0" w:color="auto"/>
        <w:bottom w:val="none" w:sz="0" w:space="0" w:color="auto"/>
        <w:right w:val="none" w:sz="0" w:space="0" w:color="auto"/>
      </w:divBdr>
    </w:div>
    <w:div w:id="1563516155">
      <w:marLeft w:val="0"/>
      <w:marRight w:val="0"/>
      <w:marTop w:val="0"/>
      <w:marBottom w:val="0"/>
      <w:divBdr>
        <w:top w:val="none" w:sz="0" w:space="0" w:color="auto"/>
        <w:left w:val="none" w:sz="0" w:space="0" w:color="auto"/>
        <w:bottom w:val="none" w:sz="0" w:space="0" w:color="auto"/>
        <w:right w:val="none" w:sz="0" w:space="0" w:color="auto"/>
      </w:divBdr>
    </w:div>
    <w:div w:id="1565414932">
      <w:marLeft w:val="0"/>
      <w:marRight w:val="0"/>
      <w:marTop w:val="0"/>
      <w:marBottom w:val="0"/>
      <w:divBdr>
        <w:top w:val="none" w:sz="0" w:space="0" w:color="auto"/>
        <w:left w:val="none" w:sz="0" w:space="0" w:color="auto"/>
        <w:bottom w:val="none" w:sz="0" w:space="0" w:color="auto"/>
        <w:right w:val="none" w:sz="0" w:space="0" w:color="auto"/>
      </w:divBdr>
    </w:div>
    <w:div w:id="1572471668">
      <w:marLeft w:val="0"/>
      <w:marRight w:val="0"/>
      <w:marTop w:val="100"/>
      <w:marBottom w:val="0"/>
      <w:divBdr>
        <w:top w:val="none" w:sz="0" w:space="0" w:color="auto"/>
        <w:left w:val="none" w:sz="0" w:space="0" w:color="auto"/>
        <w:bottom w:val="none" w:sz="0" w:space="0" w:color="auto"/>
        <w:right w:val="none" w:sz="0" w:space="0" w:color="auto"/>
      </w:divBdr>
    </w:div>
    <w:div w:id="1576554283">
      <w:marLeft w:val="0"/>
      <w:marRight w:val="0"/>
      <w:marTop w:val="0"/>
      <w:marBottom w:val="0"/>
      <w:divBdr>
        <w:top w:val="none" w:sz="0" w:space="0" w:color="auto"/>
        <w:left w:val="none" w:sz="0" w:space="0" w:color="auto"/>
        <w:bottom w:val="none" w:sz="0" w:space="0" w:color="auto"/>
        <w:right w:val="none" w:sz="0" w:space="0" w:color="auto"/>
      </w:divBdr>
      <w:divsChild>
        <w:div w:id="1801877675">
          <w:marLeft w:val="0"/>
          <w:marRight w:val="0"/>
          <w:marTop w:val="0"/>
          <w:marBottom w:val="0"/>
          <w:divBdr>
            <w:top w:val="none" w:sz="0" w:space="0" w:color="auto"/>
            <w:left w:val="none" w:sz="0" w:space="0" w:color="auto"/>
            <w:bottom w:val="none" w:sz="0" w:space="0" w:color="auto"/>
            <w:right w:val="none" w:sz="0" w:space="0" w:color="auto"/>
          </w:divBdr>
        </w:div>
        <w:div w:id="1361007364">
          <w:marLeft w:val="0"/>
          <w:marRight w:val="0"/>
          <w:marTop w:val="0"/>
          <w:marBottom w:val="0"/>
          <w:divBdr>
            <w:top w:val="none" w:sz="0" w:space="0" w:color="auto"/>
            <w:left w:val="none" w:sz="0" w:space="0" w:color="auto"/>
            <w:bottom w:val="none" w:sz="0" w:space="0" w:color="auto"/>
            <w:right w:val="none" w:sz="0" w:space="0" w:color="auto"/>
          </w:divBdr>
        </w:div>
      </w:divsChild>
    </w:div>
    <w:div w:id="1576625850">
      <w:marLeft w:val="0"/>
      <w:marRight w:val="0"/>
      <w:marTop w:val="0"/>
      <w:marBottom w:val="0"/>
      <w:divBdr>
        <w:top w:val="none" w:sz="0" w:space="0" w:color="auto"/>
        <w:left w:val="none" w:sz="0" w:space="0" w:color="auto"/>
        <w:bottom w:val="none" w:sz="0" w:space="0" w:color="auto"/>
        <w:right w:val="none" w:sz="0" w:space="0" w:color="auto"/>
      </w:divBdr>
    </w:div>
    <w:div w:id="1581402223">
      <w:marLeft w:val="0"/>
      <w:marRight w:val="0"/>
      <w:marTop w:val="0"/>
      <w:marBottom w:val="0"/>
      <w:divBdr>
        <w:top w:val="none" w:sz="0" w:space="0" w:color="auto"/>
        <w:left w:val="none" w:sz="0" w:space="0" w:color="auto"/>
        <w:bottom w:val="none" w:sz="0" w:space="0" w:color="auto"/>
        <w:right w:val="none" w:sz="0" w:space="0" w:color="auto"/>
      </w:divBdr>
    </w:div>
    <w:div w:id="1584295528">
      <w:marLeft w:val="0"/>
      <w:marRight w:val="0"/>
      <w:marTop w:val="0"/>
      <w:marBottom w:val="0"/>
      <w:divBdr>
        <w:top w:val="none" w:sz="0" w:space="0" w:color="auto"/>
        <w:left w:val="none" w:sz="0" w:space="0" w:color="auto"/>
        <w:bottom w:val="none" w:sz="0" w:space="0" w:color="auto"/>
        <w:right w:val="none" w:sz="0" w:space="0" w:color="auto"/>
      </w:divBdr>
      <w:divsChild>
        <w:div w:id="1416828825">
          <w:marLeft w:val="0"/>
          <w:marRight w:val="0"/>
          <w:marTop w:val="0"/>
          <w:marBottom w:val="0"/>
          <w:divBdr>
            <w:top w:val="none" w:sz="0" w:space="0" w:color="auto"/>
            <w:left w:val="none" w:sz="0" w:space="0" w:color="auto"/>
            <w:bottom w:val="none" w:sz="0" w:space="0" w:color="auto"/>
            <w:right w:val="none" w:sz="0" w:space="0" w:color="auto"/>
          </w:divBdr>
        </w:div>
      </w:divsChild>
    </w:div>
    <w:div w:id="1588883698">
      <w:marLeft w:val="0"/>
      <w:marRight w:val="0"/>
      <w:marTop w:val="0"/>
      <w:marBottom w:val="60"/>
      <w:divBdr>
        <w:top w:val="none" w:sz="0" w:space="0" w:color="auto"/>
        <w:left w:val="none" w:sz="0" w:space="0" w:color="auto"/>
        <w:bottom w:val="none" w:sz="0" w:space="0" w:color="auto"/>
        <w:right w:val="none" w:sz="0" w:space="0" w:color="auto"/>
      </w:divBdr>
    </w:div>
    <w:div w:id="1590576534">
      <w:marLeft w:val="0"/>
      <w:marRight w:val="0"/>
      <w:marTop w:val="0"/>
      <w:marBottom w:val="0"/>
      <w:divBdr>
        <w:top w:val="none" w:sz="0" w:space="0" w:color="auto"/>
        <w:left w:val="none" w:sz="0" w:space="0" w:color="auto"/>
        <w:bottom w:val="none" w:sz="0" w:space="0" w:color="auto"/>
        <w:right w:val="none" w:sz="0" w:space="0" w:color="auto"/>
      </w:divBdr>
    </w:div>
    <w:div w:id="1592349491">
      <w:marLeft w:val="0"/>
      <w:marRight w:val="0"/>
      <w:marTop w:val="0"/>
      <w:marBottom w:val="0"/>
      <w:divBdr>
        <w:top w:val="none" w:sz="0" w:space="0" w:color="auto"/>
        <w:left w:val="none" w:sz="0" w:space="0" w:color="auto"/>
        <w:bottom w:val="none" w:sz="0" w:space="0" w:color="auto"/>
        <w:right w:val="none" w:sz="0" w:space="0" w:color="auto"/>
      </w:divBdr>
    </w:div>
    <w:div w:id="1592398349">
      <w:marLeft w:val="0"/>
      <w:marRight w:val="0"/>
      <w:marTop w:val="0"/>
      <w:marBottom w:val="0"/>
      <w:divBdr>
        <w:top w:val="none" w:sz="0" w:space="0" w:color="auto"/>
        <w:left w:val="none" w:sz="0" w:space="0" w:color="auto"/>
        <w:bottom w:val="none" w:sz="0" w:space="0" w:color="auto"/>
        <w:right w:val="none" w:sz="0" w:space="0" w:color="auto"/>
      </w:divBdr>
    </w:div>
    <w:div w:id="1592547238">
      <w:marLeft w:val="0"/>
      <w:marRight w:val="0"/>
      <w:marTop w:val="0"/>
      <w:marBottom w:val="0"/>
      <w:divBdr>
        <w:top w:val="none" w:sz="0" w:space="0" w:color="auto"/>
        <w:left w:val="none" w:sz="0" w:space="0" w:color="auto"/>
        <w:bottom w:val="none" w:sz="0" w:space="0" w:color="auto"/>
        <w:right w:val="none" w:sz="0" w:space="0" w:color="auto"/>
      </w:divBdr>
    </w:div>
    <w:div w:id="1593664187">
      <w:marLeft w:val="0"/>
      <w:marRight w:val="0"/>
      <w:marTop w:val="0"/>
      <w:marBottom w:val="0"/>
      <w:divBdr>
        <w:top w:val="none" w:sz="0" w:space="0" w:color="auto"/>
        <w:left w:val="none" w:sz="0" w:space="0" w:color="auto"/>
        <w:bottom w:val="none" w:sz="0" w:space="0" w:color="auto"/>
        <w:right w:val="none" w:sz="0" w:space="0" w:color="auto"/>
      </w:divBdr>
    </w:div>
    <w:div w:id="1593975509">
      <w:marLeft w:val="0"/>
      <w:marRight w:val="0"/>
      <w:marTop w:val="0"/>
      <w:marBottom w:val="0"/>
      <w:divBdr>
        <w:top w:val="none" w:sz="0" w:space="0" w:color="auto"/>
        <w:left w:val="none" w:sz="0" w:space="0" w:color="auto"/>
        <w:bottom w:val="none" w:sz="0" w:space="0" w:color="auto"/>
        <w:right w:val="none" w:sz="0" w:space="0" w:color="auto"/>
      </w:divBdr>
    </w:div>
    <w:div w:id="1594170113">
      <w:marLeft w:val="0"/>
      <w:marRight w:val="0"/>
      <w:marTop w:val="0"/>
      <w:marBottom w:val="0"/>
      <w:divBdr>
        <w:top w:val="none" w:sz="0" w:space="0" w:color="auto"/>
        <w:left w:val="none" w:sz="0" w:space="0" w:color="auto"/>
        <w:bottom w:val="none" w:sz="0" w:space="0" w:color="auto"/>
        <w:right w:val="none" w:sz="0" w:space="0" w:color="auto"/>
      </w:divBdr>
    </w:div>
    <w:div w:id="1595481611">
      <w:marLeft w:val="0"/>
      <w:marRight w:val="0"/>
      <w:marTop w:val="0"/>
      <w:marBottom w:val="0"/>
      <w:divBdr>
        <w:top w:val="none" w:sz="0" w:space="0" w:color="auto"/>
        <w:left w:val="none" w:sz="0" w:space="0" w:color="auto"/>
        <w:bottom w:val="none" w:sz="0" w:space="0" w:color="auto"/>
        <w:right w:val="none" w:sz="0" w:space="0" w:color="auto"/>
      </w:divBdr>
    </w:div>
    <w:div w:id="1598714520">
      <w:marLeft w:val="0"/>
      <w:marRight w:val="0"/>
      <w:marTop w:val="0"/>
      <w:marBottom w:val="0"/>
      <w:divBdr>
        <w:top w:val="none" w:sz="0" w:space="0" w:color="auto"/>
        <w:left w:val="none" w:sz="0" w:space="0" w:color="auto"/>
        <w:bottom w:val="none" w:sz="0" w:space="0" w:color="auto"/>
        <w:right w:val="none" w:sz="0" w:space="0" w:color="auto"/>
      </w:divBdr>
    </w:div>
    <w:div w:id="1599564146">
      <w:marLeft w:val="0"/>
      <w:marRight w:val="0"/>
      <w:marTop w:val="0"/>
      <w:marBottom w:val="0"/>
      <w:divBdr>
        <w:top w:val="none" w:sz="0" w:space="0" w:color="auto"/>
        <w:left w:val="none" w:sz="0" w:space="0" w:color="auto"/>
        <w:bottom w:val="none" w:sz="0" w:space="0" w:color="auto"/>
        <w:right w:val="none" w:sz="0" w:space="0" w:color="auto"/>
      </w:divBdr>
      <w:divsChild>
        <w:div w:id="1653755495">
          <w:marLeft w:val="0"/>
          <w:marRight w:val="0"/>
          <w:marTop w:val="0"/>
          <w:marBottom w:val="0"/>
          <w:divBdr>
            <w:top w:val="none" w:sz="0" w:space="0" w:color="auto"/>
            <w:left w:val="none" w:sz="0" w:space="0" w:color="auto"/>
            <w:bottom w:val="none" w:sz="0" w:space="0" w:color="auto"/>
            <w:right w:val="none" w:sz="0" w:space="0" w:color="auto"/>
          </w:divBdr>
        </w:div>
      </w:divsChild>
    </w:div>
    <w:div w:id="1602487689">
      <w:marLeft w:val="0"/>
      <w:marRight w:val="0"/>
      <w:marTop w:val="0"/>
      <w:marBottom w:val="0"/>
      <w:divBdr>
        <w:top w:val="none" w:sz="0" w:space="0" w:color="auto"/>
        <w:left w:val="none" w:sz="0" w:space="0" w:color="auto"/>
        <w:bottom w:val="none" w:sz="0" w:space="0" w:color="auto"/>
        <w:right w:val="none" w:sz="0" w:space="0" w:color="auto"/>
      </w:divBdr>
    </w:div>
    <w:div w:id="1603299368">
      <w:marLeft w:val="0"/>
      <w:marRight w:val="0"/>
      <w:marTop w:val="0"/>
      <w:marBottom w:val="0"/>
      <w:divBdr>
        <w:top w:val="none" w:sz="0" w:space="0" w:color="auto"/>
        <w:left w:val="none" w:sz="0" w:space="0" w:color="auto"/>
        <w:bottom w:val="none" w:sz="0" w:space="0" w:color="auto"/>
        <w:right w:val="none" w:sz="0" w:space="0" w:color="auto"/>
      </w:divBdr>
      <w:divsChild>
        <w:div w:id="1180893957">
          <w:marLeft w:val="0"/>
          <w:marRight w:val="0"/>
          <w:marTop w:val="0"/>
          <w:marBottom w:val="0"/>
          <w:divBdr>
            <w:top w:val="none" w:sz="0" w:space="0" w:color="auto"/>
            <w:left w:val="none" w:sz="0" w:space="0" w:color="auto"/>
            <w:bottom w:val="none" w:sz="0" w:space="0" w:color="auto"/>
            <w:right w:val="none" w:sz="0" w:space="0" w:color="auto"/>
          </w:divBdr>
        </w:div>
      </w:divsChild>
    </w:div>
    <w:div w:id="1603679942">
      <w:marLeft w:val="0"/>
      <w:marRight w:val="0"/>
      <w:marTop w:val="0"/>
      <w:marBottom w:val="0"/>
      <w:divBdr>
        <w:top w:val="none" w:sz="0" w:space="0" w:color="auto"/>
        <w:left w:val="none" w:sz="0" w:space="0" w:color="auto"/>
        <w:bottom w:val="none" w:sz="0" w:space="0" w:color="auto"/>
        <w:right w:val="none" w:sz="0" w:space="0" w:color="auto"/>
      </w:divBdr>
    </w:div>
    <w:div w:id="1605458762">
      <w:marLeft w:val="0"/>
      <w:marRight w:val="0"/>
      <w:marTop w:val="0"/>
      <w:marBottom w:val="0"/>
      <w:divBdr>
        <w:top w:val="none" w:sz="0" w:space="0" w:color="auto"/>
        <w:left w:val="none" w:sz="0" w:space="0" w:color="auto"/>
        <w:bottom w:val="none" w:sz="0" w:space="0" w:color="auto"/>
        <w:right w:val="none" w:sz="0" w:space="0" w:color="auto"/>
      </w:divBdr>
    </w:div>
    <w:div w:id="1605650357">
      <w:marLeft w:val="0"/>
      <w:marRight w:val="0"/>
      <w:marTop w:val="0"/>
      <w:marBottom w:val="0"/>
      <w:divBdr>
        <w:top w:val="none" w:sz="0" w:space="0" w:color="auto"/>
        <w:left w:val="none" w:sz="0" w:space="0" w:color="auto"/>
        <w:bottom w:val="none" w:sz="0" w:space="0" w:color="auto"/>
        <w:right w:val="none" w:sz="0" w:space="0" w:color="auto"/>
      </w:divBdr>
      <w:divsChild>
        <w:div w:id="1482622508">
          <w:marLeft w:val="0"/>
          <w:marRight w:val="0"/>
          <w:marTop w:val="0"/>
          <w:marBottom w:val="0"/>
          <w:divBdr>
            <w:top w:val="none" w:sz="0" w:space="0" w:color="auto"/>
            <w:left w:val="none" w:sz="0" w:space="0" w:color="auto"/>
            <w:bottom w:val="none" w:sz="0" w:space="0" w:color="auto"/>
            <w:right w:val="none" w:sz="0" w:space="0" w:color="auto"/>
          </w:divBdr>
        </w:div>
      </w:divsChild>
    </w:div>
    <w:div w:id="1609853975">
      <w:marLeft w:val="0"/>
      <w:marRight w:val="0"/>
      <w:marTop w:val="0"/>
      <w:marBottom w:val="0"/>
      <w:divBdr>
        <w:top w:val="none" w:sz="0" w:space="0" w:color="auto"/>
        <w:left w:val="none" w:sz="0" w:space="0" w:color="auto"/>
        <w:bottom w:val="none" w:sz="0" w:space="0" w:color="auto"/>
        <w:right w:val="none" w:sz="0" w:space="0" w:color="auto"/>
      </w:divBdr>
    </w:div>
    <w:div w:id="1612857310">
      <w:marLeft w:val="0"/>
      <w:marRight w:val="0"/>
      <w:marTop w:val="0"/>
      <w:marBottom w:val="0"/>
      <w:divBdr>
        <w:top w:val="none" w:sz="0" w:space="0" w:color="auto"/>
        <w:left w:val="none" w:sz="0" w:space="0" w:color="auto"/>
        <w:bottom w:val="none" w:sz="0" w:space="0" w:color="auto"/>
        <w:right w:val="none" w:sz="0" w:space="0" w:color="auto"/>
      </w:divBdr>
      <w:divsChild>
        <w:div w:id="1862743556">
          <w:marLeft w:val="0"/>
          <w:marRight w:val="0"/>
          <w:marTop w:val="0"/>
          <w:marBottom w:val="0"/>
          <w:divBdr>
            <w:top w:val="none" w:sz="0" w:space="0" w:color="auto"/>
            <w:left w:val="none" w:sz="0" w:space="0" w:color="auto"/>
            <w:bottom w:val="none" w:sz="0" w:space="0" w:color="auto"/>
            <w:right w:val="none" w:sz="0" w:space="0" w:color="auto"/>
          </w:divBdr>
        </w:div>
      </w:divsChild>
    </w:div>
    <w:div w:id="1613585653">
      <w:marLeft w:val="0"/>
      <w:marRight w:val="0"/>
      <w:marTop w:val="0"/>
      <w:marBottom w:val="0"/>
      <w:divBdr>
        <w:top w:val="none" w:sz="0" w:space="0" w:color="auto"/>
        <w:left w:val="none" w:sz="0" w:space="0" w:color="auto"/>
        <w:bottom w:val="none" w:sz="0" w:space="0" w:color="auto"/>
        <w:right w:val="none" w:sz="0" w:space="0" w:color="auto"/>
      </w:divBdr>
    </w:div>
    <w:div w:id="1615594961">
      <w:marLeft w:val="0"/>
      <w:marRight w:val="0"/>
      <w:marTop w:val="0"/>
      <w:marBottom w:val="0"/>
      <w:divBdr>
        <w:top w:val="none" w:sz="0" w:space="0" w:color="auto"/>
        <w:left w:val="none" w:sz="0" w:space="0" w:color="auto"/>
        <w:bottom w:val="none" w:sz="0" w:space="0" w:color="auto"/>
        <w:right w:val="none" w:sz="0" w:space="0" w:color="auto"/>
      </w:divBdr>
    </w:div>
    <w:div w:id="1615870451">
      <w:marLeft w:val="0"/>
      <w:marRight w:val="0"/>
      <w:marTop w:val="100"/>
      <w:marBottom w:val="0"/>
      <w:divBdr>
        <w:top w:val="none" w:sz="0" w:space="0" w:color="auto"/>
        <w:left w:val="none" w:sz="0" w:space="0" w:color="auto"/>
        <w:bottom w:val="none" w:sz="0" w:space="0" w:color="auto"/>
        <w:right w:val="none" w:sz="0" w:space="0" w:color="auto"/>
      </w:divBdr>
      <w:divsChild>
        <w:div w:id="361831851">
          <w:marLeft w:val="0"/>
          <w:marRight w:val="0"/>
          <w:marTop w:val="0"/>
          <w:marBottom w:val="0"/>
          <w:divBdr>
            <w:top w:val="none" w:sz="0" w:space="0" w:color="auto"/>
            <w:left w:val="none" w:sz="0" w:space="0" w:color="auto"/>
            <w:bottom w:val="none" w:sz="0" w:space="0" w:color="auto"/>
            <w:right w:val="none" w:sz="0" w:space="0" w:color="auto"/>
          </w:divBdr>
        </w:div>
        <w:div w:id="970134860">
          <w:marLeft w:val="0"/>
          <w:marRight w:val="0"/>
          <w:marTop w:val="0"/>
          <w:marBottom w:val="0"/>
          <w:divBdr>
            <w:top w:val="none" w:sz="0" w:space="0" w:color="auto"/>
            <w:left w:val="none" w:sz="0" w:space="0" w:color="auto"/>
            <w:bottom w:val="none" w:sz="0" w:space="0" w:color="auto"/>
            <w:right w:val="none" w:sz="0" w:space="0" w:color="auto"/>
          </w:divBdr>
        </w:div>
        <w:div w:id="233901185">
          <w:marLeft w:val="0"/>
          <w:marRight w:val="0"/>
          <w:marTop w:val="0"/>
          <w:marBottom w:val="0"/>
          <w:divBdr>
            <w:top w:val="none" w:sz="0" w:space="0" w:color="auto"/>
            <w:left w:val="none" w:sz="0" w:space="0" w:color="auto"/>
            <w:bottom w:val="none" w:sz="0" w:space="0" w:color="auto"/>
            <w:right w:val="none" w:sz="0" w:space="0" w:color="auto"/>
          </w:divBdr>
        </w:div>
        <w:div w:id="1123843434">
          <w:marLeft w:val="0"/>
          <w:marRight w:val="0"/>
          <w:marTop w:val="0"/>
          <w:marBottom w:val="0"/>
          <w:divBdr>
            <w:top w:val="none" w:sz="0" w:space="0" w:color="auto"/>
            <w:left w:val="none" w:sz="0" w:space="0" w:color="auto"/>
            <w:bottom w:val="none" w:sz="0" w:space="0" w:color="auto"/>
            <w:right w:val="none" w:sz="0" w:space="0" w:color="auto"/>
          </w:divBdr>
        </w:div>
        <w:div w:id="2094935550">
          <w:marLeft w:val="0"/>
          <w:marRight w:val="0"/>
          <w:marTop w:val="0"/>
          <w:marBottom w:val="0"/>
          <w:divBdr>
            <w:top w:val="none" w:sz="0" w:space="0" w:color="auto"/>
            <w:left w:val="none" w:sz="0" w:space="0" w:color="auto"/>
            <w:bottom w:val="none" w:sz="0" w:space="0" w:color="auto"/>
            <w:right w:val="none" w:sz="0" w:space="0" w:color="auto"/>
          </w:divBdr>
        </w:div>
        <w:div w:id="214972978">
          <w:marLeft w:val="0"/>
          <w:marRight w:val="0"/>
          <w:marTop w:val="0"/>
          <w:marBottom w:val="0"/>
          <w:divBdr>
            <w:top w:val="none" w:sz="0" w:space="0" w:color="auto"/>
            <w:left w:val="none" w:sz="0" w:space="0" w:color="auto"/>
            <w:bottom w:val="none" w:sz="0" w:space="0" w:color="auto"/>
            <w:right w:val="none" w:sz="0" w:space="0" w:color="auto"/>
          </w:divBdr>
        </w:div>
        <w:div w:id="541017288">
          <w:marLeft w:val="0"/>
          <w:marRight w:val="0"/>
          <w:marTop w:val="0"/>
          <w:marBottom w:val="0"/>
          <w:divBdr>
            <w:top w:val="none" w:sz="0" w:space="0" w:color="auto"/>
            <w:left w:val="none" w:sz="0" w:space="0" w:color="auto"/>
            <w:bottom w:val="none" w:sz="0" w:space="0" w:color="auto"/>
            <w:right w:val="none" w:sz="0" w:space="0" w:color="auto"/>
          </w:divBdr>
        </w:div>
        <w:div w:id="939145128">
          <w:marLeft w:val="0"/>
          <w:marRight w:val="0"/>
          <w:marTop w:val="0"/>
          <w:marBottom w:val="0"/>
          <w:divBdr>
            <w:top w:val="none" w:sz="0" w:space="0" w:color="auto"/>
            <w:left w:val="none" w:sz="0" w:space="0" w:color="auto"/>
            <w:bottom w:val="none" w:sz="0" w:space="0" w:color="auto"/>
            <w:right w:val="none" w:sz="0" w:space="0" w:color="auto"/>
          </w:divBdr>
        </w:div>
        <w:div w:id="817259488">
          <w:marLeft w:val="0"/>
          <w:marRight w:val="0"/>
          <w:marTop w:val="0"/>
          <w:marBottom w:val="0"/>
          <w:divBdr>
            <w:top w:val="none" w:sz="0" w:space="0" w:color="auto"/>
            <w:left w:val="none" w:sz="0" w:space="0" w:color="auto"/>
            <w:bottom w:val="none" w:sz="0" w:space="0" w:color="auto"/>
            <w:right w:val="none" w:sz="0" w:space="0" w:color="auto"/>
          </w:divBdr>
        </w:div>
        <w:div w:id="676158486">
          <w:marLeft w:val="0"/>
          <w:marRight w:val="0"/>
          <w:marTop w:val="0"/>
          <w:marBottom w:val="0"/>
          <w:divBdr>
            <w:top w:val="none" w:sz="0" w:space="0" w:color="auto"/>
            <w:left w:val="none" w:sz="0" w:space="0" w:color="auto"/>
            <w:bottom w:val="none" w:sz="0" w:space="0" w:color="auto"/>
            <w:right w:val="none" w:sz="0" w:space="0" w:color="auto"/>
          </w:divBdr>
        </w:div>
        <w:div w:id="1524049303">
          <w:marLeft w:val="0"/>
          <w:marRight w:val="0"/>
          <w:marTop w:val="0"/>
          <w:marBottom w:val="0"/>
          <w:divBdr>
            <w:top w:val="none" w:sz="0" w:space="0" w:color="auto"/>
            <w:left w:val="none" w:sz="0" w:space="0" w:color="auto"/>
            <w:bottom w:val="none" w:sz="0" w:space="0" w:color="auto"/>
            <w:right w:val="none" w:sz="0" w:space="0" w:color="auto"/>
          </w:divBdr>
        </w:div>
        <w:div w:id="474759067">
          <w:marLeft w:val="0"/>
          <w:marRight w:val="0"/>
          <w:marTop w:val="0"/>
          <w:marBottom w:val="0"/>
          <w:divBdr>
            <w:top w:val="none" w:sz="0" w:space="0" w:color="auto"/>
            <w:left w:val="none" w:sz="0" w:space="0" w:color="auto"/>
            <w:bottom w:val="none" w:sz="0" w:space="0" w:color="auto"/>
            <w:right w:val="none" w:sz="0" w:space="0" w:color="auto"/>
          </w:divBdr>
        </w:div>
        <w:div w:id="850682647">
          <w:marLeft w:val="0"/>
          <w:marRight w:val="0"/>
          <w:marTop w:val="0"/>
          <w:marBottom w:val="0"/>
          <w:divBdr>
            <w:top w:val="none" w:sz="0" w:space="0" w:color="auto"/>
            <w:left w:val="none" w:sz="0" w:space="0" w:color="auto"/>
            <w:bottom w:val="none" w:sz="0" w:space="0" w:color="auto"/>
            <w:right w:val="none" w:sz="0" w:space="0" w:color="auto"/>
          </w:divBdr>
        </w:div>
        <w:div w:id="205992370">
          <w:marLeft w:val="0"/>
          <w:marRight w:val="0"/>
          <w:marTop w:val="0"/>
          <w:marBottom w:val="0"/>
          <w:divBdr>
            <w:top w:val="none" w:sz="0" w:space="0" w:color="auto"/>
            <w:left w:val="none" w:sz="0" w:space="0" w:color="auto"/>
            <w:bottom w:val="none" w:sz="0" w:space="0" w:color="auto"/>
            <w:right w:val="none" w:sz="0" w:space="0" w:color="auto"/>
          </w:divBdr>
        </w:div>
        <w:div w:id="2143695162">
          <w:marLeft w:val="0"/>
          <w:marRight w:val="0"/>
          <w:marTop w:val="0"/>
          <w:marBottom w:val="0"/>
          <w:divBdr>
            <w:top w:val="none" w:sz="0" w:space="0" w:color="auto"/>
            <w:left w:val="none" w:sz="0" w:space="0" w:color="auto"/>
            <w:bottom w:val="none" w:sz="0" w:space="0" w:color="auto"/>
            <w:right w:val="none" w:sz="0" w:space="0" w:color="auto"/>
          </w:divBdr>
        </w:div>
        <w:div w:id="401098833">
          <w:marLeft w:val="0"/>
          <w:marRight w:val="0"/>
          <w:marTop w:val="0"/>
          <w:marBottom w:val="0"/>
          <w:divBdr>
            <w:top w:val="none" w:sz="0" w:space="0" w:color="auto"/>
            <w:left w:val="none" w:sz="0" w:space="0" w:color="auto"/>
            <w:bottom w:val="none" w:sz="0" w:space="0" w:color="auto"/>
            <w:right w:val="none" w:sz="0" w:space="0" w:color="auto"/>
          </w:divBdr>
        </w:div>
        <w:div w:id="1570075797">
          <w:marLeft w:val="0"/>
          <w:marRight w:val="0"/>
          <w:marTop w:val="0"/>
          <w:marBottom w:val="0"/>
          <w:divBdr>
            <w:top w:val="none" w:sz="0" w:space="0" w:color="auto"/>
            <w:left w:val="none" w:sz="0" w:space="0" w:color="auto"/>
            <w:bottom w:val="none" w:sz="0" w:space="0" w:color="auto"/>
            <w:right w:val="none" w:sz="0" w:space="0" w:color="auto"/>
          </w:divBdr>
        </w:div>
        <w:div w:id="795830618">
          <w:marLeft w:val="0"/>
          <w:marRight w:val="0"/>
          <w:marTop w:val="0"/>
          <w:marBottom w:val="0"/>
          <w:divBdr>
            <w:top w:val="none" w:sz="0" w:space="0" w:color="auto"/>
            <w:left w:val="none" w:sz="0" w:space="0" w:color="auto"/>
            <w:bottom w:val="none" w:sz="0" w:space="0" w:color="auto"/>
            <w:right w:val="none" w:sz="0" w:space="0" w:color="auto"/>
          </w:divBdr>
        </w:div>
        <w:div w:id="932471732">
          <w:marLeft w:val="0"/>
          <w:marRight w:val="0"/>
          <w:marTop w:val="0"/>
          <w:marBottom w:val="0"/>
          <w:divBdr>
            <w:top w:val="none" w:sz="0" w:space="0" w:color="auto"/>
            <w:left w:val="none" w:sz="0" w:space="0" w:color="auto"/>
            <w:bottom w:val="none" w:sz="0" w:space="0" w:color="auto"/>
            <w:right w:val="none" w:sz="0" w:space="0" w:color="auto"/>
          </w:divBdr>
        </w:div>
        <w:div w:id="381829319">
          <w:marLeft w:val="0"/>
          <w:marRight w:val="0"/>
          <w:marTop w:val="0"/>
          <w:marBottom w:val="0"/>
          <w:divBdr>
            <w:top w:val="none" w:sz="0" w:space="0" w:color="auto"/>
            <w:left w:val="none" w:sz="0" w:space="0" w:color="auto"/>
            <w:bottom w:val="none" w:sz="0" w:space="0" w:color="auto"/>
            <w:right w:val="none" w:sz="0" w:space="0" w:color="auto"/>
          </w:divBdr>
        </w:div>
        <w:div w:id="647055926">
          <w:marLeft w:val="0"/>
          <w:marRight w:val="0"/>
          <w:marTop w:val="0"/>
          <w:marBottom w:val="0"/>
          <w:divBdr>
            <w:top w:val="none" w:sz="0" w:space="0" w:color="auto"/>
            <w:left w:val="none" w:sz="0" w:space="0" w:color="auto"/>
            <w:bottom w:val="none" w:sz="0" w:space="0" w:color="auto"/>
            <w:right w:val="none" w:sz="0" w:space="0" w:color="auto"/>
          </w:divBdr>
        </w:div>
        <w:div w:id="94644034">
          <w:marLeft w:val="0"/>
          <w:marRight w:val="0"/>
          <w:marTop w:val="0"/>
          <w:marBottom w:val="0"/>
          <w:divBdr>
            <w:top w:val="none" w:sz="0" w:space="0" w:color="auto"/>
            <w:left w:val="none" w:sz="0" w:space="0" w:color="auto"/>
            <w:bottom w:val="none" w:sz="0" w:space="0" w:color="auto"/>
            <w:right w:val="none" w:sz="0" w:space="0" w:color="auto"/>
          </w:divBdr>
        </w:div>
        <w:div w:id="453409049">
          <w:marLeft w:val="0"/>
          <w:marRight w:val="0"/>
          <w:marTop w:val="0"/>
          <w:marBottom w:val="0"/>
          <w:divBdr>
            <w:top w:val="none" w:sz="0" w:space="0" w:color="auto"/>
            <w:left w:val="none" w:sz="0" w:space="0" w:color="auto"/>
            <w:bottom w:val="none" w:sz="0" w:space="0" w:color="auto"/>
            <w:right w:val="none" w:sz="0" w:space="0" w:color="auto"/>
          </w:divBdr>
        </w:div>
        <w:div w:id="1293633974">
          <w:marLeft w:val="0"/>
          <w:marRight w:val="0"/>
          <w:marTop w:val="0"/>
          <w:marBottom w:val="0"/>
          <w:divBdr>
            <w:top w:val="none" w:sz="0" w:space="0" w:color="auto"/>
            <w:left w:val="none" w:sz="0" w:space="0" w:color="auto"/>
            <w:bottom w:val="none" w:sz="0" w:space="0" w:color="auto"/>
            <w:right w:val="none" w:sz="0" w:space="0" w:color="auto"/>
          </w:divBdr>
        </w:div>
      </w:divsChild>
    </w:div>
    <w:div w:id="1618950658">
      <w:marLeft w:val="0"/>
      <w:marRight w:val="0"/>
      <w:marTop w:val="0"/>
      <w:marBottom w:val="0"/>
      <w:divBdr>
        <w:top w:val="none" w:sz="0" w:space="0" w:color="auto"/>
        <w:left w:val="none" w:sz="0" w:space="0" w:color="auto"/>
        <w:bottom w:val="none" w:sz="0" w:space="0" w:color="auto"/>
        <w:right w:val="none" w:sz="0" w:space="0" w:color="auto"/>
      </w:divBdr>
      <w:divsChild>
        <w:div w:id="1506627158">
          <w:marLeft w:val="0"/>
          <w:marRight w:val="0"/>
          <w:marTop w:val="0"/>
          <w:marBottom w:val="0"/>
          <w:divBdr>
            <w:top w:val="none" w:sz="0" w:space="0" w:color="auto"/>
            <w:left w:val="none" w:sz="0" w:space="0" w:color="auto"/>
            <w:bottom w:val="none" w:sz="0" w:space="0" w:color="auto"/>
            <w:right w:val="none" w:sz="0" w:space="0" w:color="auto"/>
          </w:divBdr>
        </w:div>
      </w:divsChild>
    </w:div>
    <w:div w:id="1620451654">
      <w:marLeft w:val="0"/>
      <w:marRight w:val="0"/>
      <w:marTop w:val="0"/>
      <w:marBottom w:val="0"/>
      <w:divBdr>
        <w:top w:val="none" w:sz="0" w:space="0" w:color="auto"/>
        <w:left w:val="none" w:sz="0" w:space="0" w:color="auto"/>
        <w:bottom w:val="none" w:sz="0" w:space="0" w:color="auto"/>
        <w:right w:val="none" w:sz="0" w:space="0" w:color="auto"/>
      </w:divBdr>
      <w:divsChild>
        <w:div w:id="1127548464">
          <w:marLeft w:val="0"/>
          <w:marRight w:val="0"/>
          <w:marTop w:val="0"/>
          <w:marBottom w:val="0"/>
          <w:divBdr>
            <w:top w:val="none" w:sz="0" w:space="0" w:color="auto"/>
            <w:left w:val="none" w:sz="0" w:space="0" w:color="auto"/>
            <w:bottom w:val="none" w:sz="0" w:space="0" w:color="auto"/>
            <w:right w:val="none" w:sz="0" w:space="0" w:color="auto"/>
          </w:divBdr>
        </w:div>
      </w:divsChild>
    </w:div>
    <w:div w:id="1623268456">
      <w:marLeft w:val="0"/>
      <w:marRight w:val="0"/>
      <w:marTop w:val="80"/>
      <w:marBottom w:val="0"/>
      <w:divBdr>
        <w:top w:val="none" w:sz="0" w:space="0" w:color="auto"/>
        <w:left w:val="none" w:sz="0" w:space="0" w:color="auto"/>
        <w:bottom w:val="none" w:sz="0" w:space="0" w:color="auto"/>
        <w:right w:val="none" w:sz="0" w:space="0" w:color="auto"/>
      </w:divBdr>
    </w:div>
    <w:div w:id="1626037396">
      <w:marLeft w:val="0"/>
      <w:marRight w:val="0"/>
      <w:marTop w:val="0"/>
      <w:marBottom w:val="0"/>
      <w:divBdr>
        <w:top w:val="none" w:sz="0" w:space="0" w:color="auto"/>
        <w:left w:val="none" w:sz="0" w:space="0" w:color="auto"/>
        <w:bottom w:val="none" w:sz="0" w:space="0" w:color="auto"/>
        <w:right w:val="none" w:sz="0" w:space="0" w:color="auto"/>
      </w:divBdr>
    </w:div>
    <w:div w:id="1628776875">
      <w:marLeft w:val="0"/>
      <w:marRight w:val="0"/>
      <w:marTop w:val="0"/>
      <w:marBottom w:val="0"/>
      <w:divBdr>
        <w:top w:val="none" w:sz="0" w:space="0" w:color="auto"/>
        <w:left w:val="none" w:sz="0" w:space="0" w:color="auto"/>
        <w:bottom w:val="none" w:sz="0" w:space="0" w:color="auto"/>
        <w:right w:val="none" w:sz="0" w:space="0" w:color="auto"/>
      </w:divBdr>
    </w:div>
    <w:div w:id="1630550471">
      <w:marLeft w:val="0"/>
      <w:marRight w:val="0"/>
      <w:marTop w:val="0"/>
      <w:marBottom w:val="0"/>
      <w:divBdr>
        <w:top w:val="none" w:sz="0" w:space="0" w:color="auto"/>
        <w:left w:val="none" w:sz="0" w:space="0" w:color="auto"/>
        <w:bottom w:val="none" w:sz="0" w:space="0" w:color="auto"/>
        <w:right w:val="none" w:sz="0" w:space="0" w:color="auto"/>
      </w:divBdr>
    </w:div>
    <w:div w:id="1631280945">
      <w:marLeft w:val="0"/>
      <w:marRight w:val="0"/>
      <w:marTop w:val="0"/>
      <w:marBottom w:val="0"/>
      <w:divBdr>
        <w:top w:val="none" w:sz="0" w:space="0" w:color="auto"/>
        <w:left w:val="none" w:sz="0" w:space="0" w:color="auto"/>
        <w:bottom w:val="none" w:sz="0" w:space="0" w:color="auto"/>
        <w:right w:val="none" w:sz="0" w:space="0" w:color="auto"/>
      </w:divBdr>
    </w:div>
    <w:div w:id="1634676092">
      <w:marLeft w:val="0"/>
      <w:marRight w:val="0"/>
      <w:marTop w:val="0"/>
      <w:marBottom w:val="0"/>
      <w:divBdr>
        <w:top w:val="none" w:sz="0" w:space="0" w:color="auto"/>
        <w:left w:val="none" w:sz="0" w:space="0" w:color="auto"/>
        <w:bottom w:val="none" w:sz="0" w:space="0" w:color="auto"/>
        <w:right w:val="none" w:sz="0" w:space="0" w:color="auto"/>
      </w:divBdr>
    </w:div>
    <w:div w:id="1635524165">
      <w:marLeft w:val="0"/>
      <w:marRight w:val="0"/>
      <w:marTop w:val="0"/>
      <w:marBottom w:val="0"/>
      <w:divBdr>
        <w:top w:val="none" w:sz="0" w:space="0" w:color="auto"/>
        <w:left w:val="none" w:sz="0" w:space="0" w:color="auto"/>
        <w:bottom w:val="none" w:sz="0" w:space="0" w:color="auto"/>
        <w:right w:val="none" w:sz="0" w:space="0" w:color="auto"/>
      </w:divBdr>
      <w:divsChild>
        <w:div w:id="60178379">
          <w:marLeft w:val="0"/>
          <w:marRight w:val="0"/>
          <w:marTop w:val="0"/>
          <w:marBottom w:val="0"/>
          <w:divBdr>
            <w:top w:val="none" w:sz="0" w:space="0" w:color="auto"/>
            <w:left w:val="none" w:sz="0" w:space="0" w:color="auto"/>
            <w:bottom w:val="none" w:sz="0" w:space="0" w:color="auto"/>
            <w:right w:val="none" w:sz="0" w:space="0" w:color="auto"/>
          </w:divBdr>
        </w:div>
      </w:divsChild>
    </w:div>
    <w:div w:id="1636913412">
      <w:marLeft w:val="0"/>
      <w:marRight w:val="0"/>
      <w:marTop w:val="100"/>
      <w:marBottom w:val="0"/>
      <w:divBdr>
        <w:top w:val="none" w:sz="0" w:space="0" w:color="auto"/>
        <w:left w:val="none" w:sz="0" w:space="0" w:color="auto"/>
        <w:bottom w:val="none" w:sz="0" w:space="0" w:color="auto"/>
        <w:right w:val="none" w:sz="0" w:space="0" w:color="auto"/>
      </w:divBdr>
      <w:divsChild>
        <w:div w:id="1274479790">
          <w:marLeft w:val="0"/>
          <w:marRight w:val="0"/>
          <w:marTop w:val="0"/>
          <w:marBottom w:val="20"/>
          <w:divBdr>
            <w:top w:val="none" w:sz="0" w:space="0" w:color="auto"/>
            <w:left w:val="none" w:sz="0" w:space="0" w:color="auto"/>
            <w:bottom w:val="none" w:sz="0" w:space="0" w:color="auto"/>
            <w:right w:val="none" w:sz="0" w:space="0" w:color="auto"/>
          </w:divBdr>
        </w:div>
        <w:div w:id="390202882">
          <w:marLeft w:val="0"/>
          <w:marRight w:val="0"/>
          <w:marTop w:val="0"/>
          <w:marBottom w:val="20"/>
          <w:divBdr>
            <w:top w:val="none" w:sz="0" w:space="0" w:color="auto"/>
            <w:left w:val="none" w:sz="0" w:space="0" w:color="auto"/>
            <w:bottom w:val="none" w:sz="0" w:space="0" w:color="auto"/>
            <w:right w:val="none" w:sz="0" w:space="0" w:color="auto"/>
          </w:divBdr>
        </w:div>
        <w:div w:id="293222812">
          <w:marLeft w:val="0"/>
          <w:marRight w:val="0"/>
          <w:marTop w:val="0"/>
          <w:marBottom w:val="20"/>
          <w:divBdr>
            <w:top w:val="none" w:sz="0" w:space="0" w:color="auto"/>
            <w:left w:val="none" w:sz="0" w:space="0" w:color="auto"/>
            <w:bottom w:val="none" w:sz="0" w:space="0" w:color="auto"/>
            <w:right w:val="none" w:sz="0" w:space="0" w:color="auto"/>
          </w:divBdr>
        </w:div>
        <w:div w:id="787361719">
          <w:marLeft w:val="0"/>
          <w:marRight w:val="0"/>
          <w:marTop w:val="0"/>
          <w:marBottom w:val="20"/>
          <w:divBdr>
            <w:top w:val="none" w:sz="0" w:space="0" w:color="auto"/>
            <w:left w:val="none" w:sz="0" w:space="0" w:color="auto"/>
            <w:bottom w:val="none" w:sz="0" w:space="0" w:color="auto"/>
            <w:right w:val="none" w:sz="0" w:space="0" w:color="auto"/>
          </w:divBdr>
        </w:div>
        <w:div w:id="522984084">
          <w:marLeft w:val="0"/>
          <w:marRight w:val="0"/>
          <w:marTop w:val="0"/>
          <w:marBottom w:val="20"/>
          <w:divBdr>
            <w:top w:val="none" w:sz="0" w:space="0" w:color="auto"/>
            <w:left w:val="none" w:sz="0" w:space="0" w:color="auto"/>
            <w:bottom w:val="none" w:sz="0" w:space="0" w:color="auto"/>
            <w:right w:val="none" w:sz="0" w:space="0" w:color="auto"/>
          </w:divBdr>
        </w:div>
        <w:div w:id="897547708">
          <w:marLeft w:val="0"/>
          <w:marRight w:val="0"/>
          <w:marTop w:val="0"/>
          <w:marBottom w:val="20"/>
          <w:divBdr>
            <w:top w:val="none" w:sz="0" w:space="0" w:color="auto"/>
            <w:left w:val="none" w:sz="0" w:space="0" w:color="auto"/>
            <w:bottom w:val="none" w:sz="0" w:space="0" w:color="auto"/>
            <w:right w:val="none" w:sz="0" w:space="0" w:color="auto"/>
          </w:divBdr>
        </w:div>
        <w:div w:id="1064720878">
          <w:marLeft w:val="0"/>
          <w:marRight w:val="0"/>
          <w:marTop w:val="0"/>
          <w:marBottom w:val="20"/>
          <w:divBdr>
            <w:top w:val="none" w:sz="0" w:space="0" w:color="auto"/>
            <w:left w:val="none" w:sz="0" w:space="0" w:color="auto"/>
            <w:bottom w:val="none" w:sz="0" w:space="0" w:color="auto"/>
            <w:right w:val="none" w:sz="0" w:space="0" w:color="auto"/>
          </w:divBdr>
        </w:div>
        <w:div w:id="822430859">
          <w:marLeft w:val="0"/>
          <w:marRight w:val="0"/>
          <w:marTop w:val="0"/>
          <w:marBottom w:val="20"/>
          <w:divBdr>
            <w:top w:val="none" w:sz="0" w:space="0" w:color="auto"/>
            <w:left w:val="none" w:sz="0" w:space="0" w:color="auto"/>
            <w:bottom w:val="none" w:sz="0" w:space="0" w:color="auto"/>
            <w:right w:val="none" w:sz="0" w:space="0" w:color="auto"/>
          </w:divBdr>
        </w:div>
      </w:divsChild>
    </w:div>
    <w:div w:id="1637101711">
      <w:marLeft w:val="0"/>
      <w:marRight w:val="0"/>
      <w:marTop w:val="0"/>
      <w:marBottom w:val="0"/>
      <w:divBdr>
        <w:top w:val="none" w:sz="0" w:space="0" w:color="auto"/>
        <w:left w:val="none" w:sz="0" w:space="0" w:color="auto"/>
        <w:bottom w:val="none" w:sz="0" w:space="0" w:color="auto"/>
        <w:right w:val="none" w:sz="0" w:space="0" w:color="auto"/>
      </w:divBdr>
    </w:div>
    <w:div w:id="1637636811">
      <w:marLeft w:val="0"/>
      <w:marRight w:val="0"/>
      <w:marTop w:val="0"/>
      <w:marBottom w:val="0"/>
      <w:divBdr>
        <w:top w:val="none" w:sz="0" w:space="0" w:color="auto"/>
        <w:left w:val="none" w:sz="0" w:space="0" w:color="auto"/>
        <w:bottom w:val="none" w:sz="0" w:space="0" w:color="auto"/>
        <w:right w:val="none" w:sz="0" w:space="0" w:color="auto"/>
      </w:divBdr>
    </w:div>
    <w:div w:id="1637681997">
      <w:marLeft w:val="0"/>
      <w:marRight w:val="0"/>
      <w:marTop w:val="0"/>
      <w:marBottom w:val="0"/>
      <w:divBdr>
        <w:top w:val="none" w:sz="0" w:space="0" w:color="auto"/>
        <w:left w:val="none" w:sz="0" w:space="0" w:color="auto"/>
        <w:bottom w:val="none" w:sz="0" w:space="0" w:color="auto"/>
        <w:right w:val="none" w:sz="0" w:space="0" w:color="auto"/>
      </w:divBdr>
    </w:div>
    <w:div w:id="1639260131">
      <w:marLeft w:val="0"/>
      <w:marRight w:val="0"/>
      <w:marTop w:val="0"/>
      <w:marBottom w:val="0"/>
      <w:divBdr>
        <w:top w:val="none" w:sz="0" w:space="0" w:color="auto"/>
        <w:left w:val="none" w:sz="0" w:space="0" w:color="auto"/>
        <w:bottom w:val="none" w:sz="0" w:space="0" w:color="auto"/>
        <w:right w:val="none" w:sz="0" w:space="0" w:color="auto"/>
      </w:divBdr>
      <w:divsChild>
        <w:div w:id="191235025">
          <w:marLeft w:val="0"/>
          <w:marRight w:val="0"/>
          <w:marTop w:val="0"/>
          <w:marBottom w:val="0"/>
          <w:divBdr>
            <w:top w:val="none" w:sz="0" w:space="0" w:color="auto"/>
            <w:left w:val="none" w:sz="0" w:space="0" w:color="auto"/>
            <w:bottom w:val="none" w:sz="0" w:space="0" w:color="auto"/>
            <w:right w:val="none" w:sz="0" w:space="0" w:color="auto"/>
          </w:divBdr>
        </w:div>
      </w:divsChild>
    </w:div>
    <w:div w:id="1640112749">
      <w:marLeft w:val="0"/>
      <w:marRight w:val="0"/>
      <w:marTop w:val="0"/>
      <w:marBottom w:val="0"/>
      <w:divBdr>
        <w:top w:val="none" w:sz="0" w:space="0" w:color="auto"/>
        <w:left w:val="none" w:sz="0" w:space="0" w:color="auto"/>
        <w:bottom w:val="none" w:sz="0" w:space="0" w:color="auto"/>
        <w:right w:val="none" w:sz="0" w:space="0" w:color="auto"/>
      </w:divBdr>
      <w:divsChild>
        <w:div w:id="1770392389">
          <w:marLeft w:val="0"/>
          <w:marRight w:val="0"/>
          <w:marTop w:val="0"/>
          <w:marBottom w:val="0"/>
          <w:divBdr>
            <w:top w:val="none" w:sz="0" w:space="0" w:color="auto"/>
            <w:left w:val="none" w:sz="0" w:space="0" w:color="auto"/>
            <w:bottom w:val="none" w:sz="0" w:space="0" w:color="auto"/>
            <w:right w:val="none" w:sz="0" w:space="0" w:color="auto"/>
          </w:divBdr>
        </w:div>
      </w:divsChild>
    </w:div>
    <w:div w:id="1640962368">
      <w:marLeft w:val="0"/>
      <w:marRight w:val="0"/>
      <w:marTop w:val="0"/>
      <w:marBottom w:val="0"/>
      <w:divBdr>
        <w:top w:val="none" w:sz="0" w:space="0" w:color="auto"/>
        <w:left w:val="none" w:sz="0" w:space="0" w:color="auto"/>
        <w:bottom w:val="none" w:sz="0" w:space="0" w:color="auto"/>
        <w:right w:val="none" w:sz="0" w:space="0" w:color="auto"/>
      </w:divBdr>
    </w:div>
    <w:div w:id="1646200443">
      <w:marLeft w:val="0"/>
      <w:marRight w:val="0"/>
      <w:marTop w:val="0"/>
      <w:marBottom w:val="0"/>
      <w:divBdr>
        <w:top w:val="none" w:sz="0" w:space="0" w:color="auto"/>
        <w:left w:val="none" w:sz="0" w:space="0" w:color="auto"/>
        <w:bottom w:val="none" w:sz="0" w:space="0" w:color="auto"/>
        <w:right w:val="none" w:sz="0" w:space="0" w:color="auto"/>
      </w:divBdr>
      <w:divsChild>
        <w:div w:id="2074616056">
          <w:marLeft w:val="0"/>
          <w:marRight w:val="0"/>
          <w:marTop w:val="0"/>
          <w:marBottom w:val="0"/>
          <w:divBdr>
            <w:top w:val="none" w:sz="0" w:space="0" w:color="auto"/>
            <w:left w:val="none" w:sz="0" w:space="0" w:color="auto"/>
            <w:bottom w:val="none" w:sz="0" w:space="0" w:color="auto"/>
            <w:right w:val="none" w:sz="0" w:space="0" w:color="auto"/>
          </w:divBdr>
        </w:div>
      </w:divsChild>
    </w:div>
    <w:div w:id="1646277139">
      <w:marLeft w:val="0"/>
      <w:marRight w:val="0"/>
      <w:marTop w:val="0"/>
      <w:marBottom w:val="0"/>
      <w:divBdr>
        <w:top w:val="none" w:sz="0" w:space="0" w:color="auto"/>
        <w:left w:val="none" w:sz="0" w:space="0" w:color="auto"/>
        <w:bottom w:val="none" w:sz="0" w:space="0" w:color="auto"/>
        <w:right w:val="none" w:sz="0" w:space="0" w:color="auto"/>
      </w:divBdr>
      <w:divsChild>
        <w:div w:id="2120106034">
          <w:marLeft w:val="0"/>
          <w:marRight w:val="0"/>
          <w:marTop w:val="0"/>
          <w:marBottom w:val="0"/>
          <w:divBdr>
            <w:top w:val="none" w:sz="0" w:space="0" w:color="auto"/>
            <w:left w:val="none" w:sz="0" w:space="0" w:color="auto"/>
            <w:bottom w:val="none" w:sz="0" w:space="0" w:color="auto"/>
            <w:right w:val="none" w:sz="0" w:space="0" w:color="auto"/>
          </w:divBdr>
        </w:div>
      </w:divsChild>
    </w:div>
    <w:div w:id="1648046004">
      <w:marLeft w:val="0"/>
      <w:marRight w:val="0"/>
      <w:marTop w:val="0"/>
      <w:marBottom w:val="0"/>
      <w:divBdr>
        <w:top w:val="none" w:sz="0" w:space="0" w:color="auto"/>
        <w:left w:val="none" w:sz="0" w:space="0" w:color="auto"/>
        <w:bottom w:val="none" w:sz="0" w:space="0" w:color="auto"/>
        <w:right w:val="none" w:sz="0" w:space="0" w:color="auto"/>
      </w:divBdr>
      <w:divsChild>
        <w:div w:id="357194634">
          <w:marLeft w:val="0"/>
          <w:marRight w:val="0"/>
          <w:marTop w:val="0"/>
          <w:marBottom w:val="0"/>
          <w:divBdr>
            <w:top w:val="none" w:sz="0" w:space="0" w:color="auto"/>
            <w:left w:val="none" w:sz="0" w:space="0" w:color="auto"/>
            <w:bottom w:val="none" w:sz="0" w:space="0" w:color="auto"/>
            <w:right w:val="none" w:sz="0" w:space="0" w:color="auto"/>
          </w:divBdr>
        </w:div>
      </w:divsChild>
    </w:div>
    <w:div w:id="1649285507">
      <w:marLeft w:val="0"/>
      <w:marRight w:val="0"/>
      <w:marTop w:val="0"/>
      <w:marBottom w:val="0"/>
      <w:divBdr>
        <w:top w:val="none" w:sz="0" w:space="0" w:color="auto"/>
        <w:left w:val="none" w:sz="0" w:space="0" w:color="auto"/>
        <w:bottom w:val="none" w:sz="0" w:space="0" w:color="auto"/>
        <w:right w:val="none" w:sz="0" w:space="0" w:color="auto"/>
      </w:divBdr>
    </w:div>
    <w:div w:id="1649625135">
      <w:marLeft w:val="0"/>
      <w:marRight w:val="0"/>
      <w:marTop w:val="0"/>
      <w:marBottom w:val="0"/>
      <w:divBdr>
        <w:top w:val="none" w:sz="0" w:space="0" w:color="auto"/>
        <w:left w:val="none" w:sz="0" w:space="0" w:color="auto"/>
        <w:bottom w:val="none" w:sz="0" w:space="0" w:color="auto"/>
        <w:right w:val="none" w:sz="0" w:space="0" w:color="auto"/>
      </w:divBdr>
    </w:div>
    <w:div w:id="1651053540">
      <w:marLeft w:val="0"/>
      <w:marRight w:val="0"/>
      <w:marTop w:val="0"/>
      <w:marBottom w:val="0"/>
      <w:divBdr>
        <w:top w:val="none" w:sz="0" w:space="0" w:color="auto"/>
        <w:left w:val="none" w:sz="0" w:space="0" w:color="auto"/>
        <w:bottom w:val="none" w:sz="0" w:space="0" w:color="auto"/>
        <w:right w:val="none" w:sz="0" w:space="0" w:color="auto"/>
      </w:divBdr>
    </w:div>
    <w:div w:id="1652518932">
      <w:marLeft w:val="0"/>
      <w:marRight w:val="0"/>
      <w:marTop w:val="0"/>
      <w:marBottom w:val="0"/>
      <w:divBdr>
        <w:top w:val="none" w:sz="0" w:space="0" w:color="auto"/>
        <w:left w:val="none" w:sz="0" w:space="0" w:color="auto"/>
        <w:bottom w:val="none" w:sz="0" w:space="0" w:color="auto"/>
        <w:right w:val="none" w:sz="0" w:space="0" w:color="auto"/>
      </w:divBdr>
    </w:div>
    <w:div w:id="1653678350">
      <w:marLeft w:val="0"/>
      <w:marRight w:val="0"/>
      <w:marTop w:val="0"/>
      <w:marBottom w:val="0"/>
      <w:divBdr>
        <w:top w:val="none" w:sz="0" w:space="0" w:color="auto"/>
        <w:left w:val="none" w:sz="0" w:space="0" w:color="auto"/>
        <w:bottom w:val="none" w:sz="0" w:space="0" w:color="auto"/>
        <w:right w:val="none" w:sz="0" w:space="0" w:color="auto"/>
      </w:divBdr>
    </w:div>
    <w:div w:id="1654673872">
      <w:marLeft w:val="0"/>
      <w:marRight w:val="0"/>
      <w:marTop w:val="160"/>
      <w:marBottom w:val="0"/>
      <w:divBdr>
        <w:top w:val="none" w:sz="0" w:space="0" w:color="auto"/>
        <w:left w:val="none" w:sz="0" w:space="0" w:color="auto"/>
        <w:bottom w:val="none" w:sz="0" w:space="0" w:color="auto"/>
        <w:right w:val="none" w:sz="0" w:space="0" w:color="auto"/>
      </w:divBdr>
      <w:divsChild>
        <w:div w:id="1973439450">
          <w:marLeft w:val="0"/>
          <w:marRight w:val="0"/>
          <w:marTop w:val="180"/>
          <w:marBottom w:val="0"/>
          <w:divBdr>
            <w:top w:val="none" w:sz="0" w:space="0" w:color="auto"/>
            <w:left w:val="none" w:sz="0" w:space="0" w:color="auto"/>
            <w:bottom w:val="none" w:sz="0" w:space="0" w:color="auto"/>
            <w:right w:val="none" w:sz="0" w:space="0" w:color="auto"/>
          </w:divBdr>
        </w:div>
        <w:div w:id="232354740">
          <w:marLeft w:val="0"/>
          <w:marRight w:val="0"/>
          <w:marTop w:val="180"/>
          <w:marBottom w:val="0"/>
          <w:divBdr>
            <w:top w:val="none" w:sz="0" w:space="0" w:color="auto"/>
            <w:left w:val="none" w:sz="0" w:space="0" w:color="auto"/>
            <w:bottom w:val="none" w:sz="0" w:space="0" w:color="auto"/>
            <w:right w:val="none" w:sz="0" w:space="0" w:color="auto"/>
          </w:divBdr>
        </w:div>
        <w:div w:id="1704287607">
          <w:marLeft w:val="0"/>
          <w:marRight w:val="0"/>
          <w:marTop w:val="180"/>
          <w:marBottom w:val="0"/>
          <w:divBdr>
            <w:top w:val="none" w:sz="0" w:space="0" w:color="auto"/>
            <w:left w:val="none" w:sz="0" w:space="0" w:color="auto"/>
            <w:bottom w:val="none" w:sz="0" w:space="0" w:color="auto"/>
            <w:right w:val="none" w:sz="0" w:space="0" w:color="auto"/>
          </w:divBdr>
        </w:div>
        <w:div w:id="1232547481">
          <w:marLeft w:val="0"/>
          <w:marRight w:val="0"/>
          <w:marTop w:val="180"/>
          <w:marBottom w:val="0"/>
          <w:divBdr>
            <w:top w:val="none" w:sz="0" w:space="0" w:color="auto"/>
            <w:left w:val="none" w:sz="0" w:space="0" w:color="auto"/>
            <w:bottom w:val="none" w:sz="0" w:space="0" w:color="auto"/>
            <w:right w:val="none" w:sz="0" w:space="0" w:color="auto"/>
          </w:divBdr>
        </w:div>
        <w:div w:id="800154757">
          <w:marLeft w:val="0"/>
          <w:marRight w:val="0"/>
          <w:marTop w:val="180"/>
          <w:marBottom w:val="0"/>
          <w:divBdr>
            <w:top w:val="none" w:sz="0" w:space="0" w:color="auto"/>
            <w:left w:val="none" w:sz="0" w:space="0" w:color="auto"/>
            <w:bottom w:val="none" w:sz="0" w:space="0" w:color="auto"/>
            <w:right w:val="none" w:sz="0" w:space="0" w:color="auto"/>
          </w:divBdr>
        </w:div>
        <w:div w:id="1889955423">
          <w:marLeft w:val="0"/>
          <w:marRight w:val="0"/>
          <w:marTop w:val="180"/>
          <w:marBottom w:val="0"/>
          <w:divBdr>
            <w:top w:val="none" w:sz="0" w:space="0" w:color="auto"/>
            <w:left w:val="none" w:sz="0" w:space="0" w:color="auto"/>
            <w:bottom w:val="none" w:sz="0" w:space="0" w:color="auto"/>
            <w:right w:val="none" w:sz="0" w:space="0" w:color="auto"/>
          </w:divBdr>
        </w:div>
        <w:div w:id="1275408555">
          <w:marLeft w:val="0"/>
          <w:marRight w:val="0"/>
          <w:marTop w:val="180"/>
          <w:marBottom w:val="0"/>
          <w:divBdr>
            <w:top w:val="none" w:sz="0" w:space="0" w:color="auto"/>
            <w:left w:val="none" w:sz="0" w:space="0" w:color="auto"/>
            <w:bottom w:val="none" w:sz="0" w:space="0" w:color="auto"/>
            <w:right w:val="none" w:sz="0" w:space="0" w:color="auto"/>
          </w:divBdr>
        </w:div>
        <w:div w:id="904990639">
          <w:marLeft w:val="0"/>
          <w:marRight w:val="0"/>
          <w:marTop w:val="180"/>
          <w:marBottom w:val="0"/>
          <w:divBdr>
            <w:top w:val="none" w:sz="0" w:space="0" w:color="auto"/>
            <w:left w:val="none" w:sz="0" w:space="0" w:color="auto"/>
            <w:bottom w:val="none" w:sz="0" w:space="0" w:color="auto"/>
            <w:right w:val="none" w:sz="0" w:space="0" w:color="auto"/>
          </w:divBdr>
        </w:div>
        <w:div w:id="992681245">
          <w:marLeft w:val="0"/>
          <w:marRight w:val="0"/>
          <w:marTop w:val="180"/>
          <w:marBottom w:val="0"/>
          <w:divBdr>
            <w:top w:val="none" w:sz="0" w:space="0" w:color="auto"/>
            <w:left w:val="none" w:sz="0" w:space="0" w:color="auto"/>
            <w:bottom w:val="none" w:sz="0" w:space="0" w:color="auto"/>
            <w:right w:val="none" w:sz="0" w:space="0" w:color="auto"/>
          </w:divBdr>
        </w:div>
        <w:div w:id="1885751908">
          <w:marLeft w:val="0"/>
          <w:marRight w:val="0"/>
          <w:marTop w:val="180"/>
          <w:marBottom w:val="0"/>
          <w:divBdr>
            <w:top w:val="none" w:sz="0" w:space="0" w:color="auto"/>
            <w:left w:val="none" w:sz="0" w:space="0" w:color="auto"/>
            <w:bottom w:val="none" w:sz="0" w:space="0" w:color="auto"/>
            <w:right w:val="none" w:sz="0" w:space="0" w:color="auto"/>
          </w:divBdr>
        </w:div>
      </w:divsChild>
    </w:div>
    <w:div w:id="1658799102">
      <w:marLeft w:val="0"/>
      <w:marRight w:val="0"/>
      <w:marTop w:val="100"/>
      <w:marBottom w:val="0"/>
      <w:divBdr>
        <w:top w:val="none" w:sz="0" w:space="0" w:color="auto"/>
        <w:left w:val="none" w:sz="0" w:space="0" w:color="auto"/>
        <w:bottom w:val="none" w:sz="0" w:space="0" w:color="auto"/>
        <w:right w:val="none" w:sz="0" w:space="0" w:color="auto"/>
      </w:divBdr>
    </w:div>
    <w:div w:id="1663392485">
      <w:marLeft w:val="0"/>
      <w:marRight w:val="0"/>
      <w:marTop w:val="0"/>
      <w:marBottom w:val="0"/>
      <w:divBdr>
        <w:top w:val="none" w:sz="0" w:space="0" w:color="auto"/>
        <w:left w:val="none" w:sz="0" w:space="0" w:color="auto"/>
        <w:bottom w:val="none" w:sz="0" w:space="0" w:color="auto"/>
        <w:right w:val="none" w:sz="0" w:space="0" w:color="auto"/>
      </w:divBdr>
    </w:div>
    <w:div w:id="1665161210">
      <w:marLeft w:val="0"/>
      <w:marRight w:val="0"/>
      <w:marTop w:val="0"/>
      <w:marBottom w:val="0"/>
      <w:divBdr>
        <w:top w:val="none" w:sz="0" w:space="0" w:color="auto"/>
        <w:left w:val="none" w:sz="0" w:space="0" w:color="auto"/>
        <w:bottom w:val="none" w:sz="0" w:space="0" w:color="auto"/>
        <w:right w:val="none" w:sz="0" w:space="0" w:color="auto"/>
      </w:divBdr>
      <w:divsChild>
        <w:div w:id="912661365">
          <w:marLeft w:val="0"/>
          <w:marRight w:val="0"/>
          <w:marTop w:val="0"/>
          <w:marBottom w:val="0"/>
          <w:divBdr>
            <w:top w:val="none" w:sz="0" w:space="0" w:color="auto"/>
            <w:left w:val="none" w:sz="0" w:space="0" w:color="auto"/>
            <w:bottom w:val="none" w:sz="0" w:space="0" w:color="auto"/>
            <w:right w:val="none" w:sz="0" w:space="0" w:color="auto"/>
          </w:divBdr>
        </w:div>
      </w:divsChild>
    </w:div>
    <w:div w:id="1673533907">
      <w:marLeft w:val="0"/>
      <w:marRight w:val="0"/>
      <w:marTop w:val="0"/>
      <w:marBottom w:val="0"/>
      <w:divBdr>
        <w:top w:val="none" w:sz="0" w:space="0" w:color="auto"/>
        <w:left w:val="none" w:sz="0" w:space="0" w:color="auto"/>
        <w:bottom w:val="none" w:sz="0" w:space="0" w:color="auto"/>
        <w:right w:val="none" w:sz="0" w:space="0" w:color="auto"/>
      </w:divBdr>
    </w:div>
    <w:div w:id="1685277103">
      <w:marLeft w:val="0"/>
      <w:marRight w:val="0"/>
      <w:marTop w:val="60"/>
      <w:marBottom w:val="0"/>
      <w:divBdr>
        <w:top w:val="none" w:sz="0" w:space="0" w:color="auto"/>
        <w:left w:val="none" w:sz="0" w:space="0" w:color="auto"/>
        <w:bottom w:val="none" w:sz="0" w:space="0" w:color="auto"/>
        <w:right w:val="none" w:sz="0" w:space="0" w:color="auto"/>
      </w:divBdr>
    </w:div>
    <w:div w:id="1685401830">
      <w:marLeft w:val="0"/>
      <w:marRight w:val="0"/>
      <w:marTop w:val="0"/>
      <w:marBottom w:val="0"/>
      <w:divBdr>
        <w:top w:val="none" w:sz="0" w:space="0" w:color="auto"/>
        <w:left w:val="none" w:sz="0" w:space="0" w:color="auto"/>
        <w:bottom w:val="none" w:sz="0" w:space="0" w:color="auto"/>
        <w:right w:val="none" w:sz="0" w:space="0" w:color="auto"/>
      </w:divBdr>
    </w:div>
    <w:div w:id="1688020274">
      <w:marLeft w:val="0"/>
      <w:marRight w:val="0"/>
      <w:marTop w:val="0"/>
      <w:marBottom w:val="0"/>
      <w:divBdr>
        <w:top w:val="none" w:sz="0" w:space="0" w:color="auto"/>
        <w:left w:val="none" w:sz="0" w:space="0" w:color="auto"/>
        <w:bottom w:val="none" w:sz="0" w:space="0" w:color="auto"/>
        <w:right w:val="none" w:sz="0" w:space="0" w:color="auto"/>
      </w:divBdr>
    </w:div>
    <w:div w:id="1688364879">
      <w:marLeft w:val="0"/>
      <w:marRight w:val="0"/>
      <w:marTop w:val="0"/>
      <w:marBottom w:val="0"/>
      <w:divBdr>
        <w:top w:val="none" w:sz="0" w:space="0" w:color="auto"/>
        <w:left w:val="none" w:sz="0" w:space="0" w:color="auto"/>
        <w:bottom w:val="none" w:sz="0" w:space="0" w:color="auto"/>
        <w:right w:val="none" w:sz="0" w:space="0" w:color="auto"/>
      </w:divBdr>
      <w:divsChild>
        <w:div w:id="146409715">
          <w:marLeft w:val="0"/>
          <w:marRight w:val="0"/>
          <w:marTop w:val="0"/>
          <w:marBottom w:val="0"/>
          <w:divBdr>
            <w:top w:val="none" w:sz="0" w:space="0" w:color="auto"/>
            <w:left w:val="none" w:sz="0" w:space="0" w:color="auto"/>
            <w:bottom w:val="none" w:sz="0" w:space="0" w:color="auto"/>
            <w:right w:val="none" w:sz="0" w:space="0" w:color="auto"/>
          </w:divBdr>
          <w:divsChild>
            <w:div w:id="2944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9820">
      <w:marLeft w:val="0"/>
      <w:marRight w:val="0"/>
      <w:marTop w:val="0"/>
      <w:marBottom w:val="0"/>
      <w:divBdr>
        <w:top w:val="none" w:sz="0" w:space="0" w:color="auto"/>
        <w:left w:val="none" w:sz="0" w:space="0" w:color="auto"/>
        <w:bottom w:val="none" w:sz="0" w:space="0" w:color="auto"/>
        <w:right w:val="none" w:sz="0" w:space="0" w:color="auto"/>
      </w:divBdr>
    </w:div>
    <w:div w:id="1688872814">
      <w:marLeft w:val="0"/>
      <w:marRight w:val="0"/>
      <w:marTop w:val="0"/>
      <w:marBottom w:val="0"/>
      <w:divBdr>
        <w:top w:val="none" w:sz="0" w:space="0" w:color="auto"/>
        <w:left w:val="none" w:sz="0" w:space="0" w:color="auto"/>
        <w:bottom w:val="none" w:sz="0" w:space="0" w:color="auto"/>
        <w:right w:val="none" w:sz="0" w:space="0" w:color="auto"/>
      </w:divBdr>
    </w:div>
    <w:div w:id="1689136195">
      <w:marLeft w:val="0"/>
      <w:marRight w:val="0"/>
      <w:marTop w:val="180"/>
      <w:marBottom w:val="0"/>
      <w:divBdr>
        <w:top w:val="none" w:sz="0" w:space="0" w:color="auto"/>
        <w:left w:val="none" w:sz="0" w:space="0" w:color="auto"/>
        <w:bottom w:val="none" w:sz="0" w:space="0" w:color="auto"/>
        <w:right w:val="none" w:sz="0" w:space="0" w:color="auto"/>
      </w:divBdr>
    </w:div>
    <w:div w:id="1694577549">
      <w:marLeft w:val="0"/>
      <w:marRight w:val="0"/>
      <w:marTop w:val="0"/>
      <w:marBottom w:val="0"/>
      <w:divBdr>
        <w:top w:val="none" w:sz="0" w:space="0" w:color="auto"/>
        <w:left w:val="none" w:sz="0" w:space="0" w:color="auto"/>
        <w:bottom w:val="none" w:sz="0" w:space="0" w:color="auto"/>
        <w:right w:val="none" w:sz="0" w:space="0" w:color="auto"/>
      </w:divBdr>
    </w:div>
    <w:div w:id="1699700116">
      <w:marLeft w:val="0"/>
      <w:marRight w:val="0"/>
      <w:marTop w:val="100"/>
      <w:marBottom w:val="0"/>
      <w:divBdr>
        <w:top w:val="none" w:sz="0" w:space="0" w:color="auto"/>
        <w:left w:val="none" w:sz="0" w:space="0" w:color="auto"/>
        <w:bottom w:val="none" w:sz="0" w:space="0" w:color="auto"/>
        <w:right w:val="none" w:sz="0" w:space="0" w:color="auto"/>
      </w:divBdr>
    </w:div>
    <w:div w:id="1700931041">
      <w:marLeft w:val="0"/>
      <w:marRight w:val="0"/>
      <w:marTop w:val="0"/>
      <w:marBottom w:val="0"/>
      <w:divBdr>
        <w:top w:val="none" w:sz="0" w:space="0" w:color="auto"/>
        <w:left w:val="none" w:sz="0" w:space="0" w:color="auto"/>
        <w:bottom w:val="none" w:sz="0" w:space="0" w:color="auto"/>
        <w:right w:val="none" w:sz="0" w:space="0" w:color="auto"/>
      </w:divBdr>
    </w:div>
    <w:div w:id="1703898055">
      <w:marLeft w:val="0"/>
      <w:marRight w:val="0"/>
      <w:marTop w:val="100"/>
      <w:marBottom w:val="100"/>
      <w:divBdr>
        <w:top w:val="none" w:sz="0" w:space="0" w:color="auto"/>
        <w:left w:val="none" w:sz="0" w:space="0" w:color="auto"/>
        <w:bottom w:val="none" w:sz="0" w:space="0" w:color="auto"/>
        <w:right w:val="none" w:sz="0" w:space="0" w:color="auto"/>
      </w:divBdr>
    </w:div>
    <w:div w:id="1704594643">
      <w:marLeft w:val="0"/>
      <w:marRight w:val="0"/>
      <w:marTop w:val="0"/>
      <w:marBottom w:val="0"/>
      <w:divBdr>
        <w:top w:val="none" w:sz="0" w:space="0" w:color="auto"/>
        <w:left w:val="none" w:sz="0" w:space="0" w:color="auto"/>
        <w:bottom w:val="none" w:sz="0" w:space="0" w:color="auto"/>
        <w:right w:val="none" w:sz="0" w:space="0" w:color="auto"/>
      </w:divBdr>
    </w:div>
    <w:div w:id="1705979787">
      <w:marLeft w:val="0"/>
      <w:marRight w:val="0"/>
      <w:marTop w:val="0"/>
      <w:marBottom w:val="0"/>
      <w:divBdr>
        <w:top w:val="none" w:sz="0" w:space="0" w:color="auto"/>
        <w:left w:val="none" w:sz="0" w:space="0" w:color="auto"/>
        <w:bottom w:val="none" w:sz="0" w:space="0" w:color="auto"/>
        <w:right w:val="none" w:sz="0" w:space="0" w:color="auto"/>
      </w:divBdr>
    </w:div>
    <w:div w:id="1708800064">
      <w:marLeft w:val="0"/>
      <w:marRight w:val="0"/>
      <w:marTop w:val="60"/>
      <w:marBottom w:val="60"/>
      <w:divBdr>
        <w:top w:val="none" w:sz="0" w:space="0" w:color="auto"/>
        <w:left w:val="none" w:sz="0" w:space="0" w:color="auto"/>
        <w:bottom w:val="none" w:sz="0" w:space="0" w:color="auto"/>
        <w:right w:val="none" w:sz="0" w:space="0" w:color="auto"/>
      </w:divBdr>
    </w:div>
    <w:div w:id="1713074283">
      <w:marLeft w:val="0"/>
      <w:marRight w:val="0"/>
      <w:marTop w:val="0"/>
      <w:marBottom w:val="120"/>
      <w:divBdr>
        <w:top w:val="none" w:sz="0" w:space="0" w:color="auto"/>
        <w:left w:val="none" w:sz="0" w:space="0" w:color="auto"/>
        <w:bottom w:val="none" w:sz="0" w:space="0" w:color="auto"/>
        <w:right w:val="none" w:sz="0" w:space="0" w:color="auto"/>
      </w:divBdr>
    </w:div>
    <w:div w:id="1713726569">
      <w:marLeft w:val="0"/>
      <w:marRight w:val="0"/>
      <w:marTop w:val="0"/>
      <w:marBottom w:val="0"/>
      <w:divBdr>
        <w:top w:val="none" w:sz="0" w:space="0" w:color="auto"/>
        <w:left w:val="none" w:sz="0" w:space="0" w:color="auto"/>
        <w:bottom w:val="none" w:sz="0" w:space="0" w:color="auto"/>
        <w:right w:val="none" w:sz="0" w:space="0" w:color="auto"/>
      </w:divBdr>
    </w:div>
    <w:div w:id="1725641945">
      <w:marLeft w:val="0"/>
      <w:marRight w:val="0"/>
      <w:marTop w:val="0"/>
      <w:marBottom w:val="0"/>
      <w:divBdr>
        <w:top w:val="none" w:sz="0" w:space="0" w:color="auto"/>
        <w:left w:val="none" w:sz="0" w:space="0" w:color="auto"/>
        <w:bottom w:val="none" w:sz="0" w:space="0" w:color="auto"/>
        <w:right w:val="none" w:sz="0" w:space="0" w:color="auto"/>
      </w:divBdr>
      <w:divsChild>
        <w:div w:id="69354690">
          <w:marLeft w:val="0"/>
          <w:marRight w:val="0"/>
          <w:marTop w:val="0"/>
          <w:marBottom w:val="0"/>
          <w:divBdr>
            <w:top w:val="none" w:sz="0" w:space="0" w:color="auto"/>
            <w:left w:val="none" w:sz="0" w:space="0" w:color="auto"/>
            <w:bottom w:val="none" w:sz="0" w:space="0" w:color="auto"/>
            <w:right w:val="none" w:sz="0" w:space="0" w:color="auto"/>
          </w:divBdr>
        </w:div>
      </w:divsChild>
    </w:div>
    <w:div w:id="1725788678">
      <w:marLeft w:val="0"/>
      <w:marRight w:val="0"/>
      <w:marTop w:val="0"/>
      <w:marBottom w:val="0"/>
      <w:divBdr>
        <w:top w:val="none" w:sz="0" w:space="0" w:color="auto"/>
        <w:left w:val="none" w:sz="0" w:space="0" w:color="auto"/>
        <w:bottom w:val="none" w:sz="0" w:space="0" w:color="auto"/>
        <w:right w:val="none" w:sz="0" w:space="0" w:color="auto"/>
      </w:divBdr>
    </w:div>
    <w:div w:id="1727021714">
      <w:marLeft w:val="0"/>
      <w:marRight w:val="0"/>
      <w:marTop w:val="0"/>
      <w:marBottom w:val="60"/>
      <w:divBdr>
        <w:top w:val="none" w:sz="0" w:space="0" w:color="auto"/>
        <w:left w:val="none" w:sz="0" w:space="0" w:color="auto"/>
        <w:bottom w:val="none" w:sz="0" w:space="0" w:color="auto"/>
        <w:right w:val="none" w:sz="0" w:space="0" w:color="auto"/>
      </w:divBdr>
    </w:div>
    <w:div w:id="1736196813">
      <w:marLeft w:val="0"/>
      <w:marRight w:val="0"/>
      <w:marTop w:val="0"/>
      <w:marBottom w:val="0"/>
      <w:divBdr>
        <w:top w:val="none" w:sz="0" w:space="0" w:color="auto"/>
        <w:left w:val="none" w:sz="0" w:space="0" w:color="auto"/>
        <w:bottom w:val="none" w:sz="0" w:space="0" w:color="auto"/>
        <w:right w:val="none" w:sz="0" w:space="0" w:color="auto"/>
      </w:divBdr>
    </w:div>
    <w:div w:id="1738552911">
      <w:marLeft w:val="0"/>
      <w:marRight w:val="0"/>
      <w:marTop w:val="0"/>
      <w:marBottom w:val="0"/>
      <w:divBdr>
        <w:top w:val="none" w:sz="0" w:space="0" w:color="auto"/>
        <w:left w:val="none" w:sz="0" w:space="0" w:color="auto"/>
        <w:bottom w:val="none" w:sz="0" w:space="0" w:color="auto"/>
        <w:right w:val="none" w:sz="0" w:space="0" w:color="auto"/>
      </w:divBdr>
    </w:div>
    <w:div w:id="1739938136">
      <w:marLeft w:val="0"/>
      <w:marRight w:val="0"/>
      <w:marTop w:val="0"/>
      <w:marBottom w:val="0"/>
      <w:divBdr>
        <w:top w:val="none" w:sz="0" w:space="0" w:color="auto"/>
        <w:left w:val="none" w:sz="0" w:space="0" w:color="auto"/>
        <w:bottom w:val="none" w:sz="0" w:space="0" w:color="auto"/>
        <w:right w:val="none" w:sz="0" w:space="0" w:color="auto"/>
      </w:divBdr>
    </w:div>
    <w:div w:id="1743411080">
      <w:marLeft w:val="0"/>
      <w:marRight w:val="0"/>
      <w:marTop w:val="0"/>
      <w:marBottom w:val="0"/>
      <w:divBdr>
        <w:top w:val="none" w:sz="0" w:space="0" w:color="auto"/>
        <w:left w:val="none" w:sz="0" w:space="0" w:color="auto"/>
        <w:bottom w:val="none" w:sz="0" w:space="0" w:color="auto"/>
        <w:right w:val="none" w:sz="0" w:space="0" w:color="auto"/>
      </w:divBdr>
    </w:div>
    <w:div w:id="1746804683">
      <w:marLeft w:val="0"/>
      <w:marRight w:val="0"/>
      <w:marTop w:val="0"/>
      <w:marBottom w:val="0"/>
      <w:divBdr>
        <w:top w:val="none" w:sz="0" w:space="0" w:color="auto"/>
        <w:left w:val="none" w:sz="0" w:space="0" w:color="auto"/>
        <w:bottom w:val="none" w:sz="0" w:space="0" w:color="auto"/>
        <w:right w:val="none" w:sz="0" w:space="0" w:color="auto"/>
      </w:divBdr>
      <w:divsChild>
        <w:div w:id="940137848">
          <w:marLeft w:val="0"/>
          <w:marRight w:val="0"/>
          <w:marTop w:val="0"/>
          <w:marBottom w:val="0"/>
          <w:divBdr>
            <w:top w:val="none" w:sz="0" w:space="0" w:color="auto"/>
            <w:left w:val="none" w:sz="0" w:space="0" w:color="auto"/>
            <w:bottom w:val="none" w:sz="0" w:space="0" w:color="auto"/>
            <w:right w:val="none" w:sz="0" w:space="0" w:color="auto"/>
          </w:divBdr>
        </w:div>
      </w:divsChild>
    </w:div>
    <w:div w:id="1753577104">
      <w:marLeft w:val="0"/>
      <w:marRight w:val="0"/>
      <w:marTop w:val="100"/>
      <w:marBottom w:val="0"/>
      <w:divBdr>
        <w:top w:val="none" w:sz="0" w:space="0" w:color="auto"/>
        <w:left w:val="none" w:sz="0" w:space="0" w:color="auto"/>
        <w:bottom w:val="none" w:sz="0" w:space="0" w:color="auto"/>
        <w:right w:val="none" w:sz="0" w:space="0" w:color="auto"/>
      </w:divBdr>
    </w:div>
    <w:div w:id="1754430081">
      <w:marLeft w:val="0"/>
      <w:marRight w:val="0"/>
      <w:marTop w:val="0"/>
      <w:marBottom w:val="0"/>
      <w:divBdr>
        <w:top w:val="none" w:sz="0" w:space="0" w:color="auto"/>
        <w:left w:val="none" w:sz="0" w:space="0" w:color="auto"/>
        <w:bottom w:val="none" w:sz="0" w:space="0" w:color="auto"/>
        <w:right w:val="none" w:sz="0" w:space="0" w:color="auto"/>
      </w:divBdr>
    </w:div>
    <w:div w:id="1756827365">
      <w:marLeft w:val="0"/>
      <w:marRight w:val="0"/>
      <w:marTop w:val="0"/>
      <w:marBottom w:val="0"/>
      <w:divBdr>
        <w:top w:val="none" w:sz="0" w:space="0" w:color="auto"/>
        <w:left w:val="none" w:sz="0" w:space="0" w:color="auto"/>
        <w:bottom w:val="none" w:sz="0" w:space="0" w:color="auto"/>
        <w:right w:val="none" w:sz="0" w:space="0" w:color="auto"/>
      </w:divBdr>
      <w:divsChild>
        <w:div w:id="2034501525">
          <w:marLeft w:val="0"/>
          <w:marRight w:val="0"/>
          <w:marTop w:val="0"/>
          <w:marBottom w:val="0"/>
          <w:divBdr>
            <w:top w:val="none" w:sz="0" w:space="0" w:color="auto"/>
            <w:left w:val="none" w:sz="0" w:space="0" w:color="auto"/>
            <w:bottom w:val="none" w:sz="0" w:space="0" w:color="auto"/>
            <w:right w:val="none" w:sz="0" w:space="0" w:color="auto"/>
          </w:divBdr>
        </w:div>
      </w:divsChild>
    </w:div>
    <w:div w:id="1757050558">
      <w:marLeft w:val="0"/>
      <w:marRight w:val="0"/>
      <w:marTop w:val="0"/>
      <w:marBottom w:val="60"/>
      <w:divBdr>
        <w:top w:val="none" w:sz="0" w:space="0" w:color="auto"/>
        <w:left w:val="none" w:sz="0" w:space="0" w:color="auto"/>
        <w:bottom w:val="none" w:sz="0" w:space="0" w:color="auto"/>
        <w:right w:val="none" w:sz="0" w:space="0" w:color="auto"/>
      </w:divBdr>
    </w:div>
    <w:div w:id="1757364982">
      <w:marLeft w:val="0"/>
      <w:marRight w:val="0"/>
      <w:marTop w:val="0"/>
      <w:marBottom w:val="0"/>
      <w:divBdr>
        <w:top w:val="none" w:sz="0" w:space="0" w:color="auto"/>
        <w:left w:val="none" w:sz="0" w:space="0" w:color="auto"/>
        <w:bottom w:val="none" w:sz="0" w:space="0" w:color="auto"/>
        <w:right w:val="none" w:sz="0" w:space="0" w:color="auto"/>
      </w:divBdr>
    </w:div>
    <w:div w:id="1761292317">
      <w:marLeft w:val="0"/>
      <w:marRight w:val="0"/>
      <w:marTop w:val="280"/>
      <w:marBottom w:val="0"/>
      <w:divBdr>
        <w:top w:val="none" w:sz="0" w:space="0" w:color="auto"/>
        <w:left w:val="none" w:sz="0" w:space="0" w:color="auto"/>
        <w:bottom w:val="none" w:sz="0" w:space="0" w:color="auto"/>
        <w:right w:val="none" w:sz="0" w:space="0" w:color="auto"/>
      </w:divBdr>
    </w:div>
    <w:div w:id="1761296440">
      <w:marLeft w:val="0"/>
      <w:marRight w:val="0"/>
      <w:marTop w:val="0"/>
      <w:marBottom w:val="0"/>
      <w:divBdr>
        <w:top w:val="none" w:sz="0" w:space="0" w:color="auto"/>
        <w:left w:val="none" w:sz="0" w:space="0" w:color="auto"/>
        <w:bottom w:val="none" w:sz="0" w:space="0" w:color="auto"/>
        <w:right w:val="none" w:sz="0" w:space="0" w:color="auto"/>
      </w:divBdr>
      <w:divsChild>
        <w:div w:id="2105033525">
          <w:marLeft w:val="0"/>
          <w:marRight w:val="0"/>
          <w:marTop w:val="0"/>
          <w:marBottom w:val="0"/>
          <w:divBdr>
            <w:top w:val="none" w:sz="0" w:space="0" w:color="auto"/>
            <w:left w:val="none" w:sz="0" w:space="0" w:color="auto"/>
            <w:bottom w:val="none" w:sz="0" w:space="0" w:color="auto"/>
            <w:right w:val="none" w:sz="0" w:space="0" w:color="auto"/>
          </w:divBdr>
        </w:div>
      </w:divsChild>
    </w:div>
    <w:div w:id="1763407480">
      <w:marLeft w:val="0"/>
      <w:marRight w:val="0"/>
      <w:marTop w:val="0"/>
      <w:marBottom w:val="0"/>
      <w:divBdr>
        <w:top w:val="none" w:sz="0" w:space="0" w:color="auto"/>
        <w:left w:val="none" w:sz="0" w:space="0" w:color="auto"/>
        <w:bottom w:val="none" w:sz="0" w:space="0" w:color="auto"/>
        <w:right w:val="none" w:sz="0" w:space="0" w:color="auto"/>
      </w:divBdr>
    </w:div>
    <w:div w:id="1763650320">
      <w:marLeft w:val="0"/>
      <w:marRight w:val="0"/>
      <w:marTop w:val="100"/>
      <w:marBottom w:val="0"/>
      <w:divBdr>
        <w:top w:val="none" w:sz="0" w:space="0" w:color="auto"/>
        <w:left w:val="none" w:sz="0" w:space="0" w:color="auto"/>
        <w:bottom w:val="none" w:sz="0" w:space="0" w:color="auto"/>
        <w:right w:val="none" w:sz="0" w:space="0" w:color="auto"/>
      </w:divBdr>
    </w:div>
    <w:div w:id="1764645014">
      <w:marLeft w:val="0"/>
      <w:marRight w:val="0"/>
      <w:marTop w:val="0"/>
      <w:marBottom w:val="0"/>
      <w:divBdr>
        <w:top w:val="none" w:sz="0" w:space="0" w:color="auto"/>
        <w:left w:val="none" w:sz="0" w:space="0" w:color="auto"/>
        <w:bottom w:val="none" w:sz="0" w:space="0" w:color="auto"/>
        <w:right w:val="none" w:sz="0" w:space="0" w:color="auto"/>
      </w:divBdr>
    </w:div>
    <w:div w:id="1765110550">
      <w:marLeft w:val="0"/>
      <w:marRight w:val="0"/>
      <w:marTop w:val="0"/>
      <w:marBottom w:val="0"/>
      <w:divBdr>
        <w:top w:val="none" w:sz="0" w:space="0" w:color="auto"/>
        <w:left w:val="none" w:sz="0" w:space="0" w:color="auto"/>
        <w:bottom w:val="none" w:sz="0" w:space="0" w:color="auto"/>
        <w:right w:val="none" w:sz="0" w:space="0" w:color="auto"/>
      </w:divBdr>
      <w:divsChild>
        <w:div w:id="821392782">
          <w:marLeft w:val="0"/>
          <w:marRight w:val="0"/>
          <w:marTop w:val="0"/>
          <w:marBottom w:val="0"/>
          <w:divBdr>
            <w:top w:val="none" w:sz="0" w:space="0" w:color="auto"/>
            <w:left w:val="none" w:sz="0" w:space="0" w:color="auto"/>
            <w:bottom w:val="none" w:sz="0" w:space="0" w:color="auto"/>
            <w:right w:val="none" w:sz="0" w:space="0" w:color="auto"/>
          </w:divBdr>
        </w:div>
      </w:divsChild>
    </w:div>
    <w:div w:id="1768385375">
      <w:marLeft w:val="0"/>
      <w:marRight w:val="0"/>
      <w:marTop w:val="100"/>
      <w:marBottom w:val="0"/>
      <w:divBdr>
        <w:top w:val="none" w:sz="0" w:space="0" w:color="auto"/>
        <w:left w:val="none" w:sz="0" w:space="0" w:color="auto"/>
        <w:bottom w:val="none" w:sz="0" w:space="0" w:color="auto"/>
        <w:right w:val="none" w:sz="0" w:space="0" w:color="auto"/>
      </w:divBdr>
    </w:div>
    <w:div w:id="1769544446">
      <w:marLeft w:val="0"/>
      <w:marRight w:val="0"/>
      <w:marTop w:val="0"/>
      <w:marBottom w:val="0"/>
      <w:divBdr>
        <w:top w:val="none" w:sz="0" w:space="0" w:color="auto"/>
        <w:left w:val="none" w:sz="0" w:space="0" w:color="auto"/>
        <w:bottom w:val="none" w:sz="0" w:space="0" w:color="auto"/>
        <w:right w:val="none" w:sz="0" w:space="0" w:color="auto"/>
      </w:divBdr>
    </w:div>
    <w:div w:id="1771702810">
      <w:marLeft w:val="0"/>
      <w:marRight w:val="0"/>
      <w:marTop w:val="100"/>
      <w:marBottom w:val="0"/>
      <w:divBdr>
        <w:top w:val="none" w:sz="0" w:space="0" w:color="auto"/>
        <w:left w:val="none" w:sz="0" w:space="0" w:color="auto"/>
        <w:bottom w:val="none" w:sz="0" w:space="0" w:color="auto"/>
        <w:right w:val="none" w:sz="0" w:space="0" w:color="auto"/>
      </w:divBdr>
    </w:div>
    <w:div w:id="1772313265">
      <w:marLeft w:val="0"/>
      <w:marRight w:val="0"/>
      <w:marTop w:val="0"/>
      <w:marBottom w:val="0"/>
      <w:divBdr>
        <w:top w:val="none" w:sz="0" w:space="0" w:color="auto"/>
        <w:left w:val="none" w:sz="0" w:space="0" w:color="auto"/>
        <w:bottom w:val="none" w:sz="0" w:space="0" w:color="auto"/>
        <w:right w:val="none" w:sz="0" w:space="0" w:color="auto"/>
      </w:divBdr>
    </w:div>
    <w:div w:id="1775975309">
      <w:marLeft w:val="0"/>
      <w:marRight w:val="0"/>
      <w:marTop w:val="0"/>
      <w:marBottom w:val="60"/>
      <w:divBdr>
        <w:top w:val="none" w:sz="0" w:space="0" w:color="auto"/>
        <w:left w:val="none" w:sz="0" w:space="0" w:color="auto"/>
        <w:bottom w:val="none" w:sz="0" w:space="0" w:color="auto"/>
        <w:right w:val="none" w:sz="0" w:space="0" w:color="auto"/>
      </w:divBdr>
    </w:div>
    <w:div w:id="1777289428">
      <w:marLeft w:val="0"/>
      <w:marRight w:val="0"/>
      <w:marTop w:val="0"/>
      <w:marBottom w:val="0"/>
      <w:divBdr>
        <w:top w:val="none" w:sz="0" w:space="0" w:color="auto"/>
        <w:left w:val="none" w:sz="0" w:space="0" w:color="auto"/>
        <w:bottom w:val="none" w:sz="0" w:space="0" w:color="auto"/>
        <w:right w:val="none" w:sz="0" w:space="0" w:color="auto"/>
      </w:divBdr>
      <w:divsChild>
        <w:div w:id="586501802">
          <w:marLeft w:val="0"/>
          <w:marRight w:val="0"/>
          <w:marTop w:val="0"/>
          <w:marBottom w:val="0"/>
          <w:divBdr>
            <w:top w:val="none" w:sz="0" w:space="0" w:color="auto"/>
            <w:left w:val="none" w:sz="0" w:space="0" w:color="auto"/>
            <w:bottom w:val="none" w:sz="0" w:space="0" w:color="auto"/>
            <w:right w:val="none" w:sz="0" w:space="0" w:color="auto"/>
          </w:divBdr>
        </w:div>
      </w:divsChild>
    </w:div>
    <w:div w:id="1780948690">
      <w:marLeft w:val="0"/>
      <w:marRight w:val="0"/>
      <w:marTop w:val="100"/>
      <w:marBottom w:val="0"/>
      <w:divBdr>
        <w:top w:val="none" w:sz="0" w:space="0" w:color="auto"/>
        <w:left w:val="none" w:sz="0" w:space="0" w:color="auto"/>
        <w:bottom w:val="none" w:sz="0" w:space="0" w:color="auto"/>
        <w:right w:val="none" w:sz="0" w:space="0" w:color="auto"/>
      </w:divBdr>
    </w:div>
    <w:div w:id="1781025843">
      <w:marLeft w:val="0"/>
      <w:marRight w:val="0"/>
      <w:marTop w:val="0"/>
      <w:marBottom w:val="0"/>
      <w:divBdr>
        <w:top w:val="none" w:sz="0" w:space="0" w:color="auto"/>
        <w:left w:val="none" w:sz="0" w:space="0" w:color="auto"/>
        <w:bottom w:val="none" w:sz="0" w:space="0" w:color="auto"/>
        <w:right w:val="none" w:sz="0" w:space="0" w:color="auto"/>
      </w:divBdr>
    </w:div>
    <w:div w:id="1781757743">
      <w:marLeft w:val="0"/>
      <w:marRight w:val="0"/>
      <w:marTop w:val="0"/>
      <w:marBottom w:val="0"/>
      <w:divBdr>
        <w:top w:val="none" w:sz="0" w:space="0" w:color="auto"/>
        <w:left w:val="none" w:sz="0" w:space="0" w:color="auto"/>
        <w:bottom w:val="none" w:sz="0" w:space="0" w:color="auto"/>
        <w:right w:val="none" w:sz="0" w:space="0" w:color="auto"/>
      </w:divBdr>
    </w:div>
    <w:div w:id="1784111422">
      <w:marLeft w:val="0"/>
      <w:marRight w:val="0"/>
      <w:marTop w:val="180"/>
      <w:marBottom w:val="0"/>
      <w:divBdr>
        <w:top w:val="none" w:sz="0" w:space="0" w:color="auto"/>
        <w:left w:val="none" w:sz="0" w:space="0" w:color="auto"/>
        <w:bottom w:val="none" w:sz="0" w:space="0" w:color="auto"/>
        <w:right w:val="none" w:sz="0" w:space="0" w:color="auto"/>
      </w:divBdr>
    </w:div>
    <w:div w:id="1784571350">
      <w:marLeft w:val="0"/>
      <w:marRight w:val="0"/>
      <w:marTop w:val="0"/>
      <w:marBottom w:val="0"/>
      <w:divBdr>
        <w:top w:val="none" w:sz="0" w:space="0" w:color="auto"/>
        <w:left w:val="none" w:sz="0" w:space="0" w:color="auto"/>
        <w:bottom w:val="none" w:sz="0" w:space="0" w:color="auto"/>
        <w:right w:val="none" w:sz="0" w:space="0" w:color="auto"/>
      </w:divBdr>
    </w:div>
    <w:div w:id="1785148160">
      <w:marLeft w:val="0"/>
      <w:marRight w:val="0"/>
      <w:marTop w:val="0"/>
      <w:marBottom w:val="0"/>
      <w:divBdr>
        <w:top w:val="none" w:sz="0" w:space="0" w:color="auto"/>
        <w:left w:val="none" w:sz="0" w:space="0" w:color="auto"/>
        <w:bottom w:val="none" w:sz="0" w:space="0" w:color="auto"/>
        <w:right w:val="none" w:sz="0" w:space="0" w:color="auto"/>
      </w:divBdr>
      <w:divsChild>
        <w:div w:id="18287850">
          <w:marLeft w:val="0"/>
          <w:marRight w:val="0"/>
          <w:marTop w:val="0"/>
          <w:marBottom w:val="0"/>
          <w:divBdr>
            <w:top w:val="none" w:sz="0" w:space="0" w:color="auto"/>
            <w:left w:val="none" w:sz="0" w:space="0" w:color="auto"/>
            <w:bottom w:val="none" w:sz="0" w:space="0" w:color="auto"/>
            <w:right w:val="none" w:sz="0" w:space="0" w:color="auto"/>
          </w:divBdr>
        </w:div>
      </w:divsChild>
    </w:div>
    <w:div w:id="1786460408">
      <w:marLeft w:val="0"/>
      <w:marRight w:val="0"/>
      <w:marTop w:val="0"/>
      <w:marBottom w:val="0"/>
      <w:divBdr>
        <w:top w:val="none" w:sz="0" w:space="0" w:color="auto"/>
        <w:left w:val="none" w:sz="0" w:space="0" w:color="auto"/>
        <w:bottom w:val="none" w:sz="0" w:space="0" w:color="auto"/>
        <w:right w:val="none" w:sz="0" w:space="0" w:color="auto"/>
      </w:divBdr>
    </w:div>
    <w:div w:id="1786919227">
      <w:marLeft w:val="0"/>
      <w:marRight w:val="0"/>
      <w:marTop w:val="0"/>
      <w:marBottom w:val="0"/>
      <w:divBdr>
        <w:top w:val="none" w:sz="0" w:space="0" w:color="auto"/>
        <w:left w:val="none" w:sz="0" w:space="0" w:color="auto"/>
        <w:bottom w:val="none" w:sz="0" w:space="0" w:color="auto"/>
        <w:right w:val="none" w:sz="0" w:space="0" w:color="auto"/>
      </w:divBdr>
    </w:div>
    <w:div w:id="1787390083">
      <w:marLeft w:val="0"/>
      <w:marRight w:val="0"/>
      <w:marTop w:val="0"/>
      <w:marBottom w:val="0"/>
      <w:divBdr>
        <w:top w:val="none" w:sz="0" w:space="0" w:color="auto"/>
        <w:left w:val="none" w:sz="0" w:space="0" w:color="auto"/>
        <w:bottom w:val="none" w:sz="0" w:space="0" w:color="auto"/>
        <w:right w:val="none" w:sz="0" w:space="0" w:color="auto"/>
      </w:divBdr>
      <w:divsChild>
        <w:div w:id="529756631">
          <w:marLeft w:val="0"/>
          <w:marRight w:val="0"/>
          <w:marTop w:val="0"/>
          <w:marBottom w:val="0"/>
          <w:divBdr>
            <w:top w:val="none" w:sz="0" w:space="0" w:color="auto"/>
            <w:left w:val="none" w:sz="0" w:space="0" w:color="auto"/>
            <w:bottom w:val="none" w:sz="0" w:space="0" w:color="auto"/>
            <w:right w:val="none" w:sz="0" w:space="0" w:color="auto"/>
          </w:divBdr>
        </w:div>
      </w:divsChild>
    </w:div>
    <w:div w:id="1787848673">
      <w:marLeft w:val="0"/>
      <w:marRight w:val="0"/>
      <w:marTop w:val="0"/>
      <w:marBottom w:val="0"/>
      <w:divBdr>
        <w:top w:val="none" w:sz="0" w:space="0" w:color="auto"/>
        <w:left w:val="none" w:sz="0" w:space="0" w:color="auto"/>
        <w:bottom w:val="none" w:sz="0" w:space="0" w:color="auto"/>
        <w:right w:val="none" w:sz="0" w:space="0" w:color="auto"/>
      </w:divBdr>
    </w:div>
    <w:div w:id="1787851096">
      <w:marLeft w:val="0"/>
      <w:marRight w:val="0"/>
      <w:marTop w:val="100"/>
      <w:marBottom w:val="0"/>
      <w:divBdr>
        <w:top w:val="none" w:sz="0" w:space="0" w:color="auto"/>
        <w:left w:val="none" w:sz="0" w:space="0" w:color="auto"/>
        <w:bottom w:val="none" w:sz="0" w:space="0" w:color="auto"/>
        <w:right w:val="none" w:sz="0" w:space="0" w:color="auto"/>
      </w:divBdr>
      <w:divsChild>
        <w:div w:id="970403154">
          <w:marLeft w:val="0"/>
          <w:marRight w:val="0"/>
          <w:marTop w:val="0"/>
          <w:marBottom w:val="0"/>
          <w:divBdr>
            <w:top w:val="none" w:sz="0" w:space="0" w:color="auto"/>
            <w:left w:val="none" w:sz="0" w:space="0" w:color="auto"/>
            <w:bottom w:val="none" w:sz="0" w:space="0" w:color="auto"/>
            <w:right w:val="none" w:sz="0" w:space="0" w:color="auto"/>
          </w:divBdr>
        </w:div>
      </w:divsChild>
    </w:div>
    <w:div w:id="1789398901">
      <w:marLeft w:val="0"/>
      <w:marRight w:val="0"/>
      <w:marTop w:val="0"/>
      <w:marBottom w:val="0"/>
      <w:divBdr>
        <w:top w:val="none" w:sz="0" w:space="0" w:color="auto"/>
        <w:left w:val="none" w:sz="0" w:space="0" w:color="auto"/>
        <w:bottom w:val="none" w:sz="0" w:space="0" w:color="auto"/>
        <w:right w:val="none" w:sz="0" w:space="0" w:color="auto"/>
      </w:divBdr>
    </w:div>
    <w:div w:id="1790933346">
      <w:marLeft w:val="0"/>
      <w:marRight w:val="0"/>
      <w:marTop w:val="0"/>
      <w:marBottom w:val="0"/>
      <w:divBdr>
        <w:top w:val="none" w:sz="0" w:space="0" w:color="auto"/>
        <w:left w:val="none" w:sz="0" w:space="0" w:color="auto"/>
        <w:bottom w:val="none" w:sz="0" w:space="0" w:color="auto"/>
        <w:right w:val="none" w:sz="0" w:space="0" w:color="auto"/>
      </w:divBdr>
    </w:div>
    <w:div w:id="1793666287">
      <w:marLeft w:val="0"/>
      <w:marRight w:val="0"/>
      <w:marTop w:val="0"/>
      <w:marBottom w:val="0"/>
      <w:divBdr>
        <w:top w:val="none" w:sz="0" w:space="0" w:color="auto"/>
        <w:left w:val="none" w:sz="0" w:space="0" w:color="auto"/>
        <w:bottom w:val="none" w:sz="0" w:space="0" w:color="auto"/>
        <w:right w:val="none" w:sz="0" w:space="0" w:color="auto"/>
      </w:divBdr>
    </w:div>
    <w:div w:id="1795902626">
      <w:marLeft w:val="0"/>
      <w:marRight w:val="0"/>
      <w:marTop w:val="0"/>
      <w:marBottom w:val="0"/>
      <w:divBdr>
        <w:top w:val="none" w:sz="0" w:space="0" w:color="auto"/>
        <w:left w:val="none" w:sz="0" w:space="0" w:color="auto"/>
        <w:bottom w:val="none" w:sz="0" w:space="0" w:color="auto"/>
        <w:right w:val="none" w:sz="0" w:space="0" w:color="auto"/>
      </w:divBdr>
      <w:divsChild>
        <w:div w:id="942298711">
          <w:marLeft w:val="0"/>
          <w:marRight w:val="0"/>
          <w:marTop w:val="0"/>
          <w:marBottom w:val="0"/>
          <w:divBdr>
            <w:top w:val="none" w:sz="0" w:space="0" w:color="auto"/>
            <w:left w:val="none" w:sz="0" w:space="0" w:color="auto"/>
            <w:bottom w:val="none" w:sz="0" w:space="0" w:color="auto"/>
            <w:right w:val="none" w:sz="0" w:space="0" w:color="auto"/>
          </w:divBdr>
        </w:div>
      </w:divsChild>
    </w:div>
    <w:div w:id="1796481703">
      <w:marLeft w:val="0"/>
      <w:marRight w:val="0"/>
      <w:marTop w:val="0"/>
      <w:marBottom w:val="0"/>
      <w:divBdr>
        <w:top w:val="none" w:sz="0" w:space="0" w:color="auto"/>
        <w:left w:val="none" w:sz="0" w:space="0" w:color="auto"/>
        <w:bottom w:val="none" w:sz="0" w:space="0" w:color="auto"/>
        <w:right w:val="none" w:sz="0" w:space="0" w:color="auto"/>
      </w:divBdr>
    </w:div>
    <w:div w:id="1800874549">
      <w:marLeft w:val="0"/>
      <w:marRight w:val="0"/>
      <w:marTop w:val="100"/>
      <w:marBottom w:val="0"/>
      <w:divBdr>
        <w:top w:val="none" w:sz="0" w:space="0" w:color="auto"/>
        <w:left w:val="none" w:sz="0" w:space="0" w:color="auto"/>
        <w:bottom w:val="none" w:sz="0" w:space="0" w:color="auto"/>
        <w:right w:val="none" w:sz="0" w:space="0" w:color="auto"/>
      </w:divBdr>
    </w:div>
    <w:div w:id="1801218300">
      <w:marLeft w:val="0"/>
      <w:marRight w:val="0"/>
      <w:marTop w:val="0"/>
      <w:marBottom w:val="0"/>
      <w:divBdr>
        <w:top w:val="none" w:sz="0" w:space="0" w:color="auto"/>
        <w:left w:val="none" w:sz="0" w:space="0" w:color="auto"/>
        <w:bottom w:val="none" w:sz="0" w:space="0" w:color="auto"/>
        <w:right w:val="none" w:sz="0" w:space="0" w:color="auto"/>
      </w:divBdr>
      <w:divsChild>
        <w:div w:id="1927225836">
          <w:marLeft w:val="0"/>
          <w:marRight w:val="0"/>
          <w:marTop w:val="0"/>
          <w:marBottom w:val="0"/>
          <w:divBdr>
            <w:top w:val="none" w:sz="0" w:space="0" w:color="auto"/>
            <w:left w:val="none" w:sz="0" w:space="0" w:color="auto"/>
            <w:bottom w:val="none" w:sz="0" w:space="0" w:color="auto"/>
            <w:right w:val="none" w:sz="0" w:space="0" w:color="auto"/>
          </w:divBdr>
        </w:div>
      </w:divsChild>
    </w:div>
    <w:div w:id="1802529104">
      <w:marLeft w:val="0"/>
      <w:marRight w:val="0"/>
      <w:marTop w:val="0"/>
      <w:marBottom w:val="0"/>
      <w:divBdr>
        <w:top w:val="none" w:sz="0" w:space="0" w:color="auto"/>
        <w:left w:val="none" w:sz="0" w:space="0" w:color="auto"/>
        <w:bottom w:val="none" w:sz="0" w:space="0" w:color="auto"/>
        <w:right w:val="none" w:sz="0" w:space="0" w:color="auto"/>
      </w:divBdr>
    </w:div>
    <w:div w:id="1803189540">
      <w:marLeft w:val="0"/>
      <w:marRight w:val="0"/>
      <w:marTop w:val="0"/>
      <w:marBottom w:val="0"/>
      <w:divBdr>
        <w:top w:val="none" w:sz="0" w:space="0" w:color="auto"/>
        <w:left w:val="none" w:sz="0" w:space="0" w:color="auto"/>
        <w:bottom w:val="none" w:sz="0" w:space="0" w:color="auto"/>
        <w:right w:val="none" w:sz="0" w:space="0" w:color="auto"/>
      </w:divBdr>
    </w:div>
    <w:div w:id="1805392554">
      <w:marLeft w:val="0"/>
      <w:marRight w:val="0"/>
      <w:marTop w:val="0"/>
      <w:marBottom w:val="0"/>
      <w:divBdr>
        <w:top w:val="none" w:sz="0" w:space="0" w:color="auto"/>
        <w:left w:val="none" w:sz="0" w:space="0" w:color="auto"/>
        <w:bottom w:val="none" w:sz="0" w:space="0" w:color="auto"/>
        <w:right w:val="none" w:sz="0" w:space="0" w:color="auto"/>
      </w:divBdr>
      <w:divsChild>
        <w:div w:id="949900684">
          <w:marLeft w:val="0"/>
          <w:marRight w:val="0"/>
          <w:marTop w:val="0"/>
          <w:marBottom w:val="0"/>
          <w:divBdr>
            <w:top w:val="none" w:sz="0" w:space="0" w:color="auto"/>
            <w:left w:val="none" w:sz="0" w:space="0" w:color="auto"/>
            <w:bottom w:val="none" w:sz="0" w:space="0" w:color="auto"/>
            <w:right w:val="none" w:sz="0" w:space="0" w:color="auto"/>
          </w:divBdr>
        </w:div>
      </w:divsChild>
    </w:div>
    <w:div w:id="1805805938">
      <w:marLeft w:val="0"/>
      <w:marRight w:val="0"/>
      <w:marTop w:val="0"/>
      <w:marBottom w:val="0"/>
      <w:divBdr>
        <w:top w:val="none" w:sz="0" w:space="0" w:color="auto"/>
        <w:left w:val="none" w:sz="0" w:space="0" w:color="auto"/>
        <w:bottom w:val="none" w:sz="0" w:space="0" w:color="auto"/>
        <w:right w:val="none" w:sz="0" w:space="0" w:color="auto"/>
      </w:divBdr>
    </w:div>
    <w:div w:id="1809392572">
      <w:marLeft w:val="0"/>
      <w:marRight w:val="0"/>
      <w:marTop w:val="180"/>
      <w:marBottom w:val="180"/>
      <w:divBdr>
        <w:top w:val="none" w:sz="0" w:space="0" w:color="auto"/>
        <w:left w:val="none" w:sz="0" w:space="0" w:color="auto"/>
        <w:bottom w:val="none" w:sz="0" w:space="0" w:color="auto"/>
        <w:right w:val="none" w:sz="0" w:space="0" w:color="auto"/>
      </w:divBdr>
    </w:div>
    <w:div w:id="1810202588">
      <w:marLeft w:val="0"/>
      <w:marRight w:val="0"/>
      <w:marTop w:val="0"/>
      <w:marBottom w:val="0"/>
      <w:divBdr>
        <w:top w:val="none" w:sz="0" w:space="0" w:color="auto"/>
        <w:left w:val="none" w:sz="0" w:space="0" w:color="auto"/>
        <w:bottom w:val="none" w:sz="0" w:space="0" w:color="auto"/>
        <w:right w:val="none" w:sz="0" w:space="0" w:color="auto"/>
      </w:divBdr>
      <w:divsChild>
        <w:div w:id="1850563633">
          <w:marLeft w:val="0"/>
          <w:marRight w:val="0"/>
          <w:marTop w:val="0"/>
          <w:marBottom w:val="0"/>
          <w:divBdr>
            <w:top w:val="none" w:sz="0" w:space="0" w:color="auto"/>
            <w:left w:val="none" w:sz="0" w:space="0" w:color="auto"/>
            <w:bottom w:val="none" w:sz="0" w:space="0" w:color="auto"/>
            <w:right w:val="none" w:sz="0" w:space="0" w:color="auto"/>
          </w:divBdr>
        </w:div>
      </w:divsChild>
    </w:div>
    <w:div w:id="1811707803">
      <w:marLeft w:val="0"/>
      <w:marRight w:val="0"/>
      <w:marTop w:val="0"/>
      <w:marBottom w:val="0"/>
      <w:divBdr>
        <w:top w:val="none" w:sz="0" w:space="0" w:color="auto"/>
        <w:left w:val="none" w:sz="0" w:space="0" w:color="auto"/>
        <w:bottom w:val="none" w:sz="0" w:space="0" w:color="auto"/>
        <w:right w:val="none" w:sz="0" w:space="0" w:color="auto"/>
      </w:divBdr>
    </w:div>
    <w:div w:id="1812668697">
      <w:marLeft w:val="0"/>
      <w:marRight w:val="0"/>
      <w:marTop w:val="0"/>
      <w:marBottom w:val="0"/>
      <w:divBdr>
        <w:top w:val="none" w:sz="0" w:space="0" w:color="auto"/>
        <w:left w:val="none" w:sz="0" w:space="0" w:color="auto"/>
        <w:bottom w:val="none" w:sz="0" w:space="0" w:color="auto"/>
        <w:right w:val="none" w:sz="0" w:space="0" w:color="auto"/>
      </w:divBdr>
      <w:divsChild>
        <w:div w:id="1039236161">
          <w:marLeft w:val="0"/>
          <w:marRight w:val="0"/>
          <w:marTop w:val="0"/>
          <w:marBottom w:val="0"/>
          <w:divBdr>
            <w:top w:val="none" w:sz="0" w:space="0" w:color="auto"/>
            <w:left w:val="none" w:sz="0" w:space="0" w:color="auto"/>
            <w:bottom w:val="none" w:sz="0" w:space="0" w:color="auto"/>
            <w:right w:val="none" w:sz="0" w:space="0" w:color="auto"/>
          </w:divBdr>
        </w:div>
      </w:divsChild>
    </w:div>
    <w:div w:id="1813060483">
      <w:marLeft w:val="0"/>
      <w:marRight w:val="0"/>
      <w:marTop w:val="0"/>
      <w:marBottom w:val="60"/>
      <w:divBdr>
        <w:top w:val="none" w:sz="0" w:space="0" w:color="auto"/>
        <w:left w:val="none" w:sz="0" w:space="0" w:color="auto"/>
        <w:bottom w:val="none" w:sz="0" w:space="0" w:color="auto"/>
        <w:right w:val="none" w:sz="0" w:space="0" w:color="auto"/>
      </w:divBdr>
    </w:div>
    <w:div w:id="1813713375">
      <w:marLeft w:val="0"/>
      <w:marRight w:val="0"/>
      <w:marTop w:val="0"/>
      <w:marBottom w:val="0"/>
      <w:divBdr>
        <w:top w:val="none" w:sz="0" w:space="0" w:color="auto"/>
        <w:left w:val="none" w:sz="0" w:space="0" w:color="auto"/>
        <w:bottom w:val="none" w:sz="0" w:space="0" w:color="auto"/>
        <w:right w:val="none" w:sz="0" w:space="0" w:color="auto"/>
      </w:divBdr>
      <w:divsChild>
        <w:div w:id="1736775437">
          <w:marLeft w:val="0"/>
          <w:marRight w:val="0"/>
          <w:marTop w:val="0"/>
          <w:marBottom w:val="0"/>
          <w:divBdr>
            <w:top w:val="none" w:sz="0" w:space="0" w:color="auto"/>
            <w:left w:val="none" w:sz="0" w:space="0" w:color="auto"/>
            <w:bottom w:val="none" w:sz="0" w:space="0" w:color="auto"/>
            <w:right w:val="none" w:sz="0" w:space="0" w:color="auto"/>
          </w:divBdr>
        </w:div>
      </w:divsChild>
    </w:div>
    <w:div w:id="1817792776">
      <w:marLeft w:val="0"/>
      <w:marRight w:val="0"/>
      <w:marTop w:val="0"/>
      <w:marBottom w:val="60"/>
      <w:divBdr>
        <w:top w:val="none" w:sz="0" w:space="0" w:color="auto"/>
        <w:left w:val="none" w:sz="0" w:space="0" w:color="auto"/>
        <w:bottom w:val="none" w:sz="0" w:space="0" w:color="auto"/>
        <w:right w:val="none" w:sz="0" w:space="0" w:color="auto"/>
      </w:divBdr>
    </w:div>
    <w:div w:id="1822426515">
      <w:marLeft w:val="0"/>
      <w:marRight w:val="0"/>
      <w:marTop w:val="100"/>
      <w:marBottom w:val="0"/>
      <w:divBdr>
        <w:top w:val="none" w:sz="0" w:space="0" w:color="auto"/>
        <w:left w:val="none" w:sz="0" w:space="0" w:color="auto"/>
        <w:bottom w:val="none" w:sz="0" w:space="0" w:color="auto"/>
        <w:right w:val="none" w:sz="0" w:space="0" w:color="auto"/>
      </w:divBdr>
    </w:div>
    <w:div w:id="1829250258">
      <w:marLeft w:val="0"/>
      <w:marRight w:val="0"/>
      <w:marTop w:val="0"/>
      <w:marBottom w:val="0"/>
      <w:divBdr>
        <w:top w:val="none" w:sz="0" w:space="0" w:color="auto"/>
        <w:left w:val="none" w:sz="0" w:space="0" w:color="auto"/>
        <w:bottom w:val="none" w:sz="0" w:space="0" w:color="auto"/>
        <w:right w:val="none" w:sz="0" w:space="0" w:color="auto"/>
      </w:divBdr>
      <w:divsChild>
        <w:div w:id="1788742192">
          <w:marLeft w:val="0"/>
          <w:marRight w:val="0"/>
          <w:marTop w:val="0"/>
          <w:marBottom w:val="0"/>
          <w:divBdr>
            <w:top w:val="none" w:sz="0" w:space="0" w:color="auto"/>
            <w:left w:val="none" w:sz="0" w:space="0" w:color="auto"/>
            <w:bottom w:val="none" w:sz="0" w:space="0" w:color="auto"/>
            <w:right w:val="none" w:sz="0" w:space="0" w:color="auto"/>
          </w:divBdr>
        </w:div>
      </w:divsChild>
    </w:div>
    <w:div w:id="1833644052">
      <w:marLeft w:val="0"/>
      <w:marRight w:val="0"/>
      <w:marTop w:val="100"/>
      <w:marBottom w:val="0"/>
      <w:divBdr>
        <w:top w:val="none" w:sz="0" w:space="0" w:color="auto"/>
        <w:left w:val="none" w:sz="0" w:space="0" w:color="auto"/>
        <w:bottom w:val="none" w:sz="0" w:space="0" w:color="auto"/>
        <w:right w:val="none" w:sz="0" w:space="0" w:color="auto"/>
      </w:divBdr>
    </w:div>
    <w:div w:id="1835796271">
      <w:marLeft w:val="0"/>
      <w:marRight w:val="0"/>
      <w:marTop w:val="100"/>
      <w:marBottom w:val="0"/>
      <w:divBdr>
        <w:top w:val="none" w:sz="0" w:space="0" w:color="auto"/>
        <w:left w:val="none" w:sz="0" w:space="0" w:color="auto"/>
        <w:bottom w:val="none" w:sz="0" w:space="0" w:color="auto"/>
        <w:right w:val="none" w:sz="0" w:space="0" w:color="auto"/>
      </w:divBdr>
      <w:divsChild>
        <w:div w:id="1062603299">
          <w:marLeft w:val="0"/>
          <w:marRight w:val="0"/>
          <w:marTop w:val="0"/>
          <w:marBottom w:val="0"/>
          <w:divBdr>
            <w:top w:val="none" w:sz="0" w:space="0" w:color="auto"/>
            <w:left w:val="none" w:sz="0" w:space="0" w:color="auto"/>
            <w:bottom w:val="none" w:sz="0" w:space="0" w:color="auto"/>
            <w:right w:val="none" w:sz="0" w:space="0" w:color="auto"/>
          </w:divBdr>
        </w:div>
        <w:div w:id="1890144880">
          <w:marLeft w:val="0"/>
          <w:marRight w:val="0"/>
          <w:marTop w:val="0"/>
          <w:marBottom w:val="0"/>
          <w:divBdr>
            <w:top w:val="none" w:sz="0" w:space="0" w:color="auto"/>
            <w:left w:val="none" w:sz="0" w:space="0" w:color="auto"/>
            <w:bottom w:val="none" w:sz="0" w:space="0" w:color="auto"/>
            <w:right w:val="none" w:sz="0" w:space="0" w:color="auto"/>
          </w:divBdr>
        </w:div>
      </w:divsChild>
    </w:div>
    <w:div w:id="1839417133">
      <w:marLeft w:val="0"/>
      <w:marRight w:val="0"/>
      <w:marTop w:val="0"/>
      <w:marBottom w:val="0"/>
      <w:divBdr>
        <w:top w:val="none" w:sz="0" w:space="0" w:color="auto"/>
        <w:left w:val="none" w:sz="0" w:space="0" w:color="auto"/>
        <w:bottom w:val="none" w:sz="0" w:space="0" w:color="auto"/>
        <w:right w:val="none" w:sz="0" w:space="0" w:color="auto"/>
      </w:divBdr>
    </w:div>
    <w:div w:id="1843934111">
      <w:marLeft w:val="0"/>
      <w:marRight w:val="0"/>
      <w:marTop w:val="0"/>
      <w:marBottom w:val="0"/>
      <w:divBdr>
        <w:top w:val="none" w:sz="0" w:space="0" w:color="auto"/>
        <w:left w:val="none" w:sz="0" w:space="0" w:color="auto"/>
        <w:bottom w:val="none" w:sz="0" w:space="0" w:color="auto"/>
        <w:right w:val="none" w:sz="0" w:space="0" w:color="auto"/>
      </w:divBdr>
    </w:div>
    <w:div w:id="1849054637">
      <w:marLeft w:val="0"/>
      <w:marRight w:val="0"/>
      <w:marTop w:val="0"/>
      <w:marBottom w:val="0"/>
      <w:divBdr>
        <w:top w:val="none" w:sz="0" w:space="0" w:color="auto"/>
        <w:left w:val="none" w:sz="0" w:space="0" w:color="auto"/>
        <w:bottom w:val="none" w:sz="0" w:space="0" w:color="auto"/>
        <w:right w:val="none" w:sz="0" w:space="0" w:color="auto"/>
      </w:divBdr>
    </w:div>
    <w:div w:id="1849634562">
      <w:marLeft w:val="0"/>
      <w:marRight w:val="0"/>
      <w:marTop w:val="0"/>
      <w:marBottom w:val="0"/>
      <w:divBdr>
        <w:top w:val="none" w:sz="0" w:space="0" w:color="auto"/>
        <w:left w:val="none" w:sz="0" w:space="0" w:color="auto"/>
        <w:bottom w:val="none" w:sz="0" w:space="0" w:color="auto"/>
        <w:right w:val="none" w:sz="0" w:space="0" w:color="auto"/>
      </w:divBdr>
      <w:divsChild>
        <w:div w:id="2094355862">
          <w:marLeft w:val="0"/>
          <w:marRight w:val="0"/>
          <w:marTop w:val="0"/>
          <w:marBottom w:val="0"/>
          <w:divBdr>
            <w:top w:val="none" w:sz="0" w:space="0" w:color="auto"/>
            <w:left w:val="none" w:sz="0" w:space="0" w:color="auto"/>
            <w:bottom w:val="none" w:sz="0" w:space="0" w:color="auto"/>
            <w:right w:val="none" w:sz="0" w:space="0" w:color="auto"/>
          </w:divBdr>
        </w:div>
      </w:divsChild>
    </w:div>
    <w:div w:id="1849783168">
      <w:marLeft w:val="0"/>
      <w:marRight w:val="0"/>
      <w:marTop w:val="0"/>
      <w:marBottom w:val="0"/>
      <w:divBdr>
        <w:top w:val="none" w:sz="0" w:space="0" w:color="auto"/>
        <w:left w:val="none" w:sz="0" w:space="0" w:color="auto"/>
        <w:bottom w:val="none" w:sz="0" w:space="0" w:color="auto"/>
        <w:right w:val="none" w:sz="0" w:space="0" w:color="auto"/>
      </w:divBdr>
    </w:div>
    <w:div w:id="1851332091">
      <w:marLeft w:val="0"/>
      <w:marRight w:val="0"/>
      <w:marTop w:val="0"/>
      <w:marBottom w:val="0"/>
      <w:divBdr>
        <w:top w:val="none" w:sz="0" w:space="0" w:color="auto"/>
        <w:left w:val="none" w:sz="0" w:space="0" w:color="auto"/>
        <w:bottom w:val="none" w:sz="0" w:space="0" w:color="auto"/>
        <w:right w:val="none" w:sz="0" w:space="0" w:color="auto"/>
      </w:divBdr>
    </w:div>
    <w:div w:id="1854608037">
      <w:marLeft w:val="0"/>
      <w:marRight w:val="0"/>
      <w:marTop w:val="0"/>
      <w:marBottom w:val="0"/>
      <w:divBdr>
        <w:top w:val="none" w:sz="0" w:space="0" w:color="auto"/>
        <w:left w:val="none" w:sz="0" w:space="0" w:color="auto"/>
        <w:bottom w:val="none" w:sz="0" w:space="0" w:color="auto"/>
        <w:right w:val="none" w:sz="0" w:space="0" w:color="auto"/>
      </w:divBdr>
    </w:div>
    <w:div w:id="1857186758">
      <w:marLeft w:val="0"/>
      <w:marRight w:val="0"/>
      <w:marTop w:val="0"/>
      <w:marBottom w:val="0"/>
      <w:divBdr>
        <w:top w:val="none" w:sz="0" w:space="0" w:color="auto"/>
        <w:left w:val="none" w:sz="0" w:space="0" w:color="auto"/>
        <w:bottom w:val="none" w:sz="0" w:space="0" w:color="auto"/>
        <w:right w:val="none" w:sz="0" w:space="0" w:color="auto"/>
      </w:divBdr>
      <w:divsChild>
        <w:div w:id="1908421315">
          <w:marLeft w:val="0"/>
          <w:marRight w:val="0"/>
          <w:marTop w:val="0"/>
          <w:marBottom w:val="0"/>
          <w:divBdr>
            <w:top w:val="none" w:sz="0" w:space="0" w:color="auto"/>
            <w:left w:val="none" w:sz="0" w:space="0" w:color="auto"/>
            <w:bottom w:val="none" w:sz="0" w:space="0" w:color="auto"/>
            <w:right w:val="none" w:sz="0" w:space="0" w:color="auto"/>
          </w:divBdr>
        </w:div>
      </w:divsChild>
    </w:div>
    <w:div w:id="1860926113">
      <w:marLeft w:val="0"/>
      <w:marRight w:val="0"/>
      <w:marTop w:val="0"/>
      <w:marBottom w:val="0"/>
      <w:divBdr>
        <w:top w:val="none" w:sz="0" w:space="0" w:color="auto"/>
        <w:left w:val="none" w:sz="0" w:space="0" w:color="auto"/>
        <w:bottom w:val="none" w:sz="0" w:space="0" w:color="auto"/>
        <w:right w:val="none" w:sz="0" w:space="0" w:color="auto"/>
      </w:divBdr>
      <w:divsChild>
        <w:div w:id="1889949611">
          <w:marLeft w:val="0"/>
          <w:marRight w:val="0"/>
          <w:marTop w:val="0"/>
          <w:marBottom w:val="0"/>
          <w:divBdr>
            <w:top w:val="none" w:sz="0" w:space="0" w:color="auto"/>
            <w:left w:val="none" w:sz="0" w:space="0" w:color="auto"/>
            <w:bottom w:val="none" w:sz="0" w:space="0" w:color="auto"/>
            <w:right w:val="none" w:sz="0" w:space="0" w:color="auto"/>
          </w:divBdr>
        </w:div>
      </w:divsChild>
    </w:div>
    <w:div w:id="1864981062">
      <w:marLeft w:val="0"/>
      <w:marRight w:val="0"/>
      <w:marTop w:val="0"/>
      <w:marBottom w:val="0"/>
      <w:divBdr>
        <w:top w:val="none" w:sz="0" w:space="0" w:color="auto"/>
        <w:left w:val="none" w:sz="0" w:space="0" w:color="auto"/>
        <w:bottom w:val="none" w:sz="0" w:space="0" w:color="auto"/>
        <w:right w:val="none" w:sz="0" w:space="0" w:color="auto"/>
      </w:divBdr>
    </w:div>
    <w:div w:id="1865170665">
      <w:marLeft w:val="0"/>
      <w:marRight w:val="0"/>
      <w:marTop w:val="0"/>
      <w:marBottom w:val="0"/>
      <w:divBdr>
        <w:top w:val="none" w:sz="0" w:space="0" w:color="auto"/>
        <w:left w:val="none" w:sz="0" w:space="0" w:color="auto"/>
        <w:bottom w:val="none" w:sz="0" w:space="0" w:color="auto"/>
        <w:right w:val="none" w:sz="0" w:space="0" w:color="auto"/>
      </w:divBdr>
      <w:divsChild>
        <w:div w:id="349574999">
          <w:marLeft w:val="0"/>
          <w:marRight w:val="0"/>
          <w:marTop w:val="0"/>
          <w:marBottom w:val="0"/>
          <w:divBdr>
            <w:top w:val="none" w:sz="0" w:space="0" w:color="auto"/>
            <w:left w:val="none" w:sz="0" w:space="0" w:color="auto"/>
            <w:bottom w:val="none" w:sz="0" w:space="0" w:color="auto"/>
            <w:right w:val="none" w:sz="0" w:space="0" w:color="auto"/>
          </w:divBdr>
        </w:div>
      </w:divsChild>
    </w:div>
    <w:div w:id="1868566216">
      <w:marLeft w:val="0"/>
      <w:marRight w:val="0"/>
      <w:marTop w:val="0"/>
      <w:marBottom w:val="0"/>
      <w:divBdr>
        <w:top w:val="none" w:sz="0" w:space="0" w:color="auto"/>
        <w:left w:val="none" w:sz="0" w:space="0" w:color="auto"/>
        <w:bottom w:val="none" w:sz="0" w:space="0" w:color="auto"/>
        <w:right w:val="none" w:sz="0" w:space="0" w:color="auto"/>
      </w:divBdr>
    </w:div>
    <w:div w:id="1878614326">
      <w:marLeft w:val="0"/>
      <w:marRight w:val="0"/>
      <w:marTop w:val="0"/>
      <w:marBottom w:val="0"/>
      <w:divBdr>
        <w:top w:val="none" w:sz="0" w:space="0" w:color="auto"/>
        <w:left w:val="none" w:sz="0" w:space="0" w:color="auto"/>
        <w:bottom w:val="none" w:sz="0" w:space="0" w:color="auto"/>
        <w:right w:val="none" w:sz="0" w:space="0" w:color="auto"/>
      </w:divBdr>
      <w:divsChild>
        <w:div w:id="152724950">
          <w:marLeft w:val="0"/>
          <w:marRight w:val="0"/>
          <w:marTop w:val="0"/>
          <w:marBottom w:val="0"/>
          <w:divBdr>
            <w:top w:val="none" w:sz="0" w:space="0" w:color="auto"/>
            <w:left w:val="none" w:sz="0" w:space="0" w:color="auto"/>
            <w:bottom w:val="none" w:sz="0" w:space="0" w:color="auto"/>
            <w:right w:val="none" w:sz="0" w:space="0" w:color="auto"/>
          </w:divBdr>
        </w:div>
      </w:divsChild>
    </w:div>
    <w:div w:id="1879269743">
      <w:marLeft w:val="0"/>
      <w:marRight w:val="0"/>
      <w:marTop w:val="0"/>
      <w:marBottom w:val="0"/>
      <w:divBdr>
        <w:top w:val="none" w:sz="0" w:space="0" w:color="auto"/>
        <w:left w:val="none" w:sz="0" w:space="0" w:color="auto"/>
        <w:bottom w:val="none" w:sz="0" w:space="0" w:color="auto"/>
        <w:right w:val="none" w:sz="0" w:space="0" w:color="auto"/>
      </w:divBdr>
      <w:divsChild>
        <w:div w:id="1356274232">
          <w:marLeft w:val="0"/>
          <w:marRight w:val="0"/>
          <w:marTop w:val="0"/>
          <w:marBottom w:val="0"/>
          <w:divBdr>
            <w:top w:val="none" w:sz="0" w:space="0" w:color="auto"/>
            <w:left w:val="none" w:sz="0" w:space="0" w:color="auto"/>
            <w:bottom w:val="none" w:sz="0" w:space="0" w:color="auto"/>
            <w:right w:val="none" w:sz="0" w:space="0" w:color="auto"/>
          </w:divBdr>
        </w:div>
      </w:divsChild>
    </w:div>
    <w:div w:id="1883864006">
      <w:marLeft w:val="0"/>
      <w:marRight w:val="0"/>
      <w:marTop w:val="0"/>
      <w:marBottom w:val="200"/>
      <w:divBdr>
        <w:top w:val="none" w:sz="0" w:space="0" w:color="auto"/>
        <w:left w:val="none" w:sz="0" w:space="0" w:color="auto"/>
        <w:bottom w:val="none" w:sz="0" w:space="0" w:color="auto"/>
        <w:right w:val="none" w:sz="0" w:space="0" w:color="auto"/>
      </w:divBdr>
    </w:div>
    <w:div w:id="1884555479">
      <w:marLeft w:val="0"/>
      <w:marRight w:val="0"/>
      <w:marTop w:val="0"/>
      <w:marBottom w:val="0"/>
      <w:divBdr>
        <w:top w:val="none" w:sz="0" w:space="0" w:color="auto"/>
        <w:left w:val="none" w:sz="0" w:space="0" w:color="auto"/>
        <w:bottom w:val="none" w:sz="0" w:space="0" w:color="auto"/>
        <w:right w:val="none" w:sz="0" w:space="0" w:color="auto"/>
      </w:divBdr>
      <w:divsChild>
        <w:div w:id="123738267">
          <w:marLeft w:val="0"/>
          <w:marRight w:val="0"/>
          <w:marTop w:val="0"/>
          <w:marBottom w:val="0"/>
          <w:divBdr>
            <w:top w:val="none" w:sz="0" w:space="0" w:color="auto"/>
            <w:left w:val="none" w:sz="0" w:space="0" w:color="auto"/>
            <w:bottom w:val="none" w:sz="0" w:space="0" w:color="auto"/>
            <w:right w:val="none" w:sz="0" w:space="0" w:color="auto"/>
          </w:divBdr>
        </w:div>
      </w:divsChild>
    </w:div>
    <w:div w:id="1885212996">
      <w:marLeft w:val="0"/>
      <w:marRight w:val="0"/>
      <w:marTop w:val="0"/>
      <w:marBottom w:val="0"/>
      <w:divBdr>
        <w:top w:val="none" w:sz="0" w:space="0" w:color="auto"/>
        <w:left w:val="none" w:sz="0" w:space="0" w:color="auto"/>
        <w:bottom w:val="none" w:sz="0" w:space="0" w:color="auto"/>
        <w:right w:val="none" w:sz="0" w:space="0" w:color="auto"/>
      </w:divBdr>
      <w:divsChild>
        <w:div w:id="1117677575">
          <w:marLeft w:val="0"/>
          <w:marRight w:val="0"/>
          <w:marTop w:val="0"/>
          <w:marBottom w:val="0"/>
          <w:divBdr>
            <w:top w:val="none" w:sz="0" w:space="0" w:color="auto"/>
            <w:left w:val="none" w:sz="0" w:space="0" w:color="auto"/>
            <w:bottom w:val="none" w:sz="0" w:space="0" w:color="auto"/>
            <w:right w:val="none" w:sz="0" w:space="0" w:color="auto"/>
          </w:divBdr>
        </w:div>
      </w:divsChild>
    </w:div>
    <w:div w:id="1886865587">
      <w:marLeft w:val="0"/>
      <w:marRight w:val="0"/>
      <w:marTop w:val="0"/>
      <w:marBottom w:val="0"/>
      <w:divBdr>
        <w:top w:val="none" w:sz="0" w:space="0" w:color="auto"/>
        <w:left w:val="none" w:sz="0" w:space="0" w:color="auto"/>
        <w:bottom w:val="none" w:sz="0" w:space="0" w:color="auto"/>
        <w:right w:val="none" w:sz="0" w:space="0" w:color="auto"/>
      </w:divBdr>
    </w:div>
    <w:div w:id="1887790724">
      <w:marLeft w:val="0"/>
      <w:marRight w:val="0"/>
      <w:marTop w:val="0"/>
      <w:marBottom w:val="0"/>
      <w:divBdr>
        <w:top w:val="none" w:sz="0" w:space="0" w:color="auto"/>
        <w:left w:val="none" w:sz="0" w:space="0" w:color="auto"/>
        <w:bottom w:val="none" w:sz="0" w:space="0" w:color="auto"/>
        <w:right w:val="none" w:sz="0" w:space="0" w:color="auto"/>
      </w:divBdr>
    </w:div>
    <w:div w:id="1892842080">
      <w:marLeft w:val="0"/>
      <w:marRight w:val="0"/>
      <w:marTop w:val="80"/>
      <w:marBottom w:val="0"/>
      <w:divBdr>
        <w:top w:val="none" w:sz="0" w:space="0" w:color="auto"/>
        <w:left w:val="none" w:sz="0" w:space="0" w:color="auto"/>
        <w:bottom w:val="none" w:sz="0" w:space="0" w:color="auto"/>
        <w:right w:val="none" w:sz="0" w:space="0" w:color="auto"/>
      </w:divBdr>
    </w:div>
    <w:div w:id="1893493377">
      <w:marLeft w:val="0"/>
      <w:marRight w:val="0"/>
      <w:marTop w:val="0"/>
      <w:marBottom w:val="0"/>
      <w:divBdr>
        <w:top w:val="none" w:sz="0" w:space="0" w:color="auto"/>
        <w:left w:val="none" w:sz="0" w:space="0" w:color="auto"/>
        <w:bottom w:val="none" w:sz="0" w:space="0" w:color="auto"/>
        <w:right w:val="none" w:sz="0" w:space="0" w:color="auto"/>
      </w:divBdr>
    </w:div>
    <w:div w:id="1899048897">
      <w:marLeft w:val="0"/>
      <w:marRight w:val="0"/>
      <w:marTop w:val="180"/>
      <w:marBottom w:val="0"/>
      <w:divBdr>
        <w:top w:val="none" w:sz="0" w:space="0" w:color="auto"/>
        <w:left w:val="none" w:sz="0" w:space="0" w:color="auto"/>
        <w:bottom w:val="none" w:sz="0" w:space="0" w:color="auto"/>
        <w:right w:val="none" w:sz="0" w:space="0" w:color="auto"/>
      </w:divBdr>
    </w:div>
    <w:div w:id="1900479887">
      <w:marLeft w:val="0"/>
      <w:marRight w:val="0"/>
      <w:marTop w:val="0"/>
      <w:marBottom w:val="0"/>
      <w:divBdr>
        <w:top w:val="none" w:sz="0" w:space="0" w:color="auto"/>
        <w:left w:val="none" w:sz="0" w:space="0" w:color="auto"/>
        <w:bottom w:val="none" w:sz="0" w:space="0" w:color="auto"/>
        <w:right w:val="none" w:sz="0" w:space="0" w:color="auto"/>
      </w:divBdr>
      <w:divsChild>
        <w:div w:id="1560363209">
          <w:marLeft w:val="0"/>
          <w:marRight w:val="0"/>
          <w:marTop w:val="0"/>
          <w:marBottom w:val="0"/>
          <w:divBdr>
            <w:top w:val="none" w:sz="0" w:space="0" w:color="auto"/>
            <w:left w:val="none" w:sz="0" w:space="0" w:color="auto"/>
            <w:bottom w:val="none" w:sz="0" w:space="0" w:color="auto"/>
            <w:right w:val="none" w:sz="0" w:space="0" w:color="auto"/>
          </w:divBdr>
        </w:div>
      </w:divsChild>
    </w:div>
    <w:div w:id="1901019036">
      <w:marLeft w:val="0"/>
      <w:marRight w:val="0"/>
      <w:marTop w:val="120"/>
      <w:marBottom w:val="120"/>
      <w:divBdr>
        <w:top w:val="none" w:sz="0" w:space="0" w:color="auto"/>
        <w:left w:val="none" w:sz="0" w:space="0" w:color="auto"/>
        <w:bottom w:val="none" w:sz="0" w:space="0" w:color="auto"/>
        <w:right w:val="none" w:sz="0" w:space="0" w:color="auto"/>
      </w:divBdr>
    </w:div>
    <w:div w:id="1903327057">
      <w:marLeft w:val="0"/>
      <w:marRight w:val="0"/>
      <w:marTop w:val="0"/>
      <w:marBottom w:val="0"/>
      <w:divBdr>
        <w:top w:val="none" w:sz="0" w:space="0" w:color="auto"/>
        <w:left w:val="none" w:sz="0" w:space="0" w:color="auto"/>
        <w:bottom w:val="none" w:sz="0" w:space="0" w:color="auto"/>
        <w:right w:val="none" w:sz="0" w:space="0" w:color="auto"/>
      </w:divBdr>
    </w:div>
    <w:div w:id="1903632762">
      <w:marLeft w:val="0"/>
      <w:marRight w:val="0"/>
      <w:marTop w:val="0"/>
      <w:marBottom w:val="0"/>
      <w:divBdr>
        <w:top w:val="none" w:sz="0" w:space="0" w:color="auto"/>
        <w:left w:val="none" w:sz="0" w:space="0" w:color="auto"/>
        <w:bottom w:val="none" w:sz="0" w:space="0" w:color="auto"/>
        <w:right w:val="none" w:sz="0" w:space="0" w:color="auto"/>
      </w:divBdr>
      <w:divsChild>
        <w:div w:id="549607957">
          <w:marLeft w:val="0"/>
          <w:marRight w:val="0"/>
          <w:marTop w:val="0"/>
          <w:marBottom w:val="0"/>
          <w:divBdr>
            <w:top w:val="none" w:sz="0" w:space="0" w:color="auto"/>
            <w:left w:val="none" w:sz="0" w:space="0" w:color="auto"/>
            <w:bottom w:val="none" w:sz="0" w:space="0" w:color="auto"/>
            <w:right w:val="none" w:sz="0" w:space="0" w:color="auto"/>
          </w:divBdr>
        </w:div>
      </w:divsChild>
    </w:div>
    <w:div w:id="1903978148">
      <w:marLeft w:val="0"/>
      <w:marRight w:val="0"/>
      <w:marTop w:val="100"/>
      <w:marBottom w:val="0"/>
      <w:divBdr>
        <w:top w:val="none" w:sz="0" w:space="0" w:color="auto"/>
        <w:left w:val="none" w:sz="0" w:space="0" w:color="auto"/>
        <w:bottom w:val="none" w:sz="0" w:space="0" w:color="auto"/>
        <w:right w:val="none" w:sz="0" w:space="0" w:color="auto"/>
      </w:divBdr>
    </w:div>
    <w:div w:id="1904827300">
      <w:marLeft w:val="0"/>
      <w:marRight w:val="0"/>
      <w:marTop w:val="180"/>
      <w:marBottom w:val="0"/>
      <w:divBdr>
        <w:top w:val="none" w:sz="0" w:space="0" w:color="auto"/>
        <w:left w:val="none" w:sz="0" w:space="0" w:color="auto"/>
        <w:bottom w:val="none" w:sz="0" w:space="0" w:color="auto"/>
        <w:right w:val="none" w:sz="0" w:space="0" w:color="auto"/>
      </w:divBdr>
    </w:div>
    <w:div w:id="1905987394">
      <w:marLeft w:val="0"/>
      <w:marRight w:val="0"/>
      <w:marTop w:val="0"/>
      <w:marBottom w:val="0"/>
      <w:divBdr>
        <w:top w:val="none" w:sz="0" w:space="0" w:color="auto"/>
        <w:left w:val="none" w:sz="0" w:space="0" w:color="auto"/>
        <w:bottom w:val="none" w:sz="0" w:space="0" w:color="auto"/>
        <w:right w:val="none" w:sz="0" w:space="0" w:color="auto"/>
      </w:divBdr>
    </w:div>
    <w:div w:id="1907451484">
      <w:marLeft w:val="0"/>
      <w:marRight w:val="0"/>
      <w:marTop w:val="0"/>
      <w:marBottom w:val="0"/>
      <w:divBdr>
        <w:top w:val="none" w:sz="0" w:space="0" w:color="auto"/>
        <w:left w:val="none" w:sz="0" w:space="0" w:color="auto"/>
        <w:bottom w:val="none" w:sz="0" w:space="0" w:color="auto"/>
        <w:right w:val="none" w:sz="0" w:space="0" w:color="auto"/>
      </w:divBdr>
    </w:div>
    <w:div w:id="1908219909">
      <w:marLeft w:val="0"/>
      <w:marRight w:val="0"/>
      <w:marTop w:val="0"/>
      <w:marBottom w:val="0"/>
      <w:divBdr>
        <w:top w:val="none" w:sz="0" w:space="0" w:color="auto"/>
        <w:left w:val="none" w:sz="0" w:space="0" w:color="auto"/>
        <w:bottom w:val="none" w:sz="0" w:space="0" w:color="auto"/>
        <w:right w:val="none" w:sz="0" w:space="0" w:color="auto"/>
      </w:divBdr>
    </w:div>
    <w:div w:id="1914587332">
      <w:marLeft w:val="0"/>
      <w:marRight w:val="0"/>
      <w:marTop w:val="0"/>
      <w:marBottom w:val="0"/>
      <w:divBdr>
        <w:top w:val="none" w:sz="0" w:space="0" w:color="auto"/>
        <w:left w:val="none" w:sz="0" w:space="0" w:color="auto"/>
        <w:bottom w:val="none" w:sz="0" w:space="0" w:color="auto"/>
        <w:right w:val="none" w:sz="0" w:space="0" w:color="auto"/>
      </w:divBdr>
    </w:div>
    <w:div w:id="1914966470">
      <w:marLeft w:val="0"/>
      <w:marRight w:val="0"/>
      <w:marTop w:val="0"/>
      <w:marBottom w:val="0"/>
      <w:divBdr>
        <w:top w:val="none" w:sz="0" w:space="0" w:color="auto"/>
        <w:left w:val="none" w:sz="0" w:space="0" w:color="auto"/>
        <w:bottom w:val="none" w:sz="0" w:space="0" w:color="auto"/>
        <w:right w:val="none" w:sz="0" w:space="0" w:color="auto"/>
      </w:divBdr>
      <w:divsChild>
        <w:div w:id="817459484">
          <w:marLeft w:val="0"/>
          <w:marRight w:val="0"/>
          <w:marTop w:val="0"/>
          <w:marBottom w:val="0"/>
          <w:divBdr>
            <w:top w:val="none" w:sz="0" w:space="0" w:color="auto"/>
            <w:left w:val="none" w:sz="0" w:space="0" w:color="auto"/>
            <w:bottom w:val="none" w:sz="0" w:space="0" w:color="auto"/>
            <w:right w:val="none" w:sz="0" w:space="0" w:color="auto"/>
          </w:divBdr>
        </w:div>
      </w:divsChild>
    </w:div>
    <w:div w:id="1916551310">
      <w:marLeft w:val="0"/>
      <w:marRight w:val="0"/>
      <w:marTop w:val="0"/>
      <w:marBottom w:val="0"/>
      <w:divBdr>
        <w:top w:val="none" w:sz="0" w:space="0" w:color="auto"/>
        <w:left w:val="none" w:sz="0" w:space="0" w:color="auto"/>
        <w:bottom w:val="none" w:sz="0" w:space="0" w:color="auto"/>
        <w:right w:val="none" w:sz="0" w:space="0" w:color="auto"/>
      </w:divBdr>
    </w:div>
    <w:div w:id="1922060497">
      <w:marLeft w:val="0"/>
      <w:marRight w:val="0"/>
      <w:marTop w:val="0"/>
      <w:marBottom w:val="0"/>
      <w:divBdr>
        <w:top w:val="none" w:sz="0" w:space="0" w:color="auto"/>
        <w:left w:val="none" w:sz="0" w:space="0" w:color="auto"/>
        <w:bottom w:val="none" w:sz="0" w:space="0" w:color="auto"/>
        <w:right w:val="none" w:sz="0" w:space="0" w:color="auto"/>
      </w:divBdr>
    </w:div>
    <w:div w:id="1923680097">
      <w:marLeft w:val="0"/>
      <w:marRight w:val="0"/>
      <w:marTop w:val="100"/>
      <w:marBottom w:val="100"/>
      <w:divBdr>
        <w:top w:val="none" w:sz="0" w:space="0" w:color="auto"/>
        <w:left w:val="none" w:sz="0" w:space="0" w:color="auto"/>
        <w:bottom w:val="none" w:sz="0" w:space="0" w:color="auto"/>
        <w:right w:val="none" w:sz="0" w:space="0" w:color="auto"/>
      </w:divBdr>
    </w:div>
    <w:div w:id="1924871792">
      <w:marLeft w:val="0"/>
      <w:marRight w:val="0"/>
      <w:marTop w:val="0"/>
      <w:marBottom w:val="120"/>
      <w:divBdr>
        <w:top w:val="none" w:sz="0" w:space="0" w:color="auto"/>
        <w:left w:val="none" w:sz="0" w:space="0" w:color="auto"/>
        <w:bottom w:val="none" w:sz="0" w:space="0" w:color="auto"/>
        <w:right w:val="none" w:sz="0" w:space="0" w:color="auto"/>
      </w:divBdr>
    </w:div>
    <w:div w:id="1926841796">
      <w:marLeft w:val="0"/>
      <w:marRight w:val="0"/>
      <w:marTop w:val="0"/>
      <w:marBottom w:val="120"/>
      <w:divBdr>
        <w:top w:val="none" w:sz="0" w:space="0" w:color="auto"/>
        <w:left w:val="none" w:sz="0" w:space="0" w:color="auto"/>
        <w:bottom w:val="none" w:sz="0" w:space="0" w:color="auto"/>
        <w:right w:val="none" w:sz="0" w:space="0" w:color="auto"/>
      </w:divBdr>
    </w:div>
    <w:div w:id="1927685563">
      <w:marLeft w:val="0"/>
      <w:marRight w:val="0"/>
      <w:marTop w:val="0"/>
      <w:marBottom w:val="0"/>
      <w:divBdr>
        <w:top w:val="none" w:sz="0" w:space="0" w:color="auto"/>
        <w:left w:val="none" w:sz="0" w:space="0" w:color="auto"/>
        <w:bottom w:val="none" w:sz="0" w:space="0" w:color="auto"/>
        <w:right w:val="none" w:sz="0" w:space="0" w:color="auto"/>
      </w:divBdr>
    </w:div>
    <w:div w:id="1929001887">
      <w:marLeft w:val="0"/>
      <w:marRight w:val="0"/>
      <w:marTop w:val="0"/>
      <w:marBottom w:val="0"/>
      <w:divBdr>
        <w:top w:val="none" w:sz="0" w:space="0" w:color="auto"/>
        <w:left w:val="none" w:sz="0" w:space="0" w:color="auto"/>
        <w:bottom w:val="none" w:sz="0" w:space="0" w:color="auto"/>
        <w:right w:val="none" w:sz="0" w:space="0" w:color="auto"/>
      </w:divBdr>
    </w:div>
    <w:div w:id="1929805265">
      <w:marLeft w:val="0"/>
      <w:marRight w:val="0"/>
      <w:marTop w:val="0"/>
      <w:marBottom w:val="0"/>
      <w:divBdr>
        <w:top w:val="none" w:sz="0" w:space="0" w:color="auto"/>
        <w:left w:val="none" w:sz="0" w:space="0" w:color="auto"/>
        <w:bottom w:val="none" w:sz="0" w:space="0" w:color="auto"/>
        <w:right w:val="none" w:sz="0" w:space="0" w:color="auto"/>
      </w:divBdr>
      <w:divsChild>
        <w:div w:id="1797067607">
          <w:marLeft w:val="0"/>
          <w:marRight w:val="0"/>
          <w:marTop w:val="0"/>
          <w:marBottom w:val="0"/>
          <w:divBdr>
            <w:top w:val="none" w:sz="0" w:space="0" w:color="auto"/>
            <w:left w:val="none" w:sz="0" w:space="0" w:color="auto"/>
            <w:bottom w:val="none" w:sz="0" w:space="0" w:color="auto"/>
            <w:right w:val="none" w:sz="0" w:space="0" w:color="auto"/>
          </w:divBdr>
        </w:div>
      </w:divsChild>
    </w:div>
    <w:div w:id="1933319865">
      <w:marLeft w:val="0"/>
      <w:marRight w:val="0"/>
      <w:marTop w:val="0"/>
      <w:marBottom w:val="0"/>
      <w:divBdr>
        <w:top w:val="none" w:sz="0" w:space="0" w:color="auto"/>
        <w:left w:val="none" w:sz="0" w:space="0" w:color="auto"/>
        <w:bottom w:val="none" w:sz="0" w:space="0" w:color="auto"/>
        <w:right w:val="none" w:sz="0" w:space="0" w:color="auto"/>
      </w:divBdr>
      <w:divsChild>
        <w:div w:id="1160661941">
          <w:marLeft w:val="0"/>
          <w:marRight w:val="0"/>
          <w:marTop w:val="0"/>
          <w:marBottom w:val="0"/>
          <w:divBdr>
            <w:top w:val="none" w:sz="0" w:space="0" w:color="auto"/>
            <w:left w:val="none" w:sz="0" w:space="0" w:color="auto"/>
            <w:bottom w:val="none" w:sz="0" w:space="0" w:color="auto"/>
            <w:right w:val="none" w:sz="0" w:space="0" w:color="auto"/>
          </w:divBdr>
        </w:div>
      </w:divsChild>
    </w:div>
    <w:div w:id="1934389977">
      <w:marLeft w:val="0"/>
      <w:marRight w:val="0"/>
      <w:marTop w:val="100"/>
      <w:marBottom w:val="0"/>
      <w:divBdr>
        <w:top w:val="none" w:sz="0" w:space="0" w:color="auto"/>
        <w:left w:val="none" w:sz="0" w:space="0" w:color="auto"/>
        <w:bottom w:val="none" w:sz="0" w:space="0" w:color="auto"/>
        <w:right w:val="none" w:sz="0" w:space="0" w:color="auto"/>
      </w:divBdr>
    </w:div>
    <w:div w:id="1936744247">
      <w:marLeft w:val="0"/>
      <w:marRight w:val="0"/>
      <w:marTop w:val="0"/>
      <w:marBottom w:val="0"/>
      <w:divBdr>
        <w:top w:val="none" w:sz="0" w:space="0" w:color="auto"/>
        <w:left w:val="none" w:sz="0" w:space="0" w:color="auto"/>
        <w:bottom w:val="none" w:sz="0" w:space="0" w:color="auto"/>
        <w:right w:val="none" w:sz="0" w:space="0" w:color="auto"/>
      </w:divBdr>
      <w:divsChild>
        <w:div w:id="1349330219">
          <w:marLeft w:val="0"/>
          <w:marRight w:val="0"/>
          <w:marTop w:val="0"/>
          <w:marBottom w:val="0"/>
          <w:divBdr>
            <w:top w:val="none" w:sz="0" w:space="0" w:color="auto"/>
            <w:left w:val="none" w:sz="0" w:space="0" w:color="auto"/>
            <w:bottom w:val="none" w:sz="0" w:space="0" w:color="auto"/>
            <w:right w:val="none" w:sz="0" w:space="0" w:color="auto"/>
          </w:divBdr>
        </w:div>
      </w:divsChild>
    </w:div>
    <w:div w:id="1943561900">
      <w:marLeft w:val="0"/>
      <w:marRight w:val="0"/>
      <w:marTop w:val="0"/>
      <w:marBottom w:val="0"/>
      <w:divBdr>
        <w:top w:val="none" w:sz="0" w:space="0" w:color="auto"/>
        <w:left w:val="none" w:sz="0" w:space="0" w:color="auto"/>
        <w:bottom w:val="none" w:sz="0" w:space="0" w:color="auto"/>
        <w:right w:val="none" w:sz="0" w:space="0" w:color="auto"/>
      </w:divBdr>
    </w:div>
    <w:div w:id="1944989854">
      <w:marLeft w:val="0"/>
      <w:marRight w:val="0"/>
      <w:marTop w:val="0"/>
      <w:marBottom w:val="60"/>
      <w:divBdr>
        <w:top w:val="none" w:sz="0" w:space="0" w:color="auto"/>
        <w:left w:val="none" w:sz="0" w:space="0" w:color="auto"/>
        <w:bottom w:val="none" w:sz="0" w:space="0" w:color="auto"/>
        <w:right w:val="none" w:sz="0" w:space="0" w:color="auto"/>
      </w:divBdr>
    </w:div>
    <w:div w:id="1945965628">
      <w:marLeft w:val="0"/>
      <w:marRight w:val="0"/>
      <w:marTop w:val="0"/>
      <w:marBottom w:val="0"/>
      <w:divBdr>
        <w:top w:val="none" w:sz="0" w:space="0" w:color="auto"/>
        <w:left w:val="none" w:sz="0" w:space="0" w:color="auto"/>
        <w:bottom w:val="none" w:sz="0" w:space="0" w:color="auto"/>
        <w:right w:val="none" w:sz="0" w:space="0" w:color="auto"/>
      </w:divBdr>
      <w:divsChild>
        <w:div w:id="1476096107">
          <w:marLeft w:val="0"/>
          <w:marRight w:val="0"/>
          <w:marTop w:val="0"/>
          <w:marBottom w:val="0"/>
          <w:divBdr>
            <w:top w:val="none" w:sz="0" w:space="0" w:color="auto"/>
            <w:left w:val="none" w:sz="0" w:space="0" w:color="auto"/>
            <w:bottom w:val="none" w:sz="0" w:space="0" w:color="auto"/>
            <w:right w:val="none" w:sz="0" w:space="0" w:color="auto"/>
          </w:divBdr>
        </w:div>
      </w:divsChild>
    </w:div>
    <w:div w:id="1946377453">
      <w:marLeft w:val="0"/>
      <w:marRight w:val="0"/>
      <w:marTop w:val="0"/>
      <w:marBottom w:val="0"/>
      <w:divBdr>
        <w:top w:val="none" w:sz="0" w:space="0" w:color="auto"/>
        <w:left w:val="none" w:sz="0" w:space="0" w:color="auto"/>
        <w:bottom w:val="none" w:sz="0" w:space="0" w:color="auto"/>
        <w:right w:val="none" w:sz="0" w:space="0" w:color="auto"/>
      </w:divBdr>
    </w:div>
    <w:div w:id="1949504921">
      <w:marLeft w:val="0"/>
      <w:marRight w:val="0"/>
      <w:marTop w:val="0"/>
      <w:marBottom w:val="0"/>
      <w:divBdr>
        <w:top w:val="none" w:sz="0" w:space="0" w:color="auto"/>
        <w:left w:val="none" w:sz="0" w:space="0" w:color="auto"/>
        <w:bottom w:val="none" w:sz="0" w:space="0" w:color="auto"/>
        <w:right w:val="none" w:sz="0" w:space="0" w:color="auto"/>
      </w:divBdr>
    </w:div>
    <w:div w:id="1952475841">
      <w:marLeft w:val="0"/>
      <w:marRight w:val="0"/>
      <w:marTop w:val="0"/>
      <w:marBottom w:val="0"/>
      <w:divBdr>
        <w:top w:val="none" w:sz="0" w:space="0" w:color="auto"/>
        <w:left w:val="none" w:sz="0" w:space="0" w:color="auto"/>
        <w:bottom w:val="none" w:sz="0" w:space="0" w:color="auto"/>
        <w:right w:val="none" w:sz="0" w:space="0" w:color="auto"/>
      </w:divBdr>
    </w:div>
    <w:div w:id="1956056053">
      <w:marLeft w:val="0"/>
      <w:marRight w:val="0"/>
      <w:marTop w:val="100"/>
      <w:marBottom w:val="0"/>
      <w:divBdr>
        <w:top w:val="none" w:sz="0" w:space="0" w:color="auto"/>
        <w:left w:val="none" w:sz="0" w:space="0" w:color="auto"/>
        <w:bottom w:val="none" w:sz="0" w:space="0" w:color="auto"/>
        <w:right w:val="none" w:sz="0" w:space="0" w:color="auto"/>
      </w:divBdr>
    </w:div>
    <w:div w:id="1956518782">
      <w:marLeft w:val="0"/>
      <w:marRight w:val="0"/>
      <w:marTop w:val="0"/>
      <w:marBottom w:val="0"/>
      <w:divBdr>
        <w:top w:val="none" w:sz="0" w:space="0" w:color="auto"/>
        <w:left w:val="none" w:sz="0" w:space="0" w:color="auto"/>
        <w:bottom w:val="none" w:sz="0" w:space="0" w:color="auto"/>
        <w:right w:val="none" w:sz="0" w:space="0" w:color="auto"/>
      </w:divBdr>
    </w:div>
    <w:div w:id="1956865504">
      <w:marLeft w:val="0"/>
      <w:marRight w:val="0"/>
      <w:marTop w:val="0"/>
      <w:marBottom w:val="0"/>
      <w:divBdr>
        <w:top w:val="none" w:sz="0" w:space="0" w:color="auto"/>
        <w:left w:val="none" w:sz="0" w:space="0" w:color="auto"/>
        <w:bottom w:val="none" w:sz="0" w:space="0" w:color="auto"/>
        <w:right w:val="none" w:sz="0" w:space="0" w:color="auto"/>
      </w:divBdr>
      <w:divsChild>
        <w:div w:id="323582814">
          <w:marLeft w:val="0"/>
          <w:marRight w:val="0"/>
          <w:marTop w:val="0"/>
          <w:marBottom w:val="0"/>
          <w:divBdr>
            <w:top w:val="none" w:sz="0" w:space="0" w:color="auto"/>
            <w:left w:val="none" w:sz="0" w:space="0" w:color="auto"/>
            <w:bottom w:val="none" w:sz="0" w:space="0" w:color="auto"/>
            <w:right w:val="none" w:sz="0" w:space="0" w:color="auto"/>
          </w:divBdr>
        </w:div>
      </w:divsChild>
    </w:div>
    <w:div w:id="1957103559">
      <w:marLeft w:val="0"/>
      <w:marRight w:val="0"/>
      <w:marTop w:val="0"/>
      <w:marBottom w:val="0"/>
      <w:divBdr>
        <w:top w:val="none" w:sz="0" w:space="0" w:color="auto"/>
        <w:left w:val="none" w:sz="0" w:space="0" w:color="auto"/>
        <w:bottom w:val="none" w:sz="0" w:space="0" w:color="auto"/>
        <w:right w:val="none" w:sz="0" w:space="0" w:color="auto"/>
      </w:divBdr>
    </w:div>
    <w:div w:id="1958100455">
      <w:marLeft w:val="0"/>
      <w:marRight w:val="0"/>
      <w:marTop w:val="0"/>
      <w:marBottom w:val="0"/>
      <w:divBdr>
        <w:top w:val="none" w:sz="0" w:space="0" w:color="auto"/>
        <w:left w:val="none" w:sz="0" w:space="0" w:color="auto"/>
        <w:bottom w:val="none" w:sz="0" w:space="0" w:color="auto"/>
        <w:right w:val="none" w:sz="0" w:space="0" w:color="auto"/>
      </w:divBdr>
    </w:div>
    <w:div w:id="1958826097">
      <w:marLeft w:val="0"/>
      <w:marRight w:val="0"/>
      <w:marTop w:val="0"/>
      <w:marBottom w:val="0"/>
      <w:divBdr>
        <w:top w:val="none" w:sz="0" w:space="0" w:color="auto"/>
        <w:left w:val="none" w:sz="0" w:space="0" w:color="auto"/>
        <w:bottom w:val="none" w:sz="0" w:space="0" w:color="auto"/>
        <w:right w:val="none" w:sz="0" w:space="0" w:color="auto"/>
      </w:divBdr>
    </w:div>
    <w:div w:id="1965040124">
      <w:marLeft w:val="0"/>
      <w:marRight w:val="0"/>
      <w:marTop w:val="0"/>
      <w:marBottom w:val="0"/>
      <w:divBdr>
        <w:top w:val="none" w:sz="0" w:space="0" w:color="auto"/>
        <w:left w:val="none" w:sz="0" w:space="0" w:color="auto"/>
        <w:bottom w:val="none" w:sz="0" w:space="0" w:color="auto"/>
        <w:right w:val="none" w:sz="0" w:space="0" w:color="auto"/>
      </w:divBdr>
    </w:div>
    <w:div w:id="1966228068">
      <w:marLeft w:val="0"/>
      <w:marRight w:val="0"/>
      <w:marTop w:val="0"/>
      <w:marBottom w:val="120"/>
      <w:divBdr>
        <w:top w:val="none" w:sz="0" w:space="0" w:color="auto"/>
        <w:left w:val="none" w:sz="0" w:space="0" w:color="auto"/>
        <w:bottom w:val="none" w:sz="0" w:space="0" w:color="auto"/>
        <w:right w:val="none" w:sz="0" w:space="0" w:color="auto"/>
      </w:divBdr>
    </w:div>
    <w:div w:id="1967271000">
      <w:marLeft w:val="0"/>
      <w:marRight w:val="0"/>
      <w:marTop w:val="0"/>
      <w:marBottom w:val="0"/>
      <w:divBdr>
        <w:top w:val="none" w:sz="0" w:space="0" w:color="auto"/>
        <w:left w:val="none" w:sz="0" w:space="0" w:color="auto"/>
        <w:bottom w:val="none" w:sz="0" w:space="0" w:color="auto"/>
        <w:right w:val="none" w:sz="0" w:space="0" w:color="auto"/>
      </w:divBdr>
      <w:divsChild>
        <w:div w:id="821238842">
          <w:marLeft w:val="0"/>
          <w:marRight w:val="0"/>
          <w:marTop w:val="0"/>
          <w:marBottom w:val="0"/>
          <w:divBdr>
            <w:top w:val="none" w:sz="0" w:space="0" w:color="auto"/>
            <w:left w:val="none" w:sz="0" w:space="0" w:color="auto"/>
            <w:bottom w:val="none" w:sz="0" w:space="0" w:color="auto"/>
            <w:right w:val="none" w:sz="0" w:space="0" w:color="auto"/>
          </w:divBdr>
        </w:div>
      </w:divsChild>
    </w:div>
    <w:div w:id="1968466850">
      <w:marLeft w:val="0"/>
      <w:marRight w:val="0"/>
      <w:marTop w:val="0"/>
      <w:marBottom w:val="0"/>
      <w:divBdr>
        <w:top w:val="none" w:sz="0" w:space="0" w:color="auto"/>
        <w:left w:val="none" w:sz="0" w:space="0" w:color="auto"/>
        <w:bottom w:val="none" w:sz="0" w:space="0" w:color="auto"/>
        <w:right w:val="none" w:sz="0" w:space="0" w:color="auto"/>
      </w:divBdr>
      <w:divsChild>
        <w:div w:id="293633579">
          <w:marLeft w:val="0"/>
          <w:marRight w:val="0"/>
          <w:marTop w:val="0"/>
          <w:marBottom w:val="0"/>
          <w:divBdr>
            <w:top w:val="none" w:sz="0" w:space="0" w:color="auto"/>
            <w:left w:val="none" w:sz="0" w:space="0" w:color="auto"/>
            <w:bottom w:val="none" w:sz="0" w:space="0" w:color="auto"/>
            <w:right w:val="none" w:sz="0" w:space="0" w:color="auto"/>
          </w:divBdr>
        </w:div>
      </w:divsChild>
    </w:div>
    <w:div w:id="1969971835">
      <w:marLeft w:val="0"/>
      <w:marRight w:val="0"/>
      <w:marTop w:val="100"/>
      <w:marBottom w:val="0"/>
      <w:divBdr>
        <w:top w:val="none" w:sz="0" w:space="0" w:color="auto"/>
        <w:left w:val="none" w:sz="0" w:space="0" w:color="auto"/>
        <w:bottom w:val="none" w:sz="0" w:space="0" w:color="auto"/>
        <w:right w:val="none" w:sz="0" w:space="0" w:color="auto"/>
      </w:divBdr>
    </w:div>
    <w:div w:id="1970747732">
      <w:marLeft w:val="0"/>
      <w:marRight w:val="0"/>
      <w:marTop w:val="0"/>
      <w:marBottom w:val="0"/>
      <w:divBdr>
        <w:top w:val="none" w:sz="0" w:space="0" w:color="auto"/>
        <w:left w:val="none" w:sz="0" w:space="0" w:color="auto"/>
        <w:bottom w:val="none" w:sz="0" w:space="0" w:color="auto"/>
        <w:right w:val="none" w:sz="0" w:space="0" w:color="auto"/>
      </w:divBdr>
    </w:div>
    <w:div w:id="1975405754">
      <w:marLeft w:val="0"/>
      <w:marRight w:val="0"/>
      <w:marTop w:val="0"/>
      <w:marBottom w:val="0"/>
      <w:divBdr>
        <w:top w:val="none" w:sz="0" w:space="0" w:color="auto"/>
        <w:left w:val="none" w:sz="0" w:space="0" w:color="auto"/>
        <w:bottom w:val="none" w:sz="0" w:space="0" w:color="auto"/>
        <w:right w:val="none" w:sz="0" w:space="0" w:color="auto"/>
      </w:divBdr>
      <w:divsChild>
        <w:div w:id="876042413">
          <w:marLeft w:val="0"/>
          <w:marRight w:val="0"/>
          <w:marTop w:val="0"/>
          <w:marBottom w:val="0"/>
          <w:divBdr>
            <w:top w:val="none" w:sz="0" w:space="0" w:color="auto"/>
            <w:left w:val="none" w:sz="0" w:space="0" w:color="auto"/>
            <w:bottom w:val="none" w:sz="0" w:space="0" w:color="auto"/>
            <w:right w:val="none" w:sz="0" w:space="0" w:color="auto"/>
          </w:divBdr>
        </w:div>
      </w:divsChild>
    </w:div>
    <w:div w:id="1981836656">
      <w:marLeft w:val="0"/>
      <w:marRight w:val="0"/>
      <w:marTop w:val="0"/>
      <w:marBottom w:val="0"/>
      <w:divBdr>
        <w:top w:val="none" w:sz="0" w:space="0" w:color="auto"/>
        <w:left w:val="none" w:sz="0" w:space="0" w:color="auto"/>
        <w:bottom w:val="none" w:sz="0" w:space="0" w:color="auto"/>
        <w:right w:val="none" w:sz="0" w:space="0" w:color="auto"/>
      </w:divBdr>
    </w:div>
    <w:div w:id="1985115567">
      <w:marLeft w:val="0"/>
      <w:marRight w:val="0"/>
      <w:marTop w:val="0"/>
      <w:marBottom w:val="0"/>
      <w:divBdr>
        <w:top w:val="none" w:sz="0" w:space="0" w:color="auto"/>
        <w:left w:val="none" w:sz="0" w:space="0" w:color="auto"/>
        <w:bottom w:val="none" w:sz="0" w:space="0" w:color="auto"/>
        <w:right w:val="none" w:sz="0" w:space="0" w:color="auto"/>
      </w:divBdr>
    </w:div>
    <w:div w:id="1985154628">
      <w:marLeft w:val="0"/>
      <w:marRight w:val="0"/>
      <w:marTop w:val="0"/>
      <w:marBottom w:val="0"/>
      <w:divBdr>
        <w:top w:val="none" w:sz="0" w:space="0" w:color="auto"/>
        <w:left w:val="none" w:sz="0" w:space="0" w:color="auto"/>
        <w:bottom w:val="none" w:sz="0" w:space="0" w:color="auto"/>
        <w:right w:val="none" w:sz="0" w:space="0" w:color="auto"/>
      </w:divBdr>
    </w:div>
    <w:div w:id="1985155440">
      <w:marLeft w:val="0"/>
      <w:marRight w:val="0"/>
      <w:marTop w:val="100"/>
      <w:marBottom w:val="0"/>
      <w:divBdr>
        <w:top w:val="none" w:sz="0" w:space="0" w:color="auto"/>
        <w:left w:val="none" w:sz="0" w:space="0" w:color="auto"/>
        <w:bottom w:val="none" w:sz="0" w:space="0" w:color="auto"/>
        <w:right w:val="none" w:sz="0" w:space="0" w:color="auto"/>
      </w:divBdr>
    </w:div>
    <w:div w:id="1985432136">
      <w:marLeft w:val="0"/>
      <w:marRight w:val="0"/>
      <w:marTop w:val="0"/>
      <w:marBottom w:val="132"/>
      <w:divBdr>
        <w:top w:val="none" w:sz="0" w:space="0" w:color="auto"/>
        <w:left w:val="none" w:sz="0" w:space="0" w:color="auto"/>
        <w:bottom w:val="none" w:sz="0" w:space="0" w:color="auto"/>
        <w:right w:val="none" w:sz="0" w:space="0" w:color="auto"/>
      </w:divBdr>
    </w:div>
    <w:div w:id="1986156003">
      <w:marLeft w:val="0"/>
      <w:marRight w:val="0"/>
      <w:marTop w:val="0"/>
      <w:marBottom w:val="0"/>
      <w:divBdr>
        <w:top w:val="none" w:sz="0" w:space="0" w:color="auto"/>
        <w:left w:val="none" w:sz="0" w:space="0" w:color="auto"/>
        <w:bottom w:val="none" w:sz="0" w:space="0" w:color="auto"/>
        <w:right w:val="none" w:sz="0" w:space="0" w:color="auto"/>
      </w:divBdr>
    </w:div>
    <w:div w:id="1986465475">
      <w:marLeft w:val="0"/>
      <w:marRight w:val="0"/>
      <w:marTop w:val="0"/>
      <w:marBottom w:val="0"/>
      <w:divBdr>
        <w:top w:val="none" w:sz="0" w:space="0" w:color="auto"/>
        <w:left w:val="none" w:sz="0" w:space="0" w:color="auto"/>
        <w:bottom w:val="none" w:sz="0" w:space="0" w:color="auto"/>
        <w:right w:val="none" w:sz="0" w:space="0" w:color="auto"/>
      </w:divBdr>
    </w:div>
    <w:div w:id="1989551558">
      <w:marLeft w:val="0"/>
      <w:marRight w:val="0"/>
      <w:marTop w:val="0"/>
      <w:marBottom w:val="0"/>
      <w:divBdr>
        <w:top w:val="none" w:sz="0" w:space="0" w:color="auto"/>
        <w:left w:val="none" w:sz="0" w:space="0" w:color="auto"/>
        <w:bottom w:val="none" w:sz="0" w:space="0" w:color="auto"/>
        <w:right w:val="none" w:sz="0" w:space="0" w:color="auto"/>
      </w:divBdr>
    </w:div>
    <w:div w:id="1990010083">
      <w:marLeft w:val="0"/>
      <w:marRight w:val="0"/>
      <w:marTop w:val="0"/>
      <w:marBottom w:val="0"/>
      <w:divBdr>
        <w:top w:val="none" w:sz="0" w:space="0" w:color="auto"/>
        <w:left w:val="none" w:sz="0" w:space="0" w:color="auto"/>
        <w:bottom w:val="none" w:sz="0" w:space="0" w:color="auto"/>
        <w:right w:val="none" w:sz="0" w:space="0" w:color="auto"/>
      </w:divBdr>
      <w:divsChild>
        <w:div w:id="128744839">
          <w:marLeft w:val="0"/>
          <w:marRight w:val="0"/>
          <w:marTop w:val="0"/>
          <w:marBottom w:val="0"/>
          <w:divBdr>
            <w:top w:val="none" w:sz="0" w:space="0" w:color="auto"/>
            <w:left w:val="none" w:sz="0" w:space="0" w:color="auto"/>
            <w:bottom w:val="none" w:sz="0" w:space="0" w:color="auto"/>
            <w:right w:val="none" w:sz="0" w:space="0" w:color="auto"/>
          </w:divBdr>
        </w:div>
        <w:div w:id="1344891010">
          <w:marLeft w:val="0"/>
          <w:marRight w:val="0"/>
          <w:marTop w:val="0"/>
          <w:marBottom w:val="0"/>
          <w:divBdr>
            <w:top w:val="none" w:sz="0" w:space="0" w:color="auto"/>
            <w:left w:val="none" w:sz="0" w:space="0" w:color="auto"/>
            <w:bottom w:val="none" w:sz="0" w:space="0" w:color="auto"/>
            <w:right w:val="none" w:sz="0" w:space="0" w:color="auto"/>
          </w:divBdr>
        </w:div>
      </w:divsChild>
    </w:div>
    <w:div w:id="1990861589">
      <w:marLeft w:val="0"/>
      <w:marRight w:val="0"/>
      <w:marTop w:val="0"/>
      <w:marBottom w:val="0"/>
      <w:divBdr>
        <w:top w:val="none" w:sz="0" w:space="0" w:color="auto"/>
        <w:left w:val="none" w:sz="0" w:space="0" w:color="auto"/>
        <w:bottom w:val="none" w:sz="0" w:space="0" w:color="auto"/>
        <w:right w:val="none" w:sz="0" w:space="0" w:color="auto"/>
      </w:divBdr>
      <w:divsChild>
        <w:div w:id="1806385653">
          <w:marLeft w:val="0"/>
          <w:marRight w:val="0"/>
          <w:marTop w:val="0"/>
          <w:marBottom w:val="0"/>
          <w:divBdr>
            <w:top w:val="none" w:sz="0" w:space="0" w:color="auto"/>
            <w:left w:val="none" w:sz="0" w:space="0" w:color="auto"/>
            <w:bottom w:val="none" w:sz="0" w:space="0" w:color="auto"/>
            <w:right w:val="none" w:sz="0" w:space="0" w:color="auto"/>
          </w:divBdr>
        </w:div>
      </w:divsChild>
    </w:div>
    <w:div w:id="1992826754">
      <w:marLeft w:val="0"/>
      <w:marRight w:val="0"/>
      <w:marTop w:val="0"/>
      <w:marBottom w:val="0"/>
      <w:divBdr>
        <w:top w:val="none" w:sz="0" w:space="0" w:color="auto"/>
        <w:left w:val="none" w:sz="0" w:space="0" w:color="auto"/>
        <w:bottom w:val="none" w:sz="0" w:space="0" w:color="auto"/>
        <w:right w:val="none" w:sz="0" w:space="0" w:color="auto"/>
      </w:divBdr>
    </w:div>
    <w:div w:id="1993366006">
      <w:marLeft w:val="0"/>
      <w:marRight w:val="0"/>
      <w:marTop w:val="0"/>
      <w:marBottom w:val="0"/>
      <w:divBdr>
        <w:top w:val="none" w:sz="0" w:space="0" w:color="auto"/>
        <w:left w:val="none" w:sz="0" w:space="0" w:color="auto"/>
        <w:bottom w:val="none" w:sz="0" w:space="0" w:color="auto"/>
        <w:right w:val="none" w:sz="0" w:space="0" w:color="auto"/>
      </w:divBdr>
    </w:div>
    <w:div w:id="1994983338">
      <w:marLeft w:val="0"/>
      <w:marRight w:val="0"/>
      <w:marTop w:val="0"/>
      <w:marBottom w:val="0"/>
      <w:divBdr>
        <w:top w:val="none" w:sz="0" w:space="0" w:color="auto"/>
        <w:left w:val="none" w:sz="0" w:space="0" w:color="auto"/>
        <w:bottom w:val="none" w:sz="0" w:space="0" w:color="auto"/>
        <w:right w:val="none" w:sz="0" w:space="0" w:color="auto"/>
      </w:divBdr>
      <w:divsChild>
        <w:div w:id="1732848576">
          <w:marLeft w:val="0"/>
          <w:marRight w:val="0"/>
          <w:marTop w:val="0"/>
          <w:marBottom w:val="0"/>
          <w:divBdr>
            <w:top w:val="none" w:sz="0" w:space="0" w:color="auto"/>
            <w:left w:val="none" w:sz="0" w:space="0" w:color="auto"/>
            <w:bottom w:val="none" w:sz="0" w:space="0" w:color="auto"/>
            <w:right w:val="none" w:sz="0" w:space="0" w:color="auto"/>
          </w:divBdr>
        </w:div>
      </w:divsChild>
    </w:div>
    <w:div w:id="1997874567">
      <w:marLeft w:val="0"/>
      <w:marRight w:val="0"/>
      <w:marTop w:val="0"/>
      <w:marBottom w:val="0"/>
      <w:divBdr>
        <w:top w:val="none" w:sz="0" w:space="0" w:color="auto"/>
        <w:left w:val="none" w:sz="0" w:space="0" w:color="auto"/>
        <w:bottom w:val="none" w:sz="0" w:space="0" w:color="auto"/>
        <w:right w:val="none" w:sz="0" w:space="0" w:color="auto"/>
      </w:divBdr>
    </w:div>
    <w:div w:id="1999921763">
      <w:marLeft w:val="0"/>
      <w:marRight w:val="0"/>
      <w:marTop w:val="0"/>
      <w:marBottom w:val="0"/>
      <w:divBdr>
        <w:top w:val="none" w:sz="0" w:space="0" w:color="auto"/>
        <w:left w:val="none" w:sz="0" w:space="0" w:color="auto"/>
        <w:bottom w:val="none" w:sz="0" w:space="0" w:color="auto"/>
        <w:right w:val="none" w:sz="0" w:space="0" w:color="auto"/>
      </w:divBdr>
      <w:divsChild>
        <w:div w:id="2066561021">
          <w:marLeft w:val="0"/>
          <w:marRight w:val="0"/>
          <w:marTop w:val="0"/>
          <w:marBottom w:val="0"/>
          <w:divBdr>
            <w:top w:val="none" w:sz="0" w:space="0" w:color="auto"/>
            <w:left w:val="none" w:sz="0" w:space="0" w:color="auto"/>
            <w:bottom w:val="none" w:sz="0" w:space="0" w:color="auto"/>
            <w:right w:val="none" w:sz="0" w:space="0" w:color="auto"/>
          </w:divBdr>
        </w:div>
      </w:divsChild>
    </w:div>
    <w:div w:id="2000225747">
      <w:marLeft w:val="0"/>
      <w:marRight w:val="0"/>
      <w:marTop w:val="0"/>
      <w:marBottom w:val="0"/>
      <w:divBdr>
        <w:top w:val="none" w:sz="0" w:space="0" w:color="auto"/>
        <w:left w:val="none" w:sz="0" w:space="0" w:color="auto"/>
        <w:bottom w:val="none" w:sz="0" w:space="0" w:color="auto"/>
        <w:right w:val="none" w:sz="0" w:space="0" w:color="auto"/>
      </w:divBdr>
    </w:div>
    <w:div w:id="2001149899">
      <w:marLeft w:val="0"/>
      <w:marRight w:val="0"/>
      <w:marTop w:val="0"/>
      <w:marBottom w:val="0"/>
      <w:divBdr>
        <w:top w:val="none" w:sz="0" w:space="0" w:color="auto"/>
        <w:left w:val="none" w:sz="0" w:space="0" w:color="auto"/>
        <w:bottom w:val="none" w:sz="0" w:space="0" w:color="auto"/>
        <w:right w:val="none" w:sz="0" w:space="0" w:color="auto"/>
      </w:divBdr>
      <w:divsChild>
        <w:div w:id="999043188">
          <w:marLeft w:val="0"/>
          <w:marRight w:val="0"/>
          <w:marTop w:val="0"/>
          <w:marBottom w:val="0"/>
          <w:divBdr>
            <w:top w:val="none" w:sz="0" w:space="0" w:color="auto"/>
            <w:left w:val="none" w:sz="0" w:space="0" w:color="auto"/>
            <w:bottom w:val="none" w:sz="0" w:space="0" w:color="auto"/>
            <w:right w:val="none" w:sz="0" w:space="0" w:color="auto"/>
          </w:divBdr>
        </w:div>
      </w:divsChild>
    </w:div>
    <w:div w:id="2015372572">
      <w:marLeft w:val="0"/>
      <w:marRight w:val="0"/>
      <w:marTop w:val="0"/>
      <w:marBottom w:val="0"/>
      <w:divBdr>
        <w:top w:val="none" w:sz="0" w:space="0" w:color="auto"/>
        <w:left w:val="none" w:sz="0" w:space="0" w:color="auto"/>
        <w:bottom w:val="none" w:sz="0" w:space="0" w:color="auto"/>
        <w:right w:val="none" w:sz="0" w:space="0" w:color="auto"/>
      </w:divBdr>
      <w:divsChild>
        <w:div w:id="146476163">
          <w:marLeft w:val="0"/>
          <w:marRight w:val="0"/>
          <w:marTop w:val="0"/>
          <w:marBottom w:val="0"/>
          <w:divBdr>
            <w:top w:val="none" w:sz="0" w:space="0" w:color="auto"/>
            <w:left w:val="none" w:sz="0" w:space="0" w:color="auto"/>
            <w:bottom w:val="none" w:sz="0" w:space="0" w:color="auto"/>
            <w:right w:val="none" w:sz="0" w:space="0" w:color="auto"/>
          </w:divBdr>
        </w:div>
      </w:divsChild>
    </w:div>
    <w:div w:id="2016611522">
      <w:marLeft w:val="0"/>
      <w:marRight w:val="0"/>
      <w:marTop w:val="0"/>
      <w:marBottom w:val="200"/>
      <w:divBdr>
        <w:top w:val="none" w:sz="0" w:space="0" w:color="auto"/>
        <w:left w:val="none" w:sz="0" w:space="0" w:color="auto"/>
        <w:bottom w:val="none" w:sz="0" w:space="0" w:color="auto"/>
        <w:right w:val="none" w:sz="0" w:space="0" w:color="auto"/>
      </w:divBdr>
    </w:div>
    <w:div w:id="2018389256">
      <w:marLeft w:val="0"/>
      <w:marRight w:val="0"/>
      <w:marTop w:val="0"/>
      <w:marBottom w:val="0"/>
      <w:divBdr>
        <w:top w:val="none" w:sz="0" w:space="0" w:color="auto"/>
        <w:left w:val="none" w:sz="0" w:space="0" w:color="auto"/>
        <w:bottom w:val="none" w:sz="0" w:space="0" w:color="auto"/>
        <w:right w:val="none" w:sz="0" w:space="0" w:color="auto"/>
      </w:divBdr>
      <w:divsChild>
        <w:div w:id="267393243">
          <w:marLeft w:val="0"/>
          <w:marRight w:val="0"/>
          <w:marTop w:val="0"/>
          <w:marBottom w:val="0"/>
          <w:divBdr>
            <w:top w:val="none" w:sz="0" w:space="0" w:color="auto"/>
            <w:left w:val="none" w:sz="0" w:space="0" w:color="auto"/>
            <w:bottom w:val="none" w:sz="0" w:space="0" w:color="auto"/>
            <w:right w:val="none" w:sz="0" w:space="0" w:color="auto"/>
          </w:divBdr>
        </w:div>
      </w:divsChild>
    </w:div>
    <w:div w:id="2021348750">
      <w:marLeft w:val="0"/>
      <w:marRight w:val="0"/>
      <w:marTop w:val="0"/>
      <w:marBottom w:val="0"/>
      <w:divBdr>
        <w:top w:val="none" w:sz="0" w:space="0" w:color="auto"/>
        <w:left w:val="none" w:sz="0" w:space="0" w:color="auto"/>
        <w:bottom w:val="none" w:sz="0" w:space="0" w:color="auto"/>
        <w:right w:val="none" w:sz="0" w:space="0" w:color="auto"/>
      </w:divBdr>
    </w:div>
    <w:div w:id="2024743150">
      <w:marLeft w:val="0"/>
      <w:marRight w:val="0"/>
      <w:marTop w:val="0"/>
      <w:marBottom w:val="0"/>
      <w:divBdr>
        <w:top w:val="none" w:sz="0" w:space="0" w:color="auto"/>
        <w:left w:val="none" w:sz="0" w:space="0" w:color="auto"/>
        <w:bottom w:val="none" w:sz="0" w:space="0" w:color="auto"/>
        <w:right w:val="none" w:sz="0" w:space="0" w:color="auto"/>
      </w:divBdr>
    </w:div>
    <w:div w:id="2026470998">
      <w:marLeft w:val="0"/>
      <w:marRight w:val="0"/>
      <w:marTop w:val="100"/>
      <w:marBottom w:val="0"/>
      <w:divBdr>
        <w:top w:val="none" w:sz="0" w:space="0" w:color="auto"/>
        <w:left w:val="none" w:sz="0" w:space="0" w:color="auto"/>
        <w:bottom w:val="none" w:sz="0" w:space="0" w:color="auto"/>
        <w:right w:val="none" w:sz="0" w:space="0" w:color="auto"/>
      </w:divBdr>
    </w:div>
    <w:div w:id="2026900398">
      <w:marLeft w:val="0"/>
      <w:marRight w:val="0"/>
      <w:marTop w:val="0"/>
      <w:marBottom w:val="0"/>
      <w:divBdr>
        <w:top w:val="none" w:sz="0" w:space="0" w:color="auto"/>
        <w:left w:val="none" w:sz="0" w:space="0" w:color="auto"/>
        <w:bottom w:val="none" w:sz="0" w:space="0" w:color="auto"/>
        <w:right w:val="none" w:sz="0" w:space="0" w:color="auto"/>
      </w:divBdr>
      <w:divsChild>
        <w:div w:id="1620407574">
          <w:marLeft w:val="0"/>
          <w:marRight w:val="0"/>
          <w:marTop w:val="0"/>
          <w:marBottom w:val="0"/>
          <w:divBdr>
            <w:top w:val="none" w:sz="0" w:space="0" w:color="auto"/>
            <w:left w:val="none" w:sz="0" w:space="0" w:color="auto"/>
            <w:bottom w:val="none" w:sz="0" w:space="0" w:color="auto"/>
            <w:right w:val="none" w:sz="0" w:space="0" w:color="auto"/>
          </w:divBdr>
        </w:div>
      </w:divsChild>
    </w:div>
    <w:div w:id="2027054365">
      <w:marLeft w:val="0"/>
      <w:marRight w:val="0"/>
      <w:marTop w:val="0"/>
      <w:marBottom w:val="0"/>
      <w:divBdr>
        <w:top w:val="none" w:sz="0" w:space="0" w:color="auto"/>
        <w:left w:val="none" w:sz="0" w:space="0" w:color="auto"/>
        <w:bottom w:val="none" w:sz="0" w:space="0" w:color="auto"/>
        <w:right w:val="none" w:sz="0" w:space="0" w:color="auto"/>
      </w:divBdr>
      <w:divsChild>
        <w:div w:id="1200439670">
          <w:marLeft w:val="0"/>
          <w:marRight w:val="0"/>
          <w:marTop w:val="0"/>
          <w:marBottom w:val="0"/>
          <w:divBdr>
            <w:top w:val="none" w:sz="0" w:space="0" w:color="auto"/>
            <w:left w:val="none" w:sz="0" w:space="0" w:color="auto"/>
            <w:bottom w:val="none" w:sz="0" w:space="0" w:color="auto"/>
            <w:right w:val="none" w:sz="0" w:space="0" w:color="auto"/>
          </w:divBdr>
        </w:div>
      </w:divsChild>
    </w:div>
    <w:div w:id="2027511002">
      <w:marLeft w:val="0"/>
      <w:marRight w:val="0"/>
      <w:marTop w:val="0"/>
      <w:marBottom w:val="0"/>
      <w:divBdr>
        <w:top w:val="none" w:sz="0" w:space="0" w:color="auto"/>
        <w:left w:val="none" w:sz="0" w:space="0" w:color="auto"/>
        <w:bottom w:val="none" w:sz="0" w:space="0" w:color="auto"/>
        <w:right w:val="none" w:sz="0" w:space="0" w:color="auto"/>
      </w:divBdr>
      <w:divsChild>
        <w:div w:id="474295322">
          <w:marLeft w:val="0"/>
          <w:marRight w:val="0"/>
          <w:marTop w:val="0"/>
          <w:marBottom w:val="0"/>
          <w:divBdr>
            <w:top w:val="none" w:sz="0" w:space="0" w:color="auto"/>
            <w:left w:val="none" w:sz="0" w:space="0" w:color="auto"/>
            <w:bottom w:val="none" w:sz="0" w:space="0" w:color="auto"/>
            <w:right w:val="none" w:sz="0" w:space="0" w:color="auto"/>
          </w:divBdr>
        </w:div>
      </w:divsChild>
    </w:div>
    <w:div w:id="2027751684">
      <w:marLeft w:val="0"/>
      <w:marRight w:val="0"/>
      <w:marTop w:val="100"/>
      <w:marBottom w:val="100"/>
      <w:divBdr>
        <w:top w:val="none" w:sz="0" w:space="0" w:color="auto"/>
        <w:left w:val="none" w:sz="0" w:space="0" w:color="auto"/>
        <w:bottom w:val="none" w:sz="0" w:space="0" w:color="auto"/>
        <w:right w:val="none" w:sz="0" w:space="0" w:color="auto"/>
      </w:divBdr>
    </w:div>
    <w:div w:id="2027949517">
      <w:marLeft w:val="0"/>
      <w:marRight w:val="0"/>
      <w:marTop w:val="0"/>
      <w:marBottom w:val="0"/>
      <w:divBdr>
        <w:top w:val="none" w:sz="0" w:space="0" w:color="auto"/>
        <w:left w:val="none" w:sz="0" w:space="0" w:color="auto"/>
        <w:bottom w:val="none" w:sz="0" w:space="0" w:color="auto"/>
        <w:right w:val="none" w:sz="0" w:space="0" w:color="auto"/>
      </w:divBdr>
      <w:divsChild>
        <w:div w:id="1438063521">
          <w:marLeft w:val="0"/>
          <w:marRight w:val="0"/>
          <w:marTop w:val="0"/>
          <w:marBottom w:val="0"/>
          <w:divBdr>
            <w:top w:val="none" w:sz="0" w:space="0" w:color="auto"/>
            <w:left w:val="none" w:sz="0" w:space="0" w:color="auto"/>
            <w:bottom w:val="none" w:sz="0" w:space="0" w:color="auto"/>
            <w:right w:val="none" w:sz="0" w:space="0" w:color="auto"/>
          </w:divBdr>
        </w:div>
      </w:divsChild>
    </w:div>
    <w:div w:id="2031635828">
      <w:marLeft w:val="0"/>
      <w:marRight w:val="0"/>
      <w:marTop w:val="0"/>
      <w:marBottom w:val="0"/>
      <w:divBdr>
        <w:top w:val="none" w:sz="0" w:space="0" w:color="auto"/>
        <w:left w:val="none" w:sz="0" w:space="0" w:color="auto"/>
        <w:bottom w:val="none" w:sz="0" w:space="0" w:color="auto"/>
        <w:right w:val="none" w:sz="0" w:space="0" w:color="auto"/>
      </w:divBdr>
    </w:div>
    <w:div w:id="2035767505">
      <w:marLeft w:val="0"/>
      <w:marRight w:val="0"/>
      <w:marTop w:val="0"/>
      <w:marBottom w:val="0"/>
      <w:divBdr>
        <w:top w:val="none" w:sz="0" w:space="0" w:color="auto"/>
        <w:left w:val="none" w:sz="0" w:space="0" w:color="auto"/>
        <w:bottom w:val="none" w:sz="0" w:space="0" w:color="auto"/>
        <w:right w:val="none" w:sz="0" w:space="0" w:color="auto"/>
      </w:divBdr>
      <w:divsChild>
        <w:div w:id="1997762177">
          <w:marLeft w:val="0"/>
          <w:marRight w:val="0"/>
          <w:marTop w:val="0"/>
          <w:marBottom w:val="0"/>
          <w:divBdr>
            <w:top w:val="none" w:sz="0" w:space="0" w:color="auto"/>
            <w:left w:val="none" w:sz="0" w:space="0" w:color="auto"/>
            <w:bottom w:val="none" w:sz="0" w:space="0" w:color="auto"/>
            <w:right w:val="none" w:sz="0" w:space="0" w:color="auto"/>
          </w:divBdr>
        </w:div>
      </w:divsChild>
    </w:div>
    <w:div w:id="2041081502">
      <w:marLeft w:val="0"/>
      <w:marRight w:val="0"/>
      <w:marTop w:val="0"/>
      <w:marBottom w:val="160"/>
      <w:divBdr>
        <w:top w:val="none" w:sz="0" w:space="0" w:color="auto"/>
        <w:left w:val="none" w:sz="0" w:space="0" w:color="auto"/>
        <w:bottom w:val="none" w:sz="0" w:space="0" w:color="auto"/>
        <w:right w:val="none" w:sz="0" w:space="0" w:color="auto"/>
      </w:divBdr>
    </w:div>
    <w:div w:id="2043550313">
      <w:marLeft w:val="0"/>
      <w:marRight w:val="0"/>
      <w:marTop w:val="0"/>
      <w:marBottom w:val="0"/>
      <w:divBdr>
        <w:top w:val="none" w:sz="0" w:space="0" w:color="auto"/>
        <w:left w:val="none" w:sz="0" w:space="0" w:color="auto"/>
        <w:bottom w:val="none" w:sz="0" w:space="0" w:color="auto"/>
        <w:right w:val="none" w:sz="0" w:space="0" w:color="auto"/>
      </w:divBdr>
      <w:divsChild>
        <w:div w:id="2095198231">
          <w:marLeft w:val="0"/>
          <w:marRight w:val="0"/>
          <w:marTop w:val="0"/>
          <w:marBottom w:val="0"/>
          <w:divBdr>
            <w:top w:val="none" w:sz="0" w:space="0" w:color="auto"/>
            <w:left w:val="none" w:sz="0" w:space="0" w:color="auto"/>
            <w:bottom w:val="none" w:sz="0" w:space="0" w:color="auto"/>
            <w:right w:val="none" w:sz="0" w:space="0" w:color="auto"/>
          </w:divBdr>
        </w:div>
      </w:divsChild>
    </w:div>
    <w:div w:id="2044749952">
      <w:marLeft w:val="0"/>
      <w:marRight w:val="0"/>
      <w:marTop w:val="0"/>
      <w:marBottom w:val="0"/>
      <w:divBdr>
        <w:top w:val="none" w:sz="0" w:space="0" w:color="auto"/>
        <w:left w:val="none" w:sz="0" w:space="0" w:color="auto"/>
        <w:bottom w:val="none" w:sz="0" w:space="0" w:color="auto"/>
        <w:right w:val="none" w:sz="0" w:space="0" w:color="auto"/>
      </w:divBdr>
    </w:div>
    <w:div w:id="2045254396">
      <w:marLeft w:val="0"/>
      <w:marRight w:val="0"/>
      <w:marTop w:val="0"/>
      <w:marBottom w:val="0"/>
      <w:divBdr>
        <w:top w:val="none" w:sz="0" w:space="0" w:color="auto"/>
        <w:left w:val="none" w:sz="0" w:space="0" w:color="auto"/>
        <w:bottom w:val="none" w:sz="0" w:space="0" w:color="auto"/>
        <w:right w:val="none" w:sz="0" w:space="0" w:color="auto"/>
      </w:divBdr>
      <w:divsChild>
        <w:div w:id="482083246">
          <w:marLeft w:val="0"/>
          <w:marRight w:val="0"/>
          <w:marTop w:val="0"/>
          <w:marBottom w:val="0"/>
          <w:divBdr>
            <w:top w:val="none" w:sz="0" w:space="0" w:color="auto"/>
            <w:left w:val="none" w:sz="0" w:space="0" w:color="auto"/>
            <w:bottom w:val="none" w:sz="0" w:space="0" w:color="auto"/>
            <w:right w:val="none" w:sz="0" w:space="0" w:color="auto"/>
          </w:divBdr>
        </w:div>
      </w:divsChild>
    </w:div>
    <w:div w:id="2046439924">
      <w:marLeft w:val="0"/>
      <w:marRight w:val="0"/>
      <w:marTop w:val="0"/>
      <w:marBottom w:val="0"/>
      <w:divBdr>
        <w:top w:val="none" w:sz="0" w:space="0" w:color="auto"/>
        <w:left w:val="none" w:sz="0" w:space="0" w:color="auto"/>
        <w:bottom w:val="none" w:sz="0" w:space="0" w:color="auto"/>
        <w:right w:val="none" w:sz="0" w:space="0" w:color="auto"/>
      </w:divBdr>
    </w:div>
    <w:div w:id="2048751528">
      <w:marLeft w:val="0"/>
      <w:marRight w:val="0"/>
      <w:marTop w:val="0"/>
      <w:marBottom w:val="0"/>
      <w:divBdr>
        <w:top w:val="none" w:sz="0" w:space="0" w:color="auto"/>
        <w:left w:val="none" w:sz="0" w:space="0" w:color="auto"/>
        <w:bottom w:val="none" w:sz="0" w:space="0" w:color="auto"/>
        <w:right w:val="none" w:sz="0" w:space="0" w:color="auto"/>
      </w:divBdr>
      <w:divsChild>
        <w:div w:id="1309436989">
          <w:marLeft w:val="0"/>
          <w:marRight w:val="0"/>
          <w:marTop w:val="0"/>
          <w:marBottom w:val="0"/>
          <w:divBdr>
            <w:top w:val="none" w:sz="0" w:space="0" w:color="auto"/>
            <w:left w:val="none" w:sz="0" w:space="0" w:color="auto"/>
            <w:bottom w:val="none" w:sz="0" w:space="0" w:color="auto"/>
            <w:right w:val="none" w:sz="0" w:space="0" w:color="auto"/>
          </w:divBdr>
        </w:div>
      </w:divsChild>
    </w:div>
    <w:div w:id="2049065416">
      <w:marLeft w:val="0"/>
      <w:marRight w:val="0"/>
      <w:marTop w:val="0"/>
      <w:marBottom w:val="0"/>
      <w:divBdr>
        <w:top w:val="none" w:sz="0" w:space="0" w:color="auto"/>
        <w:left w:val="none" w:sz="0" w:space="0" w:color="auto"/>
        <w:bottom w:val="none" w:sz="0" w:space="0" w:color="auto"/>
        <w:right w:val="none" w:sz="0" w:space="0" w:color="auto"/>
      </w:divBdr>
    </w:div>
    <w:div w:id="2049336149">
      <w:marLeft w:val="0"/>
      <w:marRight w:val="0"/>
      <w:marTop w:val="100"/>
      <w:marBottom w:val="100"/>
      <w:divBdr>
        <w:top w:val="none" w:sz="0" w:space="0" w:color="auto"/>
        <w:left w:val="none" w:sz="0" w:space="0" w:color="auto"/>
        <w:bottom w:val="none" w:sz="0" w:space="0" w:color="auto"/>
        <w:right w:val="none" w:sz="0" w:space="0" w:color="auto"/>
      </w:divBdr>
      <w:divsChild>
        <w:div w:id="120153265">
          <w:marLeft w:val="0"/>
          <w:marRight w:val="0"/>
          <w:marTop w:val="0"/>
          <w:marBottom w:val="0"/>
          <w:divBdr>
            <w:top w:val="none" w:sz="0" w:space="0" w:color="auto"/>
            <w:left w:val="none" w:sz="0" w:space="0" w:color="auto"/>
            <w:bottom w:val="none" w:sz="0" w:space="0" w:color="auto"/>
            <w:right w:val="none" w:sz="0" w:space="0" w:color="auto"/>
          </w:divBdr>
        </w:div>
        <w:div w:id="1899971729">
          <w:marLeft w:val="0"/>
          <w:marRight w:val="0"/>
          <w:marTop w:val="0"/>
          <w:marBottom w:val="0"/>
          <w:divBdr>
            <w:top w:val="none" w:sz="0" w:space="0" w:color="auto"/>
            <w:left w:val="none" w:sz="0" w:space="0" w:color="auto"/>
            <w:bottom w:val="none" w:sz="0" w:space="0" w:color="auto"/>
            <w:right w:val="none" w:sz="0" w:space="0" w:color="auto"/>
          </w:divBdr>
        </w:div>
      </w:divsChild>
    </w:div>
    <w:div w:id="2049524533">
      <w:marLeft w:val="0"/>
      <w:marRight w:val="0"/>
      <w:marTop w:val="0"/>
      <w:marBottom w:val="0"/>
      <w:divBdr>
        <w:top w:val="none" w:sz="0" w:space="0" w:color="auto"/>
        <w:left w:val="none" w:sz="0" w:space="0" w:color="auto"/>
        <w:bottom w:val="none" w:sz="0" w:space="0" w:color="auto"/>
        <w:right w:val="none" w:sz="0" w:space="0" w:color="auto"/>
      </w:divBdr>
      <w:divsChild>
        <w:div w:id="741685288">
          <w:marLeft w:val="0"/>
          <w:marRight w:val="0"/>
          <w:marTop w:val="0"/>
          <w:marBottom w:val="0"/>
          <w:divBdr>
            <w:top w:val="none" w:sz="0" w:space="0" w:color="auto"/>
            <w:left w:val="none" w:sz="0" w:space="0" w:color="auto"/>
            <w:bottom w:val="none" w:sz="0" w:space="0" w:color="auto"/>
            <w:right w:val="none" w:sz="0" w:space="0" w:color="auto"/>
          </w:divBdr>
        </w:div>
      </w:divsChild>
    </w:div>
    <w:div w:id="2050950973">
      <w:marLeft w:val="0"/>
      <w:marRight w:val="0"/>
      <w:marTop w:val="0"/>
      <w:marBottom w:val="0"/>
      <w:divBdr>
        <w:top w:val="none" w:sz="0" w:space="0" w:color="auto"/>
        <w:left w:val="none" w:sz="0" w:space="0" w:color="auto"/>
        <w:bottom w:val="none" w:sz="0" w:space="0" w:color="auto"/>
        <w:right w:val="none" w:sz="0" w:space="0" w:color="auto"/>
      </w:divBdr>
      <w:divsChild>
        <w:div w:id="1849825021">
          <w:marLeft w:val="0"/>
          <w:marRight w:val="0"/>
          <w:marTop w:val="0"/>
          <w:marBottom w:val="0"/>
          <w:divBdr>
            <w:top w:val="none" w:sz="0" w:space="0" w:color="auto"/>
            <w:left w:val="none" w:sz="0" w:space="0" w:color="auto"/>
            <w:bottom w:val="none" w:sz="0" w:space="0" w:color="auto"/>
            <w:right w:val="none" w:sz="0" w:space="0" w:color="auto"/>
          </w:divBdr>
        </w:div>
      </w:divsChild>
    </w:div>
    <w:div w:id="2053387118">
      <w:marLeft w:val="0"/>
      <w:marRight w:val="0"/>
      <w:marTop w:val="0"/>
      <w:marBottom w:val="0"/>
      <w:divBdr>
        <w:top w:val="none" w:sz="0" w:space="0" w:color="auto"/>
        <w:left w:val="none" w:sz="0" w:space="0" w:color="auto"/>
        <w:bottom w:val="none" w:sz="0" w:space="0" w:color="auto"/>
        <w:right w:val="none" w:sz="0" w:space="0" w:color="auto"/>
      </w:divBdr>
    </w:div>
    <w:div w:id="2054230075">
      <w:marLeft w:val="0"/>
      <w:marRight w:val="0"/>
      <w:marTop w:val="0"/>
      <w:marBottom w:val="0"/>
      <w:divBdr>
        <w:top w:val="none" w:sz="0" w:space="0" w:color="auto"/>
        <w:left w:val="none" w:sz="0" w:space="0" w:color="auto"/>
        <w:bottom w:val="none" w:sz="0" w:space="0" w:color="auto"/>
        <w:right w:val="none" w:sz="0" w:space="0" w:color="auto"/>
      </w:divBdr>
    </w:div>
    <w:div w:id="2057973535">
      <w:marLeft w:val="0"/>
      <w:marRight w:val="0"/>
      <w:marTop w:val="0"/>
      <w:marBottom w:val="0"/>
      <w:divBdr>
        <w:top w:val="none" w:sz="0" w:space="0" w:color="auto"/>
        <w:left w:val="none" w:sz="0" w:space="0" w:color="auto"/>
        <w:bottom w:val="none" w:sz="0" w:space="0" w:color="auto"/>
        <w:right w:val="none" w:sz="0" w:space="0" w:color="auto"/>
      </w:divBdr>
      <w:divsChild>
        <w:div w:id="1529677561">
          <w:marLeft w:val="0"/>
          <w:marRight w:val="0"/>
          <w:marTop w:val="0"/>
          <w:marBottom w:val="0"/>
          <w:divBdr>
            <w:top w:val="none" w:sz="0" w:space="0" w:color="auto"/>
            <w:left w:val="none" w:sz="0" w:space="0" w:color="auto"/>
            <w:bottom w:val="none" w:sz="0" w:space="0" w:color="auto"/>
            <w:right w:val="none" w:sz="0" w:space="0" w:color="auto"/>
          </w:divBdr>
        </w:div>
      </w:divsChild>
    </w:div>
    <w:div w:id="2058428112">
      <w:marLeft w:val="0"/>
      <w:marRight w:val="0"/>
      <w:marTop w:val="0"/>
      <w:marBottom w:val="60"/>
      <w:divBdr>
        <w:top w:val="none" w:sz="0" w:space="0" w:color="auto"/>
        <w:left w:val="none" w:sz="0" w:space="0" w:color="auto"/>
        <w:bottom w:val="none" w:sz="0" w:space="0" w:color="auto"/>
        <w:right w:val="none" w:sz="0" w:space="0" w:color="auto"/>
      </w:divBdr>
    </w:div>
    <w:div w:id="2061399695">
      <w:marLeft w:val="0"/>
      <w:marRight w:val="0"/>
      <w:marTop w:val="0"/>
      <w:marBottom w:val="0"/>
      <w:divBdr>
        <w:top w:val="none" w:sz="0" w:space="0" w:color="auto"/>
        <w:left w:val="none" w:sz="0" w:space="0" w:color="auto"/>
        <w:bottom w:val="none" w:sz="0" w:space="0" w:color="auto"/>
        <w:right w:val="none" w:sz="0" w:space="0" w:color="auto"/>
      </w:divBdr>
      <w:divsChild>
        <w:div w:id="636253572">
          <w:marLeft w:val="0"/>
          <w:marRight w:val="0"/>
          <w:marTop w:val="0"/>
          <w:marBottom w:val="0"/>
          <w:divBdr>
            <w:top w:val="none" w:sz="0" w:space="0" w:color="auto"/>
            <w:left w:val="none" w:sz="0" w:space="0" w:color="auto"/>
            <w:bottom w:val="none" w:sz="0" w:space="0" w:color="auto"/>
            <w:right w:val="none" w:sz="0" w:space="0" w:color="auto"/>
          </w:divBdr>
        </w:div>
      </w:divsChild>
    </w:div>
    <w:div w:id="2061974023">
      <w:marLeft w:val="0"/>
      <w:marRight w:val="0"/>
      <w:marTop w:val="0"/>
      <w:marBottom w:val="0"/>
      <w:divBdr>
        <w:top w:val="none" w:sz="0" w:space="0" w:color="auto"/>
        <w:left w:val="none" w:sz="0" w:space="0" w:color="auto"/>
        <w:bottom w:val="none" w:sz="0" w:space="0" w:color="auto"/>
        <w:right w:val="none" w:sz="0" w:space="0" w:color="auto"/>
      </w:divBdr>
      <w:divsChild>
        <w:div w:id="145364923">
          <w:marLeft w:val="0"/>
          <w:marRight w:val="0"/>
          <w:marTop w:val="0"/>
          <w:marBottom w:val="0"/>
          <w:divBdr>
            <w:top w:val="none" w:sz="0" w:space="0" w:color="auto"/>
            <w:left w:val="none" w:sz="0" w:space="0" w:color="auto"/>
            <w:bottom w:val="none" w:sz="0" w:space="0" w:color="auto"/>
            <w:right w:val="none" w:sz="0" w:space="0" w:color="auto"/>
          </w:divBdr>
        </w:div>
      </w:divsChild>
    </w:div>
    <w:div w:id="2068600726">
      <w:marLeft w:val="0"/>
      <w:marRight w:val="0"/>
      <w:marTop w:val="180"/>
      <w:marBottom w:val="180"/>
      <w:divBdr>
        <w:top w:val="none" w:sz="0" w:space="0" w:color="auto"/>
        <w:left w:val="none" w:sz="0" w:space="0" w:color="auto"/>
        <w:bottom w:val="none" w:sz="0" w:space="0" w:color="auto"/>
        <w:right w:val="none" w:sz="0" w:space="0" w:color="auto"/>
      </w:divBdr>
    </w:div>
    <w:div w:id="2070492657">
      <w:marLeft w:val="0"/>
      <w:marRight w:val="0"/>
      <w:marTop w:val="60"/>
      <w:marBottom w:val="60"/>
      <w:divBdr>
        <w:top w:val="none" w:sz="0" w:space="0" w:color="auto"/>
        <w:left w:val="none" w:sz="0" w:space="0" w:color="auto"/>
        <w:bottom w:val="none" w:sz="0" w:space="0" w:color="auto"/>
        <w:right w:val="none" w:sz="0" w:space="0" w:color="auto"/>
      </w:divBdr>
    </w:div>
    <w:div w:id="2070616289">
      <w:marLeft w:val="0"/>
      <w:marRight w:val="0"/>
      <w:marTop w:val="0"/>
      <w:marBottom w:val="0"/>
      <w:divBdr>
        <w:top w:val="none" w:sz="0" w:space="0" w:color="auto"/>
        <w:left w:val="none" w:sz="0" w:space="0" w:color="auto"/>
        <w:bottom w:val="none" w:sz="0" w:space="0" w:color="auto"/>
        <w:right w:val="none" w:sz="0" w:space="0" w:color="auto"/>
      </w:divBdr>
    </w:div>
    <w:div w:id="2071073040">
      <w:marLeft w:val="0"/>
      <w:marRight w:val="0"/>
      <w:marTop w:val="80"/>
      <w:marBottom w:val="0"/>
      <w:divBdr>
        <w:top w:val="none" w:sz="0" w:space="0" w:color="auto"/>
        <w:left w:val="none" w:sz="0" w:space="0" w:color="auto"/>
        <w:bottom w:val="none" w:sz="0" w:space="0" w:color="auto"/>
        <w:right w:val="none" w:sz="0" w:space="0" w:color="auto"/>
      </w:divBdr>
    </w:div>
    <w:div w:id="2078016458">
      <w:marLeft w:val="0"/>
      <w:marRight w:val="0"/>
      <w:marTop w:val="0"/>
      <w:marBottom w:val="0"/>
      <w:divBdr>
        <w:top w:val="none" w:sz="0" w:space="0" w:color="auto"/>
        <w:left w:val="none" w:sz="0" w:space="0" w:color="auto"/>
        <w:bottom w:val="none" w:sz="0" w:space="0" w:color="auto"/>
        <w:right w:val="none" w:sz="0" w:space="0" w:color="auto"/>
      </w:divBdr>
      <w:divsChild>
        <w:div w:id="1575553778">
          <w:marLeft w:val="0"/>
          <w:marRight w:val="0"/>
          <w:marTop w:val="0"/>
          <w:marBottom w:val="0"/>
          <w:divBdr>
            <w:top w:val="none" w:sz="0" w:space="0" w:color="auto"/>
            <w:left w:val="none" w:sz="0" w:space="0" w:color="auto"/>
            <w:bottom w:val="none" w:sz="0" w:space="0" w:color="auto"/>
            <w:right w:val="none" w:sz="0" w:space="0" w:color="auto"/>
          </w:divBdr>
        </w:div>
      </w:divsChild>
    </w:div>
    <w:div w:id="2078555895">
      <w:marLeft w:val="0"/>
      <w:marRight w:val="0"/>
      <w:marTop w:val="0"/>
      <w:marBottom w:val="0"/>
      <w:divBdr>
        <w:top w:val="none" w:sz="0" w:space="0" w:color="auto"/>
        <w:left w:val="none" w:sz="0" w:space="0" w:color="auto"/>
        <w:bottom w:val="none" w:sz="0" w:space="0" w:color="auto"/>
        <w:right w:val="none" w:sz="0" w:space="0" w:color="auto"/>
      </w:divBdr>
    </w:div>
    <w:div w:id="2081321542">
      <w:marLeft w:val="0"/>
      <w:marRight w:val="0"/>
      <w:marTop w:val="0"/>
      <w:marBottom w:val="0"/>
      <w:divBdr>
        <w:top w:val="none" w:sz="0" w:space="0" w:color="auto"/>
        <w:left w:val="none" w:sz="0" w:space="0" w:color="auto"/>
        <w:bottom w:val="none" w:sz="0" w:space="0" w:color="auto"/>
        <w:right w:val="none" w:sz="0" w:space="0" w:color="auto"/>
      </w:divBdr>
    </w:div>
    <w:div w:id="2081512781">
      <w:marLeft w:val="0"/>
      <w:marRight w:val="0"/>
      <w:marTop w:val="100"/>
      <w:marBottom w:val="0"/>
      <w:divBdr>
        <w:top w:val="none" w:sz="0" w:space="0" w:color="auto"/>
        <w:left w:val="none" w:sz="0" w:space="0" w:color="auto"/>
        <w:bottom w:val="none" w:sz="0" w:space="0" w:color="auto"/>
        <w:right w:val="none" w:sz="0" w:space="0" w:color="auto"/>
      </w:divBdr>
      <w:divsChild>
        <w:div w:id="379591305">
          <w:marLeft w:val="0"/>
          <w:marRight w:val="0"/>
          <w:marTop w:val="0"/>
          <w:marBottom w:val="0"/>
          <w:divBdr>
            <w:top w:val="none" w:sz="0" w:space="0" w:color="auto"/>
            <w:left w:val="none" w:sz="0" w:space="0" w:color="auto"/>
            <w:bottom w:val="none" w:sz="0" w:space="0" w:color="auto"/>
            <w:right w:val="none" w:sz="0" w:space="0" w:color="auto"/>
          </w:divBdr>
        </w:div>
      </w:divsChild>
    </w:div>
    <w:div w:id="2092653776">
      <w:marLeft w:val="0"/>
      <w:marRight w:val="0"/>
      <w:marTop w:val="0"/>
      <w:marBottom w:val="0"/>
      <w:divBdr>
        <w:top w:val="none" w:sz="0" w:space="0" w:color="auto"/>
        <w:left w:val="none" w:sz="0" w:space="0" w:color="auto"/>
        <w:bottom w:val="none" w:sz="0" w:space="0" w:color="auto"/>
        <w:right w:val="none" w:sz="0" w:space="0" w:color="auto"/>
      </w:divBdr>
    </w:div>
    <w:div w:id="2096245521">
      <w:marLeft w:val="0"/>
      <w:marRight w:val="0"/>
      <w:marTop w:val="0"/>
      <w:marBottom w:val="0"/>
      <w:divBdr>
        <w:top w:val="none" w:sz="0" w:space="0" w:color="auto"/>
        <w:left w:val="none" w:sz="0" w:space="0" w:color="auto"/>
        <w:bottom w:val="none" w:sz="0" w:space="0" w:color="auto"/>
        <w:right w:val="none" w:sz="0" w:space="0" w:color="auto"/>
      </w:divBdr>
    </w:div>
    <w:div w:id="2096895043">
      <w:marLeft w:val="0"/>
      <w:marRight w:val="0"/>
      <w:marTop w:val="0"/>
      <w:marBottom w:val="0"/>
      <w:divBdr>
        <w:top w:val="none" w:sz="0" w:space="0" w:color="auto"/>
        <w:left w:val="none" w:sz="0" w:space="0" w:color="auto"/>
        <w:bottom w:val="none" w:sz="0" w:space="0" w:color="auto"/>
        <w:right w:val="none" w:sz="0" w:space="0" w:color="auto"/>
      </w:divBdr>
    </w:div>
    <w:div w:id="2103795346">
      <w:marLeft w:val="0"/>
      <w:marRight w:val="0"/>
      <w:marTop w:val="0"/>
      <w:marBottom w:val="0"/>
      <w:divBdr>
        <w:top w:val="none" w:sz="0" w:space="0" w:color="auto"/>
        <w:left w:val="none" w:sz="0" w:space="0" w:color="auto"/>
        <w:bottom w:val="none" w:sz="0" w:space="0" w:color="auto"/>
        <w:right w:val="none" w:sz="0" w:space="0" w:color="auto"/>
      </w:divBdr>
      <w:divsChild>
        <w:div w:id="403262152">
          <w:marLeft w:val="0"/>
          <w:marRight w:val="0"/>
          <w:marTop w:val="0"/>
          <w:marBottom w:val="0"/>
          <w:divBdr>
            <w:top w:val="none" w:sz="0" w:space="0" w:color="auto"/>
            <w:left w:val="none" w:sz="0" w:space="0" w:color="auto"/>
            <w:bottom w:val="none" w:sz="0" w:space="0" w:color="auto"/>
            <w:right w:val="none" w:sz="0" w:space="0" w:color="auto"/>
          </w:divBdr>
        </w:div>
      </w:divsChild>
    </w:div>
    <w:div w:id="2105102175">
      <w:marLeft w:val="0"/>
      <w:marRight w:val="0"/>
      <w:marTop w:val="0"/>
      <w:marBottom w:val="0"/>
      <w:divBdr>
        <w:top w:val="none" w:sz="0" w:space="0" w:color="auto"/>
        <w:left w:val="none" w:sz="0" w:space="0" w:color="auto"/>
        <w:bottom w:val="none" w:sz="0" w:space="0" w:color="auto"/>
        <w:right w:val="none" w:sz="0" w:space="0" w:color="auto"/>
      </w:divBdr>
      <w:divsChild>
        <w:div w:id="1676229886">
          <w:marLeft w:val="0"/>
          <w:marRight w:val="0"/>
          <w:marTop w:val="0"/>
          <w:marBottom w:val="0"/>
          <w:divBdr>
            <w:top w:val="none" w:sz="0" w:space="0" w:color="auto"/>
            <w:left w:val="none" w:sz="0" w:space="0" w:color="auto"/>
            <w:bottom w:val="none" w:sz="0" w:space="0" w:color="auto"/>
            <w:right w:val="none" w:sz="0" w:space="0" w:color="auto"/>
          </w:divBdr>
        </w:div>
      </w:divsChild>
    </w:div>
    <w:div w:id="2105608175">
      <w:marLeft w:val="0"/>
      <w:marRight w:val="0"/>
      <w:marTop w:val="0"/>
      <w:marBottom w:val="0"/>
      <w:divBdr>
        <w:top w:val="none" w:sz="0" w:space="0" w:color="auto"/>
        <w:left w:val="none" w:sz="0" w:space="0" w:color="auto"/>
        <w:bottom w:val="none" w:sz="0" w:space="0" w:color="auto"/>
        <w:right w:val="none" w:sz="0" w:space="0" w:color="auto"/>
      </w:divBdr>
      <w:divsChild>
        <w:div w:id="1215119091">
          <w:marLeft w:val="0"/>
          <w:marRight w:val="0"/>
          <w:marTop w:val="0"/>
          <w:marBottom w:val="0"/>
          <w:divBdr>
            <w:top w:val="none" w:sz="0" w:space="0" w:color="auto"/>
            <w:left w:val="none" w:sz="0" w:space="0" w:color="auto"/>
            <w:bottom w:val="none" w:sz="0" w:space="0" w:color="auto"/>
            <w:right w:val="none" w:sz="0" w:space="0" w:color="auto"/>
          </w:divBdr>
        </w:div>
      </w:divsChild>
    </w:div>
    <w:div w:id="2108501930">
      <w:marLeft w:val="0"/>
      <w:marRight w:val="0"/>
      <w:marTop w:val="0"/>
      <w:marBottom w:val="0"/>
      <w:divBdr>
        <w:top w:val="none" w:sz="0" w:space="0" w:color="auto"/>
        <w:left w:val="none" w:sz="0" w:space="0" w:color="auto"/>
        <w:bottom w:val="none" w:sz="0" w:space="0" w:color="auto"/>
        <w:right w:val="none" w:sz="0" w:space="0" w:color="auto"/>
      </w:divBdr>
    </w:div>
    <w:div w:id="2110808724">
      <w:marLeft w:val="0"/>
      <w:marRight w:val="0"/>
      <w:marTop w:val="0"/>
      <w:marBottom w:val="0"/>
      <w:divBdr>
        <w:top w:val="none" w:sz="0" w:space="0" w:color="auto"/>
        <w:left w:val="none" w:sz="0" w:space="0" w:color="auto"/>
        <w:bottom w:val="none" w:sz="0" w:space="0" w:color="auto"/>
        <w:right w:val="none" w:sz="0" w:space="0" w:color="auto"/>
      </w:divBdr>
    </w:div>
    <w:div w:id="2114007031">
      <w:marLeft w:val="0"/>
      <w:marRight w:val="0"/>
      <w:marTop w:val="100"/>
      <w:marBottom w:val="0"/>
      <w:divBdr>
        <w:top w:val="none" w:sz="0" w:space="0" w:color="auto"/>
        <w:left w:val="none" w:sz="0" w:space="0" w:color="auto"/>
        <w:bottom w:val="none" w:sz="0" w:space="0" w:color="auto"/>
        <w:right w:val="none" w:sz="0" w:space="0" w:color="auto"/>
      </w:divBdr>
    </w:div>
    <w:div w:id="2115321189">
      <w:marLeft w:val="0"/>
      <w:marRight w:val="0"/>
      <w:marTop w:val="0"/>
      <w:marBottom w:val="0"/>
      <w:divBdr>
        <w:top w:val="none" w:sz="0" w:space="0" w:color="auto"/>
        <w:left w:val="none" w:sz="0" w:space="0" w:color="auto"/>
        <w:bottom w:val="none" w:sz="0" w:space="0" w:color="auto"/>
        <w:right w:val="none" w:sz="0" w:space="0" w:color="auto"/>
      </w:divBdr>
      <w:divsChild>
        <w:div w:id="1767118699">
          <w:marLeft w:val="0"/>
          <w:marRight w:val="0"/>
          <w:marTop w:val="0"/>
          <w:marBottom w:val="0"/>
          <w:divBdr>
            <w:top w:val="none" w:sz="0" w:space="0" w:color="auto"/>
            <w:left w:val="none" w:sz="0" w:space="0" w:color="auto"/>
            <w:bottom w:val="none" w:sz="0" w:space="0" w:color="auto"/>
            <w:right w:val="none" w:sz="0" w:space="0" w:color="auto"/>
          </w:divBdr>
        </w:div>
      </w:divsChild>
    </w:div>
    <w:div w:id="2115856761">
      <w:marLeft w:val="0"/>
      <w:marRight w:val="0"/>
      <w:marTop w:val="0"/>
      <w:marBottom w:val="0"/>
      <w:divBdr>
        <w:top w:val="none" w:sz="0" w:space="0" w:color="auto"/>
        <w:left w:val="none" w:sz="0" w:space="0" w:color="auto"/>
        <w:bottom w:val="none" w:sz="0" w:space="0" w:color="auto"/>
        <w:right w:val="none" w:sz="0" w:space="0" w:color="auto"/>
      </w:divBdr>
      <w:divsChild>
        <w:div w:id="1951811415">
          <w:marLeft w:val="0"/>
          <w:marRight w:val="0"/>
          <w:marTop w:val="0"/>
          <w:marBottom w:val="0"/>
          <w:divBdr>
            <w:top w:val="none" w:sz="0" w:space="0" w:color="auto"/>
            <w:left w:val="none" w:sz="0" w:space="0" w:color="auto"/>
            <w:bottom w:val="none" w:sz="0" w:space="0" w:color="auto"/>
            <w:right w:val="none" w:sz="0" w:space="0" w:color="auto"/>
          </w:divBdr>
        </w:div>
      </w:divsChild>
    </w:div>
    <w:div w:id="2117864861">
      <w:marLeft w:val="0"/>
      <w:marRight w:val="0"/>
      <w:marTop w:val="0"/>
      <w:marBottom w:val="0"/>
      <w:divBdr>
        <w:top w:val="none" w:sz="0" w:space="0" w:color="auto"/>
        <w:left w:val="none" w:sz="0" w:space="0" w:color="auto"/>
        <w:bottom w:val="none" w:sz="0" w:space="0" w:color="auto"/>
        <w:right w:val="none" w:sz="0" w:space="0" w:color="auto"/>
      </w:divBdr>
    </w:div>
    <w:div w:id="2119597126">
      <w:marLeft w:val="0"/>
      <w:marRight w:val="0"/>
      <w:marTop w:val="0"/>
      <w:marBottom w:val="0"/>
      <w:divBdr>
        <w:top w:val="none" w:sz="0" w:space="0" w:color="auto"/>
        <w:left w:val="none" w:sz="0" w:space="0" w:color="auto"/>
        <w:bottom w:val="none" w:sz="0" w:space="0" w:color="auto"/>
        <w:right w:val="none" w:sz="0" w:space="0" w:color="auto"/>
      </w:divBdr>
    </w:div>
    <w:div w:id="2124415756">
      <w:marLeft w:val="0"/>
      <w:marRight w:val="0"/>
      <w:marTop w:val="0"/>
      <w:marBottom w:val="132"/>
      <w:divBdr>
        <w:top w:val="none" w:sz="0" w:space="0" w:color="auto"/>
        <w:left w:val="none" w:sz="0" w:space="0" w:color="auto"/>
        <w:bottom w:val="none" w:sz="0" w:space="0" w:color="auto"/>
        <w:right w:val="none" w:sz="0" w:space="0" w:color="auto"/>
      </w:divBdr>
    </w:div>
    <w:div w:id="2124958168">
      <w:marLeft w:val="0"/>
      <w:marRight w:val="0"/>
      <w:marTop w:val="180"/>
      <w:marBottom w:val="180"/>
      <w:divBdr>
        <w:top w:val="none" w:sz="0" w:space="0" w:color="auto"/>
        <w:left w:val="none" w:sz="0" w:space="0" w:color="auto"/>
        <w:bottom w:val="none" w:sz="0" w:space="0" w:color="auto"/>
        <w:right w:val="none" w:sz="0" w:space="0" w:color="auto"/>
      </w:divBdr>
    </w:div>
    <w:div w:id="2127652847">
      <w:marLeft w:val="0"/>
      <w:marRight w:val="0"/>
      <w:marTop w:val="0"/>
      <w:marBottom w:val="0"/>
      <w:divBdr>
        <w:top w:val="none" w:sz="0" w:space="0" w:color="auto"/>
        <w:left w:val="none" w:sz="0" w:space="0" w:color="auto"/>
        <w:bottom w:val="none" w:sz="0" w:space="0" w:color="auto"/>
        <w:right w:val="none" w:sz="0" w:space="0" w:color="auto"/>
      </w:divBdr>
      <w:divsChild>
        <w:div w:id="667515505">
          <w:marLeft w:val="0"/>
          <w:marRight w:val="0"/>
          <w:marTop w:val="0"/>
          <w:marBottom w:val="0"/>
          <w:divBdr>
            <w:top w:val="none" w:sz="0" w:space="0" w:color="auto"/>
            <w:left w:val="none" w:sz="0" w:space="0" w:color="auto"/>
            <w:bottom w:val="none" w:sz="0" w:space="0" w:color="auto"/>
            <w:right w:val="none" w:sz="0" w:space="0" w:color="auto"/>
          </w:divBdr>
        </w:div>
      </w:divsChild>
    </w:div>
    <w:div w:id="2128742658">
      <w:marLeft w:val="0"/>
      <w:marRight w:val="0"/>
      <w:marTop w:val="0"/>
      <w:marBottom w:val="0"/>
      <w:divBdr>
        <w:top w:val="none" w:sz="0" w:space="0" w:color="auto"/>
        <w:left w:val="none" w:sz="0" w:space="0" w:color="auto"/>
        <w:bottom w:val="none" w:sz="0" w:space="0" w:color="auto"/>
        <w:right w:val="none" w:sz="0" w:space="0" w:color="auto"/>
      </w:divBdr>
    </w:div>
    <w:div w:id="2129926133">
      <w:marLeft w:val="0"/>
      <w:marRight w:val="0"/>
      <w:marTop w:val="0"/>
      <w:marBottom w:val="0"/>
      <w:divBdr>
        <w:top w:val="none" w:sz="0" w:space="0" w:color="auto"/>
        <w:left w:val="none" w:sz="0" w:space="0" w:color="auto"/>
        <w:bottom w:val="none" w:sz="0" w:space="0" w:color="auto"/>
        <w:right w:val="none" w:sz="0" w:space="0" w:color="auto"/>
      </w:divBdr>
    </w:div>
    <w:div w:id="2130473081">
      <w:marLeft w:val="0"/>
      <w:marRight w:val="0"/>
      <w:marTop w:val="0"/>
      <w:marBottom w:val="60"/>
      <w:divBdr>
        <w:top w:val="none" w:sz="0" w:space="0" w:color="auto"/>
        <w:left w:val="none" w:sz="0" w:space="0" w:color="auto"/>
        <w:bottom w:val="none" w:sz="0" w:space="0" w:color="auto"/>
        <w:right w:val="none" w:sz="0" w:space="0" w:color="auto"/>
      </w:divBdr>
    </w:div>
    <w:div w:id="2131821407">
      <w:marLeft w:val="0"/>
      <w:marRight w:val="0"/>
      <w:marTop w:val="0"/>
      <w:marBottom w:val="0"/>
      <w:divBdr>
        <w:top w:val="none" w:sz="0" w:space="0" w:color="auto"/>
        <w:left w:val="none" w:sz="0" w:space="0" w:color="auto"/>
        <w:bottom w:val="none" w:sz="0" w:space="0" w:color="auto"/>
        <w:right w:val="none" w:sz="0" w:space="0" w:color="auto"/>
      </w:divBdr>
      <w:divsChild>
        <w:div w:id="1931549251">
          <w:marLeft w:val="0"/>
          <w:marRight w:val="0"/>
          <w:marTop w:val="0"/>
          <w:marBottom w:val="0"/>
          <w:divBdr>
            <w:top w:val="none" w:sz="0" w:space="0" w:color="auto"/>
            <w:left w:val="none" w:sz="0" w:space="0" w:color="auto"/>
            <w:bottom w:val="none" w:sz="0" w:space="0" w:color="auto"/>
            <w:right w:val="none" w:sz="0" w:space="0" w:color="auto"/>
          </w:divBdr>
        </w:div>
      </w:divsChild>
    </w:div>
    <w:div w:id="2133203029">
      <w:marLeft w:val="0"/>
      <w:marRight w:val="0"/>
      <w:marTop w:val="0"/>
      <w:marBottom w:val="60"/>
      <w:divBdr>
        <w:top w:val="none" w:sz="0" w:space="0" w:color="auto"/>
        <w:left w:val="none" w:sz="0" w:space="0" w:color="auto"/>
        <w:bottom w:val="none" w:sz="0" w:space="0" w:color="auto"/>
        <w:right w:val="none" w:sz="0" w:space="0" w:color="auto"/>
      </w:divBdr>
    </w:div>
    <w:div w:id="2134403797">
      <w:marLeft w:val="0"/>
      <w:marRight w:val="0"/>
      <w:marTop w:val="0"/>
      <w:marBottom w:val="0"/>
      <w:divBdr>
        <w:top w:val="none" w:sz="0" w:space="0" w:color="auto"/>
        <w:left w:val="none" w:sz="0" w:space="0" w:color="auto"/>
        <w:bottom w:val="none" w:sz="0" w:space="0" w:color="auto"/>
        <w:right w:val="none" w:sz="0" w:space="0" w:color="auto"/>
      </w:divBdr>
      <w:divsChild>
        <w:div w:id="271329796">
          <w:marLeft w:val="0"/>
          <w:marRight w:val="0"/>
          <w:marTop w:val="0"/>
          <w:marBottom w:val="0"/>
          <w:divBdr>
            <w:top w:val="none" w:sz="0" w:space="0" w:color="auto"/>
            <w:left w:val="none" w:sz="0" w:space="0" w:color="auto"/>
            <w:bottom w:val="none" w:sz="0" w:space="0" w:color="auto"/>
            <w:right w:val="none" w:sz="0" w:space="0" w:color="auto"/>
          </w:divBdr>
        </w:div>
      </w:divsChild>
    </w:div>
    <w:div w:id="2134521360">
      <w:marLeft w:val="0"/>
      <w:marRight w:val="0"/>
      <w:marTop w:val="0"/>
      <w:marBottom w:val="0"/>
      <w:divBdr>
        <w:top w:val="none" w:sz="0" w:space="0" w:color="auto"/>
        <w:left w:val="none" w:sz="0" w:space="0" w:color="auto"/>
        <w:bottom w:val="none" w:sz="0" w:space="0" w:color="auto"/>
        <w:right w:val="none" w:sz="0" w:space="0" w:color="auto"/>
      </w:divBdr>
    </w:div>
    <w:div w:id="2139715017">
      <w:marLeft w:val="0"/>
      <w:marRight w:val="0"/>
      <w:marTop w:val="0"/>
      <w:marBottom w:val="0"/>
      <w:divBdr>
        <w:top w:val="none" w:sz="0" w:space="0" w:color="auto"/>
        <w:left w:val="none" w:sz="0" w:space="0" w:color="auto"/>
        <w:bottom w:val="none" w:sz="0" w:space="0" w:color="auto"/>
        <w:right w:val="none" w:sz="0" w:space="0" w:color="auto"/>
      </w:divBdr>
      <w:divsChild>
        <w:div w:id="1481967223">
          <w:marLeft w:val="0"/>
          <w:marRight w:val="0"/>
          <w:marTop w:val="0"/>
          <w:marBottom w:val="0"/>
          <w:divBdr>
            <w:top w:val="none" w:sz="0" w:space="0" w:color="auto"/>
            <w:left w:val="none" w:sz="0" w:space="0" w:color="auto"/>
            <w:bottom w:val="none" w:sz="0" w:space="0" w:color="auto"/>
            <w:right w:val="none" w:sz="0" w:space="0" w:color="auto"/>
          </w:divBdr>
        </w:div>
      </w:divsChild>
    </w:div>
    <w:div w:id="2140294538">
      <w:marLeft w:val="0"/>
      <w:marRight w:val="0"/>
      <w:marTop w:val="0"/>
      <w:marBottom w:val="0"/>
      <w:divBdr>
        <w:top w:val="none" w:sz="0" w:space="0" w:color="auto"/>
        <w:left w:val="none" w:sz="0" w:space="0" w:color="auto"/>
        <w:bottom w:val="none" w:sz="0" w:space="0" w:color="auto"/>
        <w:right w:val="none" w:sz="0" w:space="0" w:color="auto"/>
      </w:divBdr>
      <w:divsChild>
        <w:div w:id="901909792">
          <w:marLeft w:val="0"/>
          <w:marRight w:val="0"/>
          <w:marTop w:val="0"/>
          <w:marBottom w:val="0"/>
          <w:divBdr>
            <w:top w:val="none" w:sz="0" w:space="0" w:color="auto"/>
            <w:left w:val="none" w:sz="0" w:space="0" w:color="auto"/>
            <w:bottom w:val="none" w:sz="0" w:space="0" w:color="auto"/>
            <w:right w:val="none" w:sz="0" w:space="0" w:color="auto"/>
          </w:divBdr>
        </w:div>
      </w:divsChild>
    </w:div>
    <w:div w:id="2145196562">
      <w:marLeft w:val="0"/>
      <w:marRight w:val="0"/>
      <w:marTop w:val="120"/>
      <w:marBottom w:val="0"/>
      <w:divBdr>
        <w:top w:val="none" w:sz="0" w:space="0" w:color="auto"/>
        <w:left w:val="none" w:sz="0" w:space="0" w:color="auto"/>
        <w:bottom w:val="none" w:sz="0" w:space="0" w:color="auto"/>
        <w:right w:val="none" w:sz="0" w:space="0" w:color="auto"/>
      </w:divBdr>
    </w:div>
    <w:div w:id="2145659058">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70866/000119312521292276/d227200dex101.htm" TargetMode="External"/><Relationship Id="rId21" Type="http://schemas.openxmlformats.org/officeDocument/2006/relationships/hyperlink" Target="http://www.sec.gov/Archives/edgar/data/70866/000119312509037725/dex10242.htm" TargetMode="External"/><Relationship Id="rId42" Type="http://schemas.openxmlformats.org/officeDocument/2006/relationships/hyperlink" Target="http://www.sec.gov/Archives/edgar/data/70866/000119312521198709/d168982dex101.htm" TargetMode="External"/><Relationship Id="rId63" Type="http://schemas.openxmlformats.org/officeDocument/2006/relationships/hyperlink" Target="http://www.sec.gov/Archives/edgar/data/70866/000007086616000111/a10-qexhibit101.htm" TargetMode="External"/><Relationship Id="rId84" Type="http://schemas.openxmlformats.org/officeDocument/2006/relationships/hyperlink" Target="http://www.sec.gov/Archives/edgar/data/70866/000007086620000032/exhibit1012020director.htm" TargetMode="External"/><Relationship Id="rId138" Type="http://schemas.openxmlformats.org/officeDocument/2006/relationships/theme" Target="theme/theme1.xml"/><Relationship Id="rId16" Type="http://schemas.openxmlformats.org/officeDocument/2006/relationships/hyperlink" Target="http://www.sec.gov/Archives/edgar/data/70866/000119312520225743/d19966dex43.htm" TargetMode="External"/><Relationship Id="rId107" Type="http://schemas.openxmlformats.org/officeDocument/2006/relationships/hyperlink" Target="http://www.sec.gov/Archives/edgar/data/70866/000007086620000032/exhibit104oliver.htm" TargetMode="External"/><Relationship Id="rId11" Type="http://schemas.openxmlformats.org/officeDocument/2006/relationships/hyperlink" Target="https://www.sec.gov/Archives/edgar/data/70866/000007086622000008/exhibit421ncrsupplementali.htm" TargetMode="External"/><Relationship Id="rId32" Type="http://schemas.openxmlformats.org/officeDocument/2006/relationships/hyperlink" Target="http://www.sec.gov/Archives/edgar/data/70866/000007086615000046/q2201510-qexhibit101aandre.htm" TargetMode="External"/><Relationship Id="rId37" Type="http://schemas.openxmlformats.org/officeDocument/2006/relationships/hyperlink" Target="http://www.sec.gov/Archives/edgar/data/70866/000007086615000009/exhibit1042ncrdirectorcomp.htm" TargetMode="External"/><Relationship Id="rId53" Type="http://schemas.openxmlformats.org/officeDocument/2006/relationships/hyperlink" Target="http://www.sec.gov/Archives/edgar/data/70866/000119312516529490/d174695dex102.htm" TargetMode="External"/><Relationship Id="rId58" Type="http://schemas.openxmlformats.org/officeDocument/2006/relationships/hyperlink" Target="http://www.sec.gov/Archives/edgar/data/70866/000007086621000031/exhibit105supplement1tothe.htm" TargetMode="External"/><Relationship Id="rId74" Type="http://schemas.openxmlformats.org/officeDocument/2006/relationships/hyperlink" Target="https://www.sec.gov/Archives/edgar/data/70866/000007086619000013/exhibit1012019optionaw.htm" TargetMode="External"/><Relationship Id="rId79" Type="http://schemas.openxmlformats.org/officeDocument/2006/relationships/hyperlink" Target="http://www.sec.gov/Archives/edgar/data/70866/000007086620000020/exhibit101formof2020pr.htm" TargetMode="External"/><Relationship Id="rId102" Type="http://schemas.openxmlformats.org/officeDocument/2006/relationships/hyperlink" Target="http://www.sec.gov/Archives/edgar/data/70866/000007086618000024/exhibit105employmentagreem.htm" TargetMode="External"/><Relationship Id="rId123" Type="http://schemas.openxmlformats.org/officeDocument/2006/relationships/hyperlink" Target="http://www.sec.gov/Archives/edgar/data/70866/000119312521292276/d227200dex103.htm" TargetMode="External"/><Relationship Id="rId128" Type="http://schemas.openxmlformats.org/officeDocument/2006/relationships/hyperlink" Target="http://www.sec.gov/Archives/edgar/data/70866/000119312521292276/d227200dex104.htm" TargetMode="External"/><Relationship Id="rId5" Type="http://schemas.openxmlformats.org/officeDocument/2006/relationships/image" Target="file:///E:\projects\LLMs\new_data_collection\data_new\htm\NCR%20VOYIX%20Corp\ncr-20221231_g2.jpg" TargetMode="External"/><Relationship Id="rId90" Type="http://schemas.openxmlformats.org/officeDocument/2006/relationships/hyperlink" Target="http://www.sec.gov/Archives/edgar/data/70866/000119312520071042/d825867ddef14a.htm" TargetMode="External"/><Relationship Id="rId95" Type="http://schemas.openxmlformats.org/officeDocument/2006/relationships/hyperlink" Target="exhibit109102023pb-rsuxsen.htm" TargetMode="External"/><Relationship Id="rId22" Type="http://schemas.openxmlformats.org/officeDocument/2006/relationships/hyperlink" Target="http://www.sec.gov/Archives/edgar/data/70866/000119312509037725/dex10242.htm" TargetMode="External"/><Relationship Id="rId27" Type="http://schemas.openxmlformats.org/officeDocument/2006/relationships/hyperlink" Target="http://www.sec.gov/Archives/edgar/data/70866/000007086618000010/exhibit10112secondamendmen.htm" TargetMode="External"/><Relationship Id="rId43" Type="http://schemas.openxmlformats.org/officeDocument/2006/relationships/hyperlink" Target="https://www.sec.gov/Archives/edgar/data/70866/000119312522313721/d400188dex101.htm" TargetMode="External"/><Relationship Id="rId48" Type="http://schemas.openxmlformats.org/officeDocument/2006/relationships/hyperlink" Target="http://www.sec.gov/Archives/edgar/data/70866/000119312521198709/d168982dex102.htm" TargetMode="External"/><Relationship Id="rId64" Type="http://schemas.openxmlformats.org/officeDocument/2006/relationships/hyperlink" Target="http://www.sec.gov/Archives/edgar/data/70866/000119312517087387/d294010ddef14a.htm" TargetMode="External"/><Relationship Id="rId69" Type="http://schemas.openxmlformats.org/officeDocument/2006/relationships/hyperlink" Target="http://www.sec.gov/Archives/edgar/data/70866/000007086618000018/exhibit101.htm" TargetMode="External"/><Relationship Id="rId113" Type="http://schemas.openxmlformats.org/officeDocument/2006/relationships/hyperlink" Target="http://www.sec.gov/Archives/edgar/data/70866/000007086621000018/exhibit102letteragreementdc.htm" TargetMode="External"/><Relationship Id="rId118" Type="http://schemas.openxmlformats.org/officeDocument/2006/relationships/hyperlink" Target="http://www.sec.gov/Archives/edgar/data/70866/000119312521292276/d227200dex101.htm" TargetMode="External"/><Relationship Id="rId134" Type="http://schemas.openxmlformats.org/officeDocument/2006/relationships/hyperlink" Target="exhibit311sec302ceocert-12.htm" TargetMode="External"/><Relationship Id="rId80" Type="http://schemas.openxmlformats.org/officeDocument/2006/relationships/hyperlink" Target="http://www.sec.gov/Archives/edgar/data/70866/000007086620000020/exhibit102formof2020pr.htm" TargetMode="External"/><Relationship Id="rId85" Type="http://schemas.openxmlformats.org/officeDocument/2006/relationships/hyperlink" Target="http://www.sec.gov/Archives/edgar/data/70866/000007086620000032/exhibit1012020director.htm" TargetMode="External"/><Relationship Id="rId12" Type="http://schemas.openxmlformats.org/officeDocument/2006/relationships/hyperlink" Target="http://www.sec.gov/Archives/edgar/data/70866/000119312519226159/d794949dex43.htm" TargetMode="External"/><Relationship Id="rId17" Type="http://schemas.openxmlformats.org/officeDocument/2006/relationships/hyperlink" Target="https://www.sec.gov/Archives/edgar/data/70866/000007086622000008/exhibit451ncrsupplementali.htm" TargetMode="External"/><Relationship Id="rId33" Type="http://schemas.openxmlformats.org/officeDocument/2006/relationships/hyperlink" Target="http://www.sec.gov/Archives/edgar/data/70866/000007086618000010/exhibit10211firstamendment.htm" TargetMode="External"/><Relationship Id="rId38" Type="http://schemas.openxmlformats.org/officeDocument/2006/relationships/hyperlink" Target="http://www.sec.gov/Archives/edgar/data/70866/000007086615000009/exhibit1042ncrdirectorcomp.htm" TargetMode="External"/><Relationship Id="rId59" Type="http://schemas.openxmlformats.org/officeDocument/2006/relationships/hyperlink" Target="http://www.sec.gov/Archives/edgar/data/70866/000007086621000031/exhibit105supplement1tothe.htm" TargetMode="External"/><Relationship Id="rId103" Type="http://schemas.openxmlformats.org/officeDocument/2006/relationships/hyperlink" Target="http://www.sec.gov/Archives/edgar/data/70866/000007086618000024/exhibit105employmentagreem.htm" TargetMode="External"/><Relationship Id="rId108" Type="http://schemas.openxmlformats.org/officeDocument/2006/relationships/hyperlink" Target="http://www.sec.gov/Archives/edgar/data/70866/000007086620000032/exhibit104oliver.htm" TargetMode="External"/><Relationship Id="rId124" Type="http://schemas.openxmlformats.org/officeDocument/2006/relationships/hyperlink" Target="http://www.sec.gov/Archives/edgar/data/70866/000119312521292276/d227200dex103.htm" TargetMode="External"/><Relationship Id="rId129" Type="http://schemas.openxmlformats.org/officeDocument/2006/relationships/hyperlink" Target="https://www.sec.gov/Archives/edgar/data/70866/000007086622000041/exhibit101firstamendmentto.htm" TargetMode="External"/><Relationship Id="rId54" Type="http://schemas.openxmlformats.org/officeDocument/2006/relationships/hyperlink" Target="http://www.sec.gov/Archives/edgar/data/70866/000119312516529490/d174695dex102.htm" TargetMode="External"/><Relationship Id="rId70" Type="http://schemas.openxmlformats.org/officeDocument/2006/relationships/hyperlink" Target="http://www.sec.gov/Archives/edgar/data/70866/000007086618000018/exhibit101.htm" TargetMode="External"/><Relationship Id="rId75" Type="http://schemas.openxmlformats.org/officeDocument/2006/relationships/hyperlink" Target="https://www.sec.gov/Archives/edgar/data/70866/000007086619000013/exhibit1012019optionaw.htm" TargetMode="External"/><Relationship Id="rId91" Type="http://schemas.openxmlformats.org/officeDocument/2006/relationships/hyperlink" Target="http://www.sec.gov/Archives/edgar/data/70866/000119312520071042/d825867ddef14a.htm" TargetMode="External"/><Relationship Id="rId96" Type="http://schemas.openxmlformats.org/officeDocument/2006/relationships/hyperlink" Target="exhibit109112021pb-rsuagre.htm" TargetMode="External"/><Relationship Id="rId1" Type="http://schemas.openxmlformats.org/officeDocument/2006/relationships/styles" Target="styles.xml"/><Relationship Id="rId6" Type="http://schemas.openxmlformats.org/officeDocument/2006/relationships/hyperlink" Target="http://www.sec.gov/Archives/edgar/data/70866/000119312518304303/d629477dex21.htm" TargetMode="External"/><Relationship Id="rId23" Type="http://schemas.openxmlformats.org/officeDocument/2006/relationships/hyperlink" Target="http://www.sec.gov/Archives/edgar/data/70866/000007086611000016/amendmenttoseveranceplan.htm" TargetMode="External"/><Relationship Id="rId28" Type="http://schemas.openxmlformats.org/officeDocument/2006/relationships/hyperlink" Target="http://www.sec.gov/Archives/edgar/data/70866/000007086618000010/exhibit10112secondamendmen.htm" TargetMode="External"/><Relationship Id="rId49" Type="http://schemas.openxmlformats.org/officeDocument/2006/relationships/hyperlink" Target="http://www.sec.gov/Archives/edgar/data/70866/000119312521198709/d168982dex102.htm" TargetMode="External"/><Relationship Id="rId114" Type="http://schemas.openxmlformats.org/officeDocument/2006/relationships/hyperlink" Target="http://www.sec.gov/Archives/edgar/data/70866/000007086621000018/exhibit103letteragreementab.htm" TargetMode="External"/><Relationship Id="rId119" Type="http://schemas.openxmlformats.org/officeDocument/2006/relationships/hyperlink" Target="http://www.sec.gov/Archives/edgar/data/70866/000119312521292276/d227200dex102.htm" TargetMode="External"/><Relationship Id="rId44" Type="http://schemas.openxmlformats.org/officeDocument/2006/relationships/hyperlink" Target="https://www.sec.gov/Archives/edgar/data/70866/000119312522313721/d400188dex101.htm" TargetMode="External"/><Relationship Id="rId60" Type="http://schemas.openxmlformats.org/officeDocument/2006/relationships/hyperlink" Target="http://www.sec.gov/Archives/edgar/data/70866/000007086616000111/a10-qexhibit101.htm" TargetMode="External"/><Relationship Id="rId65" Type="http://schemas.openxmlformats.org/officeDocument/2006/relationships/hyperlink" Target="http://www.sec.gov/Archives/edgar/data/70866/000119312517087387/d294010ddef14a.htm" TargetMode="External"/><Relationship Id="rId81" Type="http://schemas.openxmlformats.org/officeDocument/2006/relationships/hyperlink" Target="http://www.sec.gov/Archives/edgar/data/70866/000007086620000020/exhibit102formof2020pr.htm" TargetMode="External"/><Relationship Id="rId86" Type="http://schemas.openxmlformats.org/officeDocument/2006/relationships/hyperlink" Target="http://www.sec.gov/Archives/edgar/data/70866/000007086620000032/exhibit1012020director.htm" TargetMode="External"/><Relationship Id="rId130" Type="http://schemas.openxmlformats.org/officeDocument/2006/relationships/hyperlink" Target="https://www.sec.gov/Archives/edgar/data/70866/000007086622000041/exhibit102secondamendmentt.htm" TargetMode="External"/><Relationship Id="rId135" Type="http://schemas.openxmlformats.org/officeDocument/2006/relationships/hyperlink" Target="exhibit312sec302cfocert-12.htm" TargetMode="External"/><Relationship Id="rId13" Type="http://schemas.openxmlformats.org/officeDocument/2006/relationships/hyperlink" Target="https://www.sec.gov/Archives/edgar/data/70866/000007086622000008/exhibit431ncrsupplementali.htm" TargetMode="External"/><Relationship Id="rId18" Type="http://schemas.openxmlformats.org/officeDocument/2006/relationships/hyperlink" Target="http://www.sec.gov/Archives/edgar/data/70866/000119312521107843/d333252dex41.htm" TargetMode="External"/><Relationship Id="rId39" Type="http://schemas.openxmlformats.org/officeDocument/2006/relationships/hyperlink" Target="http://www.sec.gov/Archives/edgar/data/70866/000119312516500314/d127170ddef14a.htm" TargetMode="External"/><Relationship Id="rId109" Type="http://schemas.openxmlformats.org/officeDocument/2006/relationships/hyperlink" Target="http://www.sec.gov/Archives/edgar/data/70866/000007086621000011/exhibit1030ncrdeferredcomp.htm" TargetMode="External"/><Relationship Id="rId34" Type="http://schemas.openxmlformats.org/officeDocument/2006/relationships/hyperlink" Target="http://www.sec.gov/Archives/edgar/data/70866/000007086618000010/exhibit10211firstamendment.htm" TargetMode="External"/><Relationship Id="rId50" Type="http://schemas.openxmlformats.org/officeDocument/2006/relationships/hyperlink" Target="http://www.sec.gov/Archives/edgar/data/70866/000119312521198709/d168982dex102.htm" TargetMode="External"/><Relationship Id="rId55" Type="http://schemas.openxmlformats.org/officeDocument/2006/relationships/hyperlink" Target="http://www.sec.gov/Archives/edgar/data/70866/000007086621000031/exhibit105supplement1tothe.htm" TargetMode="External"/><Relationship Id="rId76" Type="http://schemas.openxmlformats.org/officeDocument/2006/relationships/hyperlink" Target="http://www.sec.gov/Archives/edgar/data/70866/000007086620000020/exhibit101formof2020pr.htm" TargetMode="External"/><Relationship Id="rId97" Type="http://schemas.openxmlformats.org/officeDocument/2006/relationships/hyperlink" Target="exhibit109122021marketstoc.htm" TargetMode="External"/><Relationship Id="rId104" Type="http://schemas.openxmlformats.org/officeDocument/2006/relationships/hyperlink" Target="http://www.sec.gov/Archives/edgar/data/70866/000007086618000033/exhibit101employmentagreem.htm" TargetMode="External"/><Relationship Id="rId120" Type="http://schemas.openxmlformats.org/officeDocument/2006/relationships/hyperlink" Target="http://www.sec.gov/Archives/edgar/data/70866/000119312521292276/d227200dex102.htm" TargetMode="External"/><Relationship Id="rId125" Type="http://schemas.openxmlformats.org/officeDocument/2006/relationships/hyperlink" Target="http://www.sec.gov/Archives/edgar/data/70866/000119312521292276/d227200dex103.htm" TargetMode="External"/><Relationship Id="rId7" Type="http://schemas.openxmlformats.org/officeDocument/2006/relationships/hyperlink" Target="http://www.sec.gov/Archives/edgar/data/70866/000119312521015541/d911099dex21.htm" TargetMode="External"/><Relationship Id="rId71" Type="http://schemas.openxmlformats.org/officeDocument/2006/relationships/hyperlink" Target="http://www.sec.gov/Archives/edgar/data/70866/000007086618000018/exhibit101.htm" TargetMode="External"/><Relationship Id="rId92" Type="http://schemas.openxmlformats.org/officeDocument/2006/relationships/hyperlink" Target="https://www.sec.gov/Archives/edgar/data/70866/000007086622000026/exhibit101formofsepbtsr.htm" TargetMode="External"/><Relationship Id="rId2" Type="http://schemas.openxmlformats.org/officeDocument/2006/relationships/settings" Target="settings.xml"/><Relationship Id="rId29" Type="http://schemas.openxmlformats.org/officeDocument/2006/relationships/hyperlink" Target="http://www.sec.gov/Archives/edgar/data/70866/000007086613000076/a101agreementbetweenncrand.htm" TargetMode="External"/><Relationship Id="rId24" Type="http://schemas.openxmlformats.org/officeDocument/2006/relationships/hyperlink" Target="http://www.sec.gov/Archives/edgar/data/70866/000007086611000016/amendmenttoseveranceplan.htm" TargetMode="External"/><Relationship Id="rId40" Type="http://schemas.openxmlformats.org/officeDocument/2006/relationships/hyperlink" Target="http://www.sec.gov/Archives/edgar/data/70866/000119312516500314/d127170ddef14a.htm" TargetMode="External"/><Relationship Id="rId45" Type="http://schemas.openxmlformats.org/officeDocument/2006/relationships/hyperlink" Target="https://www.sec.gov/Archives/edgar/data/70866/000119312522313721/d400188dex101.htm" TargetMode="External"/><Relationship Id="rId66" Type="http://schemas.openxmlformats.org/officeDocument/2006/relationships/hyperlink" Target="http://www.sec.gov/Archives/edgar/data/70866/000119312517087387/d294010ddef14a.htm" TargetMode="External"/><Relationship Id="rId87" Type="http://schemas.openxmlformats.org/officeDocument/2006/relationships/hyperlink" Target="http://www.sec.gov/Archives/edgar/data/70866/000007086620000032/exhibit1012020director.htm" TargetMode="External"/><Relationship Id="rId110" Type="http://schemas.openxmlformats.org/officeDocument/2006/relationships/hyperlink" Target="http://www.sec.gov/Archives/edgar/data/70866/000007086621000011/exhibit1030ncrdeferredcomp.htm" TargetMode="External"/><Relationship Id="rId115" Type="http://schemas.openxmlformats.org/officeDocument/2006/relationships/hyperlink" Target="http://www.sec.gov/Archives/edgar/data/70866/000007086621000018/exhibit103letteragreementab.htm" TargetMode="External"/><Relationship Id="rId131" Type="http://schemas.openxmlformats.org/officeDocument/2006/relationships/hyperlink" Target="exhibit10196conformedthird.htm" TargetMode="External"/><Relationship Id="rId136" Type="http://schemas.openxmlformats.org/officeDocument/2006/relationships/hyperlink" Target="exhibit32sec906ceoandcfoce.htm" TargetMode="External"/><Relationship Id="rId61" Type="http://schemas.openxmlformats.org/officeDocument/2006/relationships/hyperlink" Target="http://www.sec.gov/Archives/edgar/data/70866/000007086616000111/a10-qexhibit101.htm" TargetMode="External"/><Relationship Id="rId82" Type="http://schemas.openxmlformats.org/officeDocument/2006/relationships/hyperlink" Target="http://www.sec.gov/Archives/edgar/data/70866/000007086620000020/exhibit102formof2020pr.htm" TargetMode="External"/><Relationship Id="rId19" Type="http://schemas.openxmlformats.org/officeDocument/2006/relationships/hyperlink" Target="https://www.sec.gov/Archives/edgar/data/70866/000007086622000008/exhibit461ncrsupplementali.htm" TargetMode="External"/><Relationship Id="rId14" Type="http://schemas.openxmlformats.org/officeDocument/2006/relationships/hyperlink" Target="http://www.sec.gov/Archives/edgar/data/70866/000119312520225743/d19966dex41.htm" TargetMode="External"/><Relationship Id="rId30" Type="http://schemas.openxmlformats.org/officeDocument/2006/relationships/hyperlink" Target="http://www.sec.gov/Archives/edgar/data/70866/000007086613000076/a101agreementbetweenncrand.htm" TargetMode="External"/><Relationship Id="rId35" Type="http://schemas.openxmlformats.org/officeDocument/2006/relationships/hyperlink" Target="http://www.sec.gov/Archives/edgar/data/70866/000007086618000010/exhibit10211firstamendment.htm" TargetMode="External"/><Relationship Id="rId56" Type="http://schemas.openxmlformats.org/officeDocument/2006/relationships/hyperlink" Target="http://www.sec.gov/Archives/edgar/data/70866/000007086621000031/exhibit105supplement1tothe.htm" TargetMode="External"/><Relationship Id="rId77" Type="http://schemas.openxmlformats.org/officeDocument/2006/relationships/hyperlink" Target="http://www.sec.gov/Archives/edgar/data/70866/000007086620000020/exhibit101formof2020pr.htm" TargetMode="External"/><Relationship Id="rId100" Type="http://schemas.openxmlformats.org/officeDocument/2006/relationships/hyperlink" Target="http://www.sec.gov/Archives/edgar/data/70866/000007086618000024/exhibit104employmentagreem.htm" TargetMode="External"/><Relationship Id="rId105" Type="http://schemas.openxmlformats.org/officeDocument/2006/relationships/hyperlink" Target="http://www.sec.gov/Archives/edgar/data/70866/000007086618000033/exhibit101employmentagreem.htm" TargetMode="External"/><Relationship Id="rId126" Type="http://schemas.openxmlformats.org/officeDocument/2006/relationships/hyperlink" Target="http://www.sec.gov/Archives/edgar/data/70866/000119312521292276/d227200dex104.htm" TargetMode="External"/><Relationship Id="rId8" Type="http://schemas.openxmlformats.org/officeDocument/2006/relationships/hyperlink" Target="http://www.sec.gov/Archives/edgar/data/70866/000007086619000019/exhibit31articlesofame.htm" TargetMode="External"/><Relationship Id="rId51" Type="http://schemas.openxmlformats.org/officeDocument/2006/relationships/hyperlink" Target="http://www.sec.gov/Archives/edgar/data/70866/000119312516529490/d174695dex102.htm" TargetMode="External"/><Relationship Id="rId72" Type="http://schemas.openxmlformats.org/officeDocument/2006/relationships/hyperlink" Target="https://www.sec.gov/Archives/edgar/data/70866/000007086619000013/exhibit1012019optionaw.htm" TargetMode="External"/><Relationship Id="rId93" Type="http://schemas.openxmlformats.org/officeDocument/2006/relationships/hyperlink" Target="exhibit10982022pb-rsuagree.htm" TargetMode="External"/><Relationship Id="rId98" Type="http://schemas.openxmlformats.org/officeDocument/2006/relationships/hyperlink" Target="http://www.sec.gov/Archives/edgar/data/70866/000007086617000058/exhibit101directorcompensa.htm" TargetMode="External"/><Relationship Id="rId121" Type="http://schemas.openxmlformats.org/officeDocument/2006/relationships/hyperlink" Target="http://www.sec.gov/Archives/edgar/data/70866/000119312521292276/d227200dex102.htm" TargetMode="External"/><Relationship Id="rId3" Type="http://schemas.openxmlformats.org/officeDocument/2006/relationships/webSettings" Target="webSettings.xml"/><Relationship Id="rId25" Type="http://schemas.openxmlformats.org/officeDocument/2006/relationships/hyperlink" Target="http://www.sec.gov/Archives/edgar/data/70866/000007086611000016/amendmenttoseveranceplan.htm" TargetMode="External"/><Relationship Id="rId46" Type="http://schemas.openxmlformats.org/officeDocument/2006/relationships/hyperlink" Target="https://www.sec.gov/Archives/edgar/data/70866/000119312522313721/d400188dex101.htm" TargetMode="External"/><Relationship Id="rId67" Type="http://schemas.openxmlformats.org/officeDocument/2006/relationships/hyperlink" Target="http://www.sec.gov/Archives/edgar/data/70866/000119312517087387/d294010ddef14a.htm" TargetMode="External"/><Relationship Id="rId116" Type="http://schemas.openxmlformats.org/officeDocument/2006/relationships/hyperlink" Target="https://www.sec.gov/Archives/edgar/data/70866/000007086622000026/exhibit102letteragreementdl.htm" TargetMode="External"/><Relationship Id="rId137" Type="http://schemas.openxmlformats.org/officeDocument/2006/relationships/fontTable" Target="fontTable.xml"/><Relationship Id="rId20" Type="http://schemas.openxmlformats.org/officeDocument/2006/relationships/hyperlink" Target="https://www.sec.gov/Archives/edgar/data/70866/000007086622000008/exhibit47descriptionofncrc.htm" TargetMode="External"/><Relationship Id="rId41" Type="http://schemas.openxmlformats.org/officeDocument/2006/relationships/hyperlink" Target="http://www.sec.gov/Archives/edgar/data/70866/000119312521198709/d168982dex101.htm" TargetMode="External"/><Relationship Id="rId62" Type="http://schemas.openxmlformats.org/officeDocument/2006/relationships/hyperlink" Target="http://www.sec.gov/Archives/edgar/data/70866/000007086616000111/a10-qexhibit101.htm" TargetMode="External"/><Relationship Id="rId83" Type="http://schemas.openxmlformats.org/officeDocument/2006/relationships/hyperlink" Target="http://www.sec.gov/Archives/edgar/data/70866/000007086620000020/exhibit102formof2020pr.htm" TargetMode="External"/><Relationship Id="rId88" Type="http://schemas.openxmlformats.org/officeDocument/2006/relationships/hyperlink" Target="http://www.sec.gov/Archives/edgar/data/70866/000119312520071042/d825867ddef14a.htm" TargetMode="External"/><Relationship Id="rId111" Type="http://schemas.openxmlformats.org/officeDocument/2006/relationships/hyperlink" Target="http://www.sec.gov/Archives/edgar/data/70866/000007086621000011/exhibit1030ncrdeferredcomp.htm" TargetMode="External"/><Relationship Id="rId132" Type="http://schemas.openxmlformats.org/officeDocument/2006/relationships/hyperlink" Target="exhibit21subsidiariesofncr.htm" TargetMode="External"/><Relationship Id="rId15" Type="http://schemas.openxmlformats.org/officeDocument/2006/relationships/hyperlink" Target="https://www.sec.gov/Archives/edgar/data/70866/000007086622000008/exhibit441ncrsupplementali.htm" TargetMode="External"/><Relationship Id="rId36" Type="http://schemas.openxmlformats.org/officeDocument/2006/relationships/hyperlink" Target="https://www.sec.gov/ix?doc=/Archives/edgar/data/70866/000119312522136959/d232932d8k.htm" TargetMode="External"/><Relationship Id="rId57" Type="http://schemas.openxmlformats.org/officeDocument/2006/relationships/hyperlink" Target="http://www.sec.gov/Archives/edgar/data/70866/000007086621000031/exhibit105supplement1tothe.htm" TargetMode="External"/><Relationship Id="rId106" Type="http://schemas.openxmlformats.org/officeDocument/2006/relationships/hyperlink" Target="http://www.sec.gov/Archives/edgar/data/70866/000007086620000032/exhibit104oliver.htm" TargetMode="External"/><Relationship Id="rId127" Type="http://schemas.openxmlformats.org/officeDocument/2006/relationships/hyperlink" Target="http://www.sec.gov/Archives/edgar/data/70866/000119312521292276/d227200dex104.htm" TargetMode="External"/><Relationship Id="rId10" Type="http://schemas.openxmlformats.org/officeDocument/2006/relationships/hyperlink" Target="http://www.sec.gov/Archives/edgar/data/70866/000119312519226159/d794949dex41.htm" TargetMode="External"/><Relationship Id="rId31" Type="http://schemas.openxmlformats.org/officeDocument/2006/relationships/hyperlink" Target="http://www.sec.gov/Archives/edgar/data/70866/000007086615000046/q2201510-qexhibit101aandre.htm" TargetMode="External"/><Relationship Id="rId52" Type="http://schemas.openxmlformats.org/officeDocument/2006/relationships/hyperlink" Target="http://www.sec.gov/Archives/edgar/data/70866/000119312516529490/d174695dex102.htm" TargetMode="External"/><Relationship Id="rId73" Type="http://schemas.openxmlformats.org/officeDocument/2006/relationships/hyperlink" Target="https://www.sec.gov/Archives/edgar/data/70866/000007086619000013/exhibit1012019optionaw.htm" TargetMode="External"/><Relationship Id="rId78" Type="http://schemas.openxmlformats.org/officeDocument/2006/relationships/hyperlink" Target="http://www.sec.gov/Archives/edgar/data/70866/000007086620000020/exhibit101formof2020pr.htm" TargetMode="External"/><Relationship Id="rId94" Type="http://schemas.openxmlformats.org/officeDocument/2006/relationships/hyperlink" Target="exhibit10992023pb-rsuagree.htm" TargetMode="External"/><Relationship Id="rId99" Type="http://schemas.openxmlformats.org/officeDocument/2006/relationships/hyperlink" Target="http://www.sec.gov/Archives/edgar/data/70866/000007086617000058/exhibit101directorcompensa.htm" TargetMode="External"/><Relationship Id="rId101" Type="http://schemas.openxmlformats.org/officeDocument/2006/relationships/hyperlink" Target="http://www.sec.gov/Archives/edgar/data/70866/000007086618000024/exhibit104employmentagreem.htm" TargetMode="External"/><Relationship Id="rId122" Type="http://schemas.openxmlformats.org/officeDocument/2006/relationships/hyperlink" Target="http://www.sec.gov/Archives/edgar/data/70866/000119312521292276/d227200dex103.htm" TargetMode="External"/><Relationship Id="rId4" Type="http://schemas.openxmlformats.org/officeDocument/2006/relationships/image" Target="file:///E:\projects\LLMs\new_data_collection\data_new\htm\NCR%20VOYIX%20Corp\ncr-20221231_g1.jpg" TargetMode="External"/><Relationship Id="rId9" Type="http://schemas.openxmlformats.org/officeDocument/2006/relationships/hyperlink" Target="http://www.sec.gov/Archives/edgar/data/70866/000119312521225811/d182351dex31.htm" TargetMode="External"/><Relationship Id="rId26" Type="http://schemas.openxmlformats.org/officeDocument/2006/relationships/hyperlink" Target="http://www.sec.gov/Archives/edgar/data/70866/000007086618000010/exhibit10112secondamendmen.htm" TargetMode="External"/><Relationship Id="rId47" Type="http://schemas.openxmlformats.org/officeDocument/2006/relationships/hyperlink" Target="http://www.sec.gov/Archives/edgar/data/70866/000119312521198709/d168982dex102.htm" TargetMode="External"/><Relationship Id="rId68" Type="http://schemas.openxmlformats.org/officeDocument/2006/relationships/hyperlink" Target="http://www.sec.gov/Archives/edgar/data/70866/000007086618000018/exhibit101.htm" TargetMode="External"/><Relationship Id="rId89" Type="http://schemas.openxmlformats.org/officeDocument/2006/relationships/hyperlink" Target="http://www.sec.gov/Archives/edgar/data/70866/000119312520071042/d825867ddef14a.htm" TargetMode="External"/><Relationship Id="rId112" Type="http://schemas.openxmlformats.org/officeDocument/2006/relationships/hyperlink" Target="http://www.sec.gov/Archives/edgar/data/70866/000007086621000018/exhibit102letteragreementdc.htm" TargetMode="External"/><Relationship Id="rId133" Type="http://schemas.openxmlformats.org/officeDocument/2006/relationships/hyperlink" Target="exhibit231consentofindepen.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101654</Words>
  <Characters>579428</Characters>
  <Application>Microsoft Office Word</Application>
  <DocSecurity>0</DocSecurity>
  <Lines>4828</Lines>
  <Paragraphs>1359</Paragraphs>
  <ScaleCrop>false</ScaleCrop>
  <Company/>
  <LinksUpToDate>false</LinksUpToDate>
  <CharactersWithSpaces>679723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ncr-20221231</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